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F6189">
      <w:pPr>
        <w:pStyle w:val="12"/>
        <w:keepNext w:val="0"/>
        <w:keepLines w:val="0"/>
        <w:pageBreakBefore w:val="0"/>
        <w:widowControl/>
        <w:suppressLineNumbers w:val="0"/>
        <w:suppressAutoHyphens w:val="0"/>
        <w:bidi w:val="0"/>
        <w:ind w:left="0" w:leftChars="0" w:firstLine="0" w:firstLineChars="0"/>
        <w:rPr>
          <w:color w:val="auto"/>
        </w:rPr>
      </w:pPr>
    </w:p>
    <w:p w14:paraId="123FEC1F">
      <w:pPr>
        <w:rPr>
          <w:color w:val="auto"/>
        </w:rPr>
      </w:pPr>
    </w:p>
    <w:p w14:paraId="00984035">
      <w:pPr>
        <w:pStyle w:val="6"/>
        <w:rPr>
          <w:color w:val="auto"/>
        </w:rPr>
      </w:pPr>
    </w:p>
    <w:p w14:paraId="0511A408">
      <w:pPr>
        <w:pStyle w:val="7"/>
        <w:rPr>
          <w:color w:val="auto"/>
        </w:rPr>
      </w:pPr>
    </w:p>
    <w:p w14:paraId="5AC87FDA">
      <w:pPr>
        <w:pStyle w:val="8"/>
        <w:rPr>
          <w:color w:val="auto"/>
        </w:rPr>
      </w:pPr>
    </w:p>
    <w:p w14:paraId="27526226">
      <w:pPr>
        <w:pStyle w:val="7"/>
        <w:rPr>
          <w:color w:val="auto"/>
        </w:rPr>
      </w:pPr>
    </w:p>
    <w:p w14:paraId="1E19D75A">
      <w:pPr>
        <w:keepNext w:val="0"/>
        <w:keepLines w:val="0"/>
        <w:pageBreakBefore w:val="0"/>
        <w:kinsoku/>
        <w:wordWrap/>
        <w:overflowPunct/>
        <w:topLinePunct w:val="0"/>
        <w:autoSpaceDE/>
        <w:autoSpaceDN/>
        <w:bidi w:val="0"/>
        <w:spacing w:line="560" w:lineRule="exact"/>
        <w:jc w:val="right"/>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鸡环审〔202</w:t>
      </w:r>
      <w:r>
        <w:rPr>
          <w:rFonts w:hint="eastAsia"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45</w:t>
      </w:r>
      <w:r>
        <w:rPr>
          <w:rFonts w:ascii="Times New Roman" w:hAnsi="Times New Roman" w:eastAsia="仿宋_GB2312" w:cs="Times New Roman"/>
          <w:color w:val="auto"/>
          <w:sz w:val="32"/>
          <w:szCs w:val="32"/>
          <w:highlight w:val="none"/>
        </w:rPr>
        <w:t>号</w:t>
      </w:r>
    </w:p>
    <w:p w14:paraId="0C953B96">
      <w:pPr>
        <w:keepNext w:val="0"/>
        <w:keepLines w:val="0"/>
        <w:pageBreakBefore w:val="0"/>
        <w:kinsoku/>
        <w:wordWrap/>
        <w:overflowPunct/>
        <w:topLinePunct w:val="0"/>
        <w:autoSpaceDE/>
        <w:autoSpaceDN/>
        <w:bidi w:val="0"/>
        <w:spacing w:line="560" w:lineRule="exact"/>
        <w:textAlignment w:val="auto"/>
        <w:rPr>
          <w:rFonts w:ascii="Times New Roman" w:hAnsi="Times New Roman" w:eastAsia="仿宋_GB2312" w:cs="Times New Roman"/>
          <w:bCs/>
          <w:color w:val="auto"/>
          <w:sz w:val="32"/>
          <w:szCs w:val="32"/>
          <w:shd w:val="clear" w:color="auto" w:fill="auto"/>
        </w:rPr>
      </w:pPr>
    </w:p>
    <w:p w14:paraId="439734AC">
      <w:pPr>
        <w:pStyle w:val="13"/>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color w:val="auto"/>
          <w:spacing w:val="-6"/>
          <w:kern w:val="2"/>
          <w:sz w:val="44"/>
          <w:szCs w:val="44"/>
          <w:shd w:val="clear" w:color="auto" w:fill="auto"/>
        </w:rPr>
      </w:pPr>
      <w:r>
        <w:rPr>
          <w:rFonts w:hint="eastAsia" w:ascii="方正小标宋简体" w:hAnsi="方正小标宋简体" w:eastAsia="方正小标宋简体" w:cs="方正小标宋简体"/>
          <w:color w:val="auto"/>
          <w:spacing w:val="-6"/>
          <w:sz w:val="44"/>
          <w:szCs w:val="44"/>
          <w:shd w:val="clear" w:color="auto" w:fill="auto"/>
        </w:rPr>
        <w:t>关</w:t>
      </w:r>
      <w:r>
        <w:rPr>
          <w:rFonts w:hint="eastAsia" w:ascii="方正小标宋简体" w:hAnsi="方正小标宋简体" w:eastAsia="方正小标宋简体" w:cs="方正小标宋简体"/>
          <w:color w:val="auto"/>
          <w:spacing w:val="-6"/>
          <w:kern w:val="2"/>
          <w:sz w:val="44"/>
          <w:szCs w:val="44"/>
          <w:shd w:val="clear" w:color="auto" w:fill="auto"/>
        </w:rPr>
        <w:t>于省道虎林至鸡西公路杨木至知一段</w:t>
      </w:r>
    </w:p>
    <w:p w14:paraId="589B8F96">
      <w:pPr>
        <w:pStyle w:val="13"/>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color w:val="auto"/>
          <w:spacing w:val="-6"/>
          <w:kern w:val="2"/>
          <w:sz w:val="44"/>
          <w:szCs w:val="44"/>
          <w:shd w:val="clear" w:color="auto" w:fill="auto"/>
        </w:rPr>
      </w:pPr>
      <w:r>
        <w:rPr>
          <w:rFonts w:hint="eastAsia" w:ascii="方正小标宋简体" w:hAnsi="方正小标宋简体" w:eastAsia="方正小标宋简体" w:cs="方正小标宋简体"/>
          <w:color w:val="auto"/>
          <w:spacing w:val="-6"/>
          <w:kern w:val="2"/>
          <w:sz w:val="44"/>
          <w:szCs w:val="44"/>
          <w:shd w:val="clear" w:color="auto" w:fill="auto"/>
        </w:rPr>
        <w:t>改扩建工程</w:t>
      </w:r>
      <w:r>
        <w:rPr>
          <w:rFonts w:hint="eastAsia" w:ascii="方正小标宋简体" w:hAnsi="方正小标宋简体" w:eastAsia="方正小标宋简体" w:cs="方正小标宋简体"/>
          <w:color w:val="auto"/>
          <w:spacing w:val="-6"/>
          <w:kern w:val="2"/>
          <w:sz w:val="44"/>
          <w:szCs w:val="44"/>
          <w:shd w:val="clear" w:color="auto" w:fill="auto"/>
          <w:lang w:eastAsia="zh-CN"/>
        </w:rPr>
        <w:t>环境影响报告表</w:t>
      </w:r>
      <w:r>
        <w:rPr>
          <w:rFonts w:hint="eastAsia" w:ascii="方正小标宋简体" w:hAnsi="方正小标宋简体" w:eastAsia="方正小标宋简体" w:cs="方正小标宋简体"/>
          <w:color w:val="auto"/>
          <w:spacing w:val="-6"/>
          <w:sz w:val="44"/>
          <w:szCs w:val="44"/>
          <w:shd w:val="clear" w:color="auto" w:fill="auto"/>
        </w:rPr>
        <w:t>的批复</w:t>
      </w:r>
    </w:p>
    <w:p w14:paraId="402BCA82">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p>
    <w:p w14:paraId="1DEC37A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密山市交通运输局：</w:t>
      </w:r>
    </w:p>
    <w:p w14:paraId="691F8E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你单位《关于申请审批省道虎林至鸡西公路杨木至知一段改扩建工程环境影响评价文件的函》及相关材料收悉，经研究，批复如下。 </w:t>
      </w:r>
    </w:p>
    <w:p w14:paraId="5E235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一、项目基本情况</w:t>
      </w:r>
    </w:p>
    <w:p w14:paraId="430FBBB4">
      <w:pPr>
        <w:keepNext w:val="0"/>
        <w:keepLines w:val="0"/>
        <w:pageBreakBefore w:val="0"/>
        <w:widowControl w:val="0"/>
        <w:tabs>
          <w:tab w:val="left" w:pos="472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vertAlign w:val="baseline"/>
          <w:lang w:val="en-US" w:eastAsia="zh-CN" w:bidi="ar-SA"/>
        </w:rPr>
      </w:pPr>
      <w:r>
        <w:rPr>
          <w:rFonts w:hint="default" w:ascii="Times New Roman" w:hAnsi="Times New Roman" w:eastAsia="仿宋_GB2312" w:cs="Times New Roman"/>
          <w:color w:val="auto"/>
          <w:kern w:val="0"/>
          <w:sz w:val="32"/>
          <w:szCs w:val="32"/>
          <w:lang w:val="en-US" w:eastAsia="zh-CN" w:bidi="ar-SA"/>
        </w:rPr>
        <w:t>该项目属改建工程，位于鸡西市密山市</w:t>
      </w:r>
      <w:r>
        <w:rPr>
          <w:rFonts w:hint="default" w:ascii="Times New Roman" w:hAnsi="Times New Roman" w:eastAsia="仿宋_GB2312" w:cs="Times New Roman"/>
          <w:color w:val="auto"/>
          <w:kern w:val="0"/>
          <w:sz w:val="32"/>
          <w:szCs w:val="32"/>
          <w:lang w:val="zh-CN" w:eastAsia="zh-CN" w:bidi="ar-SA"/>
        </w:rPr>
        <w:t>境内</w:t>
      </w:r>
      <w:r>
        <w:rPr>
          <w:rFonts w:hint="default" w:ascii="Times New Roman" w:hAnsi="Times New Roman" w:eastAsia="仿宋_GB2312" w:cs="Times New Roman"/>
          <w:color w:val="auto"/>
          <w:kern w:val="0"/>
          <w:sz w:val="32"/>
          <w:szCs w:val="32"/>
          <w:lang w:val="en-US" w:eastAsia="zh-CN" w:bidi="ar-SA"/>
        </w:rPr>
        <w:t>，路线起于省道虎林至鸡西公路K45+515处（杨木乡），止于省道虎林至鸡西公路K83+725与省道名兴公路交叉处（知一镇东侧），全长38.21km，其中新建路线5.025km，维修改造路线33.185km</w:t>
      </w:r>
      <w:r>
        <w:rPr>
          <w:rFonts w:hint="default" w:ascii="Times New Roman" w:hAnsi="Times New Roman" w:eastAsia="仿宋_GB2312" w:cs="Times New Roman"/>
          <w:color w:val="auto"/>
          <w:kern w:val="0"/>
          <w:sz w:val="32"/>
          <w:szCs w:val="32"/>
          <w:lang w:val="zh-CN" w:eastAsia="zh-CN" w:bidi="ar-SA"/>
        </w:rPr>
        <w:t>。</w:t>
      </w:r>
      <w:r>
        <w:rPr>
          <w:rFonts w:hint="default" w:ascii="Times New Roman" w:hAnsi="Times New Roman" w:eastAsia="仿宋_GB2312" w:cs="Times New Roman"/>
          <w:color w:val="auto"/>
          <w:kern w:val="0"/>
          <w:sz w:val="32"/>
          <w:szCs w:val="32"/>
          <w:lang w:val="en-US" w:eastAsia="zh-CN" w:bidi="ar-SA"/>
        </w:rPr>
        <w:t>项目建设内容主要包括新建小桥3座，改建小桥2座，维修利用中桥1座，新建钢筋混凝土箱涵5道</w:t>
      </w:r>
      <w:r>
        <w:rPr>
          <w:rFonts w:hint="eastAsia"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改建钢筋混凝土箱涵27</w:t>
      </w:r>
      <w:r>
        <w:rPr>
          <w:rFonts w:hint="eastAsia" w:eastAsia="仿宋_GB2312" w:cs="Times New Roman"/>
          <w:color w:val="auto"/>
          <w:kern w:val="0"/>
          <w:sz w:val="32"/>
          <w:szCs w:val="32"/>
          <w:lang w:val="en-US" w:eastAsia="zh-CN" w:bidi="ar-SA"/>
        </w:rPr>
        <w:t>道</w:t>
      </w:r>
      <w:r>
        <w:rPr>
          <w:rFonts w:hint="default"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CN" w:bidi="ar-SA"/>
        </w:rPr>
        <w:t>维修利用钢筋混凝土圆管涵</w:t>
      </w:r>
      <w:r>
        <w:rPr>
          <w:rFonts w:hint="default" w:ascii="Times New Roman" w:hAnsi="Times New Roman" w:eastAsia="仿宋_GB2312" w:cs="Times New Roman"/>
          <w:color w:val="auto"/>
          <w:kern w:val="0"/>
          <w:sz w:val="32"/>
          <w:szCs w:val="32"/>
          <w:lang w:val="en-US" w:eastAsia="zh-CN" w:bidi="ar-SA"/>
        </w:rPr>
        <w:t>2道，对沿线路面进行改造，铺设沥青混凝土等。项目建成后公路等级为二级。项目总投资36370.09万元，其中环保投资413.7万元。</w:t>
      </w:r>
    </w:p>
    <w:p w14:paraId="40B11820">
      <w:pPr>
        <w:keepNext w:val="0"/>
        <w:keepLines w:val="0"/>
        <w:pageBreakBefore w:val="0"/>
        <w:widowControl w:val="0"/>
        <w:tabs>
          <w:tab w:val="left" w:pos="4725"/>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SA"/>
        </w:rPr>
        <w:t>该项目在全面落实《省道虎林至鸡西公路杨木至知一段改扩建工程环境影响报告表》（以下简称《报告表》）和本批复提出的各项生态环境保护措施</w:t>
      </w:r>
      <w:r>
        <w:rPr>
          <w:rFonts w:hint="default" w:ascii="Times New Roman" w:hAnsi="Times New Roman" w:eastAsia="仿宋_GB2312" w:cs="Times New Roman"/>
          <w:b w:val="0"/>
          <w:bCs w:val="0"/>
          <w:color w:val="auto"/>
          <w:sz w:val="32"/>
          <w:szCs w:val="32"/>
          <w:highlight w:val="none"/>
          <w:u w:val="none"/>
        </w:rPr>
        <w:t>及污染防治措施</w:t>
      </w:r>
      <w:r>
        <w:rPr>
          <w:rFonts w:hint="default" w:ascii="Times New Roman" w:hAnsi="Times New Roman" w:eastAsia="仿宋_GB2312" w:cs="Times New Roman"/>
          <w:color w:val="auto"/>
          <w:kern w:val="0"/>
          <w:sz w:val="32"/>
          <w:szCs w:val="32"/>
          <w:lang w:val="en-US" w:eastAsia="zh-CN" w:bidi="ar-SA"/>
        </w:rPr>
        <w:t>后，对环境的不利影响可以得到缓解和控制。我局原则同意《报告表》中的环境影响评价总体结论和各项生态环境保护措施。</w:t>
      </w:r>
    </w:p>
    <w:p w14:paraId="17ED8180">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二、项目建设的主要生态环境影响及保护措施</w:t>
      </w:r>
    </w:p>
    <w:p w14:paraId="3DDEE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eastAsia" w:ascii="楷体_GB2312" w:hAnsi="楷体_GB2312" w:eastAsia="楷体_GB2312" w:cs="楷体_GB2312"/>
          <w:color w:val="auto"/>
          <w:sz w:val="32"/>
          <w:szCs w:val="32"/>
          <w:lang w:eastAsia="zh-CN"/>
        </w:rPr>
        <w:t>（一）大气环境影响</w:t>
      </w:r>
      <w:r>
        <w:rPr>
          <w:rFonts w:hint="eastAsia" w:ascii="楷体_GB2312" w:hAnsi="楷体_GB2312" w:eastAsia="楷体_GB2312" w:cs="楷体_GB2312"/>
          <w:color w:val="auto"/>
          <w:sz w:val="32"/>
          <w:szCs w:val="32"/>
          <w:lang w:val="en-US" w:eastAsia="zh-CN"/>
        </w:rPr>
        <w:t>及保护措施</w:t>
      </w:r>
      <w:r>
        <w:rPr>
          <w:rFonts w:hint="eastAsia" w:ascii="楷体_GB2312" w:hAnsi="楷体_GB2312" w:eastAsia="楷体_GB2312" w:cs="楷体_GB2312"/>
          <w:color w:val="auto"/>
          <w:sz w:val="32"/>
          <w:szCs w:val="32"/>
          <w:lang w:eastAsia="zh-CN"/>
        </w:rPr>
        <w:t>。</w:t>
      </w:r>
      <w:r>
        <w:rPr>
          <w:rFonts w:hint="default" w:ascii="Times New Roman" w:hAnsi="Times New Roman" w:eastAsia="仿宋_GB2312" w:cs="Times New Roman"/>
          <w:color w:val="auto"/>
          <w:kern w:val="0"/>
          <w:sz w:val="32"/>
          <w:szCs w:val="32"/>
          <w:lang w:val="en-US" w:eastAsia="zh-CN" w:bidi="ar-SA"/>
        </w:rPr>
        <w:t>施工期面层拌合站全封闭作业，沥青落料点、提升、振动筛、拌合器废气经旋风和布袋除尘器处理后，通过15m高排气筒排放。拌合站沥青烟经集气罩收集，烘干滚筒燃烧器燃烧，布袋除尘器处理后，通过15m高排气筒排放，苯并芘、非甲烷总烃、颗粒物、SO</w:t>
      </w:r>
      <w:r>
        <w:rPr>
          <w:rFonts w:hint="default" w:ascii="Times New Roman" w:hAnsi="Times New Roman" w:eastAsia="仿宋_GB2312" w:cs="Times New Roman"/>
          <w:color w:val="auto"/>
          <w:kern w:val="0"/>
          <w:sz w:val="32"/>
          <w:szCs w:val="32"/>
          <w:vertAlign w:val="subscript"/>
          <w:lang w:val="en-US" w:eastAsia="zh-CN" w:bidi="ar-SA"/>
        </w:rPr>
        <w:t>2</w:t>
      </w:r>
      <w:r>
        <w:rPr>
          <w:rFonts w:hint="default" w:ascii="Times New Roman" w:hAnsi="Times New Roman" w:eastAsia="仿宋_GB2312" w:cs="Times New Roman"/>
          <w:color w:val="auto"/>
          <w:kern w:val="0"/>
          <w:sz w:val="32"/>
          <w:szCs w:val="32"/>
          <w:lang w:val="en-US" w:eastAsia="zh-CN" w:bidi="ar-SA"/>
        </w:rPr>
        <w:t>、NO</w:t>
      </w:r>
      <w:r>
        <w:rPr>
          <w:rFonts w:hint="default" w:ascii="Times New Roman" w:hAnsi="Times New Roman" w:eastAsia="仿宋_GB2312" w:cs="Times New Roman"/>
          <w:color w:val="auto"/>
          <w:kern w:val="0"/>
          <w:sz w:val="32"/>
          <w:szCs w:val="32"/>
          <w:vertAlign w:val="subscript"/>
          <w:lang w:val="en-US" w:eastAsia="zh-CN" w:bidi="ar-SA"/>
        </w:rPr>
        <w:t>x</w:t>
      </w:r>
      <w:r>
        <w:rPr>
          <w:rFonts w:hint="default" w:ascii="Times New Roman" w:hAnsi="Times New Roman" w:eastAsia="仿宋_GB2312" w:cs="Times New Roman"/>
          <w:color w:val="auto"/>
          <w:kern w:val="0"/>
          <w:sz w:val="32"/>
          <w:szCs w:val="32"/>
          <w:lang w:val="en-US" w:eastAsia="zh-CN" w:bidi="ar-SA"/>
        </w:rPr>
        <w:t>及沥青烟排放浓度应符合《大气污染物综合排放标准》（GB 16297-2016）要求。基层拌合站采用集中搅拌的方式，整体式全封闭作业，</w:t>
      </w:r>
      <w:r>
        <w:rPr>
          <w:rFonts w:hint="eastAsia" w:eastAsia="仿宋_GB2312" w:cs="Times New Roman"/>
          <w:color w:val="auto"/>
          <w:kern w:val="0"/>
          <w:sz w:val="32"/>
          <w:szCs w:val="32"/>
          <w:lang w:val="en-US" w:eastAsia="zh-CN" w:bidi="ar-SA"/>
        </w:rPr>
        <w:t>拌合站废气经布袋除尘器处理后，通过15m高排气筒排放，</w:t>
      </w:r>
      <w:r>
        <w:rPr>
          <w:rFonts w:hint="default" w:ascii="Times New Roman" w:hAnsi="Times New Roman" w:eastAsia="仿宋_GB2312" w:cs="Times New Roman"/>
          <w:color w:val="auto"/>
          <w:kern w:val="0"/>
          <w:sz w:val="32"/>
          <w:szCs w:val="32"/>
          <w:lang w:val="en-US" w:eastAsia="zh-CN" w:bidi="ar-SA"/>
        </w:rPr>
        <w:t>砂石料池堆放进行覆盖，运输道路洒水降尘，上料仓进行围挡并设置喷淋降尘设施，</w:t>
      </w:r>
      <w:bookmarkStart w:id="0" w:name="_GoBack"/>
      <w:bookmarkEnd w:id="0"/>
      <w:r>
        <w:rPr>
          <w:rFonts w:hint="default" w:ascii="Times New Roman" w:hAnsi="Times New Roman" w:eastAsia="仿宋_GB2312" w:cs="Times New Roman"/>
          <w:color w:val="auto"/>
          <w:kern w:val="0"/>
          <w:sz w:val="32"/>
          <w:szCs w:val="32"/>
          <w:lang w:val="en-US" w:eastAsia="zh-CN" w:bidi="ar-SA"/>
        </w:rPr>
        <w:t>颗粒物排放应符合《水泥工业大气污染物排放标准》（GB4915-2013）及修改单要求。运输车辆采取篷布苫盖防止二次扬尘，沿线环境敏感点采取移动式隔尘挡板，施工场地洒水降尘。施工场界无组织颗粒物排放应符合《大气污染物综合排放标准》（GB16297-1996）要求。运营期，加强道路管理及路面养护，减少车辆尾气排放。</w:t>
      </w:r>
    </w:p>
    <w:p w14:paraId="3C712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）水环境影响及</w:t>
      </w:r>
      <w:r>
        <w:rPr>
          <w:rFonts w:hint="eastAsia" w:ascii="楷体_GB2312" w:hAnsi="楷体_GB2312" w:eastAsia="楷体_GB2312" w:cs="楷体_GB2312"/>
          <w:color w:val="auto"/>
          <w:sz w:val="32"/>
          <w:szCs w:val="32"/>
          <w:lang w:val="en-US" w:eastAsia="zh-CN"/>
        </w:rPr>
        <w:t>保护措施。</w:t>
      </w:r>
      <w:r>
        <w:rPr>
          <w:rFonts w:hint="default" w:ascii="Times New Roman" w:hAnsi="Times New Roman" w:eastAsia="仿宋_GB2312" w:cs="Times New Roman"/>
          <w:color w:val="auto"/>
          <w:kern w:val="0"/>
          <w:sz w:val="32"/>
          <w:szCs w:val="32"/>
          <w:lang w:val="en-US" w:eastAsia="zh-CN" w:bidi="ar-SA"/>
        </w:rPr>
        <w:t>混凝土拌合站冲洗废水、桥梁施工废水经沉淀处理后，回用于施工场地、路基场地洒水降尘，禁止废水、弃渣、废料、垃圾等排入地表水体。生活污水排入杨木乡和柳毛乡现有防渗旱厕，定期清掏，外运堆肥。</w:t>
      </w:r>
    </w:p>
    <w:p w14:paraId="5AED01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eastAsia" w:ascii="楷体_GB2312" w:hAnsi="楷体_GB2312" w:eastAsia="楷体_GB2312" w:cs="楷体_GB2312"/>
          <w:color w:val="auto"/>
          <w:kern w:val="0"/>
          <w:sz w:val="32"/>
          <w:szCs w:val="32"/>
          <w:lang w:val="en-US" w:eastAsia="zh-CN"/>
        </w:rPr>
        <w:t>（三）声环境影响及保护措施。</w:t>
      </w:r>
      <w:r>
        <w:rPr>
          <w:rFonts w:hint="default" w:ascii="Times New Roman" w:hAnsi="Times New Roman" w:eastAsia="仿宋_GB2312" w:cs="Times New Roman"/>
          <w:color w:val="auto"/>
          <w:kern w:val="0"/>
          <w:sz w:val="32"/>
          <w:szCs w:val="32"/>
          <w:lang w:val="en-US" w:eastAsia="zh-CN" w:bidi="ar-SA"/>
        </w:rPr>
        <w:t>施工期，合理布置施工场地、安排施工时段和运输时段，尽量选用低噪声施工机械，途径敏感点路段施工时采取移动式隔声、隔尘挡板，物料运输途经居民区等环境敏感点时，应减速慢行，夜间禁止运输，防止扰民。施工期噪声排放应符合《建筑施工噪声排放标准》（GB12523-2025）要求。运营期，对临路超标敏感点采取安装通风隔声窗措施，在噪声环境敏感点和敏感时段通过时采取禁鸣、限速等措施，合理控制道路交通参数，降低交通噪声。进出车辆低速行驶，控制对区域声环境的影响。</w:t>
      </w:r>
    </w:p>
    <w:p w14:paraId="2932029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楷体_GB2312" w:hAnsi="楷体_GB2312" w:eastAsia="楷体_GB2312" w:cs="楷体_GB2312"/>
          <w:color w:val="auto"/>
          <w:kern w:val="0"/>
          <w:sz w:val="32"/>
          <w:szCs w:val="32"/>
          <w:lang w:val="en-US" w:eastAsia="zh-CN"/>
        </w:rPr>
        <w:t>（四）固体废物环境影响及保护措施</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highlight w:val="none"/>
          <w:u w:val="none"/>
          <w:lang w:val="en-US" w:eastAsia="zh-CN"/>
        </w:rPr>
        <w:t>剥离表土及不良地质段换土用于空地回填、绿化覆土及临时占地植被恢复，路基清表土方、新旧路基衔接等产生的弃除土方部分用于路基包边，其他弃方外运至弃土场回填。</w:t>
      </w:r>
      <w:r>
        <w:rPr>
          <w:rFonts w:hint="eastAsia" w:ascii="仿宋_GB2312" w:hAnsi="仿宋_GB2312" w:eastAsia="仿宋_GB2312" w:cs="仿宋_GB2312"/>
          <w:color w:val="auto"/>
          <w:sz w:val="32"/>
          <w:szCs w:val="32"/>
          <w:highlight w:val="none"/>
          <w:u w:val="none"/>
        </w:rPr>
        <w:t>施工期</w:t>
      </w:r>
      <w:r>
        <w:rPr>
          <w:rFonts w:hint="eastAsia" w:ascii="仿宋_GB2312" w:hAnsi="仿宋_GB2312" w:eastAsia="仿宋_GB2312" w:cs="仿宋_GB2312"/>
          <w:color w:val="auto"/>
          <w:sz w:val="32"/>
          <w:szCs w:val="32"/>
          <w:highlight w:val="none"/>
          <w:u w:val="none"/>
          <w:lang w:val="en-US" w:eastAsia="zh-CN"/>
        </w:rPr>
        <w:t>和运营期养护道班产生的</w:t>
      </w:r>
      <w:r>
        <w:rPr>
          <w:rFonts w:hint="eastAsia" w:ascii="仿宋_GB2312" w:hAnsi="仿宋_GB2312" w:eastAsia="仿宋_GB2312" w:cs="仿宋_GB2312"/>
          <w:color w:val="auto"/>
          <w:sz w:val="32"/>
          <w:szCs w:val="32"/>
          <w:highlight w:val="none"/>
          <w:u w:val="none"/>
        </w:rPr>
        <w:t>生活</w:t>
      </w:r>
      <w:r>
        <w:rPr>
          <w:rFonts w:hint="eastAsia" w:ascii="仿宋_GB2312" w:hAnsi="仿宋_GB2312" w:eastAsia="仿宋_GB2312" w:cs="仿宋_GB2312"/>
          <w:b w:val="0"/>
          <w:bCs w:val="0"/>
          <w:color w:val="auto"/>
          <w:sz w:val="32"/>
          <w:szCs w:val="32"/>
          <w:highlight w:val="none"/>
          <w:u w:val="none"/>
        </w:rPr>
        <w:t>垃圾集中收集交由环卫部门统一</w:t>
      </w:r>
      <w:r>
        <w:rPr>
          <w:rFonts w:hint="eastAsia" w:ascii="仿宋_GB2312" w:hAnsi="仿宋_GB2312" w:eastAsia="仿宋_GB2312" w:cs="仿宋_GB2312"/>
          <w:b w:val="0"/>
          <w:bCs w:val="0"/>
          <w:color w:val="auto"/>
          <w:sz w:val="32"/>
          <w:szCs w:val="32"/>
          <w:highlight w:val="none"/>
          <w:u w:val="none"/>
          <w:lang w:eastAsia="zh-CN"/>
        </w:rPr>
        <w:t>处置。</w:t>
      </w:r>
      <w:r>
        <w:rPr>
          <w:rFonts w:hint="eastAsia" w:ascii="仿宋_GB2312" w:hAnsi="仿宋_GB2312" w:eastAsia="仿宋_GB2312" w:cs="仿宋_GB2312"/>
          <w:b w:val="0"/>
          <w:bCs w:val="0"/>
          <w:color w:val="auto"/>
          <w:sz w:val="32"/>
          <w:szCs w:val="32"/>
          <w:highlight w:val="none"/>
          <w:u w:val="none"/>
        </w:rPr>
        <w:t>公路养护收集公路上遗留的废轮胎、废包装袋等固废废弃物，集中收集后，由市政环卫部门处置</w:t>
      </w:r>
      <w:r>
        <w:rPr>
          <w:rFonts w:hint="eastAsia" w:ascii="仿宋_GB2312" w:hAnsi="仿宋_GB2312" w:eastAsia="仿宋_GB2312" w:cs="仿宋_GB2312"/>
          <w:b w:val="0"/>
          <w:bCs w:val="0"/>
          <w:color w:val="auto"/>
          <w:sz w:val="32"/>
          <w:szCs w:val="32"/>
          <w:highlight w:val="none"/>
          <w:u w:val="none"/>
          <w:lang w:eastAsia="zh-CN"/>
        </w:rPr>
        <w:t>。</w:t>
      </w:r>
    </w:p>
    <w:p w14:paraId="0180689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kern w:val="0"/>
          <w:sz w:val="32"/>
          <w:szCs w:val="32"/>
          <w:lang w:val="en-US" w:eastAsia="zh-CN"/>
        </w:rPr>
        <w:t>（五）生态环境影响及保护措施</w:t>
      </w:r>
      <w:r>
        <w:rPr>
          <w:rFonts w:hint="eastAsia" w:ascii="楷体_GB2312" w:hAnsi="楷体_GB2312" w:eastAsia="楷体_GB2312" w:cs="楷体_GB2312"/>
          <w:color w:val="auto"/>
          <w:sz w:val="32"/>
          <w:szCs w:val="32"/>
        </w:rPr>
        <w:t>。</w:t>
      </w:r>
      <w:r>
        <w:rPr>
          <w:rFonts w:hint="default" w:ascii="Times New Roman" w:hAnsi="Times New Roman" w:eastAsia="仿宋_GB2312" w:cs="Times New Roman"/>
          <w:color w:val="auto"/>
          <w:sz w:val="32"/>
          <w:szCs w:val="32"/>
        </w:rPr>
        <w:t>项目</w:t>
      </w:r>
      <w:r>
        <w:rPr>
          <w:rFonts w:hint="default" w:ascii="Times New Roman" w:hAnsi="Times New Roman" w:eastAsia="仿宋_GB2312" w:cs="Times New Roman"/>
          <w:color w:val="auto"/>
          <w:sz w:val="32"/>
          <w:szCs w:val="32"/>
          <w:lang w:eastAsia="zh-CN"/>
        </w:rPr>
        <w:t>应合理布置临时施工场地，严格控制施工占地和作业范围，减少</w:t>
      </w:r>
      <w:r>
        <w:rPr>
          <w:rFonts w:hint="default" w:ascii="Times New Roman" w:hAnsi="Times New Roman" w:eastAsia="仿宋_GB2312" w:cs="Times New Roman"/>
          <w:color w:val="auto"/>
          <w:sz w:val="32"/>
          <w:szCs w:val="32"/>
          <w:lang w:val="en-US" w:eastAsia="zh-CN"/>
        </w:rPr>
        <w:t>施工</w:t>
      </w:r>
      <w:r>
        <w:rPr>
          <w:rFonts w:hint="default" w:ascii="Times New Roman" w:hAnsi="Times New Roman" w:eastAsia="仿宋_GB2312" w:cs="Times New Roman"/>
          <w:color w:val="auto"/>
          <w:sz w:val="32"/>
          <w:szCs w:val="32"/>
          <w:lang w:eastAsia="zh-CN"/>
        </w:rPr>
        <w:t>扰动，</w:t>
      </w:r>
      <w:r>
        <w:rPr>
          <w:rFonts w:hint="default" w:ascii="Times New Roman" w:hAnsi="Times New Roman" w:eastAsia="仿宋_GB2312" w:cs="Times New Roman"/>
          <w:color w:val="auto"/>
          <w:sz w:val="32"/>
          <w:szCs w:val="32"/>
          <w:lang w:val="en-US" w:eastAsia="zh-CN"/>
        </w:rPr>
        <w:t>不</w:t>
      </w:r>
      <w:r>
        <w:rPr>
          <w:rFonts w:hint="default" w:ascii="Times New Roman" w:hAnsi="Times New Roman" w:eastAsia="仿宋_GB2312" w:cs="Times New Roman"/>
          <w:color w:val="auto"/>
          <w:sz w:val="32"/>
          <w:szCs w:val="32"/>
          <w:lang w:eastAsia="zh-CN"/>
        </w:rPr>
        <w:t>占用、占压、碾压</w:t>
      </w:r>
      <w:r>
        <w:rPr>
          <w:rFonts w:hint="default" w:ascii="Times New Roman" w:hAnsi="Times New Roman" w:eastAsia="仿宋_GB2312" w:cs="Times New Roman"/>
          <w:color w:val="auto"/>
          <w:sz w:val="32"/>
          <w:szCs w:val="32"/>
          <w:lang w:val="en-US" w:eastAsia="zh-CN"/>
        </w:rPr>
        <w:t>周边植被</w:t>
      </w:r>
      <w:r>
        <w:rPr>
          <w:rFonts w:hint="default" w:ascii="Times New Roman" w:hAnsi="Times New Roman" w:eastAsia="仿宋_GB2312" w:cs="Times New Roman"/>
          <w:color w:val="auto"/>
          <w:sz w:val="32"/>
          <w:szCs w:val="32"/>
          <w:lang w:eastAsia="zh-CN"/>
        </w:rPr>
        <w:t>，严禁惊扰和捕猎野生动物，施工结束后，及时平整场地，拆除临时工程，进行生态恢复。</w:t>
      </w:r>
    </w:p>
    <w:p w14:paraId="67EF9D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你单位应建立内部生态环境管理制度，明确人员和职责，加强生态环境管理。项目实施必须严格执行环境保护设施与主体工程同时设计、同时施工、同时投产使用的环境保护“三同时”制度。项目建成后，应按规定程序实施竣工环境保护验收</w:t>
      </w:r>
      <w:r>
        <w:rPr>
          <w:rFonts w:hint="default" w:ascii="Times New Roman" w:hAnsi="Times New Roman" w:eastAsia="仿宋_GB2312" w:cs="Times New Roman"/>
          <w:color w:val="auto"/>
          <w:sz w:val="32"/>
          <w:szCs w:val="32"/>
          <w:lang w:eastAsia="zh-CN"/>
        </w:rPr>
        <w:t>。</w:t>
      </w:r>
    </w:p>
    <w:p w14:paraId="745C6E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0"/>
          <w:sz w:val="32"/>
          <w:szCs w:val="32"/>
        </w:rPr>
        <w:t>四</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sz w:val="32"/>
          <w:szCs w:val="32"/>
        </w:rPr>
        <w:t>报告表》经批准后，项目的性质、规模、地点或者污染</w:t>
      </w:r>
      <w:r>
        <w:rPr>
          <w:rFonts w:hint="default" w:ascii="Times New Roman" w:hAnsi="Times New Roman" w:eastAsia="仿宋_GB2312" w:cs="Times New Roman"/>
          <w:color w:val="auto"/>
          <w:sz w:val="32"/>
          <w:szCs w:val="32"/>
          <w:lang w:eastAsia="zh-CN"/>
        </w:rPr>
        <w:t>防治</w:t>
      </w:r>
      <w:r>
        <w:rPr>
          <w:rFonts w:hint="default" w:ascii="Times New Roman" w:hAnsi="Times New Roman" w:eastAsia="仿宋_GB2312" w:cs="Times New Roman"/>
          <w:color w:val="auto"/>
          <w:sz w:val="32"/>
          <w:szCs w:val="32"/>
        </w:rPr>
        <w:t>措施发生重大变动的，应当重新报批该项目的《报告表》。自《报告表》批复文件批准之日起，如超过5年方决定开工建设的，《报告表》应当重新审核。</w:t>
      </w:r>
    </w:p>
    <w:p w14:paraId="5AFB0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eastAsia="zh-CN"/>
        </w:rPr>
        <w:t>、鸡西市</w:t>
      </w:r>
      <w:r>
        <w:rPr>
          <w:rFonts w:hint="default" w:ascii="Times New Roman" w:hAnsi="Times New Roman" w:eastAsia="仿宋_GB2312" w:cs="Times New Roman"/>
          <w:color w:val="auto"/>
          <w:sz w:val="32"/>
          <w:szCs w:val="32"/>
          <w:lang w:val="en-US" w:eastAsia="zh-CN"/>
        </w:rPr>
        <w:t>密山</w:t>
      </w:r>
      <w:r>
        <w:rPr>
          <w:rFonts w:hint="default" w:ascii="Times New Roman" w:hAnsi="Times New Roman" w:eastAsia="仿宋_GB2312" w:cs="Times New Roman"/>
          <w:color w:val="auto"/>
          <w:sz w:val="32"/>
          <w:szCs w:val="32"/>
          <w:lang w:eastAsia="zh-CN"/>
        </w:rPr>
        <w:t>生态环境局组织开展该项目环境保护事中事后监管工作。你单位应在收到本批复后10日内，将批准后的《</w:t>
      </w:r>
      <w:r>
        <w:rPr>
          <w:rFonts w:hint="default" w:ascii="Times New Roman" w:hAnsi="Times New Roman" w:eastAsia="仿宋_GB2312" w:cs="Times New Roman"/>
          <w:color w:val="auto"/>
          <w:sz w:val="32"/>
          <w:szCs w:val="32"/>
          <w:lang w:val="en-US" w:eastAsia="zh-CN"/>
        </w:rPr>
        <w:t>报告表</w:t>
      </w:r>
      <w:r>
        <w:rPr>
          <w:rFonts w:hint="default" w:ascii="Times New Roman" w:hAnsi="Times New Roman" w:eastAsia="仿宋_GB2312" w:cs="Times New Roman"/>
          <w:color w:val="auto"/>
          <w:sz w:val="32"/>
          <w:szCs w:val="32"/>
          <w:lang w:eastAsia="zh-CN"/>
        </w:rPr>
        <w:t>》和批复文件送至鸡西市</w:t>
      </w:r>
      <w:r>
        <w:rPr>
          <w:rFonts w:hint="default" w:ascii="Times New Roman" w:hAnsi="Times New Roman" w:eastAsia="仿宋_GB2312" w:cs="Times New Roman"/>
          <w:color w:val="auto"/>
          <w:sz w:val="32"/>
          <w:szCs w:val="32"/>
          <w:lang w:val="en-US" w:eastAsia="zh-CN"/>
        </w:rPr>
        <w:t>密山</w:t>
      </w:r>
      <w:r>
        <w:rPr>
          <w:rFonts w:hint="default" w:ascii="Times New Roman" w:hAnsi="Times New Roman" w:eastAsia="仿宋_GB2312" w:cs="Times New Roman"/>
          <w:color w:val="auto"/>
          <w:sz w:val="32"/>
          <w:szCs w:val="32"/>
          <w:lang w:eastAsia="zh-CN"/>
        </w:rPr>
        <w:t>生态环境局，并按规定接受各级生态环境主管部门的日常监督检查。</w:t>
      </w:r>
      <w:r>
        <w:rPr>
          <w:rFonts w:hint="default" w:ascii="Times New Roman" w:hAnsi="Times New Roman" w:eastAsia="仿宋_GB2312" w:cs="Times New Roman"/>
          <w:color w:val="auto"/>
          <w:sz w:val="32"/>
          <w:szCs w:val="32"/>
        </w:rPr>
        <w:t xml:space="preserve">                              </w:t>
      </w:r>
    </w:p>
    <w:p w14:paraId="3F70F9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rPr>
      </w:pPr>
    </w:p>
    <w:p w14:paraId="48282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rPr>
      </w:pPr>
    </w:p>
    <w:p w14:paraId="4C418EA0">
      <w:pPr>
        <w:rPr>
          <w:color w:val="auto"/>
        </w:rPr>
      </w:pPr>
    </w:p>
    <w:p w14:paraId="51BB0321">
      <w:pPr>
        <w:keepNext w:val="0"/>
        <w:keepLines w:val="0"/>
        <w:pageBreakBefore w:val="0"/>
        <w:kinsoku/>
        <w:wordWrap/>
        <w:overflowPunct/>
        <w:topLinePunct w:val="0"/>
        <w:autoSpaceDE/>
        <w:autoSpaceDN/>
        <w:bidi w:val="0"/>
        <w:adjustRightInd/>
        <w:spacing w:line="560" w:lineRule="exact"/>
        <w:jc w:val="righ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鸡西市</w:t>
      </w:r>
      <w:r>
        <w:rPr>
          <w:rFonts w:hint="eastAsia" w:eastAsia="仿宋_GB2312" w:cs="Times New Roman"/>
          <w:color w:val="auto"/>
          <w:sz w:val="32"/>
          <w:szCs w:val="32"/>
          <w:lang w:eastAsia="zh-CN"/>
        </w:rPr>
        <w:t>生态</w:t>
      </w:r>
      <w:r>
        <w:rPr>
          <w:rFonts w:ascii="Times New Roman" w:hAnsi="Times New Roman" w:eastAsia="仿宋_GB2312" w:cs="Times New Roman"/>
          <w:color w:val="auto"/>
          <w:sz w:val="32"/>
          <w:szCs w:val="32"/>
        </w:rPr>
        <w:t>环境局</w:t>
      </w:r>
    </w:p>
    <w:p w14:paraId="7B384C65">
      <w:pPr>
        <w:keepNext w:val="0"/>
        <w:keepLines w:val="0"/>
        <w:pageBreakBefore w:val="0"/>
        <w:kinsoku/>
        <w:wordWrap/>
        <w:overflowPunct/>
        <w:topLinePunct w:val="0"/>
        <w:autoSpaceDE/>
        <w:autoSpaceDN/>
        <w:bidi w:val="0"/>
        <w:adjustRightInd/>
        <w:spacing w:line="560" w:lineRule="exact"/>
        <w:jc w:val="right"/>
        <w:textAlignment w:val="auto"/>
        <w:rPr>
          <w:rFonts w:hint="eastAsia"/>
          <w:color w:val="auto"/>
          <w:lang w:val="en-US" w:eastAsia="zh-CN"/>
        </w:rPr>
      </w:pPr>
      <w:r>
        <w:rPr>
          <w:rFonts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highlight w:val="none"/>
        </w:rPr>
        <w:t xml:space="preserve">  202</w:t>
      </w:r>
      <w:r>
        <w:rPr>
          <w:rFonts w:hint="eastAsia"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年</w:t>
      </w:r>
      <w:r>
        <w:rPr>
          <w:rFonts w:hint="eastAsia" w:eastAsia="仿宋_GB2312" w:cs="Times New Roman"/>
          <w:color w:val="auto"/>
          <w:sz w:val="32"/>
          <w:szCs w:val="32"/>
          <w:highlight w:val="none"/>
          <w:lang w:val="en-US" w:eastAsia="zh-CN"/>
        </w:rPr>
        <w:t>8</w:t>
      </w:r>
      <w:r>
        <w:rPr>
          <w:rFonts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日</w:t>
      </w:r>
    </w:p>
    <w:p w14:paraId="574E0E22">
      <w:pPr>
        <w:rPr>
          <w:rFonts w:hint="eastAsia"/>
          <w:lang w:val="en-US" w:eastAsia="zh-CN"/>
        </w:rPr>
      </w:pPr>
    </w:p>
    <w:p w14:paraId="4914407F">
      <w:pPr>
        <w:pStyle w:val="8"/>
        <w:rPr>
          <w:color w:val="auto"/>
        </w:rPr>
      </w:pPr>
    </w:p>
    <w:p w14:paraId="06E93026">
      <w:pPr>
        <w:rPr>
          <w:color w:val="auto"/>
        </w:rPr>
      </w:pPr>
    </w:p>
    <w:p w14:paraId="1A1E123E">
      <w:pPr>
        <w:rPr>
          <w:color w:val="auto"/>
        </w:rPr>
      </w:pPr>
    </w:p>
    <w:p w14:paraId="122E2109">
      <w:pPr>
        <w:rPr>
          <w:color w:val="auto"/>
        </w:rPr>
      </w:pPr>
    </w:p>
    <w:p w14:paraId="1D7A59BA">
      <w:pPr>
        <w:keepNext w:val="0"/>
        <w:keepLines w:val="0"/>
        <w:pageBreakBefore w:val="0"/>
        <w:pBdr>
          <w:top w:val="single" w:color="auto" w:sz="4" w:space="0"/>
          <w:bottom w:val="single" w:color="auto" w:sz="4" w:space="0"/>
        </w:pBdr>
        <w:kinsoku/>
        <w:wordWrap/>
        <w:overflowPunct/>
        <w:topLinePunct w:val="0"/>
        <w:autoSpaceDE/>
        <w:autoSpaceDN/>
        <w:bidi w:val="0"/>
        <w:adjustRightInd/>
        <w:spacing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抄 送：鸡西市生</w:t>
      </w:r>
      <w:r>
        <w:rPr>
          <w:rFonts w:ascii="Times New Roman" w:hAnsi="Times New Roman" w:eastAsia="仿宋_GB2312" w:cs="Times New Roman"/>
          <w:color w:val="auto"/>
          <w:kern w:val="0"/>
          <w:sz w:val="32"/>
          <w:szCs w:val="32"/>
        </w:rPr>
        <w:t>态环境保护综合行政执法局</w:t>
      </w:r>
      <w:r>
        <w:rPr>
          <w:rFonts w:hint="eastAsia" w:eastAsia="仿宋_GB2312" w:cs="Times New Roman"/>
          <w:color w:val="auto"/>
          <w:kern w:val="0"/>
          <w:sz w:val="32"/>
          <w:szCs w:val="32"/>
          <w:lang w:val="en-US" w:eastAsia="zh-CN"/>
        </w:rPr>
        <w:t xml:space="preserve">  </w:t>
      </w:r>
      <w:r>
        <w:rPr>
          <w:rFonts w:ascii="Times New Roman" w:hAnsi="Times New Roman" w:eastAsia="仿宋_GB2312" w:cs="Times New Roman"/>
          <w:color w:val="auto"/>
          <w:sz w:val="32"/>
          <w:szCs w:val="32"/>
        </w:rPr>
        <w:t>鸡西</w:t>
      </w:r>
      <w:r>
        <w:rPr>
          <w:rFonts w:hint="eastAsia" w:eastAsia="仿宋_GB2312" w:cs="Times New Roman"/>
          <w:color w:val="auto"/>
          <w:sz w:val="32"/>
          <w:szCs w:val="32"/>
          <w:lang w:val="en-US" w:eastAsia="zh-CN"/>
        </w:rPr>
        <w:t>市密山</w:t>
      </w:r>
      <w:r>
        <w:rPr>
          <w:rFonts w:ascii="Times New Roman" w:hAnsi="Times New Roman" w:eastAsia="仿宋_GB2312" w:cs="Times New Roman"/>
          <w:color w:val="auto"/>
          <w:sz w:val="32"/>
          <w:szCs w:val="32"/>
        </w:rPr>
        <w:t>生态环境局</w:t>
      </w:r>
    </w:p>
    <w:p w14:paraId="4B7D146D">
      <w:pPr>
        <w:keepNext w:val="0"/>
        <w:keepLines w:val="0"/>
        <w:pageBreakBefore w:val="0"/>
        <w:pBdr>
          <w:bottom w:val="single" w:color="auto" w:sz="4" w:space="0"/>
        </w:pBdr>
        <w:kinsoku/>
        <w:wordWrap/>
        <w:overflowPunct/>
        <w:topLinePunct w:val="0"/>
        <w:autoSpaceDE/>
        <w:autoSpaceDN/>
        <w:bidi w:val="0"/>
        <w:adjustRightInd/>
        <w:spacing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鸡西市生态环境局办公室</w:t>
      </w:r>
      <w:r>
        <w:rPr>
          <w:rFonts w:hint="eastAsia" w:eastAsia="仿宋_GB2312" w:cs="Times New Roman"/>
          <w:color w:val="auto"/>
          <w:sz w:val="32"/>
          <w:szCs w:val="32"/>
          <w:lang w:eastAsia="zh-CN"/>
        </w:rPr>
        <w:t>（法规科）</w:t>
      </w:r>
      <w:r>
        <w:rPr>
          <w:rFonts w:ascii="Times New Roman" w:hAnsi="Times New Roman" w:eastAsia="仿宋_GB2312" w:cs="Times New Roman"/>
          <w:color w:val="auto"/>
          <w:sz w:val="32"/>
          <w:szCs w:val="32"/>
          <w:highlight w:val="none"/>
        </w:rPr>
        <w:t xml:space="preserve"> 202</w:t>
      </w:r>
      <w:r>
        <w:rPr>
          <w:rFonts w:hint="eastAsia"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年</w:t>
      </w:r>
      <w:r>
        <w:rPr>
          <w:rFonts w:hint="eastAsia" w:eastAsia="仿宋_GB2312" w:cs="Times New Roman"/>
          <w:color w:val="auto"/>
          <w:sz w:val="32"/>
          <w:szCs w:val="32"/>
          <w:highlight w:val="none"/>
          <w:lang w:val="en-US" w:eastAsia="zh-CN"/>
        </w:rPr>
        <w:t>8</w:t>
      </w:r>
      <w:r>
        <w:rPr>
          <w:rFonts w:ascii="Times New Roman" w:hAnsi="Times New Roman" w:eastAsia="仿宋_GB2312" w:cs="Times New Roman"/>
          <w:color w:val="auto"/>
          <w:kern w:val="0"/>
          <w:sz w:val="32"/>
          <w:szCs w:val="32"/>
          <w:highlight w:val="none"/>
        </w:rPr>
        <w:t>月</w:t>
      </w:r>
      <w:r>
        <w:rPr>
          <w:rFonts w:hint="eastAsia" w:eastAsia="仿宋_GB2312" w:cs="Times New Roman"/>
          <w:color w:val="auto"/>
          <w:kern w:val="0"/>
          <w:sz w:val="32"/>
          <w:szCs w:val="32"/>
          <w:highlight w:val="none"/>
          <w:lang w:val="en-US" w:eastAsia="zh-CN"/>
        </w:rPr>
        <w:t>5</w:t>
      </w:r>
      <w:r>
        <w:rPr>
          <w:rFonts w:ascii="Times New Roman" w:hAnsi="Times New Roman" w:eastAsia="仿宋_GB2312" w:cs="Times New Roman"/>
          <w:color w:val="auto"/>
          <w:kern w:val="0"/>
          <w:sz w:val="32"/>
          <w:szCs w:val="32"/>
          <w:highlight w:val="none"/>
        </w:rPr>
        <w:t>日</w:t>
      </w:r>
      <w:r>
        <w:rPr>
          <w:rFonts w:ascii="Times New Roman" w:hAnsi="Times New Roman" w:eastAsia="仿宋_GB2312" w:cs="Times New Roman"/>
          <w:color w:val="auto"/>
          <w:sz w:val="32"/>
          <w:szCs w:val="32"/>
        </w:rPr>
        <w:t>印发</w:t>
      </w:r>
    </w:p>
    <w:p w14:paraId="4A77EBBE">
      <w:pPr>
        <w:keepNext w:val="0"/>
        <w:keepLines w:val="0"/>
        <w:pageBreakBefore w:val="0"/>
        <w:kinsoku/>
        <w:wordWrap/>
        <w:overflowPunct/>
        <w:topLinePunct w:val="0"/>
        <w:autoSpaceDE/>
        <w:autoSpaceDN/>
        <w:bidi w:val="0"/>
        <w:adjustRightInd/>
        <w:spacing w:line="560" w:lineRule="exact"/>
        <w:jc w:val="righ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共印8份</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Lucida Sans">
    <w:altName w:val="Noto Naskh Arabic"/>
    <w:panose1 w:val="020B0602040502020204"/>
    <w:charset w:val="00"/>
    <w:family w:val="auto"/>
    <w:pitch w:val="default"/>
    <w:sig w:usb0="00000000" w:usb1="00000000" w:usb2="00000008" w:usb3="00000000" w:csb0="6000009F" w:csb1="FFFF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noto sans thai">
    <w:panose1 w:val="020B0502040504020204"/>
    <w:charset w:val="00"/>
    <w:family w:val="auto"/>
    <w:pitch w:val="default"/>
    <w:sig w:usb0="81000063" w:usb1="00002000" w:usb2="00000000" w:usb3="00000000" w:csb0="00010000" w:csb1="00000000"/>
  </w:font>
  <w:font w:name="Noto Naskh Arabic">
    <w:panose1 w:val="020B0502040504020204"/>
    <w:charset w:val="00"/>
    <w:family w:val="auto"/>
    <w:pitch w:val="default"/>
    <w:sig w:usb0="80002003" w:usb1="80002000" w:usb2="00000008" w:usb3="00000000" w:csb0="00000041" w:csb1="0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1FC1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76200" cy="131445"/>
                      </a:xfrm>
                      <a:prstGeom prst="rect">
                        <a:avLst/>
                      </a:prstGeom>
                      <a:noFill/>
                      <a:ln w="9525" cap="flat" cmpd="sng">
                        <a:noFill/>
                        <a:prstDash val="solid"/>
                        <a:round/>
                      </a:ln>
                    </wps:spPr>
                    <wps:txbx>
                      <w:txbxContent>
                        <w:p w14:paraId="56F1B40F">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ntpqi0AAAAAMBAAAPAAAAAAAAAAEAIAAAACIAAABkcnMvZG93bnJldi54&#10;bWxQSwECFAAUAAAACACHTuJA3iJrBQICAADzAwAADgAAAAAAAAABACAAAAAfAQAAZHJzL2Uyb0Rv&#10;Yy54bWxQSwUGAAAAAAYABgBZAQAAkwUAAAAA&#10;">
              <v:fill on="f" focussize="0,0"/>
              <v:stroke on="f" joinstyle="round"/>
              <v:imagedata o:title=""/>
              <o:lock v:ext="edit" aspectratio="f"/>
              <v:textbox inset="0mm,0mm,0mm,0mm" style="mso-fit-shape-to-text:t;">
                <w:txbxContent>
                  <w:p w14:paraId="56F1B40F">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TZkYTY0YzY2NWYyNzQ0NTEzMmJlMWQ5ZTU0MzcwMTEifQ=="/>
  </w:docVars>
  <w:rsids>
    <w:rsidRoot w:val="00000000"/>
    <w:rsid w:val="02263969"/>
    <w:rsid w:val="02F43AD0"/>
    <w:rsid w:val="05A54A82"/>
    <w:rsid w:val="075A66EE"/>
    <w:rsid w:val="0A336C6B"/>
    <w:rsid w:val="0DC21F2C"/>
    <w:rsid w:val="16F14B54"/>
    <w:rsid w:val="33A35C8E"/>
    <w:rsid w:val="39FD86F4"/>
    <w:rsid w:val="3F8FAF71"/>
    <w:rsid w:val="435726B7"/>
    <w:rsid w:val="4DEF61A9"/>
    <w:rsid w:val="529D175C"/>
    <w:rsid w:val="5306001F"/>
    <w:rsid w:val="537539C8"/>
    <w:rsid w:val="552F182F"/>
    <w:rsid w:val="56660C90"/>
    <w:rsid w:val="58503823"/>
    <w:rsid w:val="593F5FC1"/>
    <w:rsid w:val="5D84C3BA"/>
    <w:rsid w:val="5F1A029D"/>
    <w:rsid w:val="5FDF80FE"/>
    <w:rsid w:val="5FFC27BC"/>
    <w:rsid w:val="5FFEF8A4"/>
    <w:rsid w:val="67F166D5"/>
    <w:rsid w:val="69DF506C"/>
    <w:rsid w:val="6BEFF16C"/>
    <w:rsid w:val="6F37008C"/>
    <w:rsid w:val="74FBD368"/>
    <w:rsid w:val="77DD6CCF"/>
    <w:rsid w:val="7A5E0294"/>
    <w:rsid w:val="7BCD6656"/>
    <w:rsid w:val="7CE610BE"/>
    <w:rsid w:val="7F7BD0E6"/>
    <w:rsid w:val="7F7DD7EE"/>
    <w:rsid w:val="7F9F05AA"/>
    <w:rsid w:val="7FDA9EEF"/>
    <w:rsid w:val="7FFC1252"/>
    <w:rsid w:val="9BDF93AE"/>
    <w:rsid w:val="BBFA658F"/>
    <w:rsid w:val="BF7EE7DE"/>
    <w:rsid w:val="BFEFEAD6"/>
    <w:rsid w:val="CF9F5861"/>
    <w:rsid w:val="DAF387FD"/>
    <w:rsid w:val="DF496B4B"/>
    <w:rsid w:val="DFE95D63"/>
    <w:rsid w:val="E1FFCCC6"/>
    <w:rsid w:val="EBFCA511"/>
    <w:rsid w:val="EEEF8441"/>
    <w:rsid w:val="EF7FE7C2"/>
    <w:rsid w:val="F7BDF0C9"/>
    <w:rsid w:val="F7F4CBAC"/>
    <w:rsid w:val="F9A73FD9"/>
    <w:rsid w:val="FBFE3598"/>
    <w:rsid w:val="FCDE2B61"/>
    <w:rsid w:val="FDD53742"/>
    <w:rsid w:val="FDE558D2"/>
    <w:rsid w:val="FFBF9B70"/>
    <w:rsid w:val="FFF66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20"/>
    <w:qFormat/>
    <w:uiPriority w:val="0"/>
    <w:pPr>
      <w:keepNext/>
      <w:keepLines/>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qFormat/>
    <w:uiPriority w:val="0"/>
    <w:pPr>
      <w:widowControl/>
      <w:snapToGrid w:val="0"/>
      <w:spacing w:before="60" w:after="160" w:line="259" w:lineRule="auto"/>
      <w:ind w:right="113"/>
    </w:pPr>
    <w:rPr>
      <w:kern w:val="0"/>
      <w:sz w:val="18"/>
      <w:szCs w:val="18"/>
    </w:rPr>
  </w:style>
  <w:style w:type="paragraph" w:customStyle="1" w:styleId="7">
    <w:name w:val="Normal (Web)1"/>
    <w:basedOn w:val="1"/>
    <w:next w:val="8"/>
    <w:autoRedefine/>
    <w:qFormat/>
    <w:uiPriority w:val="0"/>
    <w:pPr>
      <w:widowControl/>
    </w:pPr>
    <w:rPr>
      <w:rFonts w:ascii="宋体"/>
      <w:sz w:val="24"/>
      <w:szCs w:val="21"/>
    </w:rPr>
  </w:style>
  <w:style w:type="paragraph" w:customStyle="1" w:styleId="8">
    <w:name w:val="Date1"/>
    <w:basedOn w:val="1"/>
    <w:next w:val="1"/>
    <w:autoRedefine/>
    <w:qFormat/>
    <w:uiPriority w:val="0"/>
    <w:pPr>
      <w:ind w:left="2500" w:leftChars="2500"/>
    </w:pPr>
  </w:style>
  <w:style w:type="paragraph" w:styleId="9">
    <w:name w:val="Body Text Indent"/>
    <w:basedOn w:val="1"/>
    <w:qFormat/>
    <w:uiPriority w:val="0"/>
    <w:pPr>
      <w:spacing w:after="120"/>
      <w:ind w:left="42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widowControl/>
      <w:spacing w:after="100" w:line="276" w:lineRule="auto"/>
      <w:ind w:left="220"/>
      <w:jc w:val="left"/>
    </w:pPr>
    <w:rPr>
      <w:rFonts w:ascii="Calibri" w:hAnsi="Calibri"/>
      <w:kern w:val="0"/>
      <w:sz w:val="22"/>
      <w:szCs w:val="22"/>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5">
    <w:name w:val="Body Text First Indent 2"/>
    <w:basedOn w:val="9"/>
    <w:qFormat/>
    <w:uiPriority w:val="0"/>
    <w:pPr>
      <w:ind w:firstLine="420"/>
    </w:pPr>
  </w:style>
  <w:style w:type="character" w:customStyle="1" w:styleId="18">
    <w:name w:val="heading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7"/>
    <w:link w:val="3"/>
    <w:qFormat/>
    <w:uiPriority w:val="0"/>
    <w:rPr>
      <w:rFonts w:ascii="Times New Roman" w:hAnsi="Times New Roman" w:eastAsia="黑体" w:cs="Times New Roman"/>
      <w:b/>
      <w:bCs/>
      <w:kern w:val="2"/>
      <w:sz w:val="32"/>
      <w:szCs w:val="32"/>
      <w:lang w:val="en-US" w:eastAsia="zh-CN" w:bidi="ar-SA"/>
    </w:rPr>
  </w:style>
  <w:style w:type="character" w:customStyle="1" w:styleId="20">
    <w:name w:val="heading 3 Char"/>
    <w:basedOn w:val="17"/>
    <w:link w:val="4"/>
    <w:qFormat/>
    <w:uiPriority w:val="0"/>
    <w:rPr>
      <w:rFonts w:ascii="Times New Roman" w:hAnsi="Times New Roman" w:eastAsia="宋体" w:cs="Times New Roman"/>
      <w:b/>
      <w:bCs/>
      <w:kern w:val="2"/>
      <w:sz w:val="32"/>
      <w:szCs w:val="32"/>
      <w:lang w:val="en-US" w:eastAsia="zh-CN" w:bidi="ar-SA"/>
    </w:rPr>
  </w:style>
  <w:style w:type="paragraph" w:customStyle="1" w:styleId="21">
    <w:name w:val="报告表  段"/>
    <w:basedOn w:val="1"/>
    <w:qFormat/>
    <w:uiPriority w:val="0"/>
    <w:pPr>
      <w:adjustRightInd w:val="0"/>
      <w:spacing w:line="360" w:lineRule="auto"/>
      <w:ind w:firstLine="505"/>
    </w:pPr>
    <w:rPr>
      <w:rFonts w:ascii="Calibri" w:hAnsi="Calibri" w:cs="宋体"/>
    </w:rPr>
  </w:style>
  <w:style w:type="paragraph" w:styleId="22">
    <w:name w:val="List Paragraph"/>
    <w:basedOn w:val="1"/>
    <w:qFormat/>
    <w:uiPriority w:val="0"/>
    <w:pPr>
      <w:ind w:firstLine="200" w:firstLineChars="200"/>
    </w:pPr>
  </w:style>
  <w:style w:type="paragraph" w:customStyle="1" w:styleId="23">
    <w:name w:val="表格(新)"/>
    <w:basedOn w:val="1"/>
    <w:qFormat/>
    <w:uiPriority w:val="0"/>
    <w:pPr>
      <w:adjustRightInd w:val="0"/>
      <w:snapToGrid w:val="0"/>
      <w:spacing w:line="240" w:lineRule="auto"/>
      <w:ind w:firstLine="0"/>
      <w:jc w:val="center"/>
    </w:pPr>
    <w:rPr>
      <w:rFonts w:hAnsi="宋体" w:eastAsia="宋体"/>
      <w:sz w:val="21"/>
      <w:szCs w:val="21"/>
    </w:rPr>
  </w:style>
  <w:style w:type="paragraph" w:customStyle="1" w:styleId="24">
    <w:name w:val="【表中的文字】"/>
    <w:basedOn w:val="14"/>
    <w:qFormat/>
    <w:uiPriority w:val="0"/>
    <w:pPr>
      <w:wordWrap w:val="0"/>
      <w:adjustRightInd w:val="0"/>
      <w:spacing w:before="0" w:after="0" w:line="240" w:lineRule="auto"/>
      <w:textAlignment w:val="center"/>
      <w:outlineLvl w:val="9"/>
    </w:pPr>
    <w:rPr>
      <w:rFonts w:ascii="Times New Roman" w:hAnsi="Times New Roman"/>
      <w:b w:val="0"/>
      <w:snapToGrid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7F2CE-BBF2-4D92-92F6-E4AE7970AD7F}">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4</Pages>
  <Words>1752</Words>
  <Characters>1842</Characters>
  <Lines>0</Lines>
  <Paragraphs>44</Paragraphs>
  <TotalTime>2</TotalTime>
  <ScaleCrop>false</ScaleCrop>
  <LinksUpToDate>false</LinksUpToDate>
  <CharactersWithSpaces>1909</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2024-08-17T19:25:00Z</dcterms:created>
  <dc:creator>01</dc:creator>
  <cp:lastModifiedBy>greatwall</cp:lastModifiedBy>
  <cp:lastPrinted>2026-08-04T02:01:00Z</cp:lastPrinted>
  <dcterms:modified xsi:type="dcterms:W3CDTF">2026-08-05T17:48:05Z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8C9400756EA184F22712C867274E820B_43</vt:lpwstr>
  </property>
  <property fmtid="{D5CDD505-2E9C-101B-9397-08002B2CF9AE}" pid="4" name="KSOTemplateDocerSaveRecord">
    <vt:lpwstr>eyJoZGlkIjoiMDRiZWY3NTc4NGZlMDk1YmY4MDVkMGU3Njc5M2VmZGYiLCJ1c2VySWQiOiI0MDg1MDQyNTQifQ==</vt:lpwstr>
  </property>
</Properties>
</file>