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F6189">
      <w:pPr>
        <w:pStyle w:val="2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color w:val="auto"/>
        </w:rPr>
      </w:pPr>
    </w:p>
    <w:p w14:paraId="5AC87FD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color w:val="auto"/>
        </w:rPr>
      </w:pPr>
    </w:p>
    <w:p w14:paraId="2752622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color w:val="auto"/>
          <w:highlight w:val="none"/>
        </w:rPr>
      </w:pPr>
    </w:p>
    <w:p w14:paraId="1E19D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鸡环审〔202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0C953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auto"/>
          <w:sz w:val="32"/>
          <w:szCs w:val="32"/>
          <w:shd w:val="clear" w:color="auto" w:fill="auto"/>
        </w:rPr>
      </w:pPr>
    </w:p>
    <w:p w14:paraId="589B8F96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</w:rPr>
        <w:t>关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</w:rPr>
        <w:t>于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  <w:lang w:eastAsia="zh-CN"/>
        </w:rPr>
        <w:t>黑龙江省鸡西市密山市环城河排水防涝治理项目环境影响报告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  <w:lang w:val="en-US" w:eastAsia="zh-CN"/>
        </w:rPr>
        <w:t>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</w:rPr>
        <w:t>的批复</w:t>
      </w:r>
    </w:p>
    <w:p w14:paraId="402BC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 w14:paraId="1DEC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密山市住房和城乡建设局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：</w:t>
      </w:r>
    </w:p>
    <w:p w14:paraId="691F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你单位《关于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申请审批黑龙江省鸡西市密山市环城河排水防涝治理项目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环境影响评价文件的函》及相关材料收悉，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经研究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，批复如下。</w:t>
      </w:r>
    </w:p>
    <w:p w14:paraId="5E23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3B306A02">
      <w:pPr>
        <w:keepNext w:val="0"/>
        <w:keepLines w:val="0"/>
        <w:pageBreakBefore w:val="0"/>
        <w:widowControl w:val="0"/>
        <w:tabs>
          <w:tab w:val="left" w:pos="47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该项目属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建工程，位于黑龙江省鸡西市密山市环城河，起点为长青西路穆北桥，终点为五孔闸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建设内容包括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治理河道6.475km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，修建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岸线防护10.723km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新建管理路7.086km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新建钢坝闸1处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改建连塘涵洞1处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拆除重建过水涵洞1处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改造沿线雨污水排口4处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等。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项目总投资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9993.71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万元，其中环保投资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92.99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万元。</w:t>
      </w:r>
    </w:p>
    <w:p w14:paraId="40B11820">
      <w:pPr>
        <w:keepNext w:val="0"/>
        <w:keepLines w:val="0"/>
        <w:pageBreakBefore w:val="0"/>
        <w:widowControl w:val="0"/>
        <w:tabs>
          <w:tab w:val="left" w:pos="47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该项目在全面落实《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黑龙江省鸡西市密山市环城河排水防涝治理项目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环境影响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报告书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（以下简称《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报告书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和本批复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提出的各项生态环境保护措施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及污染防治措施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，对环境的不利影响可以得到缓解和控制。我局原则同意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报告书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中的环境影响评价总体结论和各项生态环境保护措施。</w:t>
      </w:r>
    </w:p>
    <w:p w14:paraId="17ED8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二、项目建设的主要生态环境影响及保护措施</w:t>
      </w:r>
    </w:p>
    <w:p w14:paraId="7466D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（一）大气环境影响及保护措施。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施工场地设置防风抑尘网，定期洒水降尘，砂石料、 弃土进行密目网苫盖，粉性物料采用封闭车辆运输，河流清淤喷洒除臭剂，施工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期厂界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颗粒物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应符合《大气污染物综合排放标准》（GB16297-1996）要求，氨、硫化氢、臭气浓度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应符合《恶臭污染物排放标准》（GB14554-93）要求。</w:t>
      </w:r>
    </w:p>
    <w:p w14:paraId="2141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（二）水环境影响及保护措施。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施工废水经沉淀后回用于场地洒水降尘，生活污水排入防渗化粪池，定期清掏，外运堆肥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涉水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采取围堰施工方式，严禁废水、弃渣、废料、垃圾等排入水体。</w:t>
      </w:r>
    </w:p>
    <w:p w14:paraId="494CE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（三）声环境影响及保护措施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。项目应合理安排施工时间、运输时段和运输路线，选用低噪声施工机械，采取隔声、减振等降噪措施。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lang w:val="en-US" w:eastAsia="zh-CN"/>
        </w:rPr>
        <w:t>施工过程中加强运输车辆的管理，控制车速、限制鸣笛。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施工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场界噪声</w:t>
      </w:r>
      <w:r>
        <w:rPr>
          <w:rFonts w:hint="eastAsia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排放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应符合《建筑施工噪声排放标准》（GB12523-2025）要求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84D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（四）固体废物环境影响及保护措施。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河道表面清理垃圾收集后运至指定地点处置。清淤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lang w:val="en-US" w:eastAsia="zh-CN"/>
        </w:rPr>
        <w:t>淤泥、弃土送至密山市密山镇新农村三组废弃坑回填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。可回收建筑材料运至废旧物资回收站处置，无法回收利用部分运至市政部门指定地点处置。生活垃圾集中收集交由环卫部门统一处置。</w:t>
      </w:r>
    </w:p>
    <w:p w14:paraId="37A47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（五）生态环境影响及保护措施。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应合理布置临时施工场地，严格控制施工占地和作业范围，减少施工扰动，避免占用、占压、碾压周边植被，严禁惊扰和捕猎野生动物，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施工产生的挖方及时清运，剥离表土集中堆存并做好水土保持措施。施工结束后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及时平整场地，进行生态恢复。</w:t>
      </w:r>
    </w:p>
    <w:p w14:paraId="67EF9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你单位应建立内部生态环境管理制度，明确人员和职责，加强生态环境管理。项目实施必须严格执行环境保护设施与主体工程同时设计、同时施工、同时投产使用的环境保护“三同时”制度。项目建成后，应按规定程序实施竣工环境保护验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45C6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color w:val="auto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报告书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》经批准后，项目的性质、规模、地点或者污染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防治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措施发生重大变动的，应当重新报批该项目的《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报告书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》。自《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报告书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》批复文件批准之日起，如超过5年方决定开工建设的，《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报告书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》应当重新审核。</w:t>
      </w:r>
    </w:p>
    <w:p w14:paraId="53AA9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密山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和批复文件送至鸡西市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密山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 w14:paraId="1FE0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eastAsia="zh-CN"/>
        </w:rPr>
      </w:pPr>
    </w:p>
    <w:p w14:paraId="5AFB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color w:val="auto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</w:t>
      </w:r>
    </w:p>
    <w:p w14:paraId="51BB0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鸡西市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生态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环境局</w:t>
      </w:r>
    </w:p>
    <w:p w14:paraId="1383A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3FA66F95"/>
    <w:p w14:paraId="7A642BEE">
      <w:pPr>
        <w:pStyle w:val="2"/>
      </w:pPr>
    </w:p>
    <w:p w14:paraId="39E13C8F"/>
    <w:p w14:paraId="35960165">
      <w:pPr>
        <w:pStyle w:val="2"/>
      </w:pPr>
    </w:p>
    <w:p w14:paraId="7A9F07EA"/>
    <w:p w14:paraId="1D7A59BA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抄 送：鸡西市生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态环境保护综合行政执法局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鸡西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市密山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生态环境局</w:t>
      </w:r>
    </w:p>
    <w:p w14:paraId="4B7D146D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鸡西市生态环境局办公室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（法规科）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印发</w:t>
      </w:r>
    </w:p>
    <w:p w14:paraId="4A77E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1FC12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6F1B40F"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56F1B40F"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02263969"/>
    <w:rsid w:val="02F43AD0"/>
    <w:rsid w:val="05A54A82"/>
    <w:rsid w:val="075A66EE"/>
    <w:rsid w:val="0A336C6B"/>
    <w:rsid w:val="0DC21F2C"/>
    <w:rsid w:val="137B973B"/>
    <w:rsid w:val="16F14B54"/>
    <w:rsid w:val="1BE7163A"/>
    <w:rsid w:val="1D1162ED"/>
    <w:rsid w:val="2116490E"/>
    <w:rsid w:val="26C3E867"/>
    <w:rsid w:val="2B467CBA"/>
    <w:rsid w:val="2E1C5579"/>
    <w:rsid w:val="32895555"/>
    <w:rsid w:val="3F8FAF71"/>
    <w:rsid w:val="435726B7"/>
    <w:rsid w:val="4DEF61A9"/>
    <w:rsid w:val="529D175C"/>
    <w:rsid w:val="5306001F"/>
    <w:rsid w:val="537539C8"/>
    <w:rsid w:val="552F182F"/>
    <w:rsid w:val="56660C90"/>
    <w:rsid w:val="58503823"/>
    <w:rsid w:val="5B3D3F8A"/>
    <w:rsid w:val="5CA95D7B"/>
    <w:rsid w:val="5F1A029D"/>
    <w:rsid w:val="5FDF80FE"/>
    <w:rsid w:val="630C19DB"/>
    <w:rsid w:val="670F2C7E"/>
    <w:rsid w:val="673D776E"/>
    <w:rsid w:val="67F166D5"/>
    <w:rsid w:val="69DF506C"/>
    <w:rsid w:val="6BE40874"/>
    <w:rsid w:val="6F7D2EAF"/>
    <w:rsid w:val="7223133C"/>
    <w:rsid w:val="779F3DC6"/>
    <w:rsid w:val="7A5E0294"/>
    <w:rsid w:val="7BCD6656"/>
    <w:rsid w:val="7CE610BE"/>
    <w:rsid w:val="7F7BD0E6"/>
    <w:rsid w:val="7FFFCD1C"/>
    <w:rsid w:val="9BDF93AE"/>
    <w:rsid w:val="BA99907C"/>
    <w:rsid w:val="BBFA658F"/>
    <w:rsid w:val="BF7EE7DE"/>
    <w:rsid w:val="CF9F5861"/>
    <w:rsid w:val="D6E79557"/>
    <w:rsid w:val="DAF387FD"/>
    <w:rsid w:val="EBFCA511"/>
    <w:rsid w:val="EEEF8441"/>
    <w:rsid w:val="F7BDF0C9"/>
    <w:rsid w:val="FBFCA951"/>
    <w:rsid w:val="FCDE2B61"/>
    <w:rsid w:val="FFBF9B70"/>
    <w:rsid w:val="FFF6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2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18"/>
    </w:rPr>
  </w:style>
  <w:style w:type="paragraph" w:customStyle="1" w:styleId="8">
    <w:name w:val="Normal (Web)1"/>
    <w:basedOn w:val="1"/>
    <w:next w:val="9"/>
    <w:autoRedefine/>
    <w:qFormat/>
    <w:uiPriority w:val="0"/>
    <w:pPr>
      <w:widowControl/>
    </w:pPr>
    <w:rPr>
      <w:rFonts w:ascii="宋体"/>
      <w:sz w:val="24"/>
      <w:szCs w:val="21"/>
    </w:rPr>
  </w:style>
  <w:style w:type="paragraph" w:customStyle="1" w:styleId="9">
    <w:name w:val="Date1"/>
    <w:basedOn w:val="1"/>
    <w:next w:val="1"/>
    <w:autoRedefine/>
    <w:qFormat/>
    <w:uiPriority w:val="0"/>
    <w:pPr>
      <w:ind w:left="2500" w:leftChars="2500"/>
    </w:pPr>
  </w:style>
  <w:style w:type="paragraph" w:styleId="10">
    <w:name w:val="Body Text Indent"/>
    <w:basedOn w:val="1"/>
    <w:qFormat/>
    <w:uiPriority w:val="0"/>
    <w:pPr>
      <w:spacing w:after="120"/>
      <w:ind w:left="420"/>
    </w:pPr>
  </w:style>
  <w:style w:type="paragraph" w:styleId="11">
    <w:name w:val="Plain Text"/>
    <w:basedOn w:val="1"/>
    <w:next w:val="12"/>
    <w:qFormat/>
    <w:uiPriority w:val="0"/>
    <w:pPr>
      <w:snapToGrid w:val="0"/>
      <w:jc w:val="center"/>
    </w:pPr>
    <w:rPr>
      <w:rFonts w:eastAsia="Times New Roman"/>
      <w:color w:val="000000"/>
      <w:kern w:val="0"/>
      <w:szCs w:val="21"/>
    </w:rPr>
  </w:style>
  <w:style w:type="paragraph" w:customStyle="1" w:styleId="12">
    <w:name w:val="正本"/>
    <w:basedOn w:val="1"/>
    <w:qFormat/>
    <w:uiPriority w:val="0"/>
    <w:pPr>
      <w:adjustRightInd w:val="0"/>
      <w:snapToGrid w:val="0"/>
      <w:ind w:firstLine="200" w:firstLineChars="200"/>
    </w:pPr>
    <w:rPr>
      <w:rFonts w:ascii="宋体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17">
    <w:name w:val="Body Text First Indent 2"/>
    <w:basedOn w:val="10"/>
    <w:qFormat/>
    <w:uiPriority w:val="0"/>
    <w:pPr>
      <w:ind w:firstLine="420"/>
    </w:pPr>
  </w:style>
  <w:style w:type="character" w:customStyle="1" w:styleId="20">
    <w:name w:val="heading 1 Char"/>
    <w:basedOn w:val="1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1">
    <w:name w:val="heading 2 Char"/>
    <w:basedOn w:val="19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heading 3 Char"/>
    <w:basedOn w:val="19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3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24">
    <w:name w:val="List Paragraph"/>
    <w:basedOn w:val="1"/>
    <w:qFormat/>
    <w:uiPriority w:val="0"/>
    <w:pPr>
      <w:ind w:firstLine="200" w:firstLineChars="200"/>
    </w:pPr>
  </w:style>
  <w:style w:type="paragraph" w:customStyle="1" w:styleId="25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  <w:style w:type="paragraph" w:customStyle="1" w:styleId="26">
    <w:name w:val="【表中的文字】"/>
    <w:basedOn w:val="16"/>
    <w:qFormat/>
    <w:uiPriority w:val="0"/>
    <w:pPr>
      <w:wordWrap w:val="0"/>
      <w:adjustRightInd w:val="0"/>
      <w:spacing w:before="0" w:after="0" w:line="240" w:lineRule="auto"/>
      <w:textAlignment w:val="center"/>
      <w:outlineLvl w:val="9"/>
    </w:pPr>
    <w:rPr>
      <w:rFonts w:ascii="Times New Roman" w:hAnsi="Times New Roman"/>
      <w:b w:val="0"/>
      <w:snapToGrid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241f5161-34b0-4ff2-bb5a-69aa93adc9eb</errorID>
      <errorWord xmlns="http://schemas.wps.cn/vas-ai-hub/contract-review">，送至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484DDB9B</paraID>
      <start xmlns="http://schemas.wps.cn/vas-ai-hub/contract-review">52</start>
      <end xmlns="http://schemas.wps.cn/vas-ai-hub/contract-review">55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3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3eb360-fa1f-4723-8702-32193c69fbfd}">
  <ds:schemaRefs/>
</ds:datastoreItem>
</file>

<file path=customXml/itemProps3.xml><?xml version="1.0" encoding="utf-8"?>
<ds:datastoreItem xmlns:ds="http://schemas.openxmlformats.org/officeDocument/2006/customXml" ds:itemID="{C127F2CE-BBF2-4D92-92F6-E4AE7970A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</Pages>
  <Words>1658</Words>
  <Characters>1737</Characters>
  <Lines>0</Lines>
  <Paragraphs>44</Paragraphs>
  <TotalTime>1</TotalTime>
  <ScaleCrop>false</ScaleCrop>
  <LinksUpToDate>false</LinksUpToDate>
  <CharactersWithSpaces>1804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2024-08-15T11:25:00Z</dcterms:created>
  <dc:creator>01</dc:creator>
  <cp:lastModifiedBy>greatwall</cp:lastModifiedBy>
  <cp:lastPrinted>2025-07-26T09:00:00Z</cp:lastPrinted>
  <dcterms:modified xsi:type="dcterms:W3CDTF">2026-07-20T10:54:15Z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9371D7DB2BE3764574B0546A006F849E_43</vt:lpwstr>
  </property>
  <property fmtid="{D5CDD505-2E9C-101B-9397-08002B2CF9AE}" pid="4" name="KSOTemplateDocerSaveRecord">
    <vt:lpwstr>eyJoZGlkIjoiNjE3OGVkN2EyMmY3OGZjNzhjYzM3MWQ0MmY3YzJlNDgiLCJ1c2VySWQiOiIzNjg5Mjk1MTkifQ==</vt:lpwstr>
  </property>
</Properties>
</file>