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B4B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2E28047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13F5C14F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</w:pPr>
    </w:p>
    <w:p w14:paraId="6AD54CE2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4B82D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6B3A5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1D64ED8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val="en-US" w:eastAsia="zh-CN"/>
        </w:rPr>
        <w:t>鸡西市龙广粮食农民专业合作社建设项目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5F46E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EF8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鸡西市龙广粮食农民专业合作社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：</w:t>
      </w:r>
    </w:p>
    <w:p w14:paraId="1A52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你单位《关于申请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鸡西市龙广粮食农民专业合作社建设项目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环境影响评价文件的函》及相关材料收悉，经研究，批复如下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：</w:t>
      </w:r>
    </w:p>
    <w:p w14:paraId="2C55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3EADF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该项目属改扩建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拟建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于黑龙江省鸡西市滴道区兰岭乡兰岭村，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总占地面积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9916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，年烘干玉米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2万吨。项目对现有烘干塔及配套热风炉进行改造。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拆除原有日烘干能力200t/d烘干塔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及4t/h燃煤热风炉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新建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日烘干能力400t/d烘干塔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8t/h燃生物质热风炉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，项目建成后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年烘干玉米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万吨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项目总投资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280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万元，其中环保投资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7.5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3AC9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该项目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在全面落实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《鸡西市龙广粮食农民专业合作社建设项目环境影响报告表》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（以下简称《报告表》）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和本批复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提出的各项生态环境保护措施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中的环境影响评价总体结论和各项生态环境保护措施。</w:t>
      </w:r>
    </w:p>
    <w:p w14:paraId="09B1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34FE3026">
      <w:pPr>
        <w:pStyle w:val="6"/>
        <w:keepNext w:val="0"/>
        <w:keepLines w:val="0"/>
        <w:pageBreakBefore w:val="0"/>
        <w:widowControl/>
        <w:suppressLineNumbers w:val="0"/>
        <w:suppressAutoHyphens w:val="0"/>
        <w:bidi w:val="0"/>
        <w:adjustRightInd/>
        <w:snapToGrid w:val="0"/>
        <w:spacing w:before="0" w:after="0" w:line="560" w:lineRule="exact"/>
        <w:ind w:right="0" w:firstLine="640" w:firstLineChars="200"/>
        <w:contextualSpacing w:val="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eastAsia="方正楷体_GBK" w:cs="方正楷体_GBK"/>
          <w:sz w:val="32"/>
          <w:szCs w:val="32"/>
        </w:rPr>
        <w:t>（一）施工期环境影响及保护措施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eastAsia="仿宋_GB2312" w:cs="仿宋_GB2312"/>
          <w:sz w:val="32"/>
          <w:szCs w:val="32"/>
        </w:rPr>
        <w:t>运输车辆加盖</w:t>
      </w:r>
      <w:r>
        <w:rPr>
          <w:rFonts w:hint="eastAsia" w:eastAsia="仿宋_GB2312" w:cs="仿宋_GB2312"/>
          <w:sz w:val="32"/>
          <w:szCs w:val="32"/>
          <w:lang w:eastAsia="zh-CN"/>
        </w:rPr>
        <w:t>篷</w:t>
      </w:r>
      <w:r>
        <w:rPr>
          <w:rFonts w:hint="eastAsia" w:eastAsia="仿宋_GB2312" w:cs="仿宋_GB2312"/>
          <w:sz w:val="32"/>
          <w:szCs w:val="32"/>
        </w:rPr>
        <w:t>布，设车辆清洗池</w:t>
      </w:r>
      <w:r>
        <w:rPr>
          <w:rFonts w:hint="eastAsia" w:eastAsia="仿宋_GB2312" w:cs="仿宋_GB2312"/>
          <w:sz w:val="32"/>
          <w:szCs w:val="32"/>
          <w:lang w:eastAsia="zh-CN"/>
        </w:rPr>
        <w:t>防止扬尘</w:t>
      </w:r>
      <w:r>
        <w:rPr>
          <w:rFonts w:hint="eastAsia" w:eastAsia="仿宋_GB2312" w:cs="仿宋_GB2312"/>
          <w:sz w:val="32"/>
          <w:szCs w:val="32"/>
        </w:rPr>
        <w:t>，施工期厂界颗粒物排放浓度应符合《大气污染物综合排放标准》（GB16297-1996）表2中无组织排放标准要求。项目</w:t>
      </w:r>
      <w:r>
        <w:rPr>
          <w:rFonts w:eastAsia="仿宋_GB2312" w:cs="仿宋_GB2312"/>
          <w:sz w:val="32"/>
          <w:szCs w:val="32"/>
        </w:rPr>
        <w:t>施工期</w:t>
      </w:r>
      <w:r>
        <w:rPr>
          <w:rFonts w:hint="eastAsia" w:eastAsia="仿宋_GB2312" w:cs="仿宋_GB2312"/>
          <w:sz w:val="32"/>
          <w:szCs w:val="32"/>
        </w:rPr>
        <w:t>生活污水排入防渗旱厕，定期清掏，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外运堆肥</w:t>
      </w:r>
      <w:r>
        <w:rPr>
          <w:rFonts w:hint="eastAsia" w:eastAsia="仿宋_GB2312" w:cs="仿宋_GB2312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sz w:val="32"/>
          <w:szCs w:val="32"/>
          <w:highlight w:val="none"/>
        </w:rPr>
        <w:t>施工废水经沉淀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后用于场地洒水降尘</w:t>
      </w:r>
      <w:r>
        <w:rPr>
          <w:rFonts w:hint="eastAsia" w:eastAsia="仿宋_GB2312" w:cs="仿宋_GB2312"/>
          <w:sz w:val="32"/>
          <w:szCs w:val="32"/>
          <w:highlight w:val="none"/>
        </w:rPr>
        <w:t>。</w:t>
      </w:r>
      <w:r>
        <w:rPr>
          <w:rFonts w:hint="eastAsia" w:eastAsia="仿宋_GB2312" w:cs="仿宋_GB2312"/>
          <w:sz w:val="32"/>
          <w:szCs w:val="32"/>
        </w:rPr>
        <w:t>选用低噪声</w:t>
      </w:r>
      <w:r>
        <w:rPr>
          <w:rFonts w:hint="eastAsia" w:eastAsia="仿宋_GB2312" w:cs="仿宋_GB2312"/>
          <w:sz w:val="32"/>
          <w:szCs w:val="32"/>
          <w:lang w:eastAsia="zh-CN"/>
        </w:rPr>
        <w:t>设备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hint="eastAsia" w:eastAsia="仿宋_GB2312" w:cs="仿宋_GB2312"/>
          <w:sz w:val="32"/>
          <w:szCs w:val="32"/>
          <w:lang w:eastAsia="zh-CN"/>
        </w:rPr>
        <w:t>安装</w:t>
      </w:r>
      <w:r>
        <w:rPr>
          <w:rFonts w:hint="eastAsia" w:eastAsia="仿宋_GB2312" w:cs="仿宋_GB2312"/>
          <w:sz w:val="32"/>
          <w:szCs w:val="32"/>
        </w:rPr>
        <w:t>隔声屏障，合理安排施工时间，噪声应符合《建筑施工场界环境噪声排放标准》（GB12523-2011）标准要求。建筑垃圾集中堆放，定时清运送建筑废渣专用堆放场</w:t>
      </w:r>
      <w:r>
        <w:rPr>
          <w:rFonts w:hint="eastAsia" w:eastAsia="仿宋_GB2312" w:cs="仿宋_GB2312"/>
          <w:sz w:val="32"/>
          <w:szCs w:val="32"/>
          <w:lang w:eastAsia="zh-CN"/>
        </w:rPr>
        <w:t>；施工产生废料回收利用，由废物收购站处理；生活垃圾集中收集后交由市政部门处理。</w:t>
      </w:r>
    </w:p>
    <w:p w14:paraId="1FEC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热风炉烟气经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布袋除尘器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处理后通过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m排气筒排放，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SO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符合《工业炉窑大气污染物排放标准》（GB9078-1996）中的表4中的二级标准现值要求，颗粒物排放浓度及烟气黑度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符合《工业炉窑大气污染物排放标准》（GB9078-1996）中的表2中的二级标准现值要求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。项目原料输送应全封闭处理，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清粮粉尘经设备自带袋式除尘器处理后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无组织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烘干塔内部自带重力沉降室，底部四周设置防尘挡板，定期洒水抑尘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厂界颗粒物排放浓度应符合《大气污染物综合排放标准》（GB16297-1996）表2中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无组织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排放浓度限值要求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DCE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（三）水环境影响及</w:t>
      </w:r>
      <w:r>
        <w:rPr>
          <w:rFonts w:ascii="方正楷体_GBK" w:hAnsi="方正楷体_GBK" w:eastAsia="方正楷体_GBK" w:cs="方正楷体_GBK"/>
          <w:sz w:val="32"/>
          <w:szCs w:val="32"/>
          <w:lang w:val="en-US" w:eastAsia="zh-CN"/>
        </w:rPr>
        <w:t>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新增生活污水排入防渗旱厕，定期清掏，外运堆肥，不外排。项目应严格落实地下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水保护措施，危险废物贮存点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采取重点防渗，防渗层为至少2mm厚的防渗人工材料，防渗系数≤10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地面与裙脚表面防渗处理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；防渗旱厕采取一般防渗（等效黏土防渗层Mb≥1.5m，渗透系数≤10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-7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cm/s），其他区域采取简单防渗，采用水泥硬化。</w:t>
      </w:r>
    </w:p>
    <w:p w14:paraId="45357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）声环境影响及保护措施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选用低噪声设备，通过减振、消声、隔声等措施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《工业企业厂界环境噪声排放标准》（GB12348-2008）中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类标准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限值要求。</w:t>
      </w:r>
    </w:p>
    <w:p w14:paraId="4AE7F9A7">
      <w:pPr>
        <w:pStyle w:val="2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ascii="仿宋_GB2312" w:hAnsi="宋体" w:eastAsia="仿宋_GB2312" w:cs="仿宋_GB2312"/>
          <w:color w:val="auto"/>
          <w:sz w:val="32"/>
          <w:szCs w:val="32"/>
          <w:lang w:eastAsia="zh-CN"/>
        </w:rPr>
        <w:t>初清杂质</w:t>
      </w:r>
      <w:r>
        <w:rPr>
          <w:rFonts w:ascii="仿宋_GB2312" w:hAnsi="宋体" w:eastAsia="仿宋_GB2312" w:cs="仿宋_GB2312"/>
          <w:color w:val="auto"/>
          <w:sz w:val="32"/>
          <w:szCs w:val="32"/>
          <w:lang w:val="en-US" w:eastAsia="zh-CN"/>
        </w:rPr>
        <w:t>及输送装卸、筛分、烘干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粉尘集中收集，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外售砖厂综合利用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热风炉布袋除尘器收尘及热风炉炉渣，集中收集袋装存储于灰渣间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，定期外售综合利用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生活垃圾由市政环卫部门统一清运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废机油、废弃含油抹布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手套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集中收集暂存于危废贮存点，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定期交由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有资质单位处置。</w:t>
      </w:r>
    </w:p>
    <w:p w14:paraId="4EEC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ascii="方正楷体_GBK" w:hAnsi="方正楷体_GBK" w:eastAsia="方正楷体_GBK" w:cs="方正楷体_GBK"/>
          <w:sz w:val="32"/>
          <w:szCs w:val="32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668F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F3F7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报告表》经批准后，项目的性质、规模、地点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采用的生产工艺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或者防治污染的措施发生重大变动的，应当重新报批该项目的《报告表》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自《报告表》批复文件批准之日起，如超过5年方决定开工建设的，《报告表》应当重新审核。</w:t>
      </w:r>
    </w:p>
    <w:p w14:paraId="6C06E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滴道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滴道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35082AC8">
      <w:pPr>
        <w:pStyle w:val="12"/>
        <w:keepNext w:val="0"/>
        <w:keepLines w:val="0"/>
        <w:pageBreakBefore w:val="0"/>
        <w:widowControl/>
        <w:suppressLineNumbers w:val="0"/>
        <w:suppressAutoHyphens w:val="0"/>
        <w:ind w:left="0" w:firstLine="0"/>
      </w:pPr>
    </w:p>
    <w:p w14:paraId="12CED590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262B973B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ind w:left="0" w:firstLine="0"/>
        <w:jc w:val="left"/>
      </w:pPr>
    </w:p>
    <w:p w14:paraId="2A87F23F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jc w:val="both"/>
      </w:pPr>
    </w:p>
    <w:p w14:paraId="43D30893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jc w:val="left"/>
      </w:pPr>
    </w:p>
    <w:p w14:paraId="4FC96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6954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F157DE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</w:pPr>
    </w:p>
    <w:p w14:paraId="6DA2B99B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821A1A2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0AF1FADB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FD66F39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B79E2E3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AECDE67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AE8F1BA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74884D38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7EAEA23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6A42ED6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0F9386F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3AD497C9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4FFB1375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市滴道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4EB05425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0AAD0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5D38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B8E24A3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B8E24A3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FDDF6A8"/>
    <w:rsid w:val="1D77C2F4"/>
    <w:rsid w:val="27DEC557"/>
    <w:rsid w:val="57FBCC74"/>
    <w:rsid w:val="5BADBA45"/>
    <w:rsid w:val="5EFBFC87"/>
    <w:rsid w:val="5FFC743B"/>
    <w:rsid w:val="69935FDA"/>
    <w:rsid w:val="6D730274"/>
    <w:rsid w:val="6F5FBA75"/>
    <w:rsid w:val="6FFF503F"/>
    <w:rsid w:val="74FF865C"/>
    <w:rsid w:val="7DF51CDD"/>
    <w:rsid w:val="7F79EF99"/>
    <w:rsid w:val="7FEFD596"/>
    <w:rsid w:val="93774A7D"/>
    <w:rsid w:val="9AEFB680"/>
    <w:rsid w:val="A5F92B1E"/>
    <w:rsid w:val="BAF34CF6"/>
    <w:rsid w:val="CBE798B7"/>
    <w:rsid w:val="CFFF270C"/>
    <w:rsid w:val="DCC7BCE1"/>
    <w:rsid w:val="DF7E4EAF"/>
    <w:rsid w:val="E9FE8BE4"/>
    <w:rsid w:val="EDD7E33C"/>
    <w:rsid w:val="EDF7D18D"/>
    <w:rsid w:val="EEDAC919"/>
    <w:rsid w:val="F2DC3780"/>
    <w:rsid w:val="F7EFB622"/>
    <w:rsid w:val="FAAEF1A0"/>
    <w:rsid w:val="FBEFF645"/>
    <w:rsid w:val="FBFEF4D5"/>
    <w:rsid w:val="FCFECCF1"/>
    <w:rsid w:val="FEF9B096"/>
    <w:rsid w:val="FF70A91E"/>
    <w:rsid w:val="FFD75699"/>
    <w:rsid w:val="FFFBD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18"/>
    </w:rPr>
  </w:style>
  <w:style w:type="paragraph" w:customStyle="1" w:styleId="7">
    <w:name w:val="Normal (Web)1"/>
    <w:basedOn w:val="1"/>
    <w:next w:val="8"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8">
    <w:name w:val="Date1"/>
    <w:basedOn w:val="1"/>
    <w:next w:val="1"/>
    <w:qFormat/>
    <w:uiPriority w:val="0"/>
    <w:pPr>
      <w:ind w:left="2500" w:leftChars="2500"/>
    </w:pPr>
  </w:style>
  <w:style w:type="paragraph" w:styleId="9">
    <w:name w:val="Body Text Indent"/>
    <w:basedOn w:val="1"/>
    <w:qFormat/>
    <w:uiPriority w:val="0"/>
    <w:pPr>
      <w:spacing w:after="120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qFormat/>
    <w:uiPriority w:val="0"/>
    <w:pPr>
      <w:adjustRightInd w:val="0"/>
      <w:snapToGrid w:val="0"/>
      <w:spacing w:line="480" w:lineRule="exact"/>
      <w:ind w:firstLine="560" w:firstLineChars="200"/>
    </w:pPr>
    <w:rPr>
      <w:rFonts w:ascii="仿宋_GB2312" w:eastAsia="仿宋_GB2312"/>
      <w:color w:val="000000"/>
      <w:sz w:val="28"/>
      <w:szCs w:val="28"/>
    </w:rPr>
  </w:style>
  <w:style w:type="paragraph" w:styleId="15">
    <w:name w:val="Body Text First Indent 2"/>
    <w:basedOn w:val="9"/>
    <w:qFormat/>
    <w:uiPriority w:val="0"/>
    <w:pPr>
      <w:ind w:firstLine="420"/>
    </w:pPr>
  </w:style>
  <w:style w:type="character" w:customStyle="1" w:styleId="18">
    <w:name w:val="heading 1 Char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9">
    <w:name w:val="heading 2 Char"/>
    <w:basedOn w:val="17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heading 3 Char"/>
    <w:basedOn w:val="1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2">
    <w:name w:val="List Paragraph"/>
    <w:basedOn w:val="1"/>
    <w:qFormat/>
    <w:uiPriority w:val="0"/>
    <w:pPr>
      <w:ind w:firstLine="200" w:firstLineChars="200"/>
    </w:pPr>
  </w:style>
  <w:style w:type="paragraph" w:customStyle="1" w:styleId="23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4">
    <w:name w:val="BodyText"/>
    <w:basedOn w:val="1"/>
    <w:qFormat/>
    <w:uiPriority w:val="0"/>
    <w:pPr>
      <w:spacing w:line="560" w:lineRule="exact"/>
      <w:textAlignment w:val="baseline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1453</Characters>
  <Lines>0</Lines>
  <Paragraphs>43</Paragraphs>
  <TotalTime>3</TotalTime>
  <ScaleCrop>false</ScaleCrop>
  <LinksUpToDate>false</LinksUpToDate>
  <CharactersWithSpaces>1938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2024-08-12T19:25:00Z</dcterms:created>
  <dc:creator>01</dc:creator>
  <cp:lastModifiedBy>WPS_1742558756</cp:lastModifiedBy>
  <cp:lastPrinted>2025-01-23T00:41:00Z</cp:lastPrinted>
  <dcterms:modified xsi:type="dcterms:W3CDTF">2025-10-24T11:04:11Z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F3952D14F5CC6D374412C8678C7C8EEC_43</vt:lpwstr>
  </property>
</Properties>
</file>