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8FC9B">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27FFDDB6">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637FD2C2">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2F0BD113">
      <w:pPr>
        <w:keepNext w:val="0"/>
        <w:keepLines w:val="0"/>
        <w:pageBreakBefore w:val="0"/>
        <w:kinsoku/>
        <w:wordWrap/>
        <w:overflowPunct/>
        <w:topLinePunct w:val="0"/>
        <w:bidi w:val="0"/>
        <w:spacing w:line="560" w:lineRule="exact"/>
        <w:ind w:left="0" w:firstLine="640" w:firstLineChars="200"/>
        <w:jc w:val="righ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鸡环审〔202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55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w:t>
      </w:r>
    </w:p>
    <w:p w14:paraId="099A50B6">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p>
    <w:p w14:paraId="56807E7A">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0" w:firstLineChars="0"/>
        <w:jc w:val="center"/>
        <w:textAlignment w:val="auto"/>
        <w:rPr>
          <w:rFonts w:hint="eastAsia" w:ascii="方正小标宋_GBK" w:hAnsi="方正小标宋_GBK" w:eastAsia="方正小标宋_GBK" w:cs="方正小标宋_GBK"/>
          <w:color w:val="000000" w:themeColor="text1"/>
          <w:spacing w:val="-6"/>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6"/>
          <w:sz w:val="44"/>
          <w:szCs w:val="44"/>
          <w:highlight w:val="none"/>
          <w14:textFill>
            <w14:solidFill>
              <w14:schemeClr w14:val="tx1"/>
            </w14:solidFill>
          </w14:textFill>
        </w:rPr>
        <w:t>关</w:t>
      </w:r>
      <w:r>
        <w:rPr>
          <w:rFonts w:hint="eastAsia" w:ascii="方正小标宋_GBK" w:hAnsi="方正小标宋_GBK" w:eastAsia="方正小标宋_GBK" w:cs="方正小标宋_GBK"/>
          <w:color w:val="000000" w:themeColor="text1"/>
          <w:spacing w:val="-6"/>
          <w:kern w:val="2"/>
          <w:sz w:val="44"/>
          <w:szCs w:val="44"/>
          <w:highlight w:val="none"/>
          <w14:textFill>
            <w14:solidFill>
              <w14:schemeClr w14:val="tx1"/>
            </w14:solidFill>
          </w14:textFill>
        </w:rPr>
        <w:t>于鸡西市石墨产业“揭榜挂帅”科技攻关工程化转化暨改扩建项目</w:t>
      </w:r>
      <w:r>
        <w:rPr>
          <w:rFonts w:hint="eastAsia" w:ascii="方正小标宋_GBK" w:hAnsi="方正小标宋_GBK" w:eastAsia="方正小标宋_GBK" w:cs="方正小标宋_GBK"/>
          <w:color w:val="000000" w:themeColor="text1"/>
          <w:spacing w:val="-6"/>
          <w:sz w:val="44"/>
          <w:szCs w:val="44"/>
          <w:highlight w:val="none"/>
          <w14:textFill>
            <w14:solidFill>
              <w14:schemeClr w14:val="tx1"/>
            </w14:solidFill>
          </w14:textFill>
        </w:rPr>
        <w:t>环境影响</w:t>
      </w:r>
    </w:p>
    <w:p w14:paraId="1B3E901A">
      <w:pPr>
        <w:pStyle w:val="7"/>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0" w:firstLineChars="0"/>
        <w:jc w:val="center"/>
        <w:textAlignment w:val="auto"/>
        <w:rPr>
          <w:rFonts w:hint="eastAsia" w:ascii="方正小标宋_GBK" w:hAnsi="方正小标宋_GBK" w:eastAsia="方正小标宋_GBK" w:cs="方正小标宋_GBK"/>
          <w:color w:val="000000" w:themeColor="text1"/>
          <w:spacing w:val="-6"/>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6"/>
          <w:sz w:val="44"/>
          <w:szCs w:val="44"/>
          <w:highlight w:val="none"/>
          <w14:textFill>
            <w14:solidFill>
              <w14:schemeClr w14:val="tx1"/>
            </w14:solidFill>
          </w14:textFill>
        </w:rPr>
        <w:t>报告</w:t>
      </w:r>
      <w:r>
        <w:rPr>
          <w:rFonts w:hint="eastAsia" w:ascii="方正小标宋_GBK" w:hAnsi="方正小标宋_GBK" w:eastAsia="方正小标宋_GBK" w:cs="方正小标宋_GBK"/>
          <w:color w:val="000000" w:themeColor="text1"/>
          <w:spacing w:val="-6"/>
          <w:sz w:val="44"/>
          <w:szCs w:val="44"/>
          <w:highlight w:val="none"/>
          <w:lang w:val="en-US" w:eastAsia="zh-CN"/>
          <w14:textFill>
            <w14:solidFill>
              <w14:schemeClr w14:val="tx1"/>
            </w14:solidFill>
          </w14:textFill>
        </w:rPr>
        <w:t>表</w:t>
      </w:r>
      <w:r>
        <w:rPr>
          <w:rFonts w:hint="eastAsia" w:ascii="方正小标宋_GBK" w:hAnsi="方正小标宋_GBK" w:eastAsia="方正小标宋_GBK" w:cs="方正小标宋_GBK"/>
          <w:color w:val="000000" w:themeColor="text1"/>
          <w:spacing w:val="-6"/>
          <w:sz w:val="44"/>
          <w:szCs w:val="44"/>
          <w:highlight w:val="none"/>
          <w14:textFill>
            <w14:solidFill>
              <w14:schemeClr w14:val="tx1"/>
            </w14:solidFill>
          </w14:textFill>
        </w:rPr>
        <w:t>的批复</w:t>
      </w:r>
    </w:p>
    <w:p w14:paraId="4D8F32D2">
      <w:pPr>
        <w:keepNext w:val="0"/>
        <w:keepLines w:val="0"/>
        <w:pageBreakBefore w:val="0"/>
        <w:kinsoku/>
        <w:wordWrap/>
        <w:overflowPunct/>
        <w:topLinePunct w:val="0"/>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14:paraId="30FE141C">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黑龙江省广盛达新材料科技有限公司：</w:t>
      </w:r>
    </w:p>
    <w:p w14:paraId="350B17F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你单位《关于申请审批鸡西市石墨产业“揭榜挂帅”科技攻关工程化转化暨改扩建项目</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环境影响评价文件的函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》及相关材料收悉</w:t>
      </w:r>
      <w:r>
        <w:rPr>
          <w:rFonts w:hint="eastAsia"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经研究，批复如下。</w:t>
      </w:r>
    </w:p>
    <w:p w14:paraId="39F67CB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一、项目基本情况</w:t>
      </w:r>
    </w:p>
    <w:p w14:paraId="072488C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该项目属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改扩建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工程，</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于鸡西市麻山区团结委20组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黑龙江省广盛达新材料科技有限公司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现有厂区</w:t>
      </w:r>
      <w:r>
        <w:rPr>
          <w:rFonts w:hint="eastAsia" w:eastAsia="仿宋_GB2312" w:cs="Times New Roman"/>
          <w:color w:val="000000" w:themeColor="text1"/>
          <w:sz w:val="32"/>
          <w:szCs w:val="32"/>
          <w:highlight w:val="none"/>
          <w:lang w:eastAsia="zh-CN"/>
          <w14:textFill>
            <w14:solidFill>
              <w14:schemeClr w14:val="tx1"/>
            </w14:solidFill>
          </w14:textFill>
        </w:rPr>
        <w:t>内，项目建设不新增占地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黑龙江省广盛达新材料科技有限公司</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现有可膨胀石墨生产线2条、</w:t>
      </w:r>
      <w:r>
        <w:rPr>
          <w:rFonts w:hint="eastAsia" w:eastAsia="仿宋_GB2312" w:cs="Times New Roman"/>
          <w:color w:val="000000" w:themeColor="text1"/>
          <w:sz w:val="32"/>
          <w:szCs w:val="32"/>
          <w:highlight w:val="none"/>
          <w:lang w:eastAsia="zh-CN"/>
          <w14:textFill>
            <w14:solidFill>
              <w14:schemeClr w14:val="tx1"/>
            </w14:solidFill>
          </w14:textFill>
        </w:rPr>
        <w:t>高纯石墨生产线</w:t>
      </w:r>
      <w:r>
        <w:rPr>
          <w:rFonts w:hint="eastAsia" w:eastAsia="仿宋_GB2312" w:cs="Times New Roman"/>
          <w:color w:val="000000" w:themeColor="text1"/>
          <w:sz w:val="32"/>
          <w:szCs w:val="32"/>
          <w:highlight w:val="none"/>
          <w:lang w:val="en-US" w:eastAsia="zh-CN"/>
          <w14:textFill>
            <w14:solidFill>
              <w14:schemeClr w14:val="tx1"/>
            </w14:solidFill>
          </w14:textFill>
        </w:rPr>
        <w:t>1条、石墨烯生产线1条、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碳纳米管生产线</w:t>
      </w:r>
      <w:r>
        <w:rPr>
          <w:rFonts w:hint="eastAsia" w:eastAsia="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条，年生产可膨胀石墨</w:t>
      </w:r>
      <w:r>
        <w:rPr>
          <w:rFonts w:hint="eastAsia" w:eastAsia="仿宋_GB2312" w:cs="Times New Roman"/>
          <w:color w:val="000000" w:themeColor="text1"/>
          <w:sz w:val="32"/>
          <w:szCs w:val="32"/>
          <w:highlight w:val="none"/>
          <w:lang w:val="en-US" w:eastAsia="zh-CN"/>
          <w14:textFill>
            <w14:solidFill>
              <w14:schemeClr w14:val="tx1"/>
            </w14:solidFill>
          </w14:textFill>
        </w:rPr>
        <w:t>20000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w:t>
      </w:r>
      <w:r>
        <w:rPr>
          <w:rFonts w:hint="eastAsia" w:eastAsia="仿宋_GB2312" w:cs="Times New Roman"/>
          <w:color w:val="000000" w:themeColor="text1"/>
          <w:sz w:val="32"/>
          <w:szCs w:val="32"/>
          <w:highlight w:val="none"/>
          <w:lang w:eastAsia="zh-CN"/>
          <w14:textFill>
            <w14:solidFill>
              <w14:schemeClr w14:val="tx1"/>
            </w14:solidFill>
          </w14:textFill>
        </w:rPr>
        <w:t>高纯石墨</w:t>
      </w:r>
      <w:r>
        <w:rPr>
          <w:rFonts w:hint="eastAsia" w:eastAsia="仿宋_GB2312" w:cs="Times New Roman"/>
          <w:color w:val="000000" w:themeColor="text1"/>
          <w:sz w:val="32"/>
          <w:szCs w:val="32"/>
          <w:highlight w:val="none"/>
          <w:lang w:val="en-US" w:eastAsia="zh-CN"/>
          <w14:textFill>
            <w14:solidFill>
              <w14:schemeClr w14:val="tx1"/>
            </w14:solidFill>
          </w14:textFill>
        </w:rPr>
        <w:t>10000t、石墨烯100t、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碳纳米管</w:t>
      </w:r>
      <w:r>
        <w:rPr>
          <w:rFonts w:hint="eastAsia" w:eastAsia="仿宋_GB2312" w:cs="Times New Roman"/>
          <w:color w:val="000000" w:themeColor="text1"/>
          <w:sz w:val="32"/>
          <w:szCs w:val="32"/>
          <w:highlight w:val="none"/>
          <w:lang w:val="en-US" w:eastAsia="zh-CN"/>
          <w14:textFill>
            <w14:solidFill>
              <w14:schemeClr w14:val="tx1"/>
            </w14:solidFill>
          </w14:textFill>
        </w:rPr>
        <w:t>1500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t。</w:t>
      </w:r>
      <w:r>
        <w:rPr>
          <w:rFonts w:hint="eastAsia" w:eastAsia="仿宋_GB2312" w:cs="Times New Roman"/>
          <w:color w:val="000000" w:themeColor="text1"/>
          <w:sz w:val="32"/>
          <w:szCs w:val="32"/>
          <w:highlight w:val="none"/>
          <w:lang w:eastAsia="zh-CN"/>
          <w14:textFill>
            <w14:solidFill>
              <w14:schemeClr w14:val="tx1"/>
            </w14:solidFill>
          </w14:textFill>
        </w:rPr>
        <w:t>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项目</w:t>
      </w:r>
      <w:r>
        <w:rPr>
          <w:rFonts w:hint="eastAsia" w:eastAsia="仿宋_GB2312" w:cs="Times New Roman"/>
          <w:color w:val="000000" w:themeColor="text1"/>
          <w:sz w:val="32"/>
          <w:szCs w:val="32"/>
          <w:highlight w:val="none"/>
          <w:lang w:eastAsia="zh-CN"/>
          <w14:textFill>
            <w14:solidFill>
              <w14:schemeClr w14:val="tx1"/>
            </w14:solidFill>
          </w14:textFill>
        </w:rPr>
        <w:t>计划</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拆除</w:t>
      </w:r>
      <w:r>
        <w:rPr>
          <w:rFonts w:hint="eastAsia" w:eastAsia="仿宋_GB2312" w:cs="Times New Roman"/>
          <w:color w:val="000000" w:themeColor="text1"/>
          <w:sz w:val="32"/>
          <w:szCs w:val="32"/>
          <w:highlight w:val="none"/>
          <w:lang w:val="en-US" w:eastAsia="zh-CN"/>
          <w14:textFill>
            <w14:solidFill>
              <w14:schemeClr w14:val="tx1"/>
            </w14:solidFill>
          </w14:textFill>
        </w:rPr>
        <w:t>1条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现有碳纳米管生产线，新建1条可膨胀石墨生产线</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1条高端可膨胀石墨生产线</w:t>
      </w:r>
      <w:r>
        <w:rPr>
          <w:rFonts w:hint="eastAsia" w:eastAsia="仿宋_GB2312" w:cs="Times New Roman"/>
          <w:color w:val="000000" w:themeColor="text1"/>
          <w:sz w:val="32"/>
          <w:szCs w:val="32"/>
          <w:highlight w:val="none"/>
          <w:lang w:eastAsia="zh-CN"/>
          <w14:textFill>
            <w14:solidFill>
              <w14:schemeClr w14:val="tx1"/>
            </w14:solidFill>
          </w14:textFill>
        </w:rPr>
        <w:t>，对</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现有</w:t>
      </w:r>
      <w:r>
        <w:rPr>
          <w:rFonts w:hint="eastAsia" w:eastAsia="仿宋_GB2312" w:cs="Times New Roman"/>
          <w:color w:val="000000" w:themeColor="text1"/>
          <w:sz w:val="32"/>
          <w:szCs w:val="32"/>
          <w:highlight w:val="none"/>
          <w:lang w:eastAsia="zh-CN"/>
          <w14:textFill>
            <w14:solidFill>
              <w14:schemeClr w14:val="tx1"/>
            </w14:solidFill>
          </w14:textFill>
        </w:rPr>
        <w:t>热源进行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改造。</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项目建成后，</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黑龙江省广盛达新材料科技有限公司</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全厂</w:t>
      </w:r>
      <w:r>
        <w:rPr>
          <w:rFonts w:hint="eastAsia" w:eastAsia="仿宋_GB2312" w:cs="Times New Roman"/>
          <w:b w:val="0"/>
          <w:bCs w:val="0"/>
          <w:color w:val="000000" w:themeColor="text1"/>
          <w:sz w:val="32"/>
          <w:szCs w:val="32"/>
          <w:highlight w:val="none"/>
          <w:lang w:eastAsia="zh-CN"/>
          <w14:textFill>
            <w14:solidFill>
              <w14:schemeClr w14:val="tx1"/>
            </w14:solidFill>
          </w14:textFill>
        </w:rPr>
        <w:t>共</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8</w:t>
      </w:r>
      <w:r>
        <w:rPr>
          <w:rFonts w:hint="eastAsia" w:eastAsia="仿宋_GB2312" w:cs="Times New Roman"/>
          <w:b w:val="0"/>
          <w:bCs w:val="0"/>
          <w:color w:val="000000" w:themeColor="text1"/>
          <w:sz w:val="32"/>
          <w:szCs w:val="32"/>
          <w:highlight w:val="none"/>
          <w:lang w:eastAsia="zh-CN"/>
          <w14:textFill>
            <w14:solidFill>
              <w14:schemeClr w14:val="tx1"/>
            </w14:solidFill>
          </w14:textFill>
        </w:rPr>
        <w:t>条生产线</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产能达到可膨胀石墨</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200</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00t/a、高纯石墨</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10</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000t/a、</w:t>
      </w:r>
      <w:r>
        <w:rPr>
          <w:rFonts w:hint="eastAsia" w:eastAsia="仿宋_GB2312" w:cs="Times New Roman"/>
          <w:b w:val="0"/>
          <w:bCs w:val="0"/>
          <w:color w:val="000000" w:themeColor="text1"/>
          <w:sz w:val="32"/>
          <w:szCs w:val="32"/>
          <w:highlight w:val="none"/>
          <w:lang w:eastAsia="zh-CN"/>
          <w14:textFill>
            <w14:solidFill>
              <w14:schemeClr w14:val="tx1"/>
            </w14:solidFill>
          </w14:textFill>
        </w:rPr>
        <w:t>石墨烯</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00t/a、</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碳纳米管</w:t>
      </w:r>
      <w:r>
        <w:rPr>
          <w:rFonts w:hint="eastAsia" w:eastAsia="仿宋_GB2312" w:cs="Times New Roman"/>
          <w:color w:val="000000" w:themeColor="text1"/>
          <w:sz w:val="32"/>
          <w:szCs w:val="32"/>
          <w:highlight w:val="none"/>
          <w:lang w:val="en-US" w:eastAsia="zh-CN"/>
          <w14:textFill>
            <w14:solidFill>
              <w14:schemeClr w14:val="tx1"/>
            </w14:solidFill>
          </w14:textFill>
        </w:rPr>
        <w:t>1000</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t/a</w:t>
      </w:r>
      <w:r>
        <w:rPr>
          <w:rFonts w:hint="eastAsia" w:eastAsia="仿宋_GB2312" w:cs="Times New Roman"/>
          <w:color w:val="000000" w:themeColor="text1"/>
          <w:sz w:val="32"/>
          <w:szCs w:val="32"/>
          <w:highlight w:val="none"/>
          <w:lang w:eastAsia="zh-CN"/>
          <w14:textFill>
            <w14:solidFill>
              <w14:schemeClr w14:val="tx1"/>
            </w14:solidFill>
          </w14:textFill>
        </w:rPr>
        <w:t>、铬法</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可膨胀石墨</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30</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00t/a</w:t>
      </w:r>
      <w:r>
        <w:rPr>
          <w:rFonts w:hint="eastAsia" w:eastAsia="仿宋_GB2312" w:cs="Times New Roman"/>
          <w:b w:val="0"/>
          <w:bCs w:val="0"/>
          <w:color w:val="000000" w:themeColor="text1"/>
          <w:sz w:val="32"/>
          <w:szCs w:val="32"/>
          <w:highlight w:val="none"/>
          <w:lang w:eastAsia="zh-CN"/>
          <w14:textFill>
            <w14:solidFill>
              <w14:schemeClr w14:val="tx1"/>
            </w14:solidFill>
          </w14:textFill>
        </w:rPr>
        <w:t>、高端可膨胀石墨</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1000</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t/a。</w:t>
      </w:r>
      <w:r>
        <w:rPr>
          <w:rFonts w:hint="default" w:ascii="仿宋_GB2312" w:hAnsi="仿宋_GB2312" w:eastAsia="仿宋_GB2312" w:cs="仿宋_GB2312"/>
          <w:color w:val="000000"/>
          <w:sz w:val="32"/>
          <w:szCs w:val="32"/>
          <w:highlight w:val="none"/>
          <w:lang w:val="zh-CN" w:eastAsia="zh-CN"/>
        </w:rPr>
        <w:t>项目主要建设内容包括主体工程、辅助工程、</w:t>
      </w:r>
      <w:r>
        <w:rPr>
          <w:rFonts w:hint="eastAsia" w:ascii="仿宋_GB2312" w:hAnsi="仿宋_GB2312" w:eastAsia="仿宋_GB2312" w:cs="仿宋_GB2312"/>
          <w:color w:val="000000"/>
          <w:sz w:val="32"/>
          <w:szCs w:val="32"/>
          <w:highlight w:val="none"/>
          <w:lang w:val="zh-CN" w:eastAsia="zh-CN"/>
        </w:rPr>
        <w:t>储运</w:t>
      </w:r>
      <w:r>
        <w:rPr>
          <w:rFonts w:hint="default" w:ascii="仿宋_GB2312" w:hAnsi="仿宋_GB2312" w:eastAsia="仿宋_GB2312" w:cs="仿宋_GB2312"/>
          <w:color w:val="000000"/>
          <w:sz w:val="32"/>
          <w:szCs w:val="32"/>
          <w:highlight w:val="none"/>
          <w:lang w:val="zh-CN" w:eastAsia="zh-CN"/>
        </w:rPr>
        <w:t>工程</w:t>
      </w:r>
      <w:r>
        <w:rPr>
          <w:rFonts w:hint="eastAsia" w:ascii="仿宋_GB2312" w:hAnsi="仿宋_GB2312" w:eastAsia="仿宋_GB2312" w:cs="仿宋_GB2312"/>
          <w:color w:val="000000"/>
          <w:sz w:val="32"/>
          <w:szCs w:val="32"/>
          <w:highlight w:val="none"/>
          <w:lang w:val="zh-CN" w:eastAsia="zh-CN"/>
        </w:rPr>
        <w:t>、公用工程</w:t>
      </w:r>
      <w:r>
        <w:rPr>
          <w:rFonts w:hint="default" w:ascii="仿宋_GB2312" w:hAnsi="仿宋_GB2312" w:eastAsia="仿宋_GB2312" w:cs="仿宋_GB2312"/>
          <w:color w:val="000000"/>
          <w:sz w:val="32"/>
          <w:szCs w:val="32"/>
          <w:highlight w:val="none"/>
          <w:lang w:val="zh-CN" w:eastAsia="zh-CN"/>
        </w:rPr>
        <w:t>及环保工程等。</w:t>
      </w:r>
    </w:p>
    <w:p w14:paraId="4A86D72E">
      <w:pPr>
        <w:pStyle w:val="6"/>
        <w:keepNext w:val="0"/>
        <w:keepLines w:val="0"/>
        <w:pageBreakBefore w:val="0"/>
        <w:widowControl/>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该项目在全面落实《</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鸡西市石墨产业“揭榜挂帅”科技攻关工程化转化暨改扩建项目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环境影响报告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》（以下简称《报告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和本批复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提出的各项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生态环境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措施后，对环境的不利影响可以得到缓解和控制。我局原则同意《报告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环境影响评价总体结论和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生态环境保护措施。</w:t>
      </w:r>
    </w:p>
    <w:p w14:paraId="369C4CD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32"/>
          <w:szCs w:val="32"/>
          <w:highlight w:val="none"/>
          <w:lang w:eastAsia="zh-CN"/>
          <w14:textFill>
            <w14:solidFill>
              <w14:schemeClr w14:val="tx1"/>
            </w14:solidFill>
          </w14:textFill>
        </w:rPr>
        <w:t>二、</w:t>
      </w:r>
      <w:r>
        <w:rPr>
          <w:rFonts w:hint="eastAsia" w:ascii="方正黑体_GBK" w:hAnsi="方正黑体_GBK" w:eastAsia="方正黑体_GBK" w:cs="方正黑体_GBK"/>
          <w:color w:val="000000" w:themeColor="text1"/>
          <w:kern w:val="0"/>
          <w:sz w:val="32"/>
          <w:szCs w:val="32"/>
          <w:highlight w:val="none"/>
          <w14:textFill>
            <w14:solidFill>
              <w14:schemeClr w14:val="tx1"/>
            </w14:solidFill>
          </w14:textFill>
        </w:rPr>
        <w:t>项目建设的主要生态环境影响及保护措施</w:t>
      </w:r>
    </w:p>
    <w:p w14:paraId="2B46D3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（一）大气环境影响及保护措施。</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运营期主要为生产过程粉尘和酸雾、锅炉烟尘以及食堂油烟。铬法可膨胀石墨、高端可膨胀石墨生产线投料口上方分别安装集气罩，含尘废气经布袋除尘器处理后由15m高排气筒排放，颗粒物排放应符合《大气污染物综合排放标准》（GB16297-1996）（排放速率严格50%）标准限值要求。铬法可膨胀石墨酸液配制、插层、脱酸反应及高端可膨胀石墨插层、脱酸反应密闭，废气分别经碱液喷淋塔处理后由15m高排气筒排放，硫酸雾、铬酸雾、氮氧化物排放应符合《大气污染物综合排放标准》（GB16297-1996）（排放速率严格50%）标准限值要求。烘干工序废气利用现有水膜除尘器和布袋除尘器处理后由15m高排气筒排放，筛分工序废气经布袋除尘器处理后由15m高排气筒排放，污染物排放应符合《大气污染物综合排放标准》（GB16297-1996）（排放速率严格50%）标准限值要求。3台燃油锅炉烟气分别经布袋除尘器处理后由15m高排气筒排放，1台天然气锅炉烟气经15m高排气筒排放，污染物排放应符合《锅炉大气污染物综合排放标准》（GB13271-2014）相关标准限值要求。食堂油烟经1套油烟净化装置处理后经屋顶排放，排放应满足《饮食业油烟排放标准（试行）》（GB18483-2001）要求。厂界内非甲烷总烃排放应符合《挥发性有机物无组织排放控制标准》(GB37822-2019)附录A表A.1中排放标准限值要求。厂界无组织颗粒物及非甲烷总烃应符合《大气污染物综合排放标准》（GB16297-1996）要求。</w:t>
      </w:r>
    </w:p>
    <w:p w14:paraId="301310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14:textFill>
            <w14:solidFill>
              <w14:schemeClr w14:val="tx1"/>
            </w14:solidFill>
          </w14:textFill>
        </w:rPr>
        <w:t>）水环境影响及保护措施。</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项目生产废水包括高浓度含铬废酸、低浓度含铬废水、水洗废水、循环冷却水排水、碱液喷淋塔废水、化验室废水。含铬废酸、废水暂存于储罐内，含铬废酸经过滤和电化学转化法处理后回用于重铬酸钠配置，不外排；低浓度含铬废水、铬法可膨胀石墨生产线喷淋废水经膜处理后，淡水回用于水洗工序，浓水回流到上层次膨胀石墨的洗涤工艺，不外排；对长时间运行的高盐浓水，采取导热油蒸发器蒸发排盐处理，蒸发冷凝水回用于水洗工序。高端可膨胀石墨喷淋塔废水、水洗废水依托现有污水处理站，采用中和+沉淀处理工艺，处理后尾水排至麻山区石墨工业园区污水处理厂。化验室废水、循环冷却水排污水、生活污水及隔油处理后的餐饮废水排入厂区化粪池，定期由鸡西瀚科水务有限公司抽排入麻山区城镇污水处理厂处理达标后排放。</w:t>
      </w:r>
    </w:p>
    <w:p w14:paraId="61E2FCE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14:textFill>
            <w14:solidFill>
              <w14:schemeClr w14:val="tx1"/>
            </w14:solidFill>
          </w14:textFill>
        </w:rPr>
        <w:t>）声环境影响及保护措施。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应选用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低噪声设备，</w:t>
      </w:r>
      <w:r>
        <w:rPr>
          <w:rFonts w:hint="eastAsia" w:eastAsia="仿宋_GB2312" w:cs="Times New Roman"/>
          <w:color w:val="000000" w:themeColor="text1"/>
          <w:sz w:val="32"/>
          <w:szCs w:val="32"/>
          <w:highlight w:val="none"/>
          <w:lang w:eastAsia="zh-CN"/>
          <w14:textFill>
            <w14:solidFill>
              <w14:schemeClr w14:val="tx1"/>
            </w14:solidFill>
          </w14:textFill>
        </w:rPr>
        <w:t>生产设备采取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减振、消声、隔声等措施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，厂界噪声应符合《工业企业厂界环境噪声排放标准》（GB12348-2008）表1中</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要求。</w:t>
      </w:r>
    </w:p>
    <w:p w14:paraId="39C1DA4F">
      <w:pPr>
        <w:pStyle w:val="16"/>
        <w:keepNext w:val="0"/>
        <w:keepLines w:val="0"/>
        <w:pageBreakBefore w:val="0"/>
        <w:kinsoku/>
        <w:wordWrap/>
        <w:overflowPunct/>
        <w:topLinePunct w:val="0"/>
        <w:autoSpaceDE/>
        <w:autoSpaceDN/>
        <w:bidi w:val="0"/>
        <w:spacing w:line="540" w:lineRule="exact"/>
        <w:ind w:firstLine="48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）固体废物环境影响及保护措施。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生产线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除尘器收集粉尘回用于生产</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车间筛分废渣交由环卫部门处理；锅炉布袋除尘器粉尘</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厂区污水处理站污泥</w:t>
      </w:r>
      <w:r>
        <w:rPr>
          <w:rFonts w:hint="eastAsia" w:eastAsia="仿宋_GB2312" w:cs="Times New Roman"/>
          <w:color w:val="000000" w:themeColor="text1"/>
          <w:sz w:val="32"/>
          <w:szCs w:val="32"/>
          <w:highlight w:val="none"/>
          <w:lang w:val="en-US" w:eastAsia="zh-CN"/>
          <w14:textFill>
            <w14:solidFill>
              <w14:schemeClr w14:val="tx1"/>
            </w14:solidFill>
          </w14:textFill>
        </w:rPr>
        <w:t>协议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外售综合利用；</w:t>
      </w:r>
      <w:r>
        <w:rPr>
          <w:rFonts w:hint="eastAsia" w:eastAsia="仿宋_GB2312" w:cs="Times New Roman"/>
          <w:color w:val="000000" w:themeColor="text1"/>
          <w:sz w:val="32"/>
          <w:szCs w:val="32"/>
          <w:highlight w:val="none"/>
          <w:lang w:val="en-US" w:eastAsia="zh-CN"/>
          <w14:textFill>
            <w14:solidFill>
              <w14:schemeClr w14:val="tx1"/>
            </w14:solidFill>
          </w14:textFill>
        </w:rPr>
        <w:t>除尘器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废布袋由厂家回收处置；餐厨垃圾和废油脂委托有资质单位处置。重铬酸钠</w:t>
      </w:r>
      <w:r>
        <w:rPr>
          <w:rFonts w:hint="eastAsia" w:eastAsia="仿宋_GB2312" w:cs="Times New Roman"/>
          <w:color w:val="000000" w:themeColor="text1"/>
          <w:sz w:val="32"/>
          <w:szCs w:val="32"/>
          <w:highlight w:val="none"/>
          <w:lang w:val="en-US" w:eastAsia="zh-CN"/>
          <w14:textFill>
            <w14:solidFill>
              <w14:schemeClr w14:val="tx1"/>
            </w14:solidFill>
          </w14:textFill>
        </w:rPr>
        <w:t>等原料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废包装物、废过滤膜、废RO或纳滤膜、浓水蒸发结晶、废润滑油、废导热油</w:t>
      </w:r>
      <w:r>
        <w:rPr>
          <w:rFonts w:hint="eastAsia" w:eastAsia="仿宋_GB2312" w:cs="Times New Roman"/>
          <w:color w:val="000000" w:themeColor="text1"/>
          <w:sz w:val="32"/>
          <w:szCs w:val="32"/>
          <w:highlight w:val="none"/>
          <w:lang w:val="en-US" w:eastAsia="zh-CN"/>
          <w14:textFill>
            <w14:solidFill>
              <w14:schemeClr w14:val="tx1"/>
            </w14:solidFill>
          </w14:textFill>
        </w:rPr>
        <w:t>属于危险废物，按照危险废物贮存管理，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委托有资质的单位处置；生活垃圾经收集后由环卫部门定期清运。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危险物质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贮存管理应满足《危险废物贮存污染控制标准》（GB18597-2023）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4F013AE5">
      <w:pPr>
        <w:pStyle w:val="14"/>
        <w:keepNext w:val="0"/>
        <w:keepLines w:val="0"/>
        <w:pageBreakBefore w:val="0"/>
        <w:kinsoku/>
        <w:wordWrap/>
        <w:overflowPunct/>
        <w:topLinePunct w:val="0"/>
        <w:autoSpaceDE/>
        <w:autoSpaceDN/>
        <w:bidi w:val="0"/>
        <w:spacing w:line="540" w:lineRule="exact"/>
        <w:ind w:firstLine="480"/>
        <w:textAlignment w:val="auto"/>
        <w:rPr>
          <w:rFonts w:hint="eastAsia"/>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（五）土壤、地下水环境影响及保护措施。</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项目厂区</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进行分区防渗处理，分为重点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防渗</w:t>
      </w:r>
      <w:r>
        <w:rPr>
          <w:rFonts w:hint="eastAsia" w:ascii="仿宋_GB2312" w:hAnsi="仿宋_GB2312" w:eastAsia="仿宋_GB2312" w:cs="仿宋_GB2312"/>
          <w:color w:val="000000" w:themeColor="text1"/>
          <w:sz w:val="32"/>
          <w:szCs w:val="32"/>
          <w:highlight w:val="none"/>
          <w14:textFill>
            <w14:solidFill>
              <w14:schemeClr w14:val="tx1"/>
            </w14:solidFill>
          </w14:textFill>
        </w:rPr>
        <w:t>区、一般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防渗</w:t>
      </w:r>
      <w:r>
        <w:rPr>
          <w:rFonts w:hint="eastAsia" w:ascii="仿宋_GB2312" w:hAnsi="仿宋_GB2312" w:eastAsia="仿宋_GB2312" w:cs="仿宋_GB2312"/>
          <w:color w:val="000000" w:themeColor="text1"/>
          <w:sz w:val="32"/>
          <w:szCs w:val="32"/>
          <w:highlight w:val="none"/>
          <w14:textFill>
            <w14:solidFill>
              <w14:schemeClr w14:val="tx1"/>
            </w14:solidFill>
          </w14:textFill>
        </w:rPr>
        <w:t>区和简单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防渗</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酸库、可膨胀石墨四车间、含铬废水处理间、污水处理站和危废贮存点为重点防渗区，</w:t>
      </w:r>
      <w:r>
        <w:rPr>
          <w:rFonts w:hint="eastAsia" w:ascii="仿宋_GB2312" w:hAnsi="仿宋_GB2312" w:eastAsia="仿宋_GB2312" w:cs="仿宋_GB2312"/>
          <w:color w:val="000000" w:themeColor="text1"/>
          <w:sz w:val="32"/>
          <w:szCs w:val="32"/>
          <w:highlight w:val="none"/>
          <w14:textFill>
            <w14:solidFill>
              <w14:schemeClr w14:val="tx1"/>
            </w14:solidFill>
          </w14:textFill>
        </w:rPr>
        <w:t>危废贮存点按照《危险废物贮存污染控制标准》（GB18597-2023）中的要求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防渗层为至少1m 厚粘土层（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K</w:t>
      </w:r>
      <w:r>
        <w:rPr>
          <w:rFonts w:hint="eastAsia" w:ascii="仿宋_GB2312" w:hAnsi="仿宋_GB2312" w:eastAsia="仿宋_GB2312" w:cs="仿宋_GB2312"/>
          <w:color w:val="000000" w:themeColor="text1"/>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vertAlign w:val="superscript"/>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cm/s），或2mm 厚高密度聚乙烯，或至少2mm 厚的其它人工材料，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K</w:t>
      </w:r>
      <w:r>
        <w:rPr>
          <w:rFonts w:hint="eastAsia" w:ascii="仿宋_GB2312" w:hAnsi="仿宋_GB2312" w:eastAsia="仿宋_GB2312" w:cs="仿宋_GB2312"/>
          <w:color w:val="000000" w:themeColor="text1"/>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vertAlign w:val="superscript"/>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cm/s</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；其它重点防渗区</w:t>
      </w:r>
      <w:r>
        <w:rPr>
          <w:rFonts w:hint="eastAsia" w:ascii="仿宋_GB2312" w:hAnsi="仿宋_GB2312" w:eastAsia="仿宋_GB2312" w:cs="仿宋_GB2312"/>
          <w:color w:val="000000" w:themeColor="text1"/>
          <w:sz w:val="32"/>
          <w:szCs w:val="32"/>
          <w:highlight w:val="none"/>
          <w14:textFill>
            <w14:solidFill>
              <w14:schemeClr w14:val="tx1"/>
            </w14:solidFill>
          </w14:textFill>
        </w:rPr>
        <w:t>防渗粘土层（至少1m厚）上部及侧面铺设1.0mm高密度聚乙烯（HDPE）防渗膜，防渗基础上进行水泥硬化，喷涂防腐防酸漆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，防渗性能应满足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Mb</w:t>
      </w:r>
      <w:r>
        <w:rPr>
          <w:rFonts w:hint="eastAsia" w:ascii="仿宋_GB2312" w:hAnsi="仿宋_GB2312" w:eastAsia="仿宋_GB2312" w:cs="仿宋_GB2312"/>
          <w:color w:val="000000" w:themeColor="text1"/>
          <w:sz w:val="32"/>
          <w:szCs w:val="32"/>
          <w:highlight w:val="none"/>
          <w14:textFill>
            <w14:solidFill>
              <w14:schemeClr w14:val="tx1"/>
            </w14:solidFill>
          </w14:textFill>
        </w:rPr>
        <w:t>≥6.0m，K≤1.0×10</w:t>
      </w:r>
      <w:r>
        <w:rPr>
          <w:rFonts w:hint="eastAsia" w:ascii="仿宋_GB2312" w:hAnsi="仿宋_GB2312" w:eastAsia="仿宋_GB2312" w:cs="仿宋_GB2312"/>
          <w:color w:val="000000" w:themeColor="text1"/>
          <w:sz w:val="32"/>
          <w:szCs w:val="32"/>
          <w:highlight w:val="none"/>
          <w:vertAlign w:val="superscript"/>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cm/s。</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其它</w:t>
      </w:r>
      <w:r>
        <w:rPr>
          <w:rFonts w:hint="eastAsia" w:ascii="仿宋_GB2312" w:hAnsi="仿宋_GB2312" w:eastAsia="仿宋_GB2312" w:cs="仿宋_GB2312"/>
          <w:color w:val="000000" w:themeColor="text1"/>
          <w:sz w:val="32"/>
          <w:szCs w:val="32"/>
          <w:highlight w:val="none"/>
          <w14:textFill>
            <w14:solidFill>
              <w14:schemeClr w14:val="tx1"/>
            </w14:solidFill>
          </w14:textFill>
        </w:rPr>
        <w:t>生产车间、化验室为一般防渗区，防渗材料采用抗渗水泥混凝土，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防渗性能满足等效黏土Mb≥1.5m，K≤1.0×10</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cm/s</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其他区域为简单防渗区，采取一般地面硬化。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依托厂区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现有一眼地下水跟踪监测井，开展定期监测，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严格落实地下水保护措施，防止</w:t>
      </w:r>
      <w:r>
        <w:rPr>
          <w:rFonts w:hint="eastAsia" w:ascii="仿宋_GB2312" w:hAnsi="仿宋_GB2312" w:eastAsia="仿宋_GB2312" w:cs="仿宋_GB2312"/>
          <w:color w:val="000000" w:themeColor="text1"/>
          <w:sz w:val="32"/>
          <w:szCs w:val="32"/>
          <w:highlight w:val="none"/>
          <w14:textFill>
            <w14:solidFill>
              <w14:schemeClr w14:val="tx1"/>
            </w14:solidFill>
          </w14:textFill>
        </w:rPr>
        <w:t>土壤和地下水造成污染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192372C">
      <w:pPr>
        <w:keepNext w:val="0"/>
        <w:keepLines w:val="0"/>
        <w:pageBreakBefore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highlight w:val="none"/>
          <w14:textFill>
            <w14:solidFill>
              <w14:schemeClr w14:val="tx1"/>
            </w14:solidFill>
          </w14:textFill>
        </w:rPr>
        <w:t>）环境风险及保护措施。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项目应严格落实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》中提出的风险防范措施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编</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制环境风险应急预案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加强点位预警、预防，</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防止风险事故发生。</w:t>
      </w:r>
    </w:p>
    <w:p w14:paraId="576BC6C3">
      <w:pPr>
        <w:pStyle w:val="11"/>
        <w:keepNext w:val="0"/>
        <w:keepLines w:val="0"/>
        <w:pageBreakBefore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你单位应建立企业内部生态环境管理机构和制度，明确人员和职责，加强生态环境管理。项目实施必须严格执行环境保护设施与主体工程同时设计、同时施工、同时投产使用的环境保护“三同时”制度。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在启动生产设施或者在实际排污之前，建设单位应依法履行排污许可手续。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项目建成后，应按规定程序实施竣工环境保护验收。</w:t>
      </w:r>
    </w:p>
    <w:p w14:paraId="48579B42">
      <w:pPr>
        <w:keepNext w:val="0"/>
        <w:keepLines w:val="0"/>
        <w:pageBreakBefore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》经批准后，项目的性质、规模、地点或者防治污染的措施发生重大变动的，应当重新报批该项目的《报告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》批复文件批准之日起，如超过5年方决定开工建设的，《报告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》应当重新审核。</w:t>
      </w:r>
    </w:p>
    <w:p w14:paraId="5342092F">
      <w:pPr>
        <w:keepNext w:val="0"/>
        <w:keepLines w:val="0"/>
        <w:pageBreakBefore w:val="0"/>
        <w:kinsoku/>
        <w:wordWrap/>
        <w:overflowPunct/>
        <w:topLinePunct w:val="0"/>
        <w:autoSpaceDE/>
        <w:autoSpaceDN/>
        <w:bidi w:val="0"/>
        <w:spacing w:line="54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鸡西市</w:t>
      </w:r>
      <w:r>
        <w:rPr>
          <w:rFonts w:hint="eastAsia" w:eastAsia="仿宋_GB2312" w:cs="Times New Roman"/>
          <w:color w:val="000000" w:themeColor="text1"/>
          <w:sz w:val="32"/>
          <w:szCs w:val="32"/>
          <w:highlight w:val="none"/>
          <w:lang w:val="en-US" w:eastAsia="zh-CN"/>
          <w14:textFill>
            <w14:solidFill>
              <w14:schemeClr w14:val="tx1"/>
            </w14:solidFill>
          </w14:textFill>
        </w:rPr>
        <w:t>麻山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生态环境局组织开展该项目环境保护事中事后监管工作。你单位应在收到本批复后10日内，将批准后的《报告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》和批复文件送至鸡西市</w:t>
      </w:r>
      <w:r>
        <w:rPr>
          <w:rFonts w:hint="eastAsia" w:eastAsia="仿宋_GB2312" w:cs="Times New Roman"/>
          <w:color w:val="000000" w:themeColor="text1"/>
          <w:sz w:val="32"/>
          <w:szCs w:val="32"/>
          <w:highlight w:val="none"/>
          <w:lang w:val="en-US" w:eastAsia="zh-CN"/>
          <w14:textFill>
            <w14:solidFill>
              <w14:schemeClr w14:val="tx1"/>
            </w14:solidFill>
          </w14:textFill>
        </w:rPr>
        <w:t>麻山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并按规定接受各级生态环境主管部门的日常监督检查。 </w:t>
      </w:r>
    </w:p>
    <w:p w14:paraId="7B4B5C29">
      <w:pPr>
        <w:keepNext w:val="0"/>
        <w:keepLines w:val="0"/>
        <w:pageBreakBefore w:val="0"/>
        <w:kinsoku/>
        <w:wordWrap/>
        <w:overflowPunct/>
        <w:topLinePunct w:val="0"/>
        <w:autoSpaceDE/>
        <w:autoSpaceDN/>
        <w:bidi w:val="0"/>
        <w:spacing w:line="540" w:lineRule="exact"/>
        <w:textAlignment w:val="auto"/>
        <w:rPr>
          <w:rFonts w:hint="default"/>
          <w:color w:val="000000" w:themeColor="text1"/>
          <w:highlight w:val="none"/>
          <w14:textFill>
            <w14:solidFill>
              <w14:schemeClr w14:val="tx1"/>
            </w14:solidFill>
          </w14:textFill>
        </w:rPr>
      </w:pPr>
    </w:p>
    <w:p w14:paraId="2A8AC1B9">
      <w:pPr>
        <w:keepNext w:val="0"/>
        <w:keepLines w:val="0"/>
        <w:pageBreakBefore w:val="0"/>
        <w:kinsoku/>
        <w:wordWrap/>
        <w:overflowPunct/>
        <w:topLinePunct w:val="0"/>
        <w:autoSpaceDE/>
        <w:autoSpaceDN/>
        <w:bidi w:val="0"/>
        <w:spacing w:line="540" w:lineRule="exact"/>
        <w:textAlignment w:val="auto"/>
        <w:rPr>
          <w:rFonts w:hint="default"/>
          <w:color w:val="000000" w:themeColor="text1"/>
          <w:highlight w:val="none"/>
          <w14:textFill>
            <w14:solidFill>
              <w14:schemeClr w14:val="tx1"/>
            </w14:solidFill>
          </w14:textFill>
        </w:rPr>
      </w:pPr>
    </w:p>
    <w:p w14:paraId="5FC11E90">
      <w:pPr>
        <w:keepNext w:val="0"/>
        <w:keepLines w:val="0"/>
        <w:pageBreakBefore w:val="0"/>
        <w:kinsoku/>
        <w:wordWrap/>
        <w:overflowPunct/>
        <w:topLinePunct w:val="0"/>
        <w:autoSpaceDE/>
        <w:autoSpaceDN/>
        <w:bidi w:val="0"/>
        <w:adjustRightInd/>
        <w:snapToGrid/>
        <w:spacing w:line="540" w:lineRule="exact"/>
        <w:ind w:left="0" w:firstLine="0" w:firstLineChars="0"/>
        <w:jc w:val="righ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鸡西市生态环境局</w:t>
      </w:r>
    </w:p>
    <w:p w14:paraId="322BD163">
      <w:pPr>
        <w:keepNext w:val="0"/>
        <w:keepLines w:val="0"/>
        <w:pageBreakBefore w:val="0"/>
        <w:kinsoku/>
        <w:wordWrap/>
        <w:overflowPunct/>
        <w:topLinePunct w:val="0"/>
        <w:autoSpaceDE/>
        <w:autoSpaceDN/>
        <w:bidi w:val="0"/>
        <w:adjustRightInd/>
        <w:snapToGrid/>
        <w:spacing w:line="540" w:lineRule="exact"/>
        <w:ind w:left="0" w:firstLine="0" w:firstLineChars="0"/>
        <w:jc w:val="right"/>
        <w:textAlignment w:val="auto"/>
        <w:rPr>
          <w:rFonts w:hint="default"/>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p>
    <w:p w14:paraId="6A81A291">
      <w:pPr>
        <w:rPr>
          <w:rFonts w:hint="default"/>
          <w:color w:val="000000" w:themeColor="text1"/>
          <w:highlight w:val="none"/>
          <w14:textFill>
            <w14:solidFill>
              <w14:schemeClr w14:val="tx1"/>
            </w14:solidFill>
          </w14:textFill>
        </w:rPr>
      </w:pPr>
      <w:bookmarkStart w:id="0" w:name="_GoBack"/>
      <w:bookmarkEnd w:id="0"/>
    </w:p>
    <w:p w14:paraId="4BC141B8">
      <w:pPr>
        <w:rPr>
          <w:rFonts w:hint="default"/>
          <w:color w:val="000000" w:themeColor="text1"/>
          <w:highlight w:val="none"/>
          <w14:textFill>
            <w14:solidFill>
              <w14:schemeClr w14:val="tx1"/>
            </w14:solidFill>
          </w14:textFill>
        </w:rPr>
      </w:pPr>
    </w:p>
    <w:p w14:paraId="165E67FB">
      <w:pPr>
        <w:rPr>
          <w:rFonts w:hint="default"/>
          <w:color w:val="000000" w:themeColor="text1"/>
          <w:highlight w:val="none"/>
          <w14:textFill>
            <w14:solidFill>
              <w14:schemeClr w14:val="tx1"/>
            </w14:solidFill>
          </w14:textFill>
        </w:rPr>
      </w:pPr>
    </w:p>
    <w:p w14:paraId="1C77AAA8">
      <w:pPr>
        <w:rPr>
          <w:rFonts w:hint="default"/>
          <w:color w:val="000000" w:themeColor="text1"/>
          <w:highlight w:val="none"/>
          <w14:textFill>
            <w14:solidFill>
              <w14:schemeClr w14:val="tx1"/>
            </w14:solidFill>
          </w14:textFill>
        </w:rPr>
      </w:pPr>
    </w:p>
    <w:p w14:paraId="3603624C">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抄 送：鸡西市生</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态环境保护综合行政执法局，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鸡西市</w:t>
      </w:r>
      <w:r>
        <w:rPr>
          <w:rFonts w:hint="eastAsia" w:eastAsia="仿宋_GB2312" w:cs="Times New Roman"/>
          <w:color w:val="000000" w:themeColor="text1"/>
          <w:sz w:val="32"/>
          <w:szCs w:val="32"/>
          <w:highlight w:val="none"/>
          <w:lang w:val="en-US" w:eastAsia="zh-CN"/>
          <w14:textFill>
            <w14:solidFill>
              <w14:schemeClr w14:val="tx1"/>
            </w14:solidFill>
          </w14:textFill>
        </w:rPr>
        <w:t>麻山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生态环境局。</w:t>
      </w:r>
    </w:p>
    <w:p w14:paraId="0919F44F">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仿宋_GB2312" w:cs="Times New Roman"/>
          <w:color w:val="000000" w:themeColor="text1"/>
          <w:w w:val="85"/>
          <w:sz w:val="32"/>
          <w:szCs w:val="32"/>
          <w:highlight w:val="none"/>
          <w14:textFill>
            <w14:solidFill>
              <w14:schemeClr w14:val="tx1"/>
            </w14:solidFill>
          </w14:textFill>
        </w:rPr>
      </w:pPr>
      <w:r>
        <w:rPr>
          <w:rFonts w:hint="default" w:ascii="Times New Roman" w:hAnsi="Times New Roman" w:eastAsia="仿宋_GB2312" w:cs="Times New Roman"/>
          <w:color w:val="000000" w:themeColor="text1"/>
          <w:w w:val="85"/>
          <w:sz w:val="32"/>
          <w:szCs w:val="32"/>
          <w:highlight w:val="none"/>
          <w14:textFill>
            <w14:solidFill>
              <w14:schemeClr w14:val="tx1"/>
            </w14:solidFill>
          </w14:textFill>
        </w:rPr>
        <w:t>鸡西市生态环境局办公室</w:t>
      </w:r>
      <w:r>
        <w:rPr>
          <w:rFonts w:hint="eastAsia" w:eastAsia="仿宋_GB2312" w:cs="Times New Roman"/>
          <w:color w:val="000000" w:themeColor="text1"/>
          <w:w w:val="85"/>
          <w:sz w:val="32"/>
          <w:szCs w:val="32"/>
          <w:highlight w:val="none"/>
          <w:lang w:eastAsia="zh-CN"/>
          <w14:textFill>
            <w14:solidFill>
              <w14:schemeClr w14:val="tx1"/>
            </w14:solidFill>
          </w14:textFill>
        </w:rPr>
        <w:t>（法规科）</w:t>
      </w:r>
      <w:r>
        <w:rPr>
          <w:rFonts w:hint="default" w:ascii="Times New Roman" w:hAnsi="Times New Roman" w:eastAsia="仿宋_GB2312" w:cs="Times New Roman"/>
          <w:color w:val="000000" w:themeColor="text1"/>
          <w:w w:val="85"/>
          <w:sz w:val="32"/>
          <w:szCs w:val="32"/>
          <w:highlight w:val="none"/>
          <w14:textFill>
            <w14:solidFill>
              <w14:schemeClr w14:val="tx1"/>
            </w14:solidFill>
          </w14:textFill>
        </w:rPr>
        <w:t xml:space="preserve">   </w:t>
      </w:r>
      <w:r>
        <w:rPr>
          <w:rFonts w:hint="eastAsia" w:eastAsia="仿宋_GB2312" w:cs="Times New Roman"/>
          <w:color w:val="000000" w:themeColor="text1"/>
          <w:w w:val="85"/>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w w:val="85"/>
          <w:sz w:val="32"/>
          <w:szCs w:val="32"/>
          <w:highlight w:val="none"/>
          <w14:textFill>
            <w14:solidFill>
              <w14:schemeClr w14:val="tx1"/>
            </w14:solidFill>
          </w14:textFill>
        </w:rPr>
        <w:t xml:space="preserve">      202</w:t>
      </w:r>
      <w:r>
        <w:rPr>
          <w:rFonts w:hint="default" w:ascii="Times New Roman" w:hAnsi="Times New Roman" w:eastAsia="仿宋_GB2312" w:cs="Times New Roman"/>
          <w:color w:val="000000" w:themeColor="text1"/>
          <w:w w:val="85"/>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w w:val="85"/>
          <w:sz w:val="32"/>
          <w:szCs w:val="32"/>
          <w:highlight w:val="none"/>
          <w14:textFill>
            <w14:solidFill>
              <w14:schemeClr w14:val="tx1"/>
            </w14:solidFill>
          </w14:textFill>
        </w:rPr>
        <w:t>年</w:t>
      </w:r>
      <w:r>
        <w:rPr>
          <w:rFonts w:hint="eastAsia" w:eastAsia="仿宋_GB2312" w:cs="Times New Roman"/>
          <w:color w:val="000000" w:themeColor="text1"/>
          <w:w w:val="85"/>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w w:val="85"/>
          <w:kern w:val="0"/>
          <w:sz w:val="32"/>
          <w:szCs w:val="32"/>
          <w:highlight w:val="none"/>
          <w14:textFill>
            <w14:solidFill>
              <w14:schemeClr w14:val="tx1"/>
            </w14:solidFill>
          </w14:textFill>
        </w:rPr>
        <w:t>月</w:t>
      </w:r>
      <w:r>
        <w:rPr>
          <w:rFonts w:hint="eastAsia" w:eastAsia="仿宋_GB2312" w:cs="Times New Roman"/>
          <w:color w:val="000000" w:themeColor="text1"/>
          <w:w w:val="85"/>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w w:val="85"/>
          <w:kern w:val="0"/>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w w:val="85"/>
          <w:sz w:val="32"/>
          <w:szCs w:val="32"/>
          <w:highlight w:val="none"/>
          <w14:textFill>
            <w14:solidFill>
              <w14:schemeClr w14:val="tx1"/>
            </w14:solidFill>
          </w14:textFill>
        </w:rPr>
        <w:t>印发</w:t>
      </w:r>
    </w:p>
    <w:p w14:paraId="67F6B371">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righ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共印8份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321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F0E56D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14:paraId="6F0E56D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NzkyNGU2YTM5OWY4MGMyNzhiZmM1OGEwZGI3N2YifQ=="/>
  </w:docVars>
  <w:rsids>
    <w:rsidRoot w:val="5E4A43D7"/>
    <w:rsid w:val="00455329"/>
    <w:rsid w:val="00484E65"/>
    <w:rsid w:val="004F5D69"/>
    <w:rsid w:val="006157A6"/>
    <w:rsid w:val="006F0A5D"/>
    <w:rsid w:val="007619CB"/>
    <w:rsid w:val="007C2706"/>
    <w:rsid w:val="00921F35"/>
    <w:rsid w:val="00A71BE5"/>
    <w:rsid w:val="00AA28D3"/>
    <w:rsid w:val="00AE2A6A"/>
    <w:rsid w:val="00B4144D"/>
    <w:rsid w:val="00BC7221"/>
    <w:rsid w:val="00C167E9"/>
    <w:rsid w:val="00C24F5E"/>
    <w:rsid w:val="00C408FC"/>
    <w:rsid w:val="00C63B60"/>
    <w:rsid w:val="00D34269"/>
    <w:rsid w:val="00E17DCD"/>
    <w:rsid w:val="00E4763F"/>
    <w:rsid w:val="00EE174A"/>
    <w:rsid w:val="00F33E2B"/>
    <w:rsid w:val="044E1354"/>
    <w:rsid w:val="04D76A46"/>
    <w:rsid w:val="0BF7C03D"/>
    <w:rsid w:val="1AFE4B74"/>
    <w:rsid w:val="1BE443E9"/>
    <w:rsid w:val="1C5E3746"/>
    <w:rsid w:val="1DA21572"/>
    <w:rsid w:val="1FD9754F"/>
    <w:rsid w:val="1FDF15F2"/>
    <w:rsid w:val="23520F0C"/>
    <w:rsid w:val="2F7BCDEC"/>
    <w:rsid w:val="32FC313A"/>
    <w:rsid w:val="3354AB1A"/>
    <w:rsid w:val="34142C4F"/>
    <w:rsid w:val="35E611BB"/>
    <w:rsid w:val="35FF31B4"/>
    <w:rsid w:val="36DE9E13"/>
    <w:rsid w:val="3776A392"/>
    <w:rsid w:val="37FF8990"/>
    <w:rsid w:val="39791D4A"/>
    <w:rsid w:val="3B762529"/>
    <w:rsid w:val="3BF9E743"/>
    <w:rsid w:val="3BFF3862"/>
    <w:rsid w:val="3DFB4F37"/>
    <w:rsid w:val="3ED98329"/>
    <w:rsid w:val="3FDB1D75"/>
    <w:rsid w:val="3FDFB4FF"/>
    <w:rsid w:val="3FFB8A15"/>
    <w:rsid w:val="3FFD867A"/>
    <w:rsid w:val="437F2DD1"/>
    <w:rsid w:val="43BC3C31"/>
    <w:rsid w:val="47EB6CF8"/>
    <w:rsid w:val="4C666D40"/>
    <w:rsid w:val="4E575486"/>
    <w:rsid w:val="4EDFFBF3"/>
    <w:rsid w:val="4EFF926E"/>
    <w:rsid w:val="4FD63A25"/>
    <w:rsid w:val="54DB881C"/>
    <w:rsid w:val="55F5ABF7"/>
    <w:rsid w:val="565D4A23"/>
    <w:rsid w:val="579FFED1"/>
    <w:rsid w:val="5B6EBCE6"/>
    <w:rsid w:val="5BB793EE"/>
    <w:rsid w:val="5BD9E68D"/>
    <w:rsid w:val="5CED82D2"/>
    <w:rsid w:val="5D6B3F7A"/>
    <w:rsid w:val="5DEFE376"/>
    <w:rsid w:val="5E4A43D7"/>
    <w:rsid w:val="5F3D4A5A"/>
    <w:rsid w:val="5F7563FD"/>
    <w:rsid w:val="5F7B9148"/>
    <w:rsid w:val="5F7F1385"/>
    <w:rsid w:val="5FDEE6BE"/>
    <w:rsid w:val="5FE33F95"/>
    <w:rsid w:val="5FE366ED"/>
    <w:rsid w:val="5FFE6B20"/>
    <w:rsid w:val="5FFFCC8A"/>
    <w:rsid w:val="677FC794"/>
    <w:rsid w:val="6B9674ED"/>
    <w:rsid w:val="6BD7A7D5"/>
    <w:rsid w:val="6BFEBDCB"/>
    <w:rsid w:val="6BFFA19B"/>
    <w:rsid w:val="6CFF7603"/>
    <w:rsid w:val="6D9FDFE0"/>
    <w:rsid w:val="6DDF76ED"/>
    <w:rsid w:val="6DE7B89E"/>
    <w:rsid w:val="6F268371"/>
    <w:rsid w:val="6F7FF5C0"/>
    <w:rsid w:val="6FBACAA6"/>
    <w:rsid w:val="6FBF2D50"/>
    <w:rsid w:val="6FED1314"/>
    <w:rsid w:val="6FFEEE5E"/>
    <w:rsid w:val="6FFF10EC"/>
    <w:rsid w:val="72FF4098"/>
    <w:rsid w:val="739DD9DC"/>
    <w:rsid w:val="73CAAFFF"/>
    <w:rsid w:val="747FE214"/>
    <w:rsid w:val="754731DF"/>
    <w:rsid w:val="7558276C"/>
    <w:rsid w:val="75F9E803"/>
    <w:rsid w:val="76FE34D0"/>
    <w:rsid w:val="774B6FE8"/>
    <w:rsid w:val="7759E76D"/>
    <w:rsid w:val="7772D03D"/>
    <w:rsid w:val="77B629B6"/>
    <w:rsid w:val="789D4857"/>
    <w:rsid w:val="78ACF428"/>
    <w:rsid w:val="79EF6D09"/>
    <w:rsid w:val="7ADB6F9C"/>
    <w:rsid w:val="7B7EA1BB"/>
    <w:rsid w:val="7BB61B5B"/>
    <w:rsid w:val="7BFB76AF"/>
    <w:rsid w:val="7BFD685B"/>
    <w:rsid w:val="7BFEB678"/>
    <w:rsid w:val="7BFF6EB0"/>
    <w:rsid w:val="7CDEB4D3"/>
    <w:rsid w:val="7CFD7B87"/>
    <w:rsid w:val="7D3903E3"/>
    <w:rsid w:val="7D7B2156"/>
    <w:rsid w:val="7D7E4A72"/>
    <w:rsid w:val="7DBC2D0E"/>
    <w:rsid w:val="7DEF3EBE"/>
    <w:rsid w:val="7DFC34B4"/>
    <w:rsid w:val="7DFE695D"/>
    <w:rsid w:val="7E5BCA6B"/>
    <w:rsid w:val="7EA9DC0B"/>
    <w:rsid w:val="7EFF5D32"/>
    <w:rsid w:val="7F0FEE2D"/>
    <w:rsid w:val="7F5F7DC8"/>
    <w:rsid w:val="7F7564F2"/>
    <w:rsid w:val="7F760BE7"/>
    <w:rsid w:val="7F7922D5"/>
    <w:rsid w:val="7F7D2F46"/>
    <w:rsid w:val="7FA7B4F5"/>
    <w:rsid w:val="7FB52A1B"/>
    <w:rsid w:val="7FBD2C60"/>
    <w:rsid w:val="7FBFD206"/>
    <w:rsid w:val="7FDEEC2A"/>
    <w:rsid w:val="7FDF8CBD"/>
    <w:rsid w:val="7FE9C154"/>
    <w:rsid w:val="7FE9E62F"/>
    <w:rsid w:val="7FEEDF88"/>
    <w:rsid w:val="7FFA688A"/>
    <w:rsid w:val="7FFE6EF4"/>
    <w:rsid w:val="7FFE8A84"/>
    <w:rsid w:val="8B7F86B5"/>
    <w:rsid w:val="8EAF1D9D"/>
    <w:rsid w:val="93FFC7D6"/>
    <w:rsid w:val="9D7CF9FF"/>
    <w:rsid w:val="9F7F5F2B"/>
    <w:rsid w:val="9F7FAFF7"/>
    <w:rsid w:val="AB7DE414"/>
    <w:rsid w:val="ABEA00F5"/>
    <w:rsid w:val="ABFE1380"/>
    <w:rsid w:val="ADDFDB84"/>
    <w:rsid w:val="AFE8AA04"/>
    <w:rsid w:val="B4FFD425"/>
    <w:rsid w:val="B708FFF8"/>
    <w:rsid w:val="B9BF1573"/>
    <w:rsid w:val="B9DD6AD6"/>
    <w:rsid w:val="B9FE3268"/>
    <w:rsid w:val="BAFF5791"/>
    <w:rsid w:val="BD14A867"/>
    <w:rsid w:val="BF774321"/>
    <w:rsid w:val="C2158856"/>
    <w:rsid w:val="C7DB9728"/>
    <w:rsid w:val="C7F7EB3D"/>
    <w:rsid w:val="CBFE8E75"/>
    <w:rsid w:val="CFBF0763"/>
    <w:rsid w:val="CFBF72A5"/>
    <w:rsid w:val="CFF7477B"/>
    <w:rsid w:val="D2257791"/>
    <w:rsid w:val="D2F9FBD9"/>
    <w:rsid w:val="D33FE236"/>
    <w:rsid w:val="D4BB2022"/>
    <w:rsid w:val="D5DF619A"/>
    <w:rsid w:val="D6F3ECA6"/>
    <w:rsid w:val="D75FF8FC"/>
    <w:rsid w:val="D7BD9224"/>
    <w:rsid w:val="D7DCEC81"/>
    <w:rsid w:val="DBFF73EA"/>
    <w:rsid w:val="DCC7C862"/>
    <w:rsid w:val="DD6FA7B4"/>
    <w:rsid w:val="DDEEDC1D"/>
    <w:rsid w:val="DDF5F1E1"/>
    <w:rsid w:val="DEE8D595"/>
    <w:rsid w:val="DEFF7F02"/>
    <w:rsid w:val="DFFDADD2"/>
    <w:rsid w:val="E6FF4197"/>
    <w:rsid w:val="E7DB78A4"/>
    <w:rsid w:val="EBFB1CB7"/>
    <w:rsid w:val="EBFFEF1B"/>
    <w:rsid w:val="EDEF6ED3"/>
    <w:rsid w:val="EE3D154B"/>
    <w:rsid w:val="EEB2BA3E"/>
    <w:rsid w:val="EEFFAD1B"/>
    <w:rsid w:val="EF7582A4"/>
    <w:rsid w:val="EF7BA2A1"/>
    <w:rsid w:val="EF7D7FE1"/>
    <w:rsid w:val="EFBEC684"/>
    <w:rsid w:val="EFFB63E1"/>
    <w:rsid w:val="EFFF65EF"/>
    <w:rsid w:val="EFFFFD8E"/>
    <w:rsid w:val="F15FE7A9"/>
    <w:rsid w:val="F19DE7BB"/>
    <w:rsid w:val="F26F4C2B"/>
    <w:rsid w:val="F45B22DB"/>
    <w:rsid w:val="F5DD1CD7"/>
    <w:rsid w:val="F6BF149F"/>
    <w:rsid w:val="F7778BBD"/>
    <w:rsid w:val="F77C424A"/>
    <w:rsid w:val="F7E1520D"/>
    <w:rsid w:val="F7F31705"/>
    <w:rsid w:val="F9BF8A60"/>
    <w:rsid w:val="FABD52FD"/>
    <w:rsid w:val="FAFEA17E"/>
    <w:rsid w:val="FB71ED8B"/>
    <w:rsid w:val="FB7F2811"/>
    <w:rsid w:val="FBB61C2C"/>
    <w:rsid w:val="FBFE1A26"/>
    <w:rsid w:val="FBFF0AEC"/>
    <w:rsid w:val="FBFFD0E8"/>
    <w:rsid w:val="FC77B59C"/>
    <w:rsid w:val="FCB5266C"/>
    <w:rsid w:val="FD4FA586"/>
    <w:rsid w:val="FD5BEBD3"/>
    <w:rsid w:val="FD6F0C48"/>
    <w:rsid w:val="FDFF2E5A"/>
    <w:rsid w:val="FECEC7DA"/>
    <w:rsid w:val="FF1F8BB6"/>
    <w:rsid w:val="FF4DEC36"/>
    <w:rsid w:val="FF7238C6"/>
    <w:rsid w:val="FF7D35CF"/>
    <w:rsid w:val="FFBA6F60"/>
    <w:rsid w:val="FFBE9E46"/>
    <w:rsid w:val="FFBF1C56"/>
    <w:rsid w:val="FFBFAB74"/>
    <w:rsid w:val="FFCB316D"/>
    <w:rsid w:val="FFE9A302"/>
    <w:rsid w:val="FFEC3A9F"/>
    <w:rsid w:val="FFF3E6C7"/>
    <w:rsid w:val="FFF7CEDD"/>
    <w:rsid w:val="FFF7D278"/>
    <w:rsid w:val="FFFA056E"/>
    <w:rsid w:val="FFFE0C7C"/>
    <w:rsid w:val="FFFF8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afterLines="0"/>
      <w:ind w:left="420" w:leftChars="200"/>
    </w:pPr>
    <w:rPr>
      <w:sz w:val="16"/>
      <w:szCs w:val="16"/>
    </w:rPr>
  </w:style>
  <w:style w:type="paragraph" w:styleId="6">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7">
    <w:name w:val="Normal (Web)"/>
    <w:basedOn w:val="1"/>
    <w:qFormat/>
    <w:uiPriority w:val="0"/>
    <w:pPr>
      <w:spacing w:beforeAutospacing="1" w:afterAutospacing="1"/>
      <w:jc w:val="left"/>
    </w:pPr>
    <w:rPr>
      <w:kern w:val="0"/>
      <w:sz w:val="24"/>
    </w:rPr>
  </w:style>
  <w:style w:type="paragraph" w:customStyle="1" w:styleId="1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
    <w:name w:val="报告表  段"/>
    <w:basedOn w:val="1"/>
    <w:qFormat/>
    <w:uiPriority w:val="0"/>
    <w:pPr>
      <w:adjustRightInd w:val="0"/>
      <w:spacing w:line="360" w:lineRule="auto"/>
      <w:ind w:firstLine="505"/>
    </w:pPr>
    <w:rPr>
      <w:rFonts w:ascii="Calibri" w:hAnsi="Calibri" w:cs="宋体"/>
    </w:rPr>
  </w:style>
  <w:style w:type="character" w:customStyle="1" w:styleId="12">
    <w:name w:val="页眉 Char"/>
    <w:basedOn w:val="9"/>
    <w:link w:val="4"/>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a正文"/>
    <w:basedOn w:val="15"/>
    <w:qFormat/>
    <w:uiPriority w:val="0"/>
    <w:pPr>
      <w:spacing w:line="520" w:lineRule="exact"/>
      <w:ind w:firstLine="200"/>
    </w:pPr>
    <w:rPr>
      <w:rFonts w:ascii="Times New Roman" w:hAnsi="Times New Roman" w:eastAsia="宋体"/>
    </w:rPr>
  </w:style>
  <w:style w:type="paragraph" w:customStyle="1" w:styleId="15">
    <w:name w:val="正文格式"/>
    <w:basedOn w:val="1"/>
    <w:qFormat/>
    <w:uiPriority w:val="0"/>
    <w:pPr>
      <w:spacing w:line="360" w:lineRule="auto"/>
      <w:ind w:firstLine="420" w:firstLineChars="200"/>
    </w:pPr>
    <w:rPr>
      <w:kern w:val="0"/>
      <w:szCs w:val="21"/>
    </w:rPr>
  </w:style>
  <w:style w:type="paragraph" w:customStyle="1" w:styleId="16">
    <w:name w:val="《正文》"/>
    <w:basedOn w:val="1"/>
    <w:qFormat/>
    <w:uiPriority w:val="0"/>
    <w:pPr>
      <w:spacing w:line="500" w:lineRule="exact"/>
      <w:ind w:firstLine="200" w:firstLineChars="200"/>
    </w:pPr>
    <w:rPr>
      <w:sz w:val="24"/>
    </w:rPr>
  </w:style>
  <w:style w:type="paragraph" w:customStyle="1" w:styleId="17">
    <w:name w:val="首行缩进表格正文"/>
    <w:basedOn w:val="1"/>
    <w:qFormat/>
    <w:uiPriority w:val="0"/>
    <w:pPr>
      <w:spacing w:line="360" w:lineRule="auto"/>
      <w:ind w:firstLine="720" w:firstLineChars="200"/>
      <w:jc w:val="left"/>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1517</Words>
  <Characters>1609</Characters>
  <Lines>16</Lines>
  <Paragraphs>4</Paragraphs>
  <TotalTime>8</TotalTime>
  <ScaleCrop>false</ScaleCrop>
  <LinksUpToDate>false</LinksUpToDate>
  <CharactersWithSpaces>1690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2024-08-17T03:25:00Z</dcterms:created>
  <dc:creator>01</dc:creator>
  <cp:lastModifiedBy>uder</cp:lastModifiedBy>
  <cp:lastPrinted>2025-08-04T10:27:21Z</cp:lastPrinted>
  <dcterms:modified xsi:type="dcterms:W3CDTF">2025-08-04T10:35:41Z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F2603B43AD7B494A90323579F33BE185_13</vt:lpwstr>
  </property>
  <property fmtid="{D5CDD505-2E9C-101B-9397-08002B2CF9AE}" pid="4" name="KSOTemplateDocerSaveRecord">
    <vt:lpwstr>eyJoZGlkIjoiN2FlYmNlYWU4YjIxZTY0NmU5MDRkMWM3Y2ZhNDI5NDkiLCJ1c2VySWQiOiIzMDQ1NDE3MjYifQ==</vt:lpwstr>
  </property>
</Properties>
</file>