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&amp;quot" w:hAnsi="&amp;quot" w:eastAsia="&amp;quot" w:cs="&amp;quot"/>
          <w:i w:val="0"/>
          <w:caps w:val="0"/>
          <w:color w:val="000000"/>
          <w:spacing w:val="0"/>
          <w:kern w:val="0"/>
          <w:sz w:val="36"/>
          <w:szCs w:val="36"/>
          <w:u w:val="none"/>
          <w:lang w:val="en-US" w:eastAsia="zh-CN" w:bidi="ar"/>
        </w:rPr>
      </w:pPr>
      <w:r>
        <w:rPr>
          <w:rFonts w:hint="default" w:ascii="&amp;quot" w:hAnsi="&amp;quot" w:eastAsia="&amp;quot" w:cs="&amp;quot"/>
          <w:i w:val="0"/>
          <w:caps w:val="0"/>
          <w:color w:val="000000"/>
          <w:spacing w:val="0"/>
          <w:kern w:val="0"/>
          <w:sz w:val="36"/>
          <w:szCs w:val="36"/>
          <w:u w:val="none"/>
          <w:lang w:val="en-US" w:eastAsia="zh-CN" w:bidi="ar"/>
        </w:rPr>
        <w:t>鸡西市生态环境局拟作出的建设项目环境影响评价文件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&amp;quot" w:hAnsi="&amp;quot" w:eastAsia="&amp;quot" w:cs="&amp;quot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default" w:ascii="&amp;quot" w:hAnsi="&amp;quot" w:eastAsia="&amp;quot" w:cs="&amp;quot"/>
          <w:i w:val="0"/>
          <w:caps w:val="0"/>
          <w:color w:val="000000"/>
          <w:spacing w:val="0"/>
          <w:kern w:val="0"/>
          <w:sz w:val="36"/>
          <w:szCs w:val="36"/>
          <w:u w:val="none"/>
          <w:lang w:val="en-US" w:eastAsia="zh-CN" w:bidi="ar"/>
        </w:rPr>
        <w:t>批复决定的公示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根据建设项目环境影响评价审批程序的有关规定，经审议，我局作出批复决定。为保证此次审议工作的严肃性和公正性，现将各建设项目环境影响报告书（表）的基本情况予以公示。公示期为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202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31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日－202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日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联系电话：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0467-2386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827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传    真：0467-2386768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通讯地址：鸡西市迎宾街2号鸡西市生态环境局（158100）拟批准的建设项目</w:t>
      </w:r>
    </w:p>
    <w:tbl>
      <w:tblPr>
        <w:tblStyle w:val="15"/>
        <w:tblW w:w="15157" w:type="dxa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  <w:gridCol w:w="1464"/>
        <w:gridCol w:w="587"/>
        <w:gridCol w:w="3110"/>
        <w:gridCol w:w="8735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建设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地点</w:t>
            </w:r>
          </w:p>
        </w:tc>
        <w:tc>
          <w:tcPr>
            <w:tcW w:w="5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3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建设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内容</w:t>
            </w:r>
          </w:p>
        </w:tc>
        <w:tc>
          <w:tcPr>
            <w:tcW w:w="8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主要环境影响及预防或者减轻不良环境影响的对策和措施（*）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2" w:hRule="atLeast"/>
        </w:trPr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鸡西市东北亚矿产资源有限公司三选厂烘干炉改造项目</w:t>
            </w:r>
          </w:p>
        </w:tc>
        <w:tc>
          <w:tcPr>
            <w:tcW w:w="14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鸡西市恒山区柳毛石墨矿区内东北亚矿产资源有限公司三选厂区内</w:t>
            </w:r>
          </w:p>
        </w:tc>
        <w:tc>
          <w:tcPr>
            <w:tcW w:w="5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鸡西市东北亚矿产资源有限公司</w:t>
            </w:r>
          </w:p>
        </w:tc>
        <w:tc>
          <w:tcPr>
            <w:tcW w:w="3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该项目属改扩建工程，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位于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鸡西市恒山区柳毛石墨矿区内东北亚矿产资源有限公司三选厂区内，总占地面积约4.376km2，拆除原有1台型煤链条烘干炉及其换热器，新建1台240万大卡烘干用燃高烃醇燃烧器，1间燃料库，项目总投资16万元，环保投资10万元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firstLine="360" w:firstLineChars="200"/>
              <w:jc w:val="both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CESI宋体-GB2312" w:hAnsi="CESI宋体-GB2312" w:eastAsia="CESI宋体-GB2312" w:cs="CESI宋体-GB2312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sz w:val="18"/>
                <w:szCs w:val="18"/>
                <w:lang w:eastAsia="zh-CN"/>
              </w:rPr>
              <w:t>）大气环境影响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sz w:val="18"/>
                <w:szCs w:val="18"/>
                <w:lang w:val="en-US" w:eastAsia="zh-CN"/>
              </w:rPr>
              <w:t>及保护措施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  <w:t>项目烘干废气经布袋除尘器处理后，由15m高排气筒排放，有组织二氧化硫排放浓度应符合《工业炉窑大气污染物排放标准》（GB9078-1996）中的表4中二级标准，有组织颗粒物、烟气黑度应符合《工业炉窑大气污染物排放标准》（GB9078-1996）中的表2中的二级标准限值要求。厂界无组织颗粒物和非甲烷总烃排放浓度应符合《大气污染物综合排放标准》（GB16297-1996）表2无组织排放监控浓度限值要求。厂房外非甲烷总烃排放浓度应符合《挥发性有机物无组织排放控制标准》（GB37822-2019）表A.1无组织排放限值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CESI宋体-GB2312" w:hAnsi="CESI宋体-GB2312" w:eastAsia="CESI宋体-GB2312" w:cs="CESI宋体-GB2312"/>
                <w:sz w:val="18"/>
                <w:szCs w:val="18"/>
              </w:rPr>
              <w:t>（二）水环境影响及保护措施。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  <w:t>项目无生产用水，生产过程中无废水产生，不新增员工，无新增生活用水。项目采取分区防渗，烘干车间采取一般防渗，等效粘土防渗层Mb≥1.5m，K≤1×10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vertAlign w:val="superscript"/>
                <w:lang w:val="en-US" w:eastAsia="zh-CN" w:bidi="ar-SA"/>
              </w:rPr>
              <w:t>-7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  <w:t>cm/s，燃料库为重点防渗区，采用2mm高密度聚乙烯进行硬化防渗处理，K≤1×10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vertAlign w:val="superscript"/>
                <w:lang w:val="en-US" w:eastAsia="zh-CN" w:bidi="ar-SA"/>
              </w:rPr>
              <w:t>-10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  <w:t>cm/s，燃料储罐四周应设置0.5m高围堰，围堰内采用2mm厚的高密度聚乙烯和水泥混凝土进行防渗处理，K≤1×10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vertAlign w:val="superscript"/>
                <w:lang w:val="en-US" w:eastAsia="zh-CN" w:bidi="ar-SA"/>
              </w:rPr>
              <w:t>-10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  <w:t>cm/s。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/>
              </w:rPr>
              <w:t>（三）声环境影响及保护措施。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  <w:t>项目应选用低噪声设备，采取厂房隔声和基础减振等措施，厂界噪声应符合《工业企业厂界环境噪声排放标准》（GB12348-2008）表1中2类标准限值要求。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/>
              </w:rPr>
              <w:t>（四）固体废物环境影响及保护措施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sz w:val="18"/>
                <w:szCs w:val="18"/>
              </w:rPr>
              <w:t>。项目拆除的型煤链条烘干炉外售处理。布袋除尘器收尘，定期外售综合利用。废布袋定期交由厂家处置。燃料储罐委托有资质单位定期清罐，产生的底泥直接由有资质单位拉运处理，不在厂内贮存。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CESI宋体-GB2312" w:hAnsi="CESI宋体-GB2312" w:eastAsia="CESI宋体-GB2312" w:cs="CESI宋体-GB2312"/>
                <w:sz w:val="18"/>
                <w:szCs w:val="18"/>
              </w:rPr>
              <w:t>（</w:t>
            </w:r>
            <w:r>
              <w:rPr>
                <w:rFonts w:hint="eastAsia" w:ascii="CESI宋体-GB2312" w:hAnsi="CESI宋体-GB2312" w:eastAsia="CESI宋体-GB2312" w:cs="CESI宋体-GB2312"/>
                <w:sz w:val="18"/>
                <w:szCs w:val="18"/>
                <w:lang w:eastAsia="zh-CN"/>
              </w:rPr>
              <w:t>五</w:t>
            </w:r>
            <w:r>
              <w:rPr>
                <w:rFonts w:hint="eastAsia" w:ascii="CESI宋体-GB2312" w:hAnsi="CESI宋体-GB2312" w:eastAsia="CESI宋体-GB2312" w:cs="CESI宋体-GB2312"/>
                <w:sz w:val="18"/>
                <w:szCs w:val="18"/>
              </w:rPr>
              <w:t>）环境风险及保护措施。</w:t>
            </w:r>
            <w:r>
              <w:rPr>
                <w:rFonts w:hint="eastAsia" w:ascii="CESI宋体-GB2312" w:hAnsi="CESI宋体-GB2312" w:eastAsia="CESI宋体-GB2312" w:cs="CESI宋体-GB2312"/>
                <w:color w:val="auto"/>
                <w:kern w:val="0"/>
                <w:sz w:val="18"/>
                <w:szCs w:val="18"/>
                <w:lang w:val="en-US" w:eastAsia="zh-CN" w:bidi="ar-SA"/>
              </w:rPr>
              <w:t>项目应严格落实《报告表》中提出的风险防范措施，编制环境风险应急预案，加强风险点位预警、预防，防止风险事故发生。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2010600030101010101"/>
    <w:charset w:val="34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&amp;quot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ucida Sans">
    <w:altName w:val="Noto Music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E12A1"/>
    <w:multiLevelType w:val="singleLevel"/>
    <w:tmpl w:val="FDFE12A1"/>
    <w:lvl w:ilvl="0" w:tentative="0">
      <w:start w:val="1"/>
      <w:numFmt w:val="bullet"/>
      <w:pStyle w:val="8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jZGI5ZDA4MTUyYjFjYWExNzgyNjI4YjU5MzRmMTMifQ=="/>
  </w:docVars>
  <w:rsids>
    <w:rsidRoot w:val="6B377D35"/>
    <w:rsid w:val="040E4592"/>
    <w:rsid w:val="076612FD"/>
    <w:rsid w:val="09A7140C"/>
    <w:rsid w:val="0E7ACC83"/>
    <w:rsid w:val="110F0C44"/>
    <w:rsid w:val="130F77D9"/>
    <w:rsid w:val="17AE3410"/>
    <w:rsid w:val="1D2F2BCE"/>
    <w:rsid w:val="1D861DB8"/>
    <w:rsid w:val="1E196466"/>
    <w:rsid w:val="218213D4"/>
    <w:rsid w:val="25655D09"/>
    <w:rsid w:val="29931E2D"/>
    <w:rsid w:val="2AC81AE5"/>
    <w:rsid w:val="2CEA3042"/>
    <w:rsid w:val="2FBE8887"/>
    <w:rsid w:val="2FEC4EF8"/>
    <w:rsid w:val="33027488"/>
    <w:rsid w:val="39143477"/>
    <w:rsid w:val="3BF77FC6"/>
    <w:rsid w:val="3DAE63B0"/>
    <w:rsid w:val="3F7F503A"/>
    <w:rsid w:val="41D95124"/>
    <w:rsid w:val="46D848FC"/>
    <w:rsid w:val="47617299"/>
    <w:rsid w:val="47B66A16"/>
    <w:rsid w:val="4D0441DA"/>
    <w:rsid w:val="519B5BA8"/>
    <w:rsid w:val="51EF1857"/>
    <w:rsid w:val="5858676C"/>
    <w:rsid w:val="5D395350"/>
    <w:rsid w:val="5EDE2FA2"/>
    <w:rsid w:val="5FEF414A"/>
    <w:rsid w:val="5FFE6F37"/>
    <w:rsid w:val="5FFEA382"/>
    <w:rsid w:val="633E6678"/>
    <w:rsid w:val="63AE49BA"/>
    <w:rsid w:val="64E12B6B"/>
    <w:rsid w:val="64F44BE8"/>
    <w:rsid w:val="669453A6"/>
    <w:rsid w:val="6848029D"/>
    <w:rsid w:val="69B41A5D"/>
    <w:rsid w:val="6B377D35"/>
    <w:rsid w:val="6D3A38C5"/>
    <w:rsid w:val="6EE9782E"/>
    <w:rsid w:val="6F7E6760"/>
    <w:rsid w:val="725B3DA3"/>
    <w:rsid w:val="7446341B"/>
    <w:rsid w:val="768F2C13"/>
    <w:rsid w:val="76D34549"/>
    <w:rsid w:val="77A57DB1"/>
    <w:rsid w:val="77BD6E2B"/>
    <w:rsid w:val="7BF60719"/>
    <w:rsid w:val="7D7A0EE6"/>
    <w:rsid w:val="7DC11491"/>
    <w:rsid w:val="7E9D690A"/>
    <w:rsid w:val="7EFFEFAE"/>
    <w:rsid w:val="7F375B9A"/>
    <w:rsid w:val="7FEF11F0"/>
    <w:rsid w:val="7FFE1321"/>
    <w:rsid w:val="86AB0FD6"/>
    <w:rsid w:val="8BBF971D"/>
    <w:rsid w:val="9BF9750E"/>
    <w:rsid w:val="9FDC0EF5"/>
    <w:rsid w:val="A7D60E82"/>
    <w:rsid w:val="B35E7DAF"/>
    <w:rsid w:val="B7DBE85C"/>
    <w:rsid w:val="B8FD5660"/>
    <w:rsid w:val="B9CFB7C1"/>
    <w:rsid w:val="BFCFAE5D"/>
    <w:rsid w:val="BFDEDAA4"/>
    <w:rsid w:val="BFEBF835"/>
    <w:rsid w:val="C3EAB62C"/>
    <w:rsid w:val="CF5E5CB8"/>
    <w:rsid w:val="D4FB274E"/>
    <w:rsid w:val="DCABFACB"/>
    <w:rsid w:val="DFEF964C"/>
    <w:rsid w:val="DFFAAD0D"/>
    <w:rsid w:val="DFFFCE3E"/>
    <w:rsid w:val="E3FE8661"/>
    <w:rsid w:val="EE7F86FD"/>
    <w:rsid w:val="EED2702A"/>
    <w:rsid w:val="EFEFEF1D"/>
    <w:rsid w:val="F5F83DCE"/>
    <w:rsid w:val="F97CC72F"/>
    <w:rsid w:val="F9FD4BBF"/>
    <w:rsid w:val="FA3C10F0"/>
    <w:rsid w:val="FAFF9FCF"/>
    <w:rsid w:val="FBDCF0AD"/>
    <w:rsid w:val="FBFC3F6B"/>
    <w:rsid w:val="FDBD7D21"/>
    <w:rsid w:val="FDE78ADE"/>
    <w:rsid w:val="FDFF975D"/>
    <w:rsid w:val="FEED2AF2"/>
    <w:rsid w:val="FEF33D50"/>
    <w:rsid w:val="FF22ADD0"/>
    <w:rsid w:val="FF4D7239"/>
    <w:rsid w:val="FF6E6270"/>
    <w:rsid w:val="FFFC7342"/>
    <w:rsid w:val="FFFE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widowControl w:val="0"/>
      <w:jc w:val="center"/>
      <w:outlineLvl w:val="0"/>
    </w:pPr>
    <w:rPr>
      <w:rFonts w:ascii="Times New Roman"/>
      <w:kern w:val="2"/>
      <w:sz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spacing w:line="440" w:lineRule="atLeast"/>
      <w:jc w:val="center"/>
      <w:outlineLvl w:val="1"/>
    </w:pPr>
    <w:rPr>
      <w:sz w:val="24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tabs>
        <w:tab w:val="left" w:pos="454"/>
      </w:tabs>
      <w:spacing w:before="260" w:after="260" w:line="416" w:lineRule="auto"/>
      <w:ind w:firstLine="0" w:firstLineChars="0"/>
      <w:outlineLvl w:val="2"/>
    </w:pPr>
    <w:rPr>
      <w:rFonts w:eastAsia="黑体"/>
      <w:bCs/>
      <w:sz w:val="28"/>
      <w:szCs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after="120"/>
      <w:outlineLvl w:val="3"/>
    </w:pPr>
    <w:rPr>
      <w:bCs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80" w:leftChars="200" w:firstLine="0" w:firstLineChars="0"/>
    </w:pPr>
    <w:rPr>
      <w:rFonts w:ascii="Times New Roman" w:hAnsi="Times New Roman" w:eastAsia="宋体"/>
    </w:rPr>
  </w:style>
  <w:style w:type="paragraph" w:styleId="7">
    <w:name w:val="Body Text"/>
    <w:basedOn w:val="1"/>
    <w:next w:val="8"/>
    <w:qFormat/>
    <w:uiPriority w:val="0"/>
    <w:pPr>
      <w:spacing w:line="400" w:lineRule="exact"/>
    </w:pPr>
    <w:rPr>
      <w:rFonts w:ascii="宋体"/>
      <w:sz w:val="24"/>
    </w:rPr>
  </w:style>
  <w:style w:type="paragraph" w:styleId="8">
    <w:name w:val="List Bullet 5"/>
    <w:basedOn w:val="1"/>
    <w:qFormat/>
    <w:uiPriority w:val="0"/>
    <w:pPr>
      <w:numPr>
        <w:ilvl w:val="0"/>
        <w:numId w:val="1"/>
      </w:numPr>
    </w:pPr>
  </w:style>
  <w:style w:type="paragraph" w:styleId="9">
    <w:name w:val="Body Text Indent"/>
    <w:basedOn w:val="1"/>
    <w:qFormat/>
    <w:uiPriority w:val="0"/>
    <w:pPr>
      <w:spacing w:after="120"/>
      <w:ind w:left="420"/>
    </w:pPr>
    <w:rPr>
      <w:rFonts w:ascii="Times New Roman"/>
      <w:szCs w:val="24"/>
    </w:rPr>
  </w:style>
  <w:style w:type="paragraph" w:styleId="10">
    <w:name w:val="Body Text Indent 2"/>
    <w:basedOn w:val="1"/>
    <w:next w:val="1"/>
    <w:qFormat/>
    <w:uiPriority w:val="0"/>
    <w:pPr>
      <w:spacing w:after="120" w:line="480" w:lineRule="auto"/>
      <w:ind w:left="420" w:leftChars="200"/>
    </w:pPr>
  </w:style>
  <w:style w:type="paragraph" w:styleId="11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eastAsia="宋体" w:cs="Arial"/>
    </w:rPr>
  </w:style>
  <w:style w:type="paragraph" w:styleId="12">
    <w:name w:val="Normal (Web)"/>
    <w:basedOn w:val="1"/>
    <w:qFormat/>
    <w:uiPriority w:val="0"/>
    <w:pPr>
      <w:widowControl/>
      <w:jc w:val="left"/>
    </w:pPr>
    <w:rPr>
      <w:rFonts w:hint="eastAsia" w:ascii="宋体" w:hAnsi="宋体" w:cs="宋体"/>
      <w:kern w:val="0"/>
      <w:sz w:val="24"/>
    </w:rPr>
  </w:style>
  <w:style w:type="paragraph" w:styleId="13">
    <w:name w:val="Body Text First Indent"/>
    <w:basedOn w:val="1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4">
    <w:name w:val="Body Text First Indent 2"/>
    <w:basedOn w:val="9"/>
    <w:next w:val="13"/>
    <w:qFormat/>
    <w:uiPriority w:val="0"/>
    <w:pPr>
      <w:ind w:firstLine="420" w:firstLineChars="200"/>
    </w:p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annotation reference"/>
    <w:basedOn w:val="17"/>
    <w:qFormat/>
    <w:uiPriority w:val="0"/>
    <w:rPr>
      <w:rFonts w:ascii="宋体"/>
      <w:sz w:val="21"/>
      <w:szCs w:val="21"/>
      <w:lang w:val="en-US" w:eastAsia="zh-CN" w:bidi="ar-SA"/>
    </w:rPr>
  </w:style>
  <w:style w:type="paragraph" w:customStyle="1" w:styleId="19">
    <w:name w:val="Default"/>
    <w:basedOn w:val="20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20">
    <w:name w:val="纯文本1"/>
    <w:qFormat/>
    <w:uiPriority w:val="0"/>
    <w:pPr>
      <w:adjustRightInd w:val="0"/>
      <w:jc w:val="center"/>
      <w:textAlignment w:val="baseline"/>
    </w:pPr>
    <w:rPr>
      <w:rFonts w:ascii="宋体" w:hAnsi="Courier New" w:eastAsia="宋体" w:cs="Times New Roman"/>
      <w:sz w:val="24"/>
      <w:lang w:val="en-US" w:eastAsia="zh-CN" w:bidi="ar-SA"/>
    </w:rPr>
  </w:style>
  <w:style w:type="paragraph" w:customStyle="1" w:styleId="21">
    <w:name w:val="正文格式"/>
    <w:basedOn w:val="1"/>
    <w:next w:val="1"/>
    <w:qFormat/>
    <w:uiPriority w:val="0"/>
    <w:pPr>
      <w:spacing w:line="360" w:lineRule="auto"/>
      <w:ind w:firstLine="482"/>
    </w:pPr>
    <w:rPr>
      <w:sz w:val="24"/>
      <w:szCs w:val="24"/>
    </w:rPr>
  </w:style>
  <w:style w:type="paragraph" w:customStyle="1" w:styleId="22">
    <w:name w:val="样式 标题 1 + 首行缩进:  2 字符"/>
    <w:basedOn w:val="7"/>
    <w:next w:val="1"/>
    <w:qFormat/>
    <w:uiPriority w:val="0"/>
    <w:pPr>
      <w:widowControl w:val="0"/>
      <w:ind w:firstLine="200" w:firstLineChars="200"/>
      <w:jc w:val="center"/>
    </w:pPr>
    <w:rPr>
      <w:rFonts w:ascii="宋体" w:hAnsi="宋体" w:eastAsia="宋体" w:cs="宋体"/>
      <w:kern w:val="2"/>
      <w:sz w:val="24"/>
      <w:szCs w:val="20"/>
      <w:lang w:val="en-US" w:eastAsia="zh-CN" w:bidi="ar-SA"/>
    </w:rPr>
  </w:style>
  <w:style w:type="paragraph" w:customStyle="1" w:styleId="23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4">
    <w:name w:val="_Style 4"/>
    <w:qFormat/>
    <w:uiPriority w:val="1"/>
    <w:pPr>
      <w:widowControl w:val="0"/>
      <w:spacing w:line="440" w:lineRule="exact"/>
      <w:jc w:val="both"/>
    </w:pPr>
    <w:rPr>
      <w:rFonts w:ascii="Calibri" w:hAnsi="Calibri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25">
    <w:name w:val="11111"/>
    <w:basedOn w:val="1"/>
    <w:next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</w:rPr>
  </w:style>
  <w:style w:type="paragraph" w:customStyle="1" w:styleId="26">
    <w:name w:val="【正文】"/>
    <w:basedOn w:val="1"/>
    <w:next w:val="11"/>
    <w:link w:val="30"/>
    <w:qFormat/>
    <w:uiPriority w:val="0"/>
    <w:pPr>
      <w:spacing w:line="480" w:lineRule="exact"/>
      <w:ind w:firstLine="200" w:firstLineChars="200"/>
    </w:pPr>
    <w:rPr>
      <w:rFonts w:ascii="Times New Roman" w:hAnsi="Times New Roman" w:eastAsia="宋体" w:cs="Times New Roman"/>
      <w:sz w:val="28"/>
      <w:szCs w:val="24"/>
    </w:rPr>
  </w:style>
  <w:style w:type="paragraph" w:customStyle="1" w:styleId="27">
    <w:name w:val="【标题3】"/>
    <w:basedOn w:val="5"/>
    <w:qFormat/>
    <w:uiPriority w:val="0"/>
    <w:pPr>
      <w:keepNext w:val="0"/>
      <w:widowControl w:val="0"/>
      <w:numPr>
        <w:ilvl w:val="0"/>
        <w:numId w:val="0"/>
      </w:numPr>
      <w:tabs>
        <w:tab w:val="clear" w:pos="454"/>
      </w:tabs>
      <w:spacing w:before="120" w:after="120" w:line="380" w:lineRule="exact"/>
    </w:pPr>
    <w:rPr>
      <w:rFonts w:ascii="Times New Roman" w:hAnsi="Times New Roman"/>
      <w:bCs w:val="0"/>
      <w:szCs w:val="20"/>
      <w:lang w:val="en-US" w:eastAsia="zh-CN"/>
    </w:rPr>
  </w:style>
  <w:style w:type="paragraph" w:customStyle="1" w:styleId="28">
    <w:name w:val="正文（首行缩进两字） Char"/>
    <w:basedOn w:val="1"/>
    <w:qFormat/>
    <w:uiPriority w:val="0"/>
    <w:pPr>
      <w:widowControl/>
      <w:spacing w:line="360" w:lineRule="auto"/>
      <w:ind w:firstLine="420"/>
      <w:jc w:val="both"/>
    </w:pPr>
    <w:rPr>
      <w:rFonts w:ascii="Times New Roman" w:eastAsia="宋体"/>
      <w:szCs w:val="20"/>
    </w:rPr>
  </w:style>
  <w:style w:type="character" w:customStyle="1" w:styleId="29">
    <w:name w:val="font22"/>
    <w:basedOn w:val="17"/>
    <w:qFormat/>
    <w:uiPriority w:val="0"/>
    <w:rPr>
      <w:rFonts w:hint="eastAsia" w:ascii="宋体" w:hAnsi="宋体" w:eastAsia="宋体" w:cs="宋体"/>
      <w:color w:val="0D0D0D"/>
      <w:sz w:val="18"/>
      <w:szCs w:val="18"/>
      <w:u w:val="single"/>
    </w:rPr>
  </w:style>
  <w:style w:type="character" w:customStyle="1" w:styleId="30">
    <w:name w:val="【正文】 Char"/>
    <w:link w:val="26"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customStyle="1" w:styleId="31">
    <w:name w:val="正文00"/>
    <w:basedOn w:val="1"/>
    <w:qFormat/>
    <w:uiPriority w:val="0"/>
    <w:pPr>
      <w:spacing w:line="500" w:lineRule="exact"/>
      <w:ind w:firstLine="200" w:firstLineChars="200"/>
    </w:pPr>
    <w:rPr>
      <w:rFonts w:eastAsia="华文中宋"/>
      <w:kern w:val="2"/>
      <w:sz w:val="28"/>
      <w:szCs w:val="28"/>
      <w:lang w:val="en-US" w:eastAsia="zh-CN" w:bidi="ar-SA"/>
    </w:rPr>
  </w:style>
  <w:style w:type="paragraph" w:customStyle="1" w:styleId="32">
    <w:name w:val="表格内"/>
    <w:basedOn w:val="1"/>
    <w:next w:val="1"/>
    <w:qFormat/>
    <w:uiPriority w:val="0"/>
    <w:pPr>
      <w:widowControl w:val="0"/>
      <w:spacing w:line="360" w:lineRule="auto"/>
      <w:jc w:val="center"/>
    </w:pPr>
    <w:rPr>
      <w:rFonts w:ascii="Times New Roman"/>
      <w:kern w:val="2"/>
      <w:sz w:val="21"/>
      <w:szCs w:val="21"/>
      <w:lang w:val="zh-CN"/>
    </w:rPr>
  </w:style>
  <w:style w:type="paragraph" w:customStyle="1" w:styleId="33">
    <w:name w:val="表格标题"/>
    <w:qFormat/>
    <w:uiPriority w:val="0"/>
    <w:pPr>
      <w:widowControl w:val="0"/>
      <w:adjustRightInd w:val="0"/>
      <w:snapToGrid w:val="0"/>
      <w:spacing w:line="480" w:lineRule="exact"/>
      <w:ind w:firstLine="200" w:firstLineChars="200"/>
      <w:jc w:val="center"/>
    </w:pPr>
    <w:rPr>
      <w:rFonts w:ascii="Times New Roman" w:hAnsi="Times New Roman" w:eastAsia="黑体" w:cs="Times New Roman"/>
      <w:snapToGrid w:val="0"/>
      <w:sz w:val="24"/>
      <w:szCs w:val="24"/>
      <w:lang w:val="en-US" w:eastAsia="zh-CN" w:bidi="ar-SA"/>
    </w:rPr>
  </w:style>
  <w:style w:type="paragraph" w:customStyle="1" w:styleId="34">
    <w:name w:val="a正文"/>
    <w:basedOn w:val="21"/>
    <w:qFormat/>
    <w:uiPriority w:val="0"/>
    <w:pPr>
      <w:spacing w:line="520" w:lineRule="exact"/>
      <w:ind w:firstLine="200" w:firstLineChars="200"/>
    </w:pPr>
    <w:rPr>
      <w:rFonts w:ascii="Times New Roman" w:hAnsi="Times New Roman" w:eastAsia="宋体"/>
      <w:kern w:val="0"/>
      <w:sz w:val="24"/>
      <w:szCs w:val="21"/>
    </w:rPr>
  </w:style>
  <w:style w:type="character" w:customStyle="1" w:styleId="35">
    <w:name w:val="fontstyle01"/>
    <w:qFormat/>
    <w:uiPriority w:val="0"/>
    <w:rPr>
      <w:rFonts w:ascii="仿宋" w:hAnsi="仿宋" w:eastAsia="仿宋" w:cs="仿宋"/>
      <w:color w:val="000000"/>
      <w:sz w:val="24"/>
      <w:szCs w:val="24"/>
    </w:rPr>
  </w:style>
  <w:style w:type="paragraph" w:styleId="36">
    <w:name w:val="No Spacing"/>
    <w:qFormat/>
    <w:uiPriority w:val="0"/>
    <w:pPr>
      <w:widowControl w:val="0"/>
      <w:jc w:val="center"/>
      <w:textAlignment w:val="center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报告表  段"/>
    <w:basedOn w:val="1"/>
    <w:qFormat/>
    <w:uiPriority w:val="0"/>
    <w:pPr>
      <w:adjustRightInd w:val="0"/>
      <w:spacing w:line="360" w:lineRule="auto"/>
      <w:ind w:firstLine="505"/>
    </w:pPr>
    <w:rPr>
      <w:rFonts w:ascii="Calibri" w:hAnsi="Calibri" w:cs="宋体"/>
    </w:rPr>
  </w:style>
  <w:style w:type="paragraph" w:customStyle="1" w:styleId="38">
    <w:name w:val="我的正文"/>
    <w:basedOn w:val="1"/>
    <w:qFormat/>
    <w:uiPriority w:val="0"/>
    <w:pPr>
      <w:adjustRightInd w:val="0"/>
      <w:snapToGrid w:val="0"/>
      <w:spacing w:line="480" w:lineRule="exact"/>
      <w:ind w:firstLine="720" w:firstLineChars="200"/>
      <w:jc w:val="left"/>
    </w:pPr>
    <w:rPr>
      <w:rFonts w:ascii="Times New Roman" w:hAnsi="Times New Roman" w:eastAsia="宋体" w:cs="宋体"/>
      <w:bCs/>
      <w:szCs w:val="21"/>
    </w:rPr>
  </w:style>
  <w:style w:type="paragraph" w:customStyle="1" w:styleId="39">
    <w:name w:val="首行缩进正文"/>
    <w:basedOn w:val="26"/>
    <w:qFormat/>
    <w:uiPriority w:val="0"/>
    <w:rPr>
      <w:sz w:val="21"/>
    </w:rPr>
  </w:style>
  <w:style w:type="paragraph" w:customStyle="1" w:styleId="40">
    <w:name w:val="报告书正文"/>
    <w:basedOn w:val="1"/>
    <w:qFormat/>
    <w:uiPriority w:val="0"/>
    <w:pPr>
      <w:adjustRightInd w:val="0"/>
      <w:snapToGrid w:val="0"/>
      <w:spacing w:line="360" w:lineRule="auto"/>
      <w:ind w:firstLine="425"/>
      <w:textAlignment w:val="baseline"/>
    </w:pPr>
    <w:rPr>
      <w:rFonts w:ascii="Arial" w:hAnsi="Arial" w:eastAsia="宋体" w:cs="Times New Roman"/>
      <w:kern w:val="0"/>
      <w:sz w:val="24"/>
    </w:rPr>
  </w:style>
  <w:style w:type="paragraph" w:customStyle="1" w:styleId="41">
    <w:name w:val="Char Char Char Char Char Char Char2"/>
    <w:basedOn w:val="1"/>
    <w:qFormat/>
    <w:uiPriority w:val="0"/>
    <w:pPr>
      <w:snapToGrid w:val="0"/>
      <w:spacing w:line="360" w:lineRule="auto"/>
      <w:ind w:firstLine="529" w:firstLineChars="200"/>
    </w:pPr>
    <w:rPr>
      <w:rFonts w:ascii="Times New Roman" w:hAnsi="Times New Roman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610</Words>
  <Characters>674</Characters>
  <Lines>0</Lines>
  <Paragraphs>0</Paragraphs>
  <TotalTime>0</TotalTime>
  <ScaleCrop>false</ScaleCrop>
  <LinksUpToDate>false</LinksUpToDate>
  <CharactersWithSpaces>679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2019-07-10T22:35:00Z</dcterms:created>
  <dc:creator>01</dc:creator>
  <cp:lastModifiedBy>greatwall</cp:lastModifiedBy>
  <dcterms:modified xsi:type="dcterms:W3CDTF">2025-01-08T10:55:55Z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D0288DE324004EC98EA9DAD2D42A6BE8_13</vt:lpwstr>
  </property>
</Properties>
</file>