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Theme="majorEastAsia" w:hAnsiTheme="majorEastAsia" w:eastAsiaTheme="majorEastAsia" w:cstheme="majorEastAsia"/>
          <w:i w:val="0"/>
          <w:caps w:val="0"/>
          <w:color w:val="000000"/>
          <w:spacing w:val="0"/>
          <w:sz w:val="36"/>
          <w:szCs w:val="36"/>
          <w:u w:val="none"/>
        </w:rPr>
      </w:pPr>
      <w:r>
        <w:rPr>
          <w:rFonts w:hint="eastAsia" w:asciiTheme="majorEastAsia" w:hAnsiTheme="majorEastAsia" w:eastAsiaTheme="majorEastAsia" w:cstheme="majorEastAsia"/>
          <w:i w:val="0"/>
          <w:caps w:val="0"/>
          <w:color w:val="000000"/>
          <w:spacing w:val="0"/>
          <w:kern w:val="0"/>
          <w:sz w:val="36"/>
          <w:szCs w:val="36"/>
          <w:u w:val="none"/>
          <w:lang w:val="en-US" w:eastAsia="zh-CN" w:bidi="ar"/>
        </w:rPr>
        <w:t>鸡西市生态环境局作出的建设项目环境影响评价文件批复决定的公告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left"/>
        <w:rPr>
          <w:rFonts w:hint="default" w:ascii="&amp;quot" w:hAnsi="&amp;quot" w:eastAsia="&amp;quot" w:cs="&amp;quot"/>
          <w:i w:val="0"/>
          <w:caps w:val="0"/>
          <w:color w:val="000000"/>
          <w:spacing w:val="0"/>
          <w:sz w:val="21"/>
          <w:szCs w:val="21"/>
          <w:u w:val="none"/>
        </w:rPr>
      </w:pPr>
      <w:r>
        <w:rPr>
          <w:rFonts w:hint="default" w:ascii="&amp;quot" w:hAnsi="&amp;quot" w:eastAsia="&amp;quot" w:cs="&amp;quot"/>
          <w:i w:val="0"/>
          <w:caps w:val="0"/>
          <w:color w:val="000000"/>
          <w:spacing w:val="0"/>
          <w:kern w:val="0"/>
          <w:sz w:val="21"/>
          <w:szCs w:val="21"/>
          <w:u w:val="none"/>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i w:val="0"/>
          <w:caps w:val="0"/>
          <w:color w:val="000000"/>
          <w:spacing w:val="0"/>
          <w:sz w:val="24"/>
          <w:szCs w:val="24"/>
          <w:u w:val="none"/>
        </w:rPr>
      </w:pPr>
      <w:r>
        <w:rPr>
          <w:rFonts w:hint="eastAsia" w:asciiTheme="minorEastAsia" w:hAnsiTheme="minorEastAsia" w:eastAsiaTheme="minorEastAsia" w:cstheme="minorEastAsia"/>
          <w:i w:val="0"/>
          <w:caps w:val="0"/>
          <w:color w:val="000000"/>
          <w:spacing w:val="0"/>
          <w:kern w:val="0"/>
          <w:sz w:val="24"/>
          <w:szCs w:val="24"/>
          <w:u w:val="none"/>
          <w:lang w:val="en-US" w:eastAsia="zh-CN" w:bidi="ar"/>
        </w:rPr>
        <w:t>一、作出的建设项目环境影响评价批复决定 </w:t>
      </w:r>
    </w:p>
    <w:tbl>
      <w:tblPr>
        <w:tblStyle w:val="9"/>
        <w:tblW w:w="11459" w:type="dxa"/>
        <w:jc w:val="center"/>
        <w:shd w:val="clear" w:color="auto" w:fill="auto"/>
        <w:tblLayout w:type="fixed"/>
        <w:tblCellMar>
          <w:top w:w="0" w:type="dxa"/>
          <w:left w:w="0" w:type="dxa"/>
          <w:bottom w:w="0" w:type="dxa"/>
          <w:right w:w="0" w:type="dxa"/>
        </w:tblCellMar>
      </w:tblPr>
      <w:tblGrid>
        <w:gridCol w:w="1447"/>
        <w:gridCol w:w="2201"/>
        <w:gridCol w:w="1287"/>
        <w:gridCol w:w="1824"/>
        <w:gridCol w:w="1485"/>
        <w:gridCol w:w="1478"/>
        <w:gridCol w:w="1737"/>
      </w:tblGrid>
      <w:tr>
        <w:tblPrEx>
          <w:shd w:val="clear" w:color="auto" w:fill="auto"/>
          <w:tblCellMar>
            <w:top w:w="0" w:type="dxa"/>
            <w:left w:w="0" w:type="dxa"/>
            <w:bottom w:w="0" w:type="dxa"/>
            <w:right w:w="0" w:type="dxa"/>
          </w:tblCellMar>
        </w:tblPrEx>
        <w:trPr>
          <w:trHeight w:val="572" w:hRule="atLeast"/>
          <w:jc w:val="center"/>
        </w:trPr>
        <w:tc>
          <w:tcPr>
            <w:tcW w:w="144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kern w:val="0"/>
                <w:sz w:val="18"/>
                <w:szCs w:val="18"/>
                <w:lang w:val="en-US" w:eastAsia="zh-CN" w:bidi="ar"/>
              </w:rPr>
              <w:t>序号</w:t>
            </w:r>
          </w:p>
        </w:tc>
        <w:tc>
          <w:tcPr>
            <w:tcW w:w="2201" w:type="dxa"/>
            <w:tcBorders>
              <w:top w:val="single" w:color="000000" w:sz="4" w:space="0"/>
              <w:left w:val="nil"/>
              <w:bottom w:val="single" w:color="000000" w:sz="4" w:space="0"/>
              <w:right w:val="single" w:color="000000" w:sz="4"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kern w:val="0"/>
                <w:sz w:val="18"/>
                <w:szCs w:val="18"/>
                <w:lang w:val="en-US" w:eastAsia="zh-CN" w:bidi="ar"/>
              </w:rPr>
              <w:t>批复名称</w:t>
            </w:r>
          </w:p>
        </w:tc>
        <w:tc>
          <w:tcPr>
            <w:tcW w:w="1287" w:type="dxa"/>
            <w:tcBorders>
              <w:top w:val="single" w:color="000000" w:sz="4" w:space="0"/>
              <w:left w:val="nil"/>
              <w:bottom w:val="single" w:color="000000" w:sz="4" w:space="0"/>
              <w:right w:val="single" w:color="000000" w:sz="4"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kern w:val="0"/>
                <w:sz w:val="18"/>
                <w:szCs w:val="18"/>
                <w:lang w:val="en-US" w:eastAsia="zh-CN" w:bidi="ar"/>
              </w:rPr>
              <w:t>审批文号</w:t>
            </w:r>
          </w:p>
        </w:tc>
        <w:tc>
          <w:tcPr>
            <w:tcW w:w="1824" w:type="dxa"/>
            <w:tcBorders>
              <w:top w:val="single" w:color="000000" w:sz="4" w:space="0"/>
              <w:left w:val="nil"/>
              <w:bottom w:val="single" w:color="000000" w:sz="4" w:space="0"/>
              <w:right w:val="single" w:color="000000" w:sz="4"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kern w:val="0"/>
                <w:sz w:val="18"/>
                <w:szCs w:val="18"/>
                <w:lang w:val="en-US" w:eastAsia="zh-CN" w:bidi="ar"/>
              </w:rPr>
              <w:t>审批时间</w:t>
            </w:r>
          </w:p>
        </w:tc>
        <w:tc>
          <w:tcPr>
            <w:tcW w:w="1485" w:type="dxa"/>
            <w:tcBorders>
              <w:top w:val="single" w:color="000000" w:sz="4" w:space="0"/>
              <w:left w:val="nil"/>
              <w:bottom w:val="single" w:color="000000" w:sz="4" w:space="0"/>
              <w:right w:val="single" w:color="000000" w:sz="4"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kern w:val="0"/>
                <w:sz w:val="18"/>
                <w:szCs w:val="18"/>
                <w:lang w:val="en-US" w:eastAsia="zh-CN" w:bidi="ar"/>
              </w:rPr>
              <w:t>项目名称</w:t>
            </w:r>
          </w:p>
        </w:tc>
        <w:tc>
          <w:tcPr>
            <w:tcW w:w="1478" w:type="dxa"/>
            <w:tcBorders>
              <w:top w:val="single" w:color="000000" w:sz="4" w:space="0"/>
              <w:left w:val="nil"/>
              <w:bottom w:val="single" w:color="000000" w:sz="4" w:space="0"/>
              <w:right w:val="single" w:color="000000" w:sz="4"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kern w:val="0"/>
                <w:sz w:val="18"/>
                <w:szCs w:val="18"/>
                <w:lang w:val="en-US" w:eastAsia="zh-CN" w:bidi="ar"/>
              </w:rPr>
              <w:t>建设地点</w:t>
            </w:r>
          </w:p>
        </w:tc>
        <w:tc>
          <w:tcPr>
            <w:tcW w:w="1737" w:type="dxa"/>
            <w:tcBorders>
              <w:top w:val="single" w:color="000000" w:sz="4" w:space="0"/>
              <w:left w:val="nil"/>
              <w:bottom w:val="single" w:color="000000" w:sz="4" w:space="0"/>
              <w:right w:val="single" w:color="000000" w:sz="4"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kern w:val="0"/>
                <w:sz w:val="18"/>
                <w:szCs w:val="18"/>
                <w:lang w:val="en-US" w:eastAsia="zh-CN" w:bidi="ar"/>
              </w:rPr>
              <w:t>建设单位</w:t>
            </w:r>
          </w:p>
        </w:tc>
      </w:tr>
      <w:tr>
        <w:tblPrEx>
          <w:tblCellMar>
            <w:top w:w="0" w:type="dxa"/>
            <w:left w:w="0" w:type="dxa"/>
            <w:bottom w:w="0" w:type="dxa"/>
            <w:right w:w="0" w:type="dxa"/>
          </w:tblCellMar>
        </w:tblPrEx>
        <w:trPr>
          <w:trHeight w:val="2220" w:hRule="atLeast"/>
          <w:jc w:val="center"/>
        </w:trPr>
        <w:tc>
          <w:tcPr>
            <w:tcW w:w="144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450" w:lineRule="atLeast"/>
              <w:ind w:left="0" w:leftChars="0" w:right="0" w:rightChars="0" w:firstLine="480" w:firstLineChars="0"/>
              <w:jc w:val="center"/>
              <w:rPr>
                <w:rFonts w:hint="eastAsia" w:asciiTheme="minorEastAsia" w:hAnsiTheme="minorEastAsia" w:eastAsiaTheme="minorEastAsia" w:cstheme="minorEastAsia"/>
                <w:sz w:val="18"/>
                <w:szCs w:val="18"/>
              </w:rPr>
            </w:pPr>
            <w:r>
              <w:rPr>
                <w:rFonts w:ascii="宋体" w:hAnsi="宋体" w:eastAsia="宋体" w:cs="宋体"/>
                <w:kern w:val="0"/>
                <w:sz w:val="21"/>
                <w:szCs w:val="21"/>
                <w:lang w:val="en-US" w:eastAsia="zh-CN" w:bidi="ar"/>
              </w:rPr>
              <w:t>1</w:t>
            </w:r>
          </w:p>
        </w:tc>
        <w:tc>
          <w:tcPr>
            <w:tcW w:w="2201"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pageBreakBefore w:val="0"/>
              <w:widowControl w:val="0"/>
              <w:kinsoku/>
              <w:wordWrap/>
              <w:overflowPunct/>
              <w:topLinePunct w:val="0"/>
              <w:autoSpaceDE/>
              <w:autoSpaceDN w:val="0"/>
              <w:bidi w:val="0"/>
              <w:adjustRightInd/>
              <w:snapToGrid/>
              <w:spacing w:beforeAutospacing="0" w:afterAutospacing="0" w:line="240" w:lineRule="auto"/>
              <w:ind w:left="0" w:leftChars="0" w:right="0" w:rightChars="0"/>
              <w:textAlignment w:val="auto"/>
              <w:outlineLvl w:val="9"/>
              <w:rPr>
                <w:rFonts w:hint="eastAsia" w:asciiTheme="minorEastAsia" w:hAnsiTheme="minorEastAsia" w:eastAsiaTheme="minorEastAsia" w:cstheme="minorEastAsia"/>
                <w:sz w:val="18"/>
                <w:szCs w:val="18"/>
                <w:lang w:eastAsia="zh-CN"/>
              </w:rPr>
            </w:pPr>
            <w:r>
              <w:rPr>
                <w:rFonts w:hint="eastAsia"/>
                <w:sz w:val="21"/>
                <w:szCs w:val="21"/>
                <w:lang w:eastAsia="zh-CN"/>
              </w:rPr>
              <w:t>关于</w:t>
            </w:r>
            <w:r>
              <w:rPr>
                <w:rFonts w:hint="eastAsia" w:ascii="Times New Roman" w:hAnsi="Times New Roman" w:eastAsia="宋体" w:cs="Times New Roman"/>
                <w:sz w:val="21"/>
                <w:szCs w:val="21"/>
                <w:lang w:eastAsia="zh-CN"/>
              </w:rPr>
              <w:t>鸡西市东北亚矿产资源有限公司三选厂烘干炉改造项目</w:t>
            </w:r>
            <w:r>
              <w:rPr>
                <w:rFonts w:hint="eastAsia"/>
                <w:sz w:val="21"/>
                <w:szCs w:val="21"/>
                <w:lang w:eastAsia="zh-CN"/>
              </w:rPr>
              <w:t>环境影响报告表的批复</w:t>
            </w:r>
          </w:p>
        </w:tc>
        <w:tc>
          <w:tcPr>
            <w:tcW w:w="128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pageBreakBefore w:val="0"/>
              <w:widowControl w:val="0"/>
              <w:kinsoku/>
              <w:wordWrap/>
              <w:overflowPunct/>
              <w:topLinePunct w:val="0"/>
              <w:autoSpaceDE/>
              <w:autoSpaceDN w:val="0"/>
              <w:bidi w:val="0"/>
              <w:adjustRightInd/>
              <w:snapToGrid/>
              <w:spacing w:beforeAutospacing="0" w:afterAutospacing="0" w:line="240" w:lineRule="auto"/>
              <w:ind w:left="0" w:leftChars="0" w:right="0" w:rightChars="0" w:firstLine="0" w:firstLineChars="0"/>
              <w:textAlignment w:val="auto"/>
              <w:outlineLvl w:val="9"/>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鸡环审〔202</w:t>
            </w:r>
            <w:r>
              <w:rPr>
                <w:rFonts w:hint="eastAsia" w:asciiTheme="minorEastAsia" w:hAnsiTheme="minorEastAsia" w:cstheme="minorEastAsia"/>
                <w:sz w:val="18"/>
                <w:szCs w:val="18"/>
                <w:lang w:val="en-US" w:eastAsia="zh-CN"/>
              </w:rPr>
              <w:t>5</w:t>
            </w:r>
            <w:r>
              <w:rPr>
                <w:rFonts w:hint="eastAsia" w:asciiTheme="minorEastAsia" w:hAnsiTheme="minorEastAsia" w:eastAsiaTheme="minorEastAsia" w:cstheme="minorEastAsia"/>
                <w:sz w:val="18"/>
                <w:szCs w:val="18"/>
                <w:lang w:val="en-US" w:eastAsia="zh-CN"/>
              </w:rPr>
              <w:t>〕</w:t>
            </w:r>
            <w:r>
              <w:rPr>
                <w:rFonts w:hint="eastAsia" w:asciiTheme="minorEastAsia" w:hAnsiTheme="minorEastAsia" w:cstheme="minorEastAsia"/>
                <w:sz w:val="18"/>
                <w:szCs w:val="18"/>
                <w:lang w:val="en-US" w:eastAsia="zh-CN"/>
              </w:rPr>
              <w:t>4</w:t>
            </w:r>
            <w:r>
              <w:rPr>
                <w:rFonts w:hint="eastAsia" w:asciiTheme="minorEastAsia" w:hAnsiTheme="minorEastAsia" w:eastAsiaTheme="minorEastAsia" w:cstheme="minorEastAsia"/>
                <w:sz w:val="18"/>
                <w:szCs w:val="18"/>
                <w:lang w:val="en-US" w:eastAsia="zh-CN"/>
              </w:rPr>
              <w:t>号</w:t>
            </w:r>
          </w:p>
        </w:tc>
        <w:tc>
          <w:tcPr>
            <w:tcW w:w="1824"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pageBreakBefore w:val="0"/>
              <w:widowControl w:val="0"/>
              <w:kinsoku/>
              <w:wordWrap/>
              <w:overflowPunct/>
              <w:topLinePunct w:val="0"/>
              <w:autoSpaceDE/>
              <w:autoSpaceDN w:val="0"/>
              <w:bidi w:val="0"/>
              <w:adjustRightInd/>
              <w:snapToGrid/>
              <w:spacing w:beforeAutospacing="0" w:afterAutospacing="0" w:line="240" w:lineRule="auto"/>
              <w:ind w:left="0" w:leftChars="0" w:right="0" w:rightChars="0" w:firstLine="0" w:firstLineChars="0"/>
              <w:textAlignment w:val="auto"/>
              <w:outlineLvl w:val="9"/>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202</w:t>
            </w:r>
            <w:r>
              <w:rPr>
                <w:rFonts w:hint="eastAsia" w:asciiTheme="minorEastAsia" w:hAnsiTheme="minorEastAsia" w:cstheme="minorEastAsia"/>
                <w:sz w:val="18"/>
                <w:szCs w:val="18"/>
                <w:lang w:val="en-US" w:eastAsia="zh-CN"/>
              </w:rPr>
              <w:t>5</w:t>
            </w:r>
            <w:r>
              <w:rPr>
                <w:rFonts w:hint="eastAsia" w:asciiTheme="minorEastAsia" w:hAnsiTheme="minorEastAsia" w:eastAsiaTheme="minorEastAsia" w:cstheme="minorEastAsia"/>
                <w:sz w:val="18"/>
                <w:szCs w:val="18"/>
                <w:lang w:val="en-US" w:eastAsia="zh-CN"/>
              </w:rPr>
              <w:t>年</w:t>
            </w:r>
            <w:r>
              <w:rPr>
                <w:rFonts w:hint="eastAsia" w:asciiTheme="minorEastAsia" w:hAnsiTheme="minorEastAsia" w:cstheme="minorEastAsia"/>
                <w:sz w:val="18"/>
                <w:szCs w:val="18"/>
                <w:lang w:val="en-US" w:eastAsia="zh-CN"/>
              </w:rPr>
              <w:t>1</w:t>
            </w:r>
            <w:r>
              <w:rPr>
                <w:rFonts w:hint="eastAsia" w:asciiTheme="minorEastAsia" w:hAnsiTheme="minorEastAsia" w:eastAsiaTheme="minorEastAsia" w:cstheme="minorEastAsia"/>
                <w:sz w:val="18"/>
                <w:szCs w:val="18"/>
                <w:lang w:val="en-US" w:eastAsia="zh-CN"/>
              </w:rPr>
              <w:t>月</w:t>
            </w:r>
            <w:r>
              <w:rPr>
                <w:rFonts w:hint="eastAsia" w:asciiTheme="minorEastAsia" w:hAnsiTheme="minorEastAsia" w:cstheme="minorEastAsia"/>
                <w:sz w:val="18"/>
                <w:szCs w:val="18"/>
                <w:lang w:val="en-US" w:eastAsia="zh-CN"/>
              </w:rPr>
              <w:t>8</w:t>
            </w:r>
            <w:bookmarkStart w:id="0" w:name="_GoBack"/>
            <w:bookmarkEnd w:id="0"/>
            <w:r>
              <w:rPr>
                <w:rFonts w:hint="eastAsia" w:asciiTheme="minorEastAsia" w:hAnsiTheme="minorEastAsia" w:eastAsiaTheme="minorEastAsia" w:cstheme="minorEastAsia"/>
                <w:sz w:val="18"/>
                <w:szCs w:val="18"/>
                <w:lang w:val="en-US" w:eastAsia="zh-CN"/>
              </w:rPr>
              <w:t>日</w:t>
            </w:r>
          </w:p>
        </w:tc>
        <w:tc>
          <w:tcPr>
            <w:tcW w:w="1485"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pageBreakBefore w:val="0"/>
              <w:widowControl w:val="0"/>
              <w:kinsoku/>
              <w:wordWrap/>
              <w:overflowPunct/>
              <w:topLinePunct w:val="0"/>
              <w:autoSpaceDE/>
              <w:autoSpaceDN w:val="0"/>
              <w:bidi w:val="0"/>
              <w:adjustRightInd/>
              <w:snapToGrid/>
              <w:spacing w:beforeAutospacing="0" w:afterAutospacing="0" w:line="240" w:lineRule="auto"/>
              <w:ind w:left="0" w:leftChars="0" w:right="0" w:rightChars="0"/>
              <w:textAlignment w:val="auto"/>
              <w:outlineLvl w:val="9"/>
              <w:rPr>
                <w:rFonts w:hint="eastAsia" w:asciiTheme="minorEastAsia" w:hAnsiTheme="minorEastAsia" w:eastAsiaTheme="minorEastAsia" w:cstheme="minorEastAsia"/>
                <w:sz w:val="18"/>
                <w:szCs w:val="18"/>
                <w:lang w:val="en-US" w:eastAsia="zh-CN"/>
              </w:rPr>
            </w:pPr>
            <w:r>
              <w:rPr>
                <w:rFonts w:hint="eastAsia" w:ascii="Times New Roman" w:hAnsi="Times New Roman" w:eastAsia="宋体" w:cs="Times New Roman"/>
                <w:sz w:val="21"/>
                <w:szCs w:val="21"/>
                <w:lang w:eastAsia="zh-CN"/>
              </w:rPr>
              <w:t>鸡西市东北亚矿产资源有限公司三选厂烘干炉改造项目</w:t>
            </w:r>
          </w:p>
        </w:tc>
        <w:tc>
          <w:tcPr>
            <w:tcW w:w="147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pageBreakBefore w:val="0"/>
              <w:widowControl w:val="0"/>
              <w:kinsoku/>
              <w:wordWrap/>
              <w:overflowPunct/>
              <w:topLinePunct w:val="0"/>
              <w:autoSpaceDE/>
              <w:autoSpaceDN w:val="0"/>
              <w:bidi w:val="0"/>
              <w:adjustRightInd/>
              <w:snapToGrid/>
              <w:spacing w:beforeAutospacing="0" w:afterAutospacing="0" w:line="240" w:lineRule="auto"/>
              <w:ind w:left="0" w:leftChars="0" w:right="0" w:rightChars="0"/>
              <w:textAlignment w:val="auto"/>
              <w:outlineLvl w:val="9"/>
              <w:rPr>
                <w:rFonts w:hint="default" w:asciiTheme="minorEastAsia" w:hAnsiTheme="minorEastAsia" w:eastAsiaTheme="minorEastAsia" w:cstheme="minorEastAsia"/>
                <w:sz w:val="18"/>
                <w:szCs w:val="18"/>
                <w:lang w:val="en-US"/>
              </w:rPr>
            </w:pPr>
            <w:r>
              <w:rPr>
                <w:rFonts w:hint="eastAsia" w:ascii="Times New Roman" w:hAnsi="Times New Roman" w:eastAsia="宋体" w:cs="Times New Roman"/>
                <w:sz w:val="21"/>
                <w:szCs w:val="21"/>
                <w:lang w:eastAsia="zh-CN"/>
              </w:rPr>
              <w:t>鸡西市恒山区柳毛石墨矿区内东北亚矿产资源有限公司三选厂区内</w:t>
            </w:r>
          </w:p>
        </w:tc>
        <w:tc>
          <w:tcPr>
            <w:tcW w:w="173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keepNext w:val="0"/>
              <w:keepLines w:val="0"/>
              <w:pageBreakBefore w:val="0"/>
              <w:widowControl w:val="0"/>
              <w:kinsoku/>
              <w:wordWrap/>
              <w:overflowPunct/>
              <w:topLinePunct w:val="0"/>
              <w:autoSpaceDE/>
              <w:autoSpaceDN w:val="0"/>
              <w:bidi w:val="0"/>
              <w:adjustRightInd/>
              <w:snapToGrid/>
              <w:spacing w:beforeAutospacing="0" w:afterAutospacing="0" w:line="240" w:lineRule="auto"/>
              <w:ind w:left="0" w:leftChars="0" w:right="0" w:rightChars="0"/>
              <w:textAlignment w:val="auto"/>
              <w:outlineLvl w:val="9"/>
              <w:rPr>
                <w:rFonts w:hint="eastAsia" w:asciiTheme="minorEastAsia" w:hAnsiTheme="minorEastAsia" w:eastAsiaTheme="minorEastAsia" w:cstheme="minorEastAsia"/>
                <w:sz w:val="18"/>
                <w:szCs w:val="18"/>
              </w:rPr>
            </w:pPr>
            <w:r>
              <w:rPr>
                <w:rFonts w:hint="eastAsia" w:ascii="Times New Roman" w:hAnsi="Times New Roman" w:eastAsia="宋体" w:cs="Times New Roman"/>
                <w:sz w:val="21"/>
                <w:szCs w:val="21"/>
                <w:lang w:eastAsia="zh-CN"/>
              </w:rPr>
              <w:t>鸡西市东北亚矿产资源有限公司</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rightChars="0"/>
        <w:jc w:val="both"/>
        <w:textAlignment w:val="auto"/>
        <w:outlineLvl w:val="9"/>
        <w:rPr>
          <w:rFonts w:hint="eastAsia" w:asciiTheme="minorEastAsia" w:hAnsiTheme="minorEastAsia" w:eastAsiaTheme="minorEastAsia" w:cstheme="minorEastAsia"/>
          <w:i w:val="0"/>
          <w:caps w:val="0"/>
          <w:color w:val="000000"/>
          <w:spacing w:val="0"/>
          <w:sz w:val="24"/>
          <w:szCs w:val="24"/>
          <w:u w:val="none"/>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i w:val="0"/>
          <w:caps w:val="0"/>
          <w:color w:val="000000"/>
          <w:spacing w:val="0"/>
          <w:sz w:val="24"/>
          <w:szCs w:val="24"/>
          <w:u w:val="none"/>
        </w:rPr>
      </w:pPr>
      <w:r>
        <w:rPr>
          <w:rFonts w:hint="eastAsia" w:asciiTheme="minorEastAsia" w:hAnsiTheme="minorEastAsia" w:eastAsiaTheme="minorEastAsia" w:cstheme="minorEastAsia"/>
          <w:i w:val="0"/>
          <w:caps w:val="0"/>
          <w:color w:val="000000"/>
          <w:spacing w:val="0"/>
          <w:kern w:val="0"/>
          <w:sz w:val="24"/>
          <w:szCs w:val="24"/>
          <w:u w:val="none"/>
          <w:lang w:val="en-US" w:eastAsia="zh-CN" w:bidi="ar"/>
        </w:rPr>
        <w:t>二、公告期限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i w:val="0"/>
          <w:caps w:val="0"/>
          <w:color w:val="000000"/>
          <w:spacing w:val="0"/>
          <w:sz w:val="24"/>
          <w:szCs w:val="24"/>
          <w:u w:val="none"/>
        </w:rPr>
      </w:pPr>
      <w:r>
        <w:rPr>
          <w:rFonts w:hint="eastAsia" w:asciiTheme="minorEastAsia" w:hAnsiTheme="minorEastAsia" w:eastAsiaTheme="minorEastAsia" w:cstheme="minorEastAsia"/>
          <w:i w:val="0"/>
          <w:caps w:val="0"/>
          <w:color w:val="000000"/>
          <w:spacing w:val="0"/>
          <w:kern w:val="0"/>
          <w:sz w:val="24"/>
          <w:szCs w:val="24"/>
          <w:u w:val="none"/>
          <w:lang w:val="en-US" w:eastAsia="zh-CN" w:bidi="ar"/>
        </w:rPr>
        <w:t>　　自本公告发布之日起7日届满。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i w:val="0"/>
          <w:caps w:val="0"/>
          <w:color w:val="000000"/>
          <w:spacing w:val="0"/>
          <w:sz w:val="24"/>
          <w:szCs w:val="24"/>
          <w:u w:val="none"/>
        </w:rPr>
      </w:pPr>
      <w:r>
        <w:rPr>
          <w:rFonts w:hint="eastAsia" w:asciiTheme="minorEastAsia" w:hAnsiTheme="minorEastAsia" w:eastAsiaTheme="minorEastAsia" w:cstheme="minorEastAsia"/>
          <w:i w:val="0"/>
          <w:caps w:val="0"/>
          <w:color w:val="000000"/>
          <w:spacing w:val="0"/>
          <w:kern w:val="0"/>
          <w:sz w:val="24"/>
          <w:szCs w:val="24"/>
          <w:u w:val="none"/>
          <w:lang w:val="en-US" w:eastAsia="zh-CN" w:bidi="ar"/>
        </w:rPr>
        <w:t>三、行政复议与行政诉讼权利告知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Theme="minorEastAsia" w:hAnsiTheme="minorEastAsia" w:eastAsiaTheme="minorEastAsia" w:cstheme="minorEastAsia"/>
          <w:i w:val="0"/>
          <w:caps w:val="0"/>
          <w:color w:val="000000"/>
          <w:spacing w:val="0"/>
          <w:kern w:val="0"/>
          <w:sz w:val="24"/>
          <w:szCs w:val="24"/>
          <w:u w:val="none"/>
          <w:lang w:val="en-US" w:eastAsia="zh-CN" w:bidi="ar"/>
        </w:rPr>
        <w:t>　　公民、法人或者其他组织认为公告的环境影响评价批复或建设项目竣工环境保护验收决定侵犯其合法权益的，可以自公告期限届满之日起六十日内提起行政复议，也可以自公告期限届满之日起三个月内提起行政诉讼。</w:t>
      </w: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2010600030101010101"/>
    <w:charset w:val="34"/>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mp;quot">
    <w:altName w:val="方正宋体S-超大字符集(SIP)"/>
    <w:panose1 w:val="00000000000000000000"/>
    <w:charset w:val="00"/>
    <w:family w:val="auto"/>
    <w:pitch w:val="default"/>
    <w:sig w:usb0="00000000" w:usb1="00000000" w:usb2="0000000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FFD12B"/>
    <w:multiLevelType w:val="singleLevel"/>
    <w:tmpl w:val="E3FFD12B"/>
    <w:lvl w:ilvl="0" w:tentative="0">
      <w:start w:val="1"/>
      <w:numFmt w:val="bullet"/>
      <w:pStyle w:val="5"/>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AE0DF3"/>
    <w:rsid w:val="0FA8166F"/>
    <w:rsid w:val="143400D0"/>
    <w:rsid w:val="143464EE"/>
    <w:rsid w:val="15CE32E4"/>
    <w:rsid w:val="23731C65"/>
    <w:rsid w:val="2CD73F87"/>
    <w:rsid w:val="3066610C"/>
    <w:rsid w:val="31D94B20"/>
    <w:rsid w:val="330949C2"/>
    <w:rsid w:val="3356706F"/>
    <w:rsid w:val="377298E9"/>
    <w:rsid w:val="3B6FE1A6"/>
    <w:rsid w:val="3B97D969"/>
    <w:rsid w:val="3D912F01"/>
    <w:rsid w:val="3FFFDD9F"/>
    <w:rsid w:val="46414E95"/>
    <w:rsid w:val="46D228B6"/>
    <w:rsid w:val="48437480"/>
    <w:rsid w:val="4AFA195C"/>
    <w:rsid w:val="4FF13097"/>
    <w:rsid w:val="597F2CB8"/>
    <w:rsid w:val="598C7459"/>
    <w:rsid w:val="5A8C5606"/>
    <w:rsid w:val="5CDF7EB1"/>
    <w:rsid w:val="62FC4CE1"/>
    <w:rsid w:val="65F5D5C6"/>
    <w:rsid w:val="67731B62"/>
    <w:rsid w:val="67766CCF"/>
    <w:rsid w:val="752C5349"/>
    <w:rsid w:val="7E83575F"/>
    <w:rsid w:val="D37F523D"/>
    <w:rsid w:val="FDDF7E5E"/>
    <w:rsid w:val="FFAF5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qFormat="1"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ind w:firstLine="0" w:firstLineChars="0"/>
      <w:jc w:val="center"/>
      <w:outlineLvl w:val="0"/>
    </w:pPr>
    <w:rPr>
      <w:rFonts w:eastAsia="黑体"/>
      <w:sz w:val="30"/>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style>
  <w:style w:type="paragraph" w:styleId="4">
    <w:name w:val="Body Text"/>
    <w:basedOn w:val="1"/>
    <w:next w:val="5"/>
    <w:qFormat/>
    <w:uiPriority w:val="0"/>
    <w:pPr>
      <w:spacing w:after="120"/>
    </w:pPr>
  </w:style>
  <w:style w:type="paragraph" w:styleId="5">
    <w:name w:val="List Bullet 5"/>
    <w:basedOn w:val="1"/>
    <w:qFormat/>
    <w:uiPriority w:val="0"/>
    <w:pPr>
      <w:numPr>
        <w:ilvl w:val="0"/>
        <w:numId w:val="1"/>
      </w:numPr>
    </w:pPr>
  </w:style>
  <w:style w:type="paragraph" w:styleId="6">
    <w:name w:val="List"/>
    <w:basedOn w:val="1"/>
    <w:next w:val="1"/>
    <w:qFormat/>
    <w:uiPriority w:val="0"/>
    <w:pPr>
      <w:widowControl w:val="0"/>
      <w:ind w:left="200" w:hanging="200" w:hangingChars="200"/>
      <w:jc w:val="both"/>
    </w:pPr>
    <w:rPr>
      <w:rFonts w:ascii="Times New Roman" w:hAnsi="Times New Roman" w:eastAsia="宋体" w:cs="Times New Roman"/>
      <w:kern w:val="2"/>
      <w:sz w:val="21"/>
      <w:lang w:val="en-US" w:eastAsia="zh-CN" w:bidi="ar-SA"/>
    </w:rPr>
  </w:style>
  <w:style w:type="paragraph" w:styleId="7">
    <w:name w:val="toc 2"/>
    <w:basedOn w:val="1"/>
    <w:next w:val="1"/>
    <w:qFormat/>
    <w:uiPriority w:val="0"/>
    <w:pPr>
      <w:ind w:left="480" w:leftChars="200" w:firstLine="0" w:firstLineChars="0"/>
    </w:pPr>
    <w:rPr>
      <w:rFonts w:ascii="Times New Roman" w:hAnsi="Times New Roman" w:eastAsia="宋体"/>
    </w:rPr>
  </w:style>
  <w:style w:type="paragraph" w:styleId="8">
    <w:name w:val="Body Text First Indent"/>
    <w:basedOn w:val="4"/>
    <w:qFormat/>
    <w:uiPriority w:val="0"/>
    <w:pPr>
      <w:ind w:firstLine="420" w:firstLineChars="100"/>
    </w:pPr>
    <w:rPr>
      <w:rFonts w:ascii="Times New Roman" w:hAnsi="Times New Roman" w:eastAsia="宋体" w:cs="Times New Roman"/>
    </w:rPr>
  </w:style>
  <w:style w:type="paragraph" w:customStyle="1" w:styleId="11">
    <w:name w:val="Default"/>
    <w:basedOn w:val="12"/>
    <w:next w:val="6"/>
    <w:qFormat/>
    <w:uiPriority w:val="0"/>
    <w:pPr>
      <w:widowControl w:val="0"/>
      <w:tabs>
        <w:tab w:val="left" w:pos="480"/>
      </w:tabs>
      <w:autoSpaceDE w:val="0"/>
      <w:autoSpaceDN w:val="0"/>
      <w:adjustRightInd w:val="0"/>
    </w:pPr>
    <w:rPr>
      <w:rFonts w:ascii="宋体" w:hAnsi="宋体" w:eastAsia="宋体" w:cs="宋体"/>
      <w:color w:val="000000"/>
      <w:sz w:val="24"/>
      <w:szCs w:val="24"/>
      <w:lang w:val="en-US" w:eastAsia="zh-CN" w:bidi="ar-SA"/>
    </w:rPr>
  </w:style>
  <w:style w:type="paragraph" w:customStyle="1" w:styleId="12">
    <w:name w:val="纯文本1"/>
    <w:basedOn w:val="1"/>
    <w:qFormat/>
    <w:uiPriority w:val="0"/>
    <w:pPr>
      <w:tabs>
        <w:tab w:val="left" w:pos="480"/>
      </w:tabs>
      <w:adjustRightInd w:val="0"/>
    </w:pPr>
    <w:rPr>
      <w:rFonts w:ascii="宋体" w:hAnsi="Courier New"/>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2014-11-01T12:08:00Z</dcterms:created>
  <dc:creator>01</dc:creator>
  <cp:lastModifiedBy>greatwall</cp:lastModifiedBy>
  <cp:lastPrinted>2019-08-05T03:18:00Z</cp:lastPrinted>
  <dcterms:modified xsi:type="dcterms:W3CDTF">2025-01-08T10:52:43Z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