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鸡环审〔2024〕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pacing w:val="-17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-17"/>
          <w:kern w:val="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pacing w:val="-17"/>
          <w:kern w:val="0"/>
          <w:sz w:val="44"/>
          <w:szCs w:val="44"/>
          <w:lang w:eastAsia="zh-CN"/>
        </w:rPr>
        <w:t>鸡东经济开发区化工产业园物流中转及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pacing w:val="-6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7"/>
          <w:kern w:val="0"/>
          <w:sz w:val="44"/>
          <w:szCs w:val="44"/>
          <w:lang w:eastAsia="zh-CN"/>
        </w:rPr>
        <w:t>车辆避险停靠场项目</w:t>
      </w:r>
      <w:r>
        <w:rPr>
          <w:rFonts w:hint="default" w:ascii="Times New Roman" w:hAnsi="Times New Roman" w:eastAsia="方正小标宋_GBK" w:cs="Times New Roman"/>
          <w:spacing w:val="-17"/>
          <w:kern w:val="0"/>
          <w:sz w:val="44"/>
          <w:szCs w:val="44"/>
        </w:rPr>
        <w:t>环境影响报告</w:t>
      </w:r>
      <w:r>
        <w:rPr>
          <w:rFonts w:hint="default" w:ascii="Times New Roman" w:hAnsi="Times New Roman" w:eastAsia="方正小标宋_GBK" w:cs="Times New Roman"/>
          <w:spacing w:val="-17"/>
          <w:kern w:val="0"/>
          <w:sz w:val="44"/>
          <w:szCs w:val="44"/>
          <w:lang w:eastAsia="zh-CN"/>
        </w:rPr>
        <w:t>表</w:t>
      </w:r>
      <w:r>
        <w:rPr>
          <w:rFonts w:hint="default" w:ascii="Times New Roman" w:hAnsi="Times New Roman" w:eastAsia="方正小标宋_GBK" w:cs="Times New Roman"/>
          <w:spacing w:val="-17"/>
          <w:kern w:val="0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鸡东县经济开发区服务中心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你单位《关于申请审批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鸡东经济开发区化工产业园物流中转及车辆避险停靠场项目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环境影响评价文件的函》及相关材料收悉，经研究，批复如下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该项目属新建工程，拟建于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鸡东经济开发区化工产业园内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，占地面积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85514m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绿化面积15804.59m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总投资为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8600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，其中环保投资80万元，占总投资的0.93%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。本项目分两块区域，一是物流中转区，包括1栋综合楼、2栋物流库房、1栋设备用房以及大、中、小型车停车泊位等；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是车辆避险停靠场，包括洗车车间、维修车间和车辆停车区等，车辆停车区内设置7个重载停车位和28个空载停车位。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该项目在全面落实《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鸡东经济开发区化工产业园物流中转及车辆避险停靠场项目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环境影响报告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》（以下简称《报告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》）和本批复提出的各项生态环境保护措施后，对环境的不利影响可以得到缓解和控制。我局原则同意《报告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》的环境影响评价总体结论和各项生态环境保护措施。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二、项目建设的主要生态环境影响及保护措施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（一）施工期保护措施。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施工人员生活污水排入防渗旱厕，定期清掏外运堆肥。施工废水经临时沉淀池沉淀后用于厂区洒水抑尘。施工场地设置围挡，定期洒水抑尘，施工材料、运输车辆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加盖苫布，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场界颗粒物浓度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应符合《大气污染物综合排放标准》（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GB16297-1996）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无组织排放限值要求。选用低噪声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、低振动的设备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，合理安排施工时间，噪声应符合《建筑施工场界环境噪声排放标准》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（GB12523-2011）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要求。建筑垃圾统一运至建筑垃圾填埋场填埋。生活垃圾定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点收集，定期运送至垃圾堆放点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大气环境影响及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保护措施。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项目废气主要为汽车尾气、食堂油烟、罐车小呼吸损耗等无组织废气。建设开阔的停车场，加强厂区绿化，合理布置线路减少机动车在场区内的行驶距离，禁止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机动车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使用含铅汽油，废气排放浓度应符合《大气污染物综合排放标准》（GB16297-1996）表2 企业边界大气污染物浓度限值。食堂油烟经油烟净化器处理后，经专用烟道由综合楼屋顶排放，油烟排放浓度应符合《饮食业油烟排放标准（试行）》（GB18483-2001）要求。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FF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（三）水环境影响及保护措施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本项目废水主要为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车辆清洗废水、车间冲洗废水、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生活污水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和食堂废水。车辆清洗废水和车间冲洗废水经隔油沉淀池处理后，由污水管网排至园区污水处理厂。食堂废水经隔油池处理后与生活污水一同排至化粪池，经污水管网排至园区污水处理厂。设置事故池收集初期雨水，收集的初期雨水排入园区污水处理厂进行处理。废水排放浓度应符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《污水综合排放标准》（GB8978-1996）三级标准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和园区污水处理厂进水水质标准（pH6-9、COD700mg/L、氨氮50mg/L、石油类800mg/L）。严格落实地下水分区防渗措施，重载停车区、事故池、危险废物贮存点为重点防渗区，粘土防渗层厚度Mb≥6.0m，渗透系数≤10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/>
        </w:rPr>
        <w:t>-7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cm/s。车辆避险停靠场洗车车间、维修车间为一般防渗区，粘土防渗层厚度Mb≥1.5m，渗透系数≤10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/>
        </w:rPr>
        <w:t>-7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cm/s。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物流中转综合楼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及其他地区为简单防渗区，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应进行水泥地面硬化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。危废贮存点防渗层为至少1m 厚粘土层（渗透系数≤10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/>
        </w:rPr>
        <w:t>-7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cm/s），或2mm 厚高密度聚乙烯，或至少2mm 厚的其它人工材料，渗透系数≤10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/>
        </w:rPr>
        <w:t>-10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cm/s，应符合《危险废物贮存污染控制标准》（GB18597-2023）。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声环境影响及保护措施。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维修车间采用隔声、吸声处理，厂区内进行植树种草，合理规划车辆出入路线，加强车辆出入管理，停车场进出口设置禁鸣标志及减速带，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厂界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噪声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应符合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《工业企业厂界环境噪声排放标准》（GB12348-2008）中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类标准。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固体废物环境影响及保护措施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废旧轮胎收集后外售综合利用；设置垃圾箱，生活垃圾集中收集后，由市政环卫部门统一处置，固体废物贮存、处置应符合《一般工业固体废物贮存和填埋污染控制标准》（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GB18599-2020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）。餐厨垃圾和废油脂，利用专用容器收集，送至有资质单位处置。废润滑油、沾染润滑油的废弃油桶、含油抹布、含油零部件、废油渣暂存于危废贮存点，委托有资质单位定期清运处置，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贮存和运输应符合《危险废物贮存污染控制标准》（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GB18597-2023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）环境风险及保护措施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建设规模为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1500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㎥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事故应急池兼初期雨水收集池，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编制环境风险应急预案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严格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落实《报告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》中提出的风险防范措施，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加强风险点位预警、预防，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防止风险事故发生。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三、你单位应建立企业内部生态环境管理机构和制度，明确人员和职责，加强生态环境管理。项目实施必须严格执行环境保护设施与主体工程同时设计、同时施工、同时投产使用的环境保护“三同时”制度。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在启动生产设施或者在实际排污之前，建设单位应依法办理排污许可手续。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项目建成后，应按规定程序实施竣工环境保护验收。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四、《报告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》经批准后，项目的性质、规模、地点或者防治污染的措施发生重大变动的，应当重新报批该项目的《报告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》。自《报告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》批复文件批准之日起，如超过5年方决定开工建设的，《报告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》应当重新审核。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五、鸡西市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鸡东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生态环境局组织开展该项目环境保护事中事后监管工作。你单位应在收到本批复后10日内，将批准后的《报告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》和批复文件送至鸡西市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鸡东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生态环境局，并按规定接受各级生态环境主管部门的日常监督检查。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鸡西市生态环境局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2024年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2pt;z-index:251662336;mso-width-relative:page;mso-height-relative:page;" filled="f" stroked="t" coordsize="21600,21600" o:gfxdata="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LrGr49AA&#10;AAACAQAADwAAAAAAAAABACAAAAA4AAAAZHJzL2Rvd25yZXYueG1sUEsBAhQAFAAAAAgAh07iQOAS&#10;jU/YAQAAmAMAAA4AAAAAAAAAAQAgAAAAN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</w:rPr>
        <w:t xml:space="preserve">抄 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</w:rPr>
        <w:t>送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鸡西市生态环境保护综合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行政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执法局  鸡西市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鸡东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生态环境局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鸡西</w:t>
      </w: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2pt;z-index:251660288;mso-width-relative:page;mso-height-relative:page;" filled="f" stroked="t" coordsize="21600,21600" o:gfxdata="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LrGr49AA&#10;AAACAQAADwAAAAAAAAABACAAAAA4AAAAZHJzL2Rvd25yZXYueG1sUEsBAhQAFAAAAAgAh07iQB7f&#10;QkXYAQAAmAMAAA4AAAAAAAAAAQAgAAAAN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市生态环境局办公室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2024年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日印发 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2pt;z-index:251661312;mso-width-relative:page;mso-height-relative:page;" filled="f" stroked="t" coordsize="21600,21600" o:gfxdata="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Ausavj0AAA&#10;AAIBAAAPAAAAAAAAAAEAIAAAADgAAABkcnMvZG93bnJldi54bWxQSwECFAAUAAAACACHTuJA6fmP&#10;h9cBAACYAwAADgAAAAAAAAABACAAAAA1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 共印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份</w:t>
      </w:r>
    </w:p>
    <w:sectPr>
      <w:footerReference r:id="rId3" w:type="default"/>
      <w:pgSz w:w="11906" w:h="16838"/>
      <w:pgMar w:top="1440" w:right="1800" w:bottom="1440" w:left="1800" w:header="907" w:footer="935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CNfcMGwIAACc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535B9A"/>
    <w:multiLevelType w:val="singleLevel"/>
    <w:tmpl w:val="3F535B9A"/>
    <w:lvl w:ilvl="0" w:tentative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1">
    <w:nsid w:val="42093B20"/>
    <w:multiLevelType w:val="singleLevel"/>
    <w:tmpl w:val="42093B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B4C17"/>
    <w:rsid w:val="0016027C"/>
    <w:rsid w:val="0027262B"/>
    <w:rsid w:val="002D2A49"/>
    <w:rsid w:val="00394A53"/>
    <w:rsid w:val="003F5463"/>
    <w:rsid w:val="005D3ED7"/>
    <w:rsid w:val="00741FD2"/>
    <w:rsid w:val="00785B67"/>
    <w:rsid w:val="00920F06"/>
    <w:rsid w:val="00A5598C"/>
    <w:rsid w:val="00A76DC7"/>
    <w:rsid w:val="00A96696"/>
    <w:rsid w:val="00B16DDD"/>
    <w:rsid w:val="00D23796"/>
    <w:rsid w:val="00D51281"/>
    <w:rsid w:val="00DC3E27"/>
    <w:rsid w:val="00F231BA"/>
    <w:rsid w:val="00F4610F"/>
    <w:rsid w:val="01A028F2"/>
    <w:rsid w:val="031240B3"/>
    <w:rsid w:val="0455229C"/>
    <w:rsid w:val="08E32C84"/>
    <w:rsid w:val="0A6A16F9"/>
    <w:rsid w:val="0A973D47"/>
    <w:rsid w:val="0BDAE933"/>
    <w:rsid w:val="0D322D47"/>
    <w:rsid w:val="105166AA"/>
    <w:rsid w:val="10754997"/>
    <w:rsid w:val="16E30B01"/>
    <w:rsid w:val="17D5FA77"/>
    <w:rsid w:val="18356B33"/>
    <w:rsid w:val="1A0169E0"/>
    <w:rsid w:val="1BD069BB"/>
    <w:rsid w:val="1C3B5B00"/>
    <w:rsid w:val="1CB271B9"/>
    <w:rsid w:val="1DFCAA16"/>
    <w:rsid w:val="1F3A1DAF"/>
    <w:rsid w:val="1FC936C3"/>
    <w:rsid w:val="1FF5DE82"/>
    <w:rsid w:val="20FB0261"/>
    <w:rsid w:val="223E65B5"/>
    <w:rsid w:val="2913119F"/>
    <w:rsid w:val="29FB50A0"/>
    <w:rsid w:val="2A484F36"/>
    <w:rsid w:val="2B824636"/>
    <w:rsid w:val="2EBE41A6"/>
    <w:rsid w:val="2FB01EBF"/>
    <w:rsid w:val="303636C1"/>
    <w:rsid w:val="34171C63"/>
    <w:rsid w:val="35722A6D"/>
    <w:rsid w:val="39156658"/>
    <w:rsid w:val="39D96E7B"/>
    <w:rsid w:val="3A05775F"/>
    <w:rsid w:val="3AFA2573"/>
    <w:rsid w:val="3C211F77"/>
    <w:rsid w:val="3F762F5D"/>
    <w:rsid w:val="3F770B10"/>
    <w:rsid w:val="3FB4366B"/>
    <w:rsid w:val="3FDFCB42"/>
    <w:rsid w:val="409471B8"/>
    <w:rsid w:val="416261C1"/>
    <w:rsid w:val="41642238"/>
    <w:rsid w:val="41B44773"/>
    <w:rsid w:val="45880806"/>
    <w:rsid w:val="46A47CF0"/>
    <w:rsid w:val="47BDF881"/>
    <w:rsid w:val="480C6C3E"/>
    <w:rsid w:val="499F2FBD"/>
    <w:rsid w:val="49AA6CC5"/>
    <w:rsid w:val="4A582604"/>
    <w:rsid w:val="4B926B15"/>
    <w:rsid w:val="4DDC7AE1"/>
    <w:rsid w:val="4DFD2D6B"/>
    <w:rsid w:val="4E5F3534"/>
    <w:rsid w:val="4E7F7CCF"/>
    <w:rsid w:val="52E10871"/>
    <w:rsid w:val="53BF08BE"/>
    <w:rsid w:val="54531531"/>
    <w:rsid w:val="55A711BE"/>
    <w:rsid w:val="570328EE"/>
    <w:rsid w:val="574F510F"/>
    <w:rsid w:val="589C1247"/>
    <w:rsid w:val="59504EDB"/>
    <w:rsid w:val="5BAB4C17"/>
    <w:rsid w:val="5EFB1352"/>
    <w:rsid w:val="5EFE2F22"/>
    <w:rsid w:val="5F3D2545"/>
    <w:rsid w:val="5FD00E92"/>
    <w:rsid w:val="5FDF806D"/>
    <w:rsid w:val="60103DF0"/>
    <w:rsid w:val="632E264C"/>
    <w:rsid w:val="64B16FDB"/>
    <w:rsid w:val="652A1F9D"/>
    <w:rsid w:val="68BC75C8"/>
    <w:rsid w:val="68E14D79"/>
    <w:rsid w:val="69554E9B"/>
    <w:rsid w:val="69BA1747"/>
    <w:rsid w:val="69BC1961"/>
    <w:rsid w:val="6BF80554"/>
    <w:rsid w:val="6CA741D8"/>
    <w:rsid w:val="6D31131B"/>
    <w:rsid w:val="6DFBA26A"/>
    <w:rsid w:val="70BC3DA0"/>
    <w:rsid w:val="71A14DA0"/>
    <w:rsid w:val="736D7109"/>
    <w:rsid w:val="73CF806E"/>
    <w:rsid w:val="73FF7886"/>
    <w:rsid w:val="75DE67D2"/>
    <w:rsid w:val="76BF2079"/>
    <w:rsid w:val="77BEF906"/>
    <w:rsid w:val="79EF47AB"/>
    <w:rsid w:val="7B291611"/>
    <w:rsid w:val="7B4B0AC5"/>
    <w:rsid w:val="7B57D003"/>
    <w:rsid w:val="7D9947C1"/>
    <w:rsid w:val="7DA71058"/>
    <w:rsid w:val="7DD007AD"/>
    <w:rsid w:val="7E1F5F49"/>
    <w:rsid w:val="7E3722F9"/>
    <w:rsid w:val="7E3A7AAB"/>
    <w:rsid w:val="7E96F5F3"/>
    <w:rsid w:val="7EBD70AA"/>
    <w:rsid w:val="7EEFD2AC"/>
    <w:rsid w:val="7EFDB743"/>
    <w:rsid w:val="7F0F6C98"/>
    <w:rsid w:val="7F772F75"/>
    <w:rsid w:val="7FD725E3"/>
    <w:rsid w:val="8FFB5B05"/>
    <w:rsid w:val="9DB9D0F3"/>
    <w:rsid w:val="9F6DB382"/>
    <w:rsid w:val="BA75ABB9"/>
    <w:rsid w:val="BDD719AE"/>
    <w:rsid w:val="BFEAD044"/>
    <w:rsid w:val="BFEDC48C"/>
    <w:rsid w:val="CF9DEF1D"/>
    <w:rsid w:val="CFBEE1FE"/>
    <w:rsid w:val="D3DAB472"/>
    <w:rsid w:val="D3F79E4F"/>
    <w:rsid w:val="D57E200D"/>
    <w:rsid w:val="D77D8230"/>
    <w:rsid w:val="D797A332"/>
    <w:rsid w:val="DAF103AE"/>
    <w:rsid w:val="DE6FB6FD"/>
    <w:rsid w:val="EDBE94D3"/>
    <w:rsid w:val="F74FCB5B"/>
    <w:rsid w:val="F7D54218"/>
    <w:rsid w:val="FADC207E"/>
    <w:rsid w:val="FB37B3E5"/>
    <w:rsid w:val="FBF40C56"/>
    <w:rsid w:val="FD7D436B"/>
    <w:rsid w:val="FEEBD366"/>
    <w:rsid w:val="FEF1934C"/>
    <w:rsid w:val="FF5DAB32"/>
    <w:rsid w:val="FF7A1597"/>
    <w:rsid w:val="FFFB771F"/>
    <w:rsid w:val="FFFD7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spacing w:line="360" w:lineRule="auto"/>
      <w:ind w:left="100" w:leftChars="100"/>
    </w:pPr>
    <w:rPr>
      <w:rFonts w:ascii="Times New Roman" w:cs="Calibri"/>
      <w:smallCaps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</w:rPr>
  </w:style>
  <w:style w:type="paragraph" w:styleId="10">
    <w:name w:val="Body Text First Indent"/>
    <w:basedOn w:val="4"/>
    <w:next w:val="1"/>
    <w:qFormat/>
    <w:uiPriority w:val="0"/>
    <w:pPr>
      <w:ind w:firstLine="420" w:firstLineChars="100"/>
    </w:pPr>
    <w:rPr>
      <w:rFonts w:ascii="Times New Roman" w:hAnsi="Times New Roman"/>
      <w:szCs w:val="24"/>
    </w:rPr>
  </w:style>
  <w:style w:type="paragraph" w:styleId="11">
    <w:name w:val="Body Text First Indent 2"/>
    <w:basedOn w:val="6"/>
    <w:next w:val="10"/>
    <w:qFormat/>
    <w:uiPriority w:val="0"/>
    <w:pPr>
      <w:ind w:firstLine="420" w:firstLineChars="200"/>
    </w:pPr>
  </w:style>
  <w:style w:type="paragraph" w:customStyle="1" w:styleId="1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正文格式"/>
    <w:basedOn w:val="1"/>
    <w:next w:val="1"/>
    <w:qFormat/>
    <w:uiPriority w:val="0"/>
    <w:pPr>
      <w:ind w:firstLine="482"/>
    </w:pPr>
  </w:style>
  <w:style w:type="paragraph" w:customStyle="1" w:styleId="16">
    <w:name w:val="报告表  段"/>
    <w:basedOn w:val="1"/>
    <w:qFormat/>
    <w:uiPriority w:val="0"/>
    <w:pPr>
      <w:adjustRightInd w:val="0"/>
      <w:spacing w:line="360" w:lineRule="auto"/>
      <w:ind w:firstLine="505"/>
    </w:pPr>
    <w:rPr>
      <w:rFonts w:ascii="Calibri" w:hAnsi="Calibri" w:cs="宋体"/>
    </w:rPr>
  </w:style>
  <w:style w:type="paragraph" w:customStyle="1" w:styleId="17">
    <w:name w:val="报告书正文"/>
    <w:basedOn w:val="1"/>
    <w:qFormat/>
    <w:uiPriority w:val="0"/>
    <w:pPr>
      <w:adjustRightInd w:val="0"/>
      <w:snapToGrid w:val="0"/>
      <w:spacing w:line="360" w:lineRule="auto"/>
      <w:ind w:firstLine="425"/>
      <w:textAlignment w:val="baseline"/>
    </w:pPr>
    <w:rPr>
      <w:rFonts w:ascii="Arial" w:hAnsi="Arial" w:eastAsia="宋体" w:cs="Times New Roman"/>
      <w:kern w:val="0"/>
      <w:sz w:val="24"/>
    </w:rPr>
  </w:style>
  <w:style w:type="paragraph" w:customStyle="1" w:styleId="18">
    <w:name w:val="报告表正文"/>
    <w:basedOn w:val="1"/>
    <w:qFormat/>
    <w:uiPriority w:val="0"/>
    <w:pPr>
      <w:spacing w:line="360" w:lineRule="auto"/>
      <w:ind w:firstLine="420" w:firstLineChars="200"/>
    </w:pPr>
    <w:rPr>
      <w:rFonts w:hint="eastAsia"/>
      <w:sz w:val="24"/>
      <w:szCs w:val="22"/>
      <w:lang w:val="zh-CN"/>
    </w:rPr>
  </w:style>
  <w:style w:type="paragraph" w:customStyle="1" w:styleId="19">
    <w:name w:val="首行缩进正文"/>
    <w:basedOn w:val="20"/>
    <w:qFormat/>
    <w:uiPriority w:val="0"/>
    <w:rPr>
      <w:sz w:val="21"/>
    </w:rPr>
  </w:style>
  <w:style w:type="paragraph" w:customStyle="1" w:styleId="20">
    <w:name w:val="【正文】"/>
    <w:basedOn w:val="1"/>
    <w:next w:val="9"/>
    <w:qFormat/>
    <w:uiPriority w:val="0"/>
    <w:pPr>
      <w:spacing w:line="360" w:lineRule="auto"/>
      <w:ind w:firstLine="480" w:firstLineChars="200"/>
    </w:pPr>
    <w:rPr>
      <w:kern w:val="0"/>
      <w:sz w:val="24"/>
    </w:rPr>
  </w:style>
  <w:style w:type="paragraph" w:customStyle="1" w:styleId="21">
    <w:name w:val="表格填充项"/>
    <w:basedOn w:val="1"/>
    <w:qFormat/>
    <w:uiPriority w:val="0"/>
    <w:pPr>
      <w:spacing w:line="240" w:lineRule="atLeast"/>
      <w:jc w:val="center"/>
    </w:pPr>
    <w:rPr>
      <w:rFonts w:ascii="宋体" w:hAnsi="宋体"/>
      <w:b/>
    </w:rPr>
  </w:style>
  <w:style w:type="paragraph" w:customStyle="1" w:styleId="22">
    <w:name w:val="表格中文字"/>
    <w:basedOn w:val="23"/>
    <w:qFormat/>
    <w:uiPriority w:val="0"/>
    <w:rPr>
      <w:rFonts w:ascii="Times New Roman" w:hAnsi="Times New Roman"/>
      <w:color w:val="auto"/>
      <w:sz w:val="21"/>
      <w:szCs w:val="21"/>
    </w:rPr>
  </w:style>
  <w:style w:type="paragraph" w:customStyle="1" w:styleId="23">
    <w:name w:val="填表正文"/>
    <w:qFormat/>
    <w:uiPriority w:val="0"/>
    <w:pPr>
      <w:widowControl w:val="0"/>
      <w:adjustRightInd w:val="0"/>
      <w:snapToGrid w:val="0"/>
      <w:jc w:val="center"/>
    </w:pPr>
    <w:rPr>
      <w:rFonts w:hint="eastAsia" w:ascii="宋体" w:hAnsi="Calibri" w:eastAsia="宋体" w:cs="Times New Roman"/>
      <w:color w:val="000000"/>
      <w:sz w:val="2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302</Words>
  <Characters>1722</Characters>
  <Lines>14</Lines>
  <Paragraphs>4</Paragraphs>
  <TotalTime>5</TotalTime>
  <ScaleCrop>false</ScaleCrop>
  <LinksUpToDate>false</LinksUpToDate>
  <CharactersWithSpaces>2020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2024-11-24T03:17:00Z</dcterms:created>
  <dc:creator>张祺</dc:creator>
  <cp:lastModifiedBy>greatwall</cp:lastModifiedBy>
  <cp:lastPrinted>2024-12-23T16:10:20Z</cp:lastPrinted>
  <dcterms:modified xsi:type="dcterms:W3CDTF">2024-12-23T16:10:22Z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5DE9757E92E641B98D44CF31C45957D5</vt:lpwstr>
  </property>
</Properties>
</file>