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61070">
      <w:pPr>
        <w:rPr>
          <w:rFonts w:cs="仿宋_GB2312"/>
          <w:color w:val="auto"/>
          <w:sz w:val="36"/>
          <w:szCs w:val="36"/>
        </w:rPr>
      </w:pPr>
    </w:p>
    <w:p w14:paraId="3F77312C">
      <w:pPr>
        <w:rPr>
          <w:rFonts w:cs="仿宋_GB2312"/>
          <w:color w:val="auto"/>
          <w:sz w:val="36"/>
          <w:szCs w:val="36"/>
        </w:rPr>
      </w:pPr>
    </w:p>
    <w:p w14:paraId="1C119A2B">
      <w:pPr>
        <w:rPr>
          <w:rFonts w:cs="仿宋_GB2312"/>
          <w:color w:val="auto"/>
          <w:sz w:val="36"/>
          <w:szCs w:val="36"/>
        </w:rPr>
      </w:pPr>
    </w:p>
    <w:p w14:paraId="268E22B5">
      <w:pPr>
        <w:rPr>
          <w:rFonts w:cs="仿宋_GB2312"/>
          <w:color w:val="auto"/>
          <w:sz w:val="36"/>
          <w:szCs w:val="36"/>
        </w:rPr>
      </w:pPr>
    </w:p>
    <w:p w14:paraId="3A7D5EDB">
      <w:pPr>
        <w:rPr>
          <w:rFonts w:cs="仿宋_GB2312"/>
          <w:color w:val="auto"/>
          <w:sz w:val="36"/>
          <w:szCs w:val="36"/>
        </w:rPr>
      </w:pPr>
    </w:p>
    <w:p w14:paraId="05E30DCB">
      <w:pPr>
        <w:adjustRightInd w:val="0"/>
        <w:snapToGrid w:val="0"/>
        <w:jc w:val="center"/>
        <w:outlineLvl w:val="0"/>
        <w:rPr>
          <w:bCs/>
          <w:color w:val="auto"/>
          <w:sz w:val="72"/>
          <w:szCs w:val="72"/>
        </w:rPr>
      </w:pPr>
      <w:bookmarkStart w:id="26" w:name="_GoBack"/>
      <w:bookmarkEnd w:id="26"/>
      <w:bookmarkStart w:id="0" w:name="_Toc73523365"/>
      <w:r>
        <w:rPr>
          <w:rFonts w:hint="eastAsia"/>
          <w:bCs/>
          <w:color w:val="auto"/>
          <w:sz w:val="72"/>
          <w:szCs w:val="72"/>
        </w:rPr>
        <w:t>建设项目环境影响报告表</w:t>
      </w:r>
      <w:bookmarkEnd w:id="0"/>
    </w:p>
    <w:p w14:paraId="6E49E5CD">
      <w:pPr>
        <w:adjustRightInd w:val="0"/>
        <w:snapToGrid w:val="0"/>
        <w:spacing w:before="192" w:beforeLines="80"/>
        <w:jc w:val="center"/>
        <w:rPr>
          <w:bCs/>
          <w:color w:val="auto"/>
          <w:sz w:val="48"/>
          <w:szCs w:val="48"/>
        </w:rPr>
      </w:pPr>
      <w:r>
        <w:rPr>
          <w:rFonts w:hint="eastAsia"/>
          <w:bCs/>
          <w:color w:val="auto"/>
          <w:sz w:val="48"/>
          <w:szCs w:val="48"/>
        </w:rPr>
        <w:t>（污染影响类）</w:t>
      </w:r>
    </w:p>
    <w:p w14:paraId="06FCC5F3">
      <w:pPr>
        <w:adjustRightInd w:val="0"/>
        <w:snapToGrid w:val="0"/>
        <w:jc w:val="center"/>
        <w:rPr>
          <w:rFonts w:cs="华文仿宋"/>
          <w:color w:val="auto"/>
          <w:kern w:val="44"/>
          <w:sz w:val="44"/>
          <w:szCs w:val="44"/>
        </w:rPr>
      </w:pPr>
    </w:p>
    <w:p w14:paraId="04845CAF">
      <w:pPr>
        <w:jc w:val="center"/>
        <w:rPr>
          <w:color w:val="auto"/>
          <w:sz w:val="52"/>
          <w:szCs w:val="52"/>
        </w:rPr>
      </w:pPr>
    </w:p>
    <w:p w14:paraId="6BBB5578">
      <w:pPr>
        <w:ind w:firstLine="1040"/>
        <w:rPr>
          <w:color w:val="auto"/>
          <w:sz w:val="44"/>
          <w:szCs w:val="44"/>
        </w:rPr>
      </w:pPr>
    </w:p>
    <w:p w14:paraId="60948E80">
      <w:pPr>
        <w:ind w:firstLine="1040"/>
        <w:rPr>
          <w:color w:val="auto"/>
          <w:sz w:val="44"/>
          <w:szCs w:val="44"/>
        </w:rPr>
      </w:pPr>
    </w:p>
    <w:p w14:paraId="49D864D5">
      <w:pPr>
        <w:pStyle w:val="33"/>
        <w:spacing w:line="240" w:lineRule="auto"/>
        <w:ind w:firstLine="880"/>
        <w:rPr>
          <w:color w:val="auto"/>
          <w:sz w:val="44"/>
          <w:szCs w:val="44"/>
        </w:rPr>
      </w:pPr>
    </w:p>
    <w:p w14:paraId="50F98C35">
      <w:pPr>
        <w:rPr>
          <w:color w:val="auto"/>
        </w:rPr>
      </w:pPr>
    </w:p>
    <w:p w14:paraId="6D97A218">
      <w:pPr>
        <w:ind w:firstLine="1040"/>
        <w:rPr>
          <w:color w:val="auto"/>
          <w:sz w:val="44"/>
          <w:szCs w:val="44"/>
        </w:rPr>
      </w:pPr>
    </w:p>
    <w:p w14:paraId="1AA18C79">
      <w:pPr>
        <w:ind w:firstLine="1040"/>
        <w:rPr>
          <w:color w:val="auto"/>
          <w:sz w:val="44"/>
          <w:szCs w:val="44"/>
        </w:rPr>
      </w:pPr>
    </w:p>
    <w:p w14:paraId="605DB71D">
      <w:pPr>
        <w:adjustRightInd w:val="0"/>
        <w:snapToGrid w:val="0"/>
        <w:spacing w:line="288" w:lineRule="auto"/>
        <w:ind w:firstLine="960" w:firstLineChars="300"/>
        <w:rPr>
          <w:color w:val="auto"/>
          <w:sz w:val="32"/>
          <w:szCs w:val="32"/>
          <w:u w:val="single"/>
        </w:rPr>
      </w:pPr>
      <w:r>
        <w:rPr>
          <w:rFonts w:hint="eastAsia"/>
          <w:color w:val="auto"/>
          <w:sz w:val="32"/>
          <w:szCs w:val="32"/>
        </w:rPr>
        <w:t>项目名称：</w:t>
      </w:r>
      <w:r>
        <w:rPr>
          <w:rFonts w:hint="eastAsia"/>
          <w:color w:val="auto"/>
          <w:sz w:val="32"/>
          <w:szCs w:val="32"/>
          <w:u w:val="single"/>
        </w:rPr>
        <w:t>鸡西金雨煤炭销售有限公司煤炭集运</w:t>
      </w:r>
      <w:r>
        <w:rPr>
          <w:rFonts w:hint="eastAsia"/>
          <w:color w:val="auto"/>
          <w:sz w:val="32"/>
          <w:szCs w:val="32"/>
          <w:u w:val="single"/>
          <w:lang w:val="en-US" w:eastAsia="zh-CN"/>
        </w:rPr>
        <w:t>建设</w:t>
      </w:r>
      <w:r>
        <w:rPr>
          <w:rFonts w:hint="eastAsia"/>
          <w:color w:val="auto"/>
          <w:sz w:val="32"/>
          <w:szCs w:val="32"/>
          <w:u w:val="single"/>
        </w:rPr>
        <w:t>项目</w:t>
      </w:r>
    </w:p>
    <w:p w14:paraId="02C3DBFB">
      <w:pPr>
        <w:adjustRightInd w:val="0"/>
        <w:snapToGrid w:val="0"/>
        <w:spacing w:line="288" w:lineRule="auto"/>
        <w:ind w:firstLine="960" w:firstLineChars="300"/>
        <w:rPr>
          <w:rFonts w:hint="default" w:eastAsia="宋体"/>
          <w:color w:val="auto"/>
          <w:sz w:val="32"/>
          <w:szCs w:val="32"/>
          <w:u w:val="single"/>
          <w:lang w:val="en-US" w:eastAsia="zh-CN"/>
        </w:rPr>
      </w:pPr>
      <w:r>
        <w:rPr>
          <w:rFonts w:hint="eastAsia"/>
          <w:color w:val="auto"/>
          <w:sz w:val="32"/>
          <w:szCs w:val="32"/>
        </w:rPr>
        <w:t>建设单位（盖章）：</w:t>
      </w:r>
      <w:r>
        <w:rPr>
          <w:rFonts w:hint="eastAsia"/>
          <w:color w:val="auto"/>
          <w:sz w:val="32"/>
          <w:szCs w:val="32"/>
          <w:u w:val="single"/>
          <w:lang w:val="en-US" w:eastAsia="zh-CN"/>
        </w:rPr>
        <w:t xml:space="preserve">   </w:t>
      </w:r>
      <w:r>
        <w:rPr>
          <w:rFonts w:hint="eastAsia"/>
          <w:color w:val="auto"/>
          <w:sz w:val="32"/>
          <w:szCs w:val="32"/>
          <w:u w:val="single"/>
        </w:rPr>
        <w:t>鸡西金雨煤炭销售有限公司</w:t>
      </w:r>
      <w:r>
        <w:rPr>
          <w:rFonts w:hint="eastAsia"/>
          <w:color w:val="auto"/>
          <w:sz w:val="32"/>
          <w:szCs w:val="32"/>
          <w:u w:val="single"/>
          <w:lang w:val="en-US" w:eastAsia="zh-CN"/>
        </w:rPr>
        <w:t xml:space="preserve">    </w:t>
      </w:r>
    </w:p>
    <w:p w14:paraId="54C29460">
      <w:pPr>
        <w:adjustRightInd w:val="0"/>
        <w:snapToGrid w:val="0"/>
        <w:spacing w:line="288" w:lineRule="auto"/>
        <w:ind w:firstLine="960" w:firstLineChars="300"/>
        <w:rPr>
          <w:color w:val="auto"/>
          <w:sz w:val="32"/>
          <w:szCs w:val="32"/>
          <w:u w:val="single"/>
        </w:rPr>
      </w:pPr>
      <w:r>
        <w:rPr>
          <w:rFonts w:hint="eastAsia"/>
          <w:color w:val="auto"/>
          <w:sz w:val="32"/>
          <w:szCs w:val="32"/>
        </w:rPr>
        <w:t>编制日期：</w:t>
      </w:r>
      <w:r>
        <w:rPr>
          <w:rFonts w:hint="eastAsia"/>
          <w:color w:val="auto"/>
          <w:sz w:val="32"/>
          <w:szCs w:val="32"/>
          <w:u w:val="single"/>
        </w:rPr>
        <w:t xml:space="preserve">         </w:t>
      </w:r>
      <w:r>
        <w:rPr>
          <w:rFonts w:hint="eastAsia"/>
          <w:color w:val="auto"/>
          <w:sz w:val="32"/>
          <w:szCs w:val="32"/>
          <w:u w:val="single"/>
          <w:lang w:val="en-US" w:eastAsia="zh-CN"/>
        </w:rPr>
        <w:t xml:space="preserve">  </w:t>
      </w:r>
      <w:r>
        <w:rPr>
          <w:rFonts w:hint="eastAsia"/>
          <w:color w:val="auto"/>
          <w:sz w:val="32"/>
          <w:szCs w:val="32"/>
          <w:u w:val="single"/>
        </w:rPr>
        <w:t xml:space="preserve">   202</w:t>
      </w:r>
      <w:r>
        <w:rPr>
          <w:rFonts w:hint="eastAsia"/>
          <w:color w:val="auto"/>
          <w:sz w:val="32"/>
          <w:szCs w:val="32"/>
          <w:u w:val="single"/>
          <w:lang w:val="en-US" w:eastAsia="zh-CN"/>
        </w:rPr>
        <w:t>6</w:t>
      </w:r>
      <w:r>
        <w:rPr>
          <w:rFonts w:hint="eastAsia"/>
          <w:color w:val="auto"/>
          <w:sz w:val="32"/>
          <w:szCs w:val="32"/>
          <w:u w:val="single"/>
        </w:rPr>
        <w:t>年</w:t>
      </w:r>
      <w:r>
        <w:rPr>
          <w:rFonts w:hint="eastAsia"/>
          <w:color w:val="auto"/>
          <w:sz w:val="32"/>
          <w:szCs w:val="32"/>
          <w:u w:val="single"/>
          <w:lang w:val="en-US" w:eastAsia="zh-CN"/>
        </w:rPr>
        <w:t>7</w:t>
      </w:r>
      <w:r>
        <w:rPr>
          <w:rFonts w:hint="eastAsia"/>
          <w:color w:val="auto"/>
          <w:sz w:val="32"/>
          <w:szCs w:val="32"/>
          <w:u w:val="single"/>
        </w:rPr>
        <w:t xml:space="preserve">月  </w:t>
      </w:r>
      <w:r>
        <w:rPr>
          <w:rFonts w:hint="eastAsia"/>
          <w:color w:val="auto"/>
          <w:sz w:val="32"/>
          <w:szCs w:val="32"/>
          <w:u w:val="single"/>
          <w:lang w:val="en-US" w:eastAsia="zh-CN"/>
        </w:rPr>
        <w:t xml:space="preserve">  </w:t>
      </w:r>
      <w:r>
        <w:rPr>
          <w:rFonts w:hint="eastAsia"/>
          <w:color w:val="auto"/>
          <w:sz w:val="32"/>
          <w:szCs w:val="32"/>
          <w:u w:val="single"/>
        </w:rPr>
        <w:t xml:space="preserve">           </w:t>
      </w:r>
    </w:p>
    <w:p w14:paraId="7306C833">
      <w:pPr>
        <w:adjustRightInd w:val="0"/>
        <w:snapToGrid w:val="0"/>
        <w:spacing w:line="288" w:lineRule="auto"/>
        <w:ind w:firstLine="1040"/>
        <w:rPr>
          <w:color w:val="auto"/>
          <w:sz w:val="36"/>
          <w:szCs w:val="36"/>
          <w:u w:val="single"/>
        </w:rPr>
      </w:pPr>
      <w:bookmarkStart w:id="1" w:name="_Hlk57884087"/>
    </w:p>
    <w:p w14:paraId="4138742F">
      <w:pPr>
        <w:adjustRightInd w:val="0"/>
        <w:snapToGrid w:val="0"/>
        <w:spacing w:line="288" w:lineRule="auto"/>
        <w:ind w:firstLine="1040"/>
        <w:rPr>
          <w:color w:val="auto"/>
          <w:sz w:val="36"/>
          <w:szCs w:val="36"/>
        </w:rPr>
      </w:pPr>
    </w:p>
    <w:p w14:paraId="11BEFF07">
      <w:pPr>
        <w:pStyle w:val="18"/>
        <w:rPr>
          <w:rFonts w:eastAsia="宋体"/>
          <w:color w:val="auto"/>
          <w:sz w:val="36"/>
          <w:szCs w:val="36"/>
        </w:rPr>
      </w:pPr>
    </w:p>
    <w:p w14:paraId="35245FFC">
      <w:pPr>
        <w:pStyle w:val="19"/>
        <w:rPr>
          <w:color w:val="auto"/>
        </w:rPr>
      </w:pPr>
    </w:p>
    <w:p w14:paraId="79122983">
      <w:pPr>
        <w:adjustRightInd w:val="0"/>
        <w:snapToGrid w:val="0"/>
        <w:spacing w:line="288" w:lineRule="auto"/>
        <w:ind w:firstLine="1040"/>
        <w:rPr>
          <w:color w:val="auto"/>
          <w:sz w:val="36"/>
          <w:szCs w:val="36"/>
        </w:rPr>
      </w:pPr>
    </w:p>
    <w:bookmarkEnd w:id="1"/>
    <w:p w14:paraId="69C0880F">
      <w:pPr>
        <w:adjustRightInd w:val="0"/>
        <w:snapToGrid w:val="0"/>
        <w:spacing w:line="288" w:lineRule="auto"/>
        <w:jc w:val="center"/>
        <w:rPr>
          <w:color w:val="auto"/>
          <w:sz w:val="36"/>
          <w:szCs w:val="36"/>
        </w:rPr>
      </w:pPr>
      <w:r>
        <w:rPr>
          <w:rFonts w:hint="eastAsia"/>
          <w:color w:val="auto"/>
          <w:sz w:val="36"/>
          <w:szCs w:val="36"/>
        </w:rPr>
        <w:t>中华人民共和国生态环境部制</w:t>
      </w:r>
      <w:r>
        <w:rPr>
          <w:color w:val="auto"/>
          <w:sz w:val="36"/>
          <w:szCs w:val="36"/>
        </w:rPr>
        <w:br w:type="page"/>
      </w:r>
    </w:p>
    <w:p w14:paraId="23293238">
      <w:pPr>
        <w:adjustRightInd w:val="0"/>
        <w:snapToGrid w:val="0"/>
        <w:spacing w:line="288" w:lineRule="auto"/>
        <w:jc w:val="center"/>
        <w:rPr>
          <w:rFonts w:cs="宋体"/>
          <w:color w:val="auto"/>
          <w:kern w:val="0"/>
          <w:sz w:val="24"/>
        </w:rPr>
      </w:pPr>
      <w:r>
        <w:rPr>
          <w:color w:val="auto"/>
        </w:rPr>
        <w:drawing>
          <wp:inline distT="0" distB="0" distL="114300" distR="114300">
            <wp:extent cx="5229225" cy="7267575"/>
            <wp:effectExtent l="0" t="0" r="9525" b="952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0"/>
                    <a:stretch>
                      <a:fillRect/>
                    </a:stretch>
                  </pic:blipFill>
                  <pic:spPr>
                    <a:xfrm>
                      <a:off x="0" y="0"/>
                      <a:ext cx="5229225" cy="7267575"/>
                    </a:xfrm>
                    <a:prstGeom prst="rect">
                      <a:avLst/>
                    </a:prstGeom>
                    <a:noFill/>
                    <a:ln>
                      <a:noFill/>
                    </a:ln>
                  </pic:spPr>
                </pic:pic>
              </a:graphicData>
            </a:graphic>
          </wp:inline>
        </w:drawing>
      </w:r>
    </w:p>
    <w:p w14:paraId="76268304">
      <w:pPr>
        <w:adjustRightInd w:val="0"/>
        <w:snapToGrid w:val="0"/>
        <w:spacing w:line="288" w:lineRule="auto"/>
        <w:jc w:val="center"/>
        <w:rPr>
          <w:rFonts w:cs="宋体"/>
          <w:color w:val="auto"/>
          <w:kern w:val="0"/>
          <w:sz w:val="24"/>
        </w:rPr>
      </w:pPr>
      <w:r>
        <w:rPr>
          <w:rFonts w:cs="宋体"/>
          <w:color w:val="auto"/>
          <w:kern w:val="0"/>
          <w:sz w:val="24"/>
        </w:rPr>
        <w:fldChar w:fldCharType="begin"/>
      </w:r>
      <w:r>
        <w:instrText xml:space="preserve"> INCLUDEPICTURE "../.config/com.360.browser/Default/DirectOpenDownloadCache/" \* MERGEFORMAT </w:instrText>
      </w:r>
      <w:r>
        <w:rPr>
          <w:rFonts w:cs="宋体"/>
          <w:color w:val="auto"/>
          <w:kern w:val="0"/>
          <w:sz w:val="24"/>
        </w:rPr>
        <w:fldChar w:fldCharType="separate"/>
      </w:r>
      <w:r>
        <w:rPr>
          <w:rFonts w:cs="宋体"/>
          <w:color w:val="auto"/>
          <w:kern w:val="0"/>
          <w:sz w:val="24"/>
        </w:rPr>
        <w:fldChar w:fldCharType="begin"/>
      </w:r>
      <w:r>
        <w:instrText xml:space="preserve"> INCLUDEPICTURE "../.config/com.360.browser/Default/DirectOpenDownloadCache/" \* MERGEFORMAT </w:instrText>
      </w:r>
      <w:r>
        <w:rPr>
          <w:rFonts w:cs="宋体"/>
          <w:color w:val="auto"/>
          <w:kern w:val="0"/>
          <w:sz w:val="24"/>
        </w:rPr>
        <w:fldChar w:fldCharType="separate"/>
      </w:r>
      <w:r>
        <w:rPr>
          <w:rFonts w:cs="宋体"/>
          <w:color w:val="auto"/>
          <w:kern w:val="0"/>
          <w:sz w:val="24"/>
        </w:rPr>
        <w:fldChar w:fldCharType="begin"/>
      </w:r>
      <w:r>
        <w:instrText xml:space="preserve"> INCLUDEPICTURE "../.config/com.360.browser/Default/DirectOpenDownloadCache/" \* MERGEFORMAT </w:instrText>
      </w:r>
      <w:r>
        <w:rPr>
          <w:rFonts w:cs="宋体"/>
          <w:color w:val="auto"/>
          <w:kern w:val="0"/>
          <w:sz w:val="24"/>
        </w:rPr>
        <w:fldChar w:fldCharType="separate"/>
      </w:r>
      <w:r>
        <w:rPr>
          <w:rFonts w:cs="宋体"/>
          <w:color w:val="auto"/>
          <w:kern w:val="0"/>
          <w:sz w:val="24"/>
        </w:rPr>
        <w:br w:type="page"/>
      </w:r>
      <w:r>
        <w:rPr>
          <w:rFonts w:cs="宋体"/>
          <w:color w:val="auto"/>
          <w:kern w:val="0"/>
          <w:sz w:val="24"/>
        </w:rPr>
        <w:fldChar w:fldCharType="end"/>
      </w:r>
      <w:r>
        <w:rPr>
          <w:rFonts w:cs="宋体"/>
          <w:color w:val="auto"/>
          <w:kern w:val="0"/>
          <w:sz w:val="24"/>
        </w:rPr>
        <w:fldChar w:fldCharType="end"/>
      </w:r>
      <w:r>
        <w:rPr>
          <w:rFonts w:cs="宋体"/>
          <w:color w:val="auto"/>
          <w:kern w:val="0"/>
          <w:sz w:val="24"/>
        </w:rPr>
        <w:fldChar w:fldCharType="end"/>
      </w:r>
    </w:p>
    <w:p w14:paraId="2D1DB224">
      <w:pPr>
        <w:adjustRightInd w:val="0"/>
        <w:snapToGrid w:val="0"/>
        <w:spacing w:line="288" w:lineRule="auto"/>
        <w:ind w:firstLine="1040"/>
        <w:rPr>
          <w:color w:val="auto"/>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7EE60C29">
      <w:pPr>
        <w:pStyle w:val="15"/>
        <w:outlineLvl w:val="0"/>
        <w:rPr>
          <w:rFonts w:ascii="Times New Roman" w:hAnsi="Times New Roman"/>
          <w:snapToGrid w:val="0"/>
          <w:color w:val="auto"/>
          <w:sz w:val="30"/>
          <w:szCs w:val="30"/>
        </w:rPr>
      </w:pPr>
      <w:bookmarkStart w:id="2" w:name="_Toc73523366"/>
      <w:r>
        <w:rPr>
          <w:rFonts w:hint="eastAsia" w:ascii="Times New Roman" w:hAnsi="Times New Roman"/>
          <w:snapToGrid w:val="0"/>
          <w:color w:val="auto"/>
          <w:sz w:val="30"/>
          <w:szCs w:val="30"/>
        </w:rPr>
        <w:t>一、建设项目基本情况</w:t>
      </w:r>
      <w:bookmarkEnd w:id="2"/>
    </w:p>
    <w:tbl>
      <w:tblPr>
        <w:tblStyle w:val="3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345"/>
        <w:gridCol w:w="2855"/>
        <w:gridCol w:w="1361"/>
        <w:gridCol w:w="3309"/>
      </w:tblGrid>
      <w:tr w14:paraId="076DF4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345" w:type="dxa"/>
            <w:tcMar>
              <w:top w:w="16" w:type="dxa"/>
              <w:left w:w="16" w:type="dxa"/>
              <w:right w:w="16" w:type="dxa"/>
            </w:tcMar>
            <w:vAlign w:val="center"/>
          </w:tcPr>
          <w:p w14:paraId="73A43642">
            <w:pPr>
              <w:adjustRightInd w:val="0"/>
              <w:snapToGrid w:val="0"/>
              <w:jc w:val="center"/>
              <w:rPr>
                <w:color w:val="auto"/>
                <w:sz w:val="22"/>
                <w:szCs w:val="22"/>
              </w:rPr>
            </w:pPr>
            <w:r>
              <w:rPr>
                <w:color w:val="auto"/>
                <w:sz w:val="22"/>
                <w:szCs w:val="22"/>
              </w:rPr>
              <w:t>建设项目</w:t>
            </w:r>
          </w:p>
          <w:p w14:paraId="5B4D35CF">
            <w:pPr>
              <w:adjustRightInd w:val="0"/>
              <w:snapToGrid w:val="0"/>
              <w:jc w:val="center"/>
              <w:rPr>
                <w:color w:val="auto"/>
                <w:sz w:val="22"/>
                <w:szCs w:val="22"/>
              </w:rPr>
            </w:pPr>
            <w:r>
              <w:rPr>
                <w:color w:val="auto"/>
                <w:sz w:val="22"/>
                <w:szCs w:val="22"/>
              </w:rPr>
              <w:t>名称</w:t>
            </w:r>
          </w:p>
        </w:tc>
        <w:tc>
          <w:tcPr>
            <w:tcW w:w="7525" w:type="dxa"/>
            <w:gridSpan w:val="3"/>
            <w:vAlign w:val="center"/>
          </w:tcPr>
          <w:p w14:paraId="537B8DC9">
            <w:pPr>
              <w:adjustRightInd w:val="0"/>
              <w:snapToGrid w:val="0"/>
              <w:jc w:val="center"/>
              <w:rPr>
                <w:rFonts w:hint="eastAsia" w:eastAsia="宋体"/>
                <w:color w:val="auto"/>
                <w:sz w:val="22"/>
                <w:szCs w:val="22"/>
                <w:lang w:eastAsia="zh-CN"/>
              </w:rPr>
            </w:pPr>
            <w:r>
              <w:rPr>
                <w:rFonts w:hint="eastAsia"/>
                <w:color w:val="auto"/>
                <w:sz w:val="22"/>
                <w:szCs w:val="22"/>
                <w:lang w:eastAsia="zh-CN"/>
              </w:rPr>
              <w:t>鸡西金雨煤炭销售有限公司煤炭集运建设项目</w:t>
            </w:r>
          </w:p>
        </w:tc>
      </w:tr>
      <w:tr w14:paraId="4287F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1345" w:type="dxa"/>
            <w:tcMar>
              <w:top w:w="16" w:type="dxa"/>
              <w:left w:w="16" w:type="dxa"/>
              <w:right w:w="16" w:type="dxa"/>
            </w:tcMar>
            <w:vAlign w:val="center"/>
          </w:tcPr>
          <w:p w14:paraId="0AC42F04">
            <w:pPr>
              <w:adjustRightInd w:val="0"/>
              <w:snapToGrid w:val="0"/>
              <w:jc w:val="center"/>
              <w:rPr>
                <w:color w:val="auto"/>
                <w:szCs w:val="21"/>
              </w:rPr>
            </w:pPr>
            <w:r>
              <w:rPr>
                <w:color w:val="auto"/>
                <w:szCs w:val="21"/>
              </w:rPr>
              <w:t>项目代码</w:t>
            </w:r>
          </w:p>
        </w:tc>
        <w:tc>
          <w:tcPr>
            <w:tcW w:w="7525" w:type="dxa"/>
            <w:gridSpan w:val="3"/>
            <w:vAlign w:val="center"/>
          </w:tcPr>
          <w:p w14:paraId="753BFFDE">
            <w:pPr>
              <w:adjustRightInd w:val="0"/>
              <w:snapToGrid w:val="0"/>
              <w:jc w:val="center"/>
              <w:rPr>
                <w:rFonts w:hint="default" w:eastAsia="宋体"/>
                <w:color w:val="auto"/>
                <w:szCs w:val="21"/>
                <w:lang w:val="en-US" w:eastAsia="zh-CN"/>
              </w:rPr>
            </w:pPr>
            <w:r>
              <w:rPr>
                <w:rFonts w:hint="eastAsia"/>
                <w:color w:val="auto"/>
                <w:szCs w:val="21"/>
                <w:lang w:val="en-US" w:eastAsia="zh-CN"/>
              </w:rPr>
              <w:t>/</w:t>
            </w:r>
          </w:p>
        </w:tc>
      </w:tr>
      <w:tr w14:paraId="5D4D88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3" w:hRule="atLeast"/>
          <w:jc w:val="center"/>
        </w:trPr>
        <w:tc>
          <w:tcPr>
            <w:tcW w:w="1345" w:type="dxa"/>
            <w:tcMar>
              <w:top w:w="16" w:type="dxa"/>
              <w:left w:w="16" w:type="dxa"/>
              <w:right w:w="16" w:type="dxa"/>
            </w:tcMar>
            <w:vAlign w:val="center"/>
          </w:tcPr>
          <w:p w14:paraId="262A6ABF">
            <w:pPr>
              <w:adjustRightInd w:val="0"/>
              <w:snapToGrid w:val="0"/>
              <w:jc w:val="center"/>
              <w:rPr>
                <w:color w:val="auto"/>
                <w:sz w:val="22"/>
                <w:szCs w:val="22"/>
              </w:rPr>
            </w:pPr>
            <w:r>
              <w:rPr>
                <w:color w:val="auto"/>
                <w:sz w:val="22"/>
                <w:szCs w:val="22"/>
              </w:rPr>
              <w:t>建设单位</w:t>
            </w:r>
          </w:p>
          <w:p w14:paraId="0B880D7D">
            <w:pPr>
              <w:adjustRightInd w:val="0"/>
              <w:snapToGrid w:val="0"/>
              <w:jc w:val="center"/>
              <w:rPr>
                <w:color w:val="auto"/>
                <w:sz w:val="22"/>
                <w:szCs w:val="22"/>
              </w:rPr>
            </w:pPr>
            <w:r>
              <w:rPr>
                <w:color w:val="auto"/>
                <w:sz w:val="22"/>
                <w:szCs w:val="22"/>
              </w:rPr>
              <w:t>联系人</w:t>
            </w:r>
          </w:p>
        </w:tc>
        <w:tc>
          <w:tcPr>
            <w:tcW w:w="2855" w:type="dxa"/>
            <w:vAlign w:val="center"/>
          </w:tcPr>
          <w:p w14:paraId="05584D59">
            <w:pPr>
              <w:adjustRightInd w:val="0"/>
              <w:snapToGrid w:val="0"/>
              <w:jc w:val="center"/>
              <w:rPr>
                <w:rFonts w:hint="default" w:eastAsia="宋体"/>
                <w:color w:val="auto"/>
                <w:sz w:val="22"/>
                <w:szCs w:val="22"/>
                <w:lang w:val="en-US" w:eastAsia="zh-CN"/>
              </w:rPr>
            </w:pPr>
            <w:r>
              <w:rPr>
                <w:rFonts w:hint="eastAsia"/>
                <w:color w:val="auto"/>
                <w:sz w:val="22"/>
                <w:szCs w:val="22"/>
                <w:lang w:val="en-US" w:eastAsia="zh-CN"/>
              </w:rPr>
              <w:t>方堃</w:t>
            </w:r>
          </w:p>
        </w:tc>
        <w:tc>
          <w:tcPr>
            <w:tcW w:w="1361" w:type="dxa"/>
            <w:vAlign w:val="center"/>
          </w:tcPr>
          <w:p w14:paraId="3A794EF8">
            <w:pPr>
              <w:adjustRightInd w:val="0"/>
              <w:snapToGrid w:val="0"/>
              <w:jc w:val="center"/>
              <w:rPr>
                <w:color w:val="auto"/>
                <w:sz w:val="22"/>
                <w:szCs w:val="22"/>
              </w:rPr>
            </w:pPr>
            <w:r>
              <w:rPr>
                <w:color w:val="auto"/>
                <w:sz w:val="22"/>
                <w:szCs w:val="22"/>
              </w:rPr>
              <w:t>联系方式</w:t>
            </w:r>
          </w:p>
        </w:tc>
        <w:tc>
          <w:tcPr>
            <w:tcW w:w="3309" w:type="dxa"/>
            <w:vAlign w:val="center"/>
          </w:tcPr>
          <w:p w14:paraId="36276CEC">
            <w:pPr>
              <w:adjustRightInd w:val="0"/>
              <w:snapToGrid w:val="0"/>
              <w:jc w:val="center"/>
              <w:rPr>
                <w:color w:val="auto"/>
                <w:sz w:val="22"/>
                <w:szCs w:val="22"/>
              </w:rPr>
            </w:pPr>
            <w:r>
              <w:rPr>
                <w:rFonts w:hint="eastAsia"/>
                <w:color w:val="auto"/>
                <w:sz w:val="22"/>
                <w:szCs w:val="22"/>
              </w:rPr>
              <w:t>13836561999</w:t>
            </w:r>
          </w:p>
        </w:tc>
      </w:tr>
      <w:tr w14:paraId="07A69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1345" w:type="dxa"/>
            <w:tcMar>
              <w:top w:w="16" w:type="dxa"/>
              <w:left w:w="16" w:type="dxa"/>
              <w:right w:w="16" w:type="dxa"/>
            </w:tcMar>
            <w:vAlign w:val="center"/>
          </w:tcPr>
          <w:p w14:paraId="49380A86">
            <w:pPr>
              <w:adjustRightInd w:val="0"/>
              <w:snapToGrid w:val="0"/>
              <w:jc w:val="center"/>
              <w:rPr>
                <w:color w:val="auto"/>
                <w:sz w:val="22"/>
                <w:szCs w:val="22"/>
              </w:rPr>
            </w:pPr>
            <w:r>
              <w:rPr>
                <w:color w:val="auto"/>
                <w:sz w:val="22"/>
                <w:szCs w:val="22"/>
              </w:rPr>
              <w:t>建设地点</w:t>
            </w:r>
          </w:p>
        </w:tc>
        <w:tc>
          <w:tcPr>
            <w:tcW w:w="7525" w:type="dxa"/>
            <w:gridSpan w:val="3"/>
            <w:vAlign w:val="center"/>
          </w:tcPr>
          <w:p w14:paraId="073C9136">
            <w:pPr>
              <w:adjustRightInd w:val="0"/>
              <w:snapToGrid w:val="0"/>
              <w:jc w:val="center"/>
              <w:rPr>
                <w:rFonts w:hint="default" w:eastAsia="宋体"/>
                <w:color w:val="auto"/>
                <w:sz w:val="22"/>
                <w:szCs w:val="22"/>
                <w:lang w:val="en-US" w:eastAsia="zh-CN"/>
              </w:rPr>
            </w:pPr>
            <w:r>
              <w:rPr>
                <w:rFonts w:hint="eastAsia" w:ascii="Times New Roman" w:hAnsi="Times New Roman" w:eastAsia="宋体" w:cs="Times New Roman"/>
                <w:color w:val="auto"/>
                <w:sz w:val="22"/>
                <w:szCs w:val="22"/>
                <w:lang w:val="en-US" w:eastAsia="zh-CN"/>
              </w:rPr>
              <w:t>黑龙江省鸡西市城子河区南兴委，原三五一厂城砖分厂</w:t>
            </w:r>
          </w:p>
        </w:tc>
      </w:tr>
      <w:tr w14:paraId="438445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1345" w:type="dxa"/>
            <w:tcMar>
              <w:top w:w="16" w:type="dxa"/>
              <w:left w:w="16" w:type="dxa"/>
              <w:right w:w="16" w:type="dxa"/>
            </w:tcMar>
            <w:vAlign w:val="center"/>
          </w:tcPr>
          <w:p w14:paraId="2E8A3D23">
            <w:pPr>
              <w:adjustRightInd w:val="0"/>
              <w:snapToGrid w:val="0"/>
              <w:jc w:val="center"/>
              <w:rPr>
                <w:color w:val="auto"/>
                <w:sz w:val="22"/>
                <w:szCs w:val="22"/>
              </w:rPr>
            </w:pPr>
            <w:r>
              <w:rPr>
                <w:color w:val="auto"/>
                <w:sz w:val="22"/>
                <w:szCs w:val="22"/>
              </w:rPr>
              <w:t>地理坐标</w:t>
            </w:r>
          </w:p>
        </w:tc>
        <w:tc>
          <w:tcPr>
            <w:tcW w:w="7525" w:type="dxa"/>
            <w:gridSpan w:val="3"/>
            <w:vAlign w:val="center"/>
          </w:tcPr>
          <w:p w14:paraId="386034E7">
            <w:pPr>
              <w:adjustRightInd w:val="0"/>
              <w:snapToGrid w:val="0"/>
              <w:jc w:val="center"/>
              <w:rPr>
                <w:color w:val="auto"/>
                <w:sz w:val="22"/>
                <w:szCs w:val="22"/>
              </w:rPr>
            </w:pPr>
            <w:r>
              <w:rPr>
                <w:color w:val="auto"/>
                <w:sz w:val="22"/>
                <w:szCs w:val="22"/>
              </w:rPr>
              <w:t xml:space="preserve">（ </w:t>
            </w:r>
            <w:r>
              <w:rPr>
                <w:rFonts w:hint="eastAsia"/>
                <w:color w:val="auto"/>
                <w:szCs w:val="21"/>
                <w:lang w:val="en-US" w:eastAsia="zh-CN"/>
              </w:rPr>
              <w:t>131</w:t>
            </w:r>
            <w:r>
              <w:rPr>
                <w:color w:val="auto"/>
                <w:sz w:val="22"/>
                <w:szCs w:val="22"/>
              </w:rPr>
              <w:t xml:space="preserve"> 度 </w:t>
            </w:r>
            <w:r>
              <w:rPr>
                <w:rFonts w:hint="eastAsia"/>
                <w:color w:val="auto"/>
                <w:sz w:val="22"/>
                <w:szCs w:val="22"/>
                <w:lang w:val="en-US" w:eastAsia="zh-CN"/>
              </w:rPr>
              <w:t>01</w:t>
            </w:r>
            <w:r>
              <w:rPr>
                <w:color w:val="auto"/>
                <w:sz w:val="22"/>
                <w:szCs w:val="22"/>
              </w:rPr>
              <w:t xml:space="preserve"> 分 </w:t>
            </w:r>
            <w:r>
              <w:rPr>
                <w:rFonts w:hint="eastAsia"/>
                <w:color w:val="auto"/>
                <w:sz w:val="22"/>
                <w:szCs w:val="22"/>
                <w:lang w:val="en-US" w:eastAsia="zh-CN"/>
              </w:rPr>
              <w:t>12.180</w:t>
            </w:r>
            <w:r>
              <w:rPr>
                <w:color w:val="auto"/>
                <w:sz w:val="22"/>
                <w:szCs w:val="22"/>
              </w:rPr>
              <w:t xml:space="preserve"> 秒， </w:t>
            </w:r>
            <w:r>
              <w:rPr>
                <w:rFonts w:hint="eastAsia"/>
                <w:color w:val="auto"/>
                <w:szCs w:val="21"/>
              </w:rPr>
              <w:t>45</w:t>
            </w:r>
            <w:r>
              <w:rPr>
                <w:color w:val="auto"/>
                <w:sz w:val="22"/>
                <w:szCs w:val="22"/>
              </w:rPr>
              <w:t xml:space="preserve"> 度 </w:t>
            </w:r>
            <w:r>
              <w:rPr>
                <w:rFonts w:hint="eastAsia"/>
                <w:color w:val="auto"/>
                <w:sz w:val="22"/>
                <w:szCs w:val="22"/>
                <w:lang w:val="en-US" w:eastAsia="zh-CN"/>
              </w:rPr>
              <w:t>20</w:t>
            </w:r>
            <w:r>
              <w:rPr>
                <w:color w:val="auto"/>
                <w:sz w:val="22"/>
                <w:szCs w:val="22"/>
              </w:rPr>
              <w:t xml:space="preserve"> 分 </w:t>
            </w:r>
            <w:r>
              <w:rPr>
                <w:rFonts w:hint="eastAsia"/>
                <w:color w:val="auto"/>
                <w:sz w:val="22"/>
                <w:szCs w:val="22"/>
                <w:lang w:val="en-US" w:eastAsia="zh-CN"/>
              </w:rPr>
              <w:t>45.048</w:t>
            </w:r>
            <w:r>
              <w:rPr>
                <w:color w:val="auto"/>
                <w:sz w:val="22"/>
                <w:szCs w:val="22"/>
              </w:rPr>
              <w:t xml:space="preserve"> 秒）</w:t>
            </w:r>
          </w:p>
        </w:tc>
      </w:tr>
      <w:tr w14:paraId="748612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18" w:hRule="atLeast"/>
          <w:jc w:val="center"/>
        </w:trPr>
        <w:tc>
          <w:tcPr>
            <w:tcW w:w="1345" w:type="dxa"/>
            <w:tcMar>
              <w:top w:w="16" w:type="dxa"/>
              <w:left w:w="16" w:type="dxa"/>
              <w:right w:w="16" w:type="dxa"/>
            </w:tcMar>
            <w:vAlign w:val="center"/>
          </w:tcPr>
          <w:p w14:paraId="742E0096">
            <w:pPr>
              <w:adjustRightInd w:val="0"/>
              <w:snapToGrid w:val="0"/>
              <w:jc w:val="center"/>
              <w:rPr>
                <w:color w:val="auto"/>
                <w:sz w:val="22"/>
                <w:szCs w:val="22"/>
              </w:rPr>
            </w:pPr>
            <w:r>
              <w:rPr>
                <w:color w:val="auto"/>
                <w:sz w:val="22"/>
                <w:szCs w:val="22"/>
              </w:rPr>
              <w:t>国民经济</w:t>
            </w:r>
          </w:p>
          <w:p w14:paraId="543B0ADF">
            <w:pPr>
              <w:adjustRightInd w:val="0"/>
              <w:snapToGrid w:val="0"/>
              <w:jc w:val="center"/>
              <w:rPr>
                <w:color w:val="auto"/>
                <w:sz w:val="22"/>
                <w:szCs w:val="22"/>
              </w:rPr>
            </w:pPr>
            <w:r>
              <w:rPr>
                <w:color w:val="auto"/>
                <w:sz w:val="22"/>
                <w:szCs w:val="22"/>
              </w:rPr>
              <w:t>行业类别</w:t>
            </w:r>
          </w:p>
        </w:tc>
        <w:tc>
          <w:tcPr>
            <w:tcW w:w="2855" w:type="dxa"/>
            <w:vAlign w:val="center"/>
          </w:tcPr>
          <w:p w14:paraId="7447606A">
            <w:pPr>
              <w:adjustRightInd w:val="0"/>
              <w:snapToGrid w:val="0"/>
              <w:jc w:val="center"/>
              <w:rPr>
                <w:rFonts w:hint="default" w:eastAsia="宋体"/>
                <w:color w:val="auto"/>
                <w:sz w:val="22"/>
                <w:szCs w:val="22"/>
                <w:lang w:val="en-US" w:eastAsia="zh-CN"/>
              </w:rPr>
            </w:pPr>
            <w:r>
              <w:rPr>
                <w:rFonts w:hint="eastAsia"/>
                <w:color w:val="auto"/>
                <w:sz w:val="22"/>
                <w:szCs w:val="22"/>
                <w:lang w:val="en-US" w:eastAsia="zh-CN"/>
              </w:rPr>
              <w:t>B0690 其他煤炭采选</w:t>
            </w:r>
          </w:p>
        </w:tc>
        <w:tc>
          <w:tcPr>
            <w:tcW w:w="1361" w:type="dxa"/>
            <w:vAlign w:val="center"/>
          </w:tcPr>
          <w:p w14:paraId="5A181144">
            <w:pPr>
              <w:adjustRightInd w:val="0"/>
              <w:snapToGrid w:val="0"/>
              <w:jc w:val="center"/>
              <w:rPr>
                <w:color w:val="auto"/>
                <w:sz w:val="22"/>
                <w:szCs w:val="22"/>
              </w:rPr>
            </w:pPr>
            <w:r>
              <w:rPr>
                <w:color w:val="auto"/>
                <w:sz w:val="22"/>
                <w:szCs w:val="22"/>
              </w:rPr>
              <w:t>建设项目</w:t>
            </w:r>
          </w:p>
          <w:p w14:paraId="43028959">
            <w:pPr>
              <w:adjustRightInd w:val="0"/>
              <w:snapToGrid w:val="0"/>
              <w:jc w:val="center"/>
              <w:rPr>
                <w:color w:val="auto"/>
                <w:sz w:val="22"/>
                <w:szCs w:val="22"/>
              </w:rPr>
            </w:pPr>
            <w:r>
              <w:rPr>
                <w:color w:val="auto"/>
                <w:sz w:val="22"/>
                <w:szCs w:val="22"/>
              </w:rPr>
              <w:t>行业类别</w:t>
            </w:r>
          </w:p>
        </w:tc>
        <w:tc>
          <w:tcPr>
            <w:tcW w:w="3309" w:type="dxa"/>
            <w:vAlign w:val="center"/>
          </w:tcPr>
          <w:p w14:paraId="55813E55">
            <w:pPr>
              <w:adjustRightInd w:val="0"/>
              <w:snapToGrid w:val="0"/>
              <w:jc w:val="center"/>
              <w:rPr>
                <w:color w:val="auto"/>
                <w:sz w:val="22"/>
                <w:szCs w:val="22"/>
              </w:rPr>
            </w:pPr>
            <w:r>
              <w:rPr>
                <w:rFonts w:hint="eastAsia"/>
                <w:color w:val="auto"/>
                <w:sz w:val="22"/>
                <w:szCs w:val="22"/>
              </w:rPr>
              <w:t>四、煤炭开采和洗选业</w:t>
            </w:r>
            <w:r>
              <w:rPr>
                <w:rFonts w:hint="eastAsia"/>
                <w:color w:val="auto"/>
                <w:sz w:val="22"/>
                <w:szCs w:val="22"/>
                <w:lang w:val="en-US" w:eastAsia="zh-CN"/>
              </w:rPr>
              <w:t xml:space="preserve"> </w:t>
            </w:r>
            <w:r>
              <w:rPr>
                <w:rFonts w:hint="eastAsia"/>
                <w:color w:val="auto"/>
                <w:sz w:val="22"/>
                <w:szCs w:val="22"/>
              </w:rPr>
              <w:t>069 其他煤炭采选中的煤炭储存、集运</w:t>
            </w:r>
          </w:p>
        </w:tc>
      </w:tr>
      <w:tr w14:paraId="3714EB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345" w:type="dxa"/>
            <w:tcMar>
              <w:top w:w="16" w:type="dxa"/>
              <w:left w:w="16" w:type="dxa"/>
              <w:right w:w="16" w:type="dxa"/>
            </w:tcMar>
            <w:vAlign w:val="center"/>
          </w:tcPr>
          <w:p w14:paraId="0D93FC95">
            <w:pPr>
              <w:adjustRightInd w:val="0"/>
              <w:snapToGrid w:val="0"/>
              <w:jc w:val="center"/>
              <w:rPr>
                <w:color w:val="auto"/>
                <w:sz w:val="22"/>
                <w:szCs w:val="22"/>
              </w:rPr>
            </w:pPr>
            <w:r>
              <w:rPr>
                <w:color w:val="auto"/>
                <w:sz w:val="22"/>
                <w:szCs w:val="22"/>
              </w:rPr>
              <w:t>建设性质</w:t>
            </w:r>
          </w:p>
        </w:tc>
        <w:tc>
          <w:tcPr>
            <w:tcW w:w="2855" w:type="dxa"/>
            <w:vAlign w:val="center"/>
          </w:tcPr>
          <w:p w14:paraId="67A3508C">
            <w:pPr>
              <w:adjustRightInd w:val="0"/>
              <w:snapToGrid w:val="0"/>
              <w:rPr>
                <w:color w:val="auto"/>
                <w:sz w:val="22"/>
                <w:szCs w:val="22"/>
              </w:rPr>
            </w:pPr>
            <w:r>
              <w:rPr>
                <w:color w:val="auto"/>
                <w:sz w:val="22"/>
                <w:szCs w:val="22"/>
              </w:rPr>
              <w:sym w:font="Wingdings 2" w:char="0052"/>
            </w:r>
            <w:r>
              <w:rPr>
                <w:color w:val="auto"/>
                <w:sz w:val="22"/>
                <w:szCs w:val="22"/>
              </w:rPr>
              <w:t>新建（迁建）</w:t>
            </w:r>
          </w:p>
          <w:p w14:paraId="14121629">
            <w:pPr>
              <w:adjustRightInd w:val="0"/>
              <w:snapToGrid w:val="0"/>
              <w:rPr>
                <w:color w:val="auto"/>
                <w:sz w:val="22"/>
                <w:szCs w:val="22"/>
              </w:rPr>
            </w:pPr>
            <w:r>
              <w:rPr>
                <w:color w:val="auto"/>
                <w:sz w:val="22"/>
                <w:szCs w:val="22"/>
              </w:rPr>
              <w:sym w:font="Wingdings 2" w:char="00A3"/>
            </w:r>
            <w:r>
              <w:rPr>
                <w:color w:val="auto"/>
                <w:sz w:val="22"/>
                <w:szCs w:val="22"/>
              </w:rPr>
              <w:t>改建</w:t>
            </w:r>
          </w:p>
          <w:p w14:paraId="32A2CA81">
            <w:pPr>
              <w:adjustRightInd w:val="0"/>
              <w:snapToGrid w:val="0"/>
              <w:rPr>
                <w:color w:val="auto"/>
                <w:sz w:val="22"/>
                <w:szCs w:val="22"/>
              </w:rPr>
            </w:pPr>
            <w:r>
              <w:rPr>
                <w:color w:val="auto"/>
                <w:sz w:val="22"/>
                <w:szCs w:val="22"/>
              </w:rPr>
              <w:sym w:font="Wingdings 2" w:char="00A3"/>
            </w:r>
            <w:r>
              <w:rPr>
                <w:color w:val="auto"/>
                <w:sz w:val="22"/>
                <w:szCs w:val="22"/>
              </w:rPr>
              <w:t>扩建</w:t>
            </w:r>
          </w:p>
          <w:p w14:paraId="177B27AB">
            <w:pPr>
              <w:adjustRightInd w:val="0"/>
              <w:snapToGrid w:val="0"/>
              <w:rPr>
                <w:color w:val="auto"/>
                <w:sz w:val="22"/>
                <w:szCs w:val="22"/>
              </w:rPr>
            </w:pPr>
            <w:r>
              <w:rPr>
                <w:color w:val="auto"/>
                <w:sz w:val="22"/>
                <w:szCs w:val="22"/>
              </w:rPr>
              <w:sym w:font="Wingdings 2" w:char="00A3"/>
            </w:r>
            <w:r>
              <w:rPr>
                <w:color w:val="auto"/>
                <w:sz w:val="22"/>
                <w:szCs w:val="22"/>
              </w:rPr>
              <w:t>技术改造</w:t>
            </w:r>
          </w:p>
        </w:tc>
        <w:tc>
          <w:tcPr>
            <w:tcW w:w="1361" w:type="dxa"/>
            <w:vAlign w:val="center"/>
          </w:tcPr>
          <w:p w14:paraId="650F881A">
            <w:pPr>
              <w:adjustRightInd w:val="0"/>
              <w:snapToGrid w:val="0"/>
              <w:jc w:val="center"/>
              <w:rPr>
                <w:color w:val="auto"/>
                <w:sz w:val="22"/>
                <w:szCs w:val="22"/>
              </w:rPr>
            </w:pPr>
            <w:r>
              <w:rPr>
                <w:color w:val="auto"/>
                <w:sz w:val="22"/>
                <w:szCs w:val="22"/>
              </w:rPr>
              <w:t>建设项目</w:t>
            </w:r>
          </w:p>
          <w:p w14:paraId="4FCFF778">
            <w:pPr>
              <w:adjustRightInd w:val="0"/>
              <w:snapToGrid w:val="0"/>
              <w:jc w:val="center"/>
              <w:rPr>
                <w:color w:val="auto"/>
                <w:sz w:val="22"/>
                <w:szCs w:val="22"/>
              </w:rPr>
            </w:pPr>
            <w:r>
              <w:rPr>
                <w:color w:val="auto"/>
                <w:sz w:val="22"/>
                <w:szCs w:val="22"/>
              </w:rPr>
              <w:t>申报情形</w:t>
            </w:r>
          </w:p>
        </w:tc>
        <w:tc>
          <w:tcPr>
            <w:tcW w:w="3309" w:type="dxa"/>
            <w:vAlign w:val="center"/>
          </w:tcPr>
          <w:p w14:paraId="4C845D87">
            <w:pPr>
              <w:adjustRightInd w:val="0"/>
              <w:snapToGrid w:val="0"/>
              <w:rPr>
                <w:color w:val="auto"/>
                <w:sz w:val="22"/>
                <w:szCs w:val="22"/>
              </w:rPr>
            </w:pPr>
            <w:r>
              <w:rPr>
                <w:color w:val="auto"/>
                <w:sz w:val="22"/>
                <w:szCs w:val="22"/>
              </w:rPr>
              <w:sym w:font="Wingdings 2" w:char="0052"/>
            </w:r>
            <w:r>
              <w:rPr>
                <w:color w:val="auto"/>
                <w:sz w:val="22"/>
                <w:szCs w:val="22"/>
              </w:rPr>
              <w:t>首次申报项目</w:t>
            </w:r>
          </w:p>
          <w:p w14:paraId="4324A52B">
            <w:pPr>
              <w:adjustRightInd w:val="0"/>
              <w:snapToGrid w:val="0"/>
              <w:rPr>
                <w:color w:val="auto"/>
                <w:sz w:val="22"/>
                <w:szCs w:val="22"/>
              </w:rPr>
            </w:pPr>
            <w:r>
              <w:rPr>
                <w:color w:val="auto"/>
                <w:sz w:val="22"/>
                <w:szCs w:val="22"/>
              </w:rPr>
              <w:sym w:font="Wingdings 2" w:char="00A3"/>
            </w:r>
            <w:r>
              <w:rPr>
                <w:color w:val="auto"/>
                <w:sz w:val="22"/>
                <w:szCs w:val="22"/>
              </w:rPr>
              <w:t>不予批准后再次申报项目</w:t>
            </w:r>
          </w:p>
          <w:p w14:paraId="5EA76AD1">
            <w:pPr>
              <w:adjustRightInd w:val="0"/>
              <w:snapToGrid w:val="0"/>
              <w:rPr>
                <w:color w:val="auto"/>
                <w:sz w:val="22"/>
                <w:szCs w:val="22"/>
              </w:rPr>
            </w:pPr>
            <w:r>
              <w:rPr>
                <w:color w:val="auto"/>
                <w:sz w:val="22"/>
                <w:szCs w:val="22"/>
              </w:rPr>
              <w:sym w:font="Wingdings 2" w:char="00A3"/>
            </w:r>
            <w:r>
              <w:rPr>
                <w:color w:val="auto"/>
                <w:sz w:val="22"/>
                <w:szCs w:val="22"/>
              </w:rPr>
              <w:t>超五年重新审核项目</w:t>
            </w:r>
          </w:p>
          <w:p w14:paraId="0DEAFD96">
            <w:pPr>
              <w:adjustRightInd w:val="0"/>
              <w:snapToGrid w:val="0"/>
              <w:rPr>
                <w:color w:val="auto"/>
                <w:sz w:val="22"/>
                <w:szCs w:val="22"/>
              </w:rPr>
            </w:pPr>
            <w:r>
              <w:rPr>
                <w:color w:val="auto"/>
                <w:sz w:val="22"/>
                <w:szCs w:val="22"/>
              </w:rPr>
              <w:sym w:font="Wingdings 2" w:char="00A3"/>
            </w:r>
            <w:r>
              <w:rPr>
                <w:color w:val="auto"/>
                <w:sz w:val="22"/>
                <w:szCs w:val="22"/>
              </w:rPr>
              <w:t>重大变动重新报批项目</w:t>
            </w:r>
          </w:p>
        </w:tc>
      </w:tr>
      <w:tr w14:paraId="1BB571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45" w:type="dxa"/>
            <w:tcMar>
              <w:top w:w="16" w:type="dxa"/>
              <w:left w:w="16" w:type="dxa"/>
              <w:right w:w="16" w:type="dxa"/>
            </w:tcMar>
            <w:vAlign w:val="center"/>
          </w:tcPr>
          <w:p w14:paraId="765DB546">
            <w:pPr>
              <w:adjustRightInd w:val="0"/>
              <w:snapToGrid w:val="0"/>
              <w:jc w:val="center"/>
              <w:rPr>
                <w:color w:val="auto"/>
                <w:sz w:val="22"/>
                <w:szCs w:val="22"/>
              </w:rPr>
            </w:pPr>
            <w:r>
              <w:rPr>
                <w:color w:val="auto"/>
                <w:sz w:val="22"/>
                <w:szCs w:val="22"/>
              </w:rPr>
              <w:t>项目审批</w:t>
            </w:r>
          </w:p>
          <w:p w14:paraId="5B6BC554">
            <w:pPr>
              <w:adjustRightInd w:val="0"/>
              <w:snapToGrid w:val="0"/>
              <w:jc w:val="center"/>
              <w:rPr>
                <w:color w:val="auto"/>
                <w:sz w:val="22"/>
                <w:szCs w:val="22"/>
              </w:rPr>
            </w:pPr>
            <w:r>
              <w:rPr>
                <w:color w:val="auto"/>
                <w:sz w:val="22"/>
                <w:szCs w:val="22"/>
              </w:rPr>
              <w:t>（核准/备案）部门（选填）</w:t>
            </w:r>
          </w:p>
        </w:tc>
        <w:tc>
          <w:tcPr>
            <w:tcW w:w="2855" w:type="dxa"/>
            <w:vAlign w:val="center"/>
          </w:tcPr>
          <w:p w14:paraId="3B5F7AB8">
            <w:pPr>
              <w:adjustRightInd w:val="0"/>
              <w:snapToGrid w:val="0"/>
              <w:jc w:val="center"/>
              <w:rPr>
                <w:rFonts w:hint="eastAsia" w:eastAsia="宋体"/>
                <w:color w:val="auto"/>
                <w:sz w:val="22"/>
                <w:szCs w:val="22"/>
                <w:lang w:eastAsia="zh-CN"/>
              </w:rPr>
            </w:pPr>
            <w:r>
              <w:rPr>
                <w:rFonts w:hint="eastAsia"/>
                <w:color w:val="auto"/>
                <w:sz w:val="22"/>
                <w:szCs w:val="22"/>
                <w:lang w:val="en-US" w:eastAsia="zh-CN"/>
              </w:rPr>
              <w:t>/</w:t>
            </w:r>
          </w:p>
        </w:tc>
        <w:tc>
          <w:tcPr>
            <w:tcW w:w="1361" w:type="dxa"/>
            <w:vAlign w:val="center"/>
          </w:tcPr>
          <w:p w14:paraId="6F0FA757">
            <w:pPr>
              <w:adjustRightInd w:val="0"/>
              <w:snapToGrid w:val="0"/>
              <w:jc w:val="center"/>
              <w:rPr>
                <w:color w:val="auto"/>
                <w:sz w:val="22"/>
                <w:szCs w:val="22"/>
              </w:rPr>
            </w:pPr>
            <w:r>
              <w:rPr>
                <w:color w:val="auto"/>
                <w:sz w:val="22"/>
                <w:szCs w:val="22"/>
              </w:rPr>
              <w:t>项目审批</w:t>
            </w:r>
          </w:p>
          <w:p w14:paraId="2660AE4F">
            <w:pPr>
              <w:adjustRightInd w:val="0"/>
              <w:snapToGrid w:val="0"/>
              <w:jc w:val="center"/>
              <w:rPr>
                <w:color w:val="auto"/>
                <w:sz w:val="22"/>
                <w:szCs w:val="22"/>
              </w:rPr>
            </w:pPr>
            <w:r>
              <w:rPr>
                <w:color w:val="auto"/>
                <w:sz w:val="22"/>
                <w:szCs w:val="22"/>
              </w:rPr>
              <w:t>（核准/备案）</w:t>
            </w:r>
          </w:p>
          <w:p w14:paraId="7535F4C9">
            <w:pPr>
              <w:adjustRightInd w:val="0"/>
              <w:snapToGrid w:val="0"/>
              <w:jc w:val="center"/>
              <w:rPr>
                <w:color w:val="auto"/>
                <w:sz w:val="22"/>
                <w:szCs w:val="22"/>
              </w:rPr>
            </w:pPr>
            <w:r>
              <w:rPr>
                <w:color w:val="auto"/>
                <w:sz w:val="22"/>
                <w:szCs w:val="22"/>
              </w:rPr>
              <w:t>文号（选填）</w:t>
            </w:r>
          </w:p>
        </w:tc>
        <w:tc>
          <w:tcPr>
            <w:tcW w:w="3309" w:type="dxa"/>
            <w:vAlign w:val="center"/>
          </w:tcPr>
          <w:p w14:paraId="1972C1CB">
            <w:pPr>
              <w:adjustRightInd w:val="0"/>
              <w:snapToGrid w:val="0"/>
              <w:jc w:val="center"/>
              <w:rPr>
                <w:rFonts w:hint="eastAsia" w:eastAsia="宋体"/>
                <w:color w:val="auto"/>
                <w:sz w:val="22"/>
                <w:szCs w:val="22"/>
                <w:lang w:eastAsia="zh-CN"/>
              </w:rPr>
            </w:pPr>
            <w:r>
              <w:rPr>
                <w:rFonts w:hint="eastAsia"/>
                <w:color w:val="auto"/>
                <w:sz w:val="22"/>
                <w:szCs w:val="22"/>
                <w:lang w:val="en-US" w:eastAsia="zh-CN"/>
              </w:rPr>
              <w:t>/</w:t>
            </w:r>
          </w:p>
        </w:tc>
      </w:tr>
      <w:tr w14:paraId="55AA36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1345" w:type="dxa"/>
            <w:tcMar>
              <w:top w:w="16" w:type="dxa"/>
              <w:left w:w="16" w:type="dxa"/>
              <w:right w:w="16" w:type="dxa"/>
            </w:tcMar>
            <w:vAlign w:val="center"/>
          </w:tcPr>
          <w:p w14:paraId="7AE6F50A">
            <w:pPr>
              <w:adjustRightInd w:val="0"/>
              <w:snapToGrid w:val="0"/>
              <w:jc w:val="center"/>
              <w:rPr>
                <w:color w:val="auto"/>
                <w:sz w:val="22"/>
                <w:szCs w:val="22"/>
              </w:rPr>
            </w:pPr>
            <w:r>
              <w:rPr>
                <w:color w:val="auto"/>
                <w:sz w:val="22"/>
                <w:szCs w:val="22"/>
              </w:rPr>
              <w:t>总投资</w:t>
            </w:r>
          </w:p>
          <w:p w14:paraId="2012615D">
            <w:pPr>
              <w:adjustRightInd w:val="0"/>
              <w:snapToGrid w:val="0"/>
              <w:jc w:val="center"/>
              <w:rPr>
                <w:color w:val="auto"/>
                <w:sz w:val="22"/>
                <w:szCs w:val="22"/>
              </w:rPr>
            </w:pPr>
            <w:r>
              <w:rPr>
                <w:color w:val="auto"/>
                <w:sz w:val="22"/>
                <w:szCs w:val="22"/>
              </w:rPr>
              <w:t>（万元）</w:t>
            </w:r>
          </w:p>
        </w:tc>
        <w:tc>
          <w:tcPr>
            <w:tcW w:w="2855" w:type="dxa"/>
            <w:vAlign w:val="center"/>
          </w:tcPr>
          <w:p w14:paraId="0E09E5D8">
            <w:pPr>
              <w:adjustRightInd w:val="0"/>
              <w:snapToGrid w:val="0"/>
              <w:jc w:val="center"/>
              <w:rPr>
                <w:rFonts w:hint="default" w:eastAsia="宋体"/>
                <w:color w:val="auto"/>
                <w:sz w:val="22"/>
                <w:szCs w:val="22"/>
                <w:lang w:val="en-US" w:eastAsia="zh-CN"/>
              </w:rPr>
            </w:pPr>
            <w:r>
              <w:rPr>
                <w:rFonts w:hint="eastAsia"/>
                <w:color w:val="auto"/>
                <w:sz w:val="22"/>
                <w:szCs w:val="22"/>
                <w:lang w:val="en-US" w:eastAsia="zh-CN"/>
              </w:rPr>
              <w:t>250</w:t>
            </w:r>
          </w:p>
        </w:tc>
        <w:tc>
          <w:tcPr>
            <w:tcW w:w="1361" w:type="dxa"/>
            <w:tcMar>
              <w:top w:w="16" w:type="dxa"/>
              <w:left w:w="16" w:type="dxa"/>
              <w:right w:w="16" w:type="dxa"/>
            </w:tcMar>
            <w:vAlign w:val="center"/>
          </w:tcPr>
          <w:p w14:paraId="58CB6E98">
            <w:pPr>
              <w:adjustRightInd w:val="0"/>
              <w:snapToGrid w:val="0"/>
              <w:jc w:val="center"/>
              <w:rPr>
                <w:color w:val="auto"/>
                <w:sz w:val="22"/>
                <w:szCs w:val="22"/>
              </w:rPr>
            </w:pPr>
            <w:r>
              <w:rPr>
                <w:color w:val="auto"/>
                <w:sz w:val="22"/>
                <w:szCs w:val="22"/>
              </w:rPr>
              <w:t>环保投资</w:t>
            </w:r>
          </w:p>
          <w:p w14:paraId="5AC500A2">
            <w:pPr>
              <w:adjustRightInd w:val="0"/>
              <w:snapToGrid w:val="0"/>
              <w:jc w:val="center"/>
              <w:rPr>
                <w:color w:val="auto"/>
                <w:sz w:val="22"/>
                <w:szCs w:val="22"/>
              </w:rPr>
            </w:pPr>
            <w:r>
              <w:rPr>
                <w:color w:val="auto"/>
                <w:sz w:val="22"/>
                <w:szCs w:val="22"/>
              </w:rPr>
              <w:t>（万元）</w:t>
            </w:r>
          </w:p>
        </w:tc>
        <w:tc>
          <w:tcPr>
            <w:tcW w:w="3309" w:type="dxa"/>
            <w:vAlign w:val="center"/>
          </w:tcPr>
          <w:p w14:paraId="106B29EF">
            <w:pPr>
              <w:adjustRightInd w:val="0"/>
              <w:snapToGrid w:val="0"/>
              <w:jc w:val="center"/>
              <w:rPr>
                <w:rFonts w:hint="default" w:eastAsia="宋体"/>
                <w:color w:val="auto"/>
                <w:sz w:val="22"/>
                <w:szCs w:val="22"/>
                <w:lang w:val="en-US" w:eastAsia="zh-CN"/>
              </w:rPr>
            </w:pPr>
            <w:r>
              <w:rPr>
                <w:rFonts w:hint="eastAsia"/>
                <w:color w:val="auto"/>
                <w:sz w:val="22"/>
                <w:szCs w:val="22"/>
                <w:lang w:val="en-US" w:eastAsia="zh-CN"/>
              </w:rPr>
              <w:t>74.5</w:t>
            </w:r>
          </w:p>
        </w:tc>
      </w:tr>
      <w:tr w14:paraId="11DF42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45" w:type="dxa"/>
            <w:tcMar>
              <w:top w:w="16" w:type="dxa"/>
              <w:left w:w="16" w:type="dxa"/>
              <w:right w:w="16" w:type="dxa"/>
            </w:tcMar>
            <w:vAlign w:val="center"/>
          </w:tcPr>
          <w:p w14:paraId="15300CC3">
            <w:pPr>
              <w:adjustRightInd w:val="0"/>
              <w:snapToGrid w:val="0"/>
              <w:jc w:val="center"/>
              <w:rPr>
                <w:color w:val="auto"/>
                <w:sz w:val="22"/>
                <w:szCs w:val="22"/>
              </w:rPr>
            </w:pPr>
            <w:r>
              <w:rPr>
                <w:color w:val="auto"/>
                <w:sz w:val="22"/>
                <w:szCs w:val="22"/>
              </w:rPr>
              <w:t>环保投资占比（%）</w:t>
            </w:r>
          </w:p>
        </w:tc>
        <w:tc>
          <w:tcPr>
            <w:tcW w:w="2855" w:type="dxa"/>
            <w:vAlign w:val="center"/>
          </w:tcPr>
          <w:p w14:paraId="32A43011">
            <w:pPr>
              <w:adjustRightInd w:val="0"/>
              <w:snapToGrid w:val="0"/>
              <w:jc w:val="center"/>
              <w:rPr>
                <w:rFonts w:hint="default" w:eastAsia="宋体"/>
                <w:color w:val="auto"/>
                <w:sz w:val="22"/>
                <w:szCs w:val="22"/>
                <w:lang w:val="en-US" w:eastAsia="zh-CN"/>
              </w:rPr>
            </w:pPr>
            <w:r>
              <w:rPr>
                <w:rFonts w:hint="eastAsia"/>
                <w:color w:val="auto"/>
                <w:sz w:val="22"/>
                <w:szCs w:val="22"/>
                <w:lang w:val="en-US" w:eastAsia="zh-CN"/>
              </w:rPr>
              <w:t>29.8</w:t>
            </w:r>
          </w:p>
        </w:tc>
        <w:tc>
          <w:tcPr>
            <w:tcW w:w="1361" w:type="dxa"/>
            <w:tcMar>
              <w:top w:w="16" w:type="dxa"/>
              <w:left w:w="16" w:type="dxa"/>
              <w:right w:w="16" w:type="dxa"/>
            </w:tcMar>
            <w:vAlign w:val="center"/>
          </w:tcPr>
          <w:p w14:paraId="264F799A">
            <w:pPr>
              <w:adjustRightInd w:val="0"/>
              <w:snapToGrid w:val="0"/>
              <w:jc w:val="center"/>
              <w:rPr>
                <w:color w:val="auto"/>
                <w:sz w:val="22"/>
                <w:szCs w:val="22"/>
              </w:rPr>
            </w:pPr>
            <w:r>
              <w:rPr>
                <w:color w:val="auto"/>
                <w:sz w:val="22"/>
                <w:szCs w:val="22"/>
              </w:rPr>
              <w:t>施工工期</w:t>
            </w:r>
          </w:p>
        </w:tc>
        <w:tc>
          <w:tcPr>
            <w:tcW w:w="3309" w:type="dxa"/>
            <w:vAlign w:val="center"/>
          </w:tcPr>
          <w:p w14:paraId="13D1DA06">
            <w:pPr>
              <w:adjustRightInd w:val="0"/>
              <w:snapToGrid w:val="0"/>
              <w:jc w:val="center"/>
              <w:rPr>
                <w:rFonts w:hint="default" w:eastAsia="宋体"/>
                <w:color w:val="auto"/>
                <w:sz w:val="22"/>
                <w:szCs w:val="22"/>
                <w:lang w:val="en-US" w:eastAsia="zh-CN"/>
              </w:rPr>
            </w:pPr>
            <w:r>
              <w:rPr>
                <w:rFonts w:hint="eastAsia"/>
                <w:color w:val="auto"/>
                <w:sz w:val="22"/>
                <w:szCs w:val="22"/>
                <w:lang w:val="en-US" w:eastAsia="zh-CN"/>
              </w:rPr>
              <w:t>1个月</w:t>
            </w:r>
          </w:p>
        </w:tc>
      </w:tr>
      <w:tr w14:paraId="002B04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15" w:hRule="atLeast"/>
          <w:jc w:val="center"/>
        </w:trPr>
        <w:tc>
          <w:tcPr>
            <w:tcW w:w="1345" w:type="dxa"/>
            <w:tcMar>
              <w:top w:w="16" w:type="dxa"/>
              <w:left w:w="16" w:type="dxa"/>
              <w:right w:w="16" w:type="dxa"/>
            </w:tcMar>
            <w:vAlign w:val="center"/>
          </w:tcPr>
          <w:p w14:paraId="16CEF6F6">
            <w:pPr>
              <w:adjustRightInd w:val="0"/>
              <w:snapToGrid w:val="0"/>
              <w:jc w:val="center"/>
              <w:rPr>
                <w:color w:val="auto"/>
                <w:sz w:val="22"/>
                <w:szCs w:val="22"/>
              </w:rPr>
            </w:pPr>
            <w:r>
              <w:rPr>
                <w:color w:val="auto"/>
                <w:sz w:val="22"/>
                <w:szCs w:val="22"/>
              </w:rPr>
              <w:t>是否开工建设</w:t>
            </w:r>
          </w:p>
        </w:tc>
        <w:tc>
          <w:tcPr>
            <w:tcW w:w="2855" w:type="dxa"/>
            <w:vAlign w:val="center"/>
          </w:tcPr>
          <w:p w14:paraId="6E50B096">
            <w:pPr>
              <w:adjustRightInd w:val="0"/>
              <w:snapToGrid w:val="0"/>
              <w:rPr>
                <w:color w:val="auto"/>
                <w:sz w:val="22"/>
                <w:szCs w:val="22"/>
              </w:rPr>
            </w:pPr>
            <w:r>
              <w:rPr>
                <w:color w:val="auto"/>
                <w:sz w:val="22"/>
                <w:szCs w:val="22"/>
              </w:rPr>
              <w:sym w:font="Wingdings 2" w:char="0052"/>
            </w:r>
            <w:r>
              <w:rPr>
                <w:color w:val="auto"/>
                <w:sz w:val="22"/>
                <w:szCs w:val="22"/>
              </w:rPr>
              <w:t>否</w:t>
            </w:r>
          </w:p>
          <w:p w14:paraId="7C8C5243">
            <w:pPr>
              <w:adjustRightInd w:val="0"/>
              <w:snapToGrid w:val="0"/>
              <w:rPr>
                <w:rFonts w:hint="default"/>
                <w:color w:val="auto"/>
                <w:sz w:val="22"/>
                <w:szCs w:val="22"/>
                <w:lang w:val="en-US"/>
              </w:rPr>
            </w:pPr>
            <w:r>
              <w:rPr>
                <w:color w:val="auto"/>
                <w:sz w:val="22"/>
                <w:szCs w:val="22"/>
              </w:rPr>
              <w:sym w:font="Wingdings 2" w:char="00A3"/>
            </w:r>
            <w:r>
              <w:rPr>
                <w:color w:val="auto"/>
                <w:sz w:val="22"/>
                <w:szCs w:val="22"/>
              </w:rPr>
              <w:t>是</w:t>
            </w:r>
            <w:r>
              <w:rPr>
                <w:rFonts w:hint="eastAsia"/>
                <w:color w:val="auto"/>
                <w:sz w:val="22"/>
                <w:szCs w:val="22"/>
              </w:rPr>
              <w:t>：</w:t>
            </w:r>
            <w:r>
              <w:rPr>
                <w:rFonts w:hint="eastAsia"/>
                <w:color w:val="auto"/>
                <w:szCs w:val="21"/>
                <w:u w:val="single"/>
                <w:lang w:val="en-US" w:eastAsia="zh-CN"/>
              </w:rPr>
              <w:t xml:space="preserve">        </w:t>
            </w:r>
          </w:p>
        </w:tc>
        <w:tc>
          <w:tcPr>
            <w:tcW w:w="1361" w:type="dxa"/>
            <w:tcMar>
              <w:top w:w="16" w:type="dxa"/>
              <w:left w:w="16" w:type="dxa"/>
              <w:right w:w="16" w:type="dxa"/>
            </w:tcMar>
            <w:vAlign w:val="center"/>
          </w:tcPr>
          <w:p w14:paraId="72259991">
            <w:pPr>
              <w:adjustRightInd w:val="0"/>
              <w:snapToGrid w:val="0"/>
              <w:jc w:val="center"/>
              <w:rPr>
                <w:color w:val="auto"/>
                <w:sz w:val="22"/>
                <w:szCs w:val="22"/>
              </w:rPr>
            </w:pPr>
            <w:r>
              <w:rPr>
                <w:color w:val="auto"/>
                <w:sz w:val="22"/>
                <w:szCs w:val="22"/>
              </w:rPr>
              <w:t>用地（用海）</w:t>
            </w:r>
          </w:p>
          <w:p w14:paraId="4765D53A">
            <w:pPr>
              <w:adjustRightInd w:val="0"/>
              <w:snapToGrid w:val="0"/>
              <w:jc w:val="center"/>
              <w:rPr>
                <w:color w:val="auto"/>
                <w:sz w:val="22"/>
                <w:szCs w:val="22"/>
              </w:rPr>
            </w:pPr>
            <w:r>
              <w:rPr>
                <w:color w:val="auto"/>
                <w:sz w:val="22"/>
                <w:szCs w:val="22"/>
              </w:rPr>
              <w:t>面积（m</w:t>
            </w:r>
            <w:r>
              <w:rPr>
                <w:color w:val="auto"/>
                <w:sz w:val="22"/>
                <w:szCs w:val="22"/>
                <w:vertAlign w:val="superscript"/>
              </w:rPr>
              <w:t>2</w:t>
            </w:r>
            <w:r>
              <w:rPr>
                <w:color w:val="auto"/>
                <w:sz w:val="22"/>
                <w:szCs w:val="22"/>
              </w:rPr>
              <w:t>）</w:t>
            </w:r>
          </w:p>
        </w:tc>
        <w:tc>
          <w:tcPr>
            <w:tcW w:w="3309" w:type="dxa"/>
            <w:vAlign w:val="center"/>
          </w:tcPr>
          <w:p w14:paraId="49B4F8E8">
            <w:pPr>
              <w:adjustRightInd w:val="0"/>
              <w:snapToGrid w:val="0"/>
              <w:jc w:val="center"/>
              <w:rPr>
                <w:rFonts w:hint="default" w:eastAsia="宋体"/>
                <w:color w:val="auto"/>
                <w:sz w:val="22"/>
                <w:szCs w:val="22"/>
                <w:lang w:val="en-US" w:eastAsia="zh-CN"/>
              </w:rPr>
            </w:pPr>
            <w:r>
              <w:rPr>
                <w:rFonts w:hint="eastAsia" w:ascii="Times New Roman" w:hAnsi="Times New Roman" w:eastAsia="宋体" w:cs="Times New Roman"/>
                <w:color w:val="auto"/>
                <w:sz w:val="22"/>
                <w:szCs w:val="22"/>
                <w:lang w:val="en-US" w:eastAsia="zh-CN"/>
              </w:rPr>
              <w:t>19855</w:t>
            </w:r>
          </w:p>
        </w:tc>
      </w:tr>
      <w:tr w14:paraId="4ED6A6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5" w:type="dxa"/>
            <w:vAlign w:val="center"/>
          </w:tcPr>
          <w:p w14:paraId="3C66F247">
            <w:pPr>
              <w:adjustRightInd w:val="0"/>
              <w:snapToGrid w:val="0"/>
              <w:jc w:val="center"/>
              <w:rPr>
                <w:color w:val="auto"/>
                <w:kern w:val="0"/>
                <w:sz w:val="22"/>
                <w:szCs w:val="22"/>
              </w:rPr>
            </w:pPr>
            <w:r>
              <w:rPr>
                <w:color w:val="auto"/>
                <w:sz w:val="22"/>
                <w:szCs w:val="22"/>
              </w:rPr>
              <w:t>专项评价设置情况</w:t>
            </w:r>
          </w:p>
        </w:tc>
        <w:tc>
          <w:tcPr>
            <w:tcW w:w="7525" w:type="dxa"/>
            <w:gridSpan w:val="3"/>
            <w:vAlign w:val="center"/>
          </w:tcPr>
          <w:p w14:paraId="6B990F3E">
            <w:pPr>
              <w:adjustRightInd w:val="0"/>
              <w:snapToGrid w:val="0"/>
              <w:jc w:val="center"/>
              <w:rPr>
                <w:b/>
                <w:bCs/>
                <w:color w:val="auto"/>
                <w:kern w:val="0"/>
                <w:szCs w:val="21"/>
              </w:rPr>
            </w:pPr>
            <w:r>
              <w:rPr>
                <w:rFonts w:hint="eastAsia"/>
                <w:b/>
                <w:bCs/>
                <w:color w:val="auto"/>
                <w:kern w:val="0"/>
                <w:szCs w:val="21"/>
              </w:rPr>
              <w:t xml:space="preserve">表1-1  </w:t>
            </w:r>
            <w:r>
              <w:rPr>
                <w:b/>
                <w:bCs/>
                <w:color w:val="auto"/>
                <w:kern w:val="0"/>
                <w:szCs w:val="21"/>
              </w:rPr>
              <w:t>专项评价设置原则及本项目情况对照一览表</w:t>
            </w:r>
          </w:p>
          <w:tbl>
            <w:tblPr>
              <w:tblStyle w:val="39"/>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2367"/>
              <w:gridCol w:w="3078"/>
              <w:gridCol w:w="1018"/>
            </w:tblGrid>
            <w:tr w14:paraId="1FE739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578" w:type="pct"/>
                  <w:tcBorders>
                    <w:tl2br w:val="nil"/>
                    <w:tr2bl w:val="nil"/>
                  </w:tcBorders>
                  <w:vAlign w:val="center"/>
                </w:tcPr>
                <w:p w14:paraId="796F061D">
                  <w:pPr>
                    <w:pStyle w:val="33"/>
                    <w:spacing w:line="240" w:lineRule="auto"/>
                    <w:ind w:firstLine="0" w:firstLineChars="0"/>
                    <w:jc w:val="center"/>
                    <w:rPr>
                      <w:color w:val="auto"/>
                    </w:rPr>
                  </w:pPr>
                  <w:r>
                    <w:rPr>
                      <w:color w:val="auto"/>
                    </w:rPr>
                    <w:t>专项评价的类别</w:t>
                  </w:r>
                </w:p>
              </w:tc>
              <w:tc>
                <w:tcPr>
                  <w:tcW w:w="1619" w:type="pct"/>
                  <w:tcBorders>
                    <w:tl2br w:val="nil"/>
                    <w:tr2bl w:val="nil"/>
                  </w:tcBorders>
                  <w:vAlign w:val="center"/>
                </w:tcPr>
                <w:p w14:paraId="02B9B65B">
                  <w:pPr>
                    <w:pStyle w:val="33"/>
                    <w:spacing w:line="240" w:lineRule="auto"/>
                    <w:ind w:firstLine="0" w:firstLineChars="0"/>
                    <w:jc w:val="center"/>
                    <w:rPr>
                      <w:color w:val="auto"/>
                    </w:rPr>
                  </w:pPr>
                  <w:r>
                    <w:rPr>
                      <w:rFonts w:hint="eastAsia"/>
                      <w:color w:val="auto"/>
                    </w:rPr>
                    <w:t>设置原则</w:t>
                  </w:r>
                </w:p>
              </w:tc>
              <w:tc>
                <w:tcPr>
                  <w:tcW w:w="2105" w:type="pct"/>
                  <w:tcBorders>
                    <w:tl2br w:val="nil"/>
                    <w:tr2bl w:val="nil"/>
                  </w:tcBorders>
                  <w:vAlign w:val="center"/>
                </w:tcPr>
                <w:p w14:paraId="404667A6">
                  <w:pPr>
                    <w:pStyle w:val="33"/>
                    <w:spacing w:line="240" w:lineRule="auto"/>
                    <w:ind w:firstLine="0" w:firstLineChars="0"/>
                    <w:jc w:val="center"/>
                    <w:rPr>
                      <w:color w:val="auto"/>
                    </w:rPr>
                  </w:pPr>
                  <w:r>
                    <w:rPr>
                      <w:rFonts w:hint="eastAsia"/>
                      <w:color w:val="auto"/>
                    </w:rPr>
                    <w:t>本项目</w:t>
                  </w:r>
                </w:p>
              </w:tc>
              <w:tc>
                <w:tcPr>
                  <w:tcW w:w="696" w:type="pct"/>
                  <w:tcBorders>
                    <w:tl2br w:val="nil"/>
                    <w:tr2bl w:val="nil"/>
                  </w:tcBorders>
                  <w:vAlign w:val="center"/>
                </w:tcPr>
                <w:p w14:paraId="5907AE47">
                  <w:pPr>
                    <w:pStyle w:val="33"/>
                    <w:spacing w:line="240" w:lineRule="auto"/>
                    <w:ind w:firstLine="0" w:firstLineChars="0"/>
                    <w:jc w:val="center"/>
                    <w:rPr>
                      <w:rFonts w:hint="default" w:eastAsia="宋体"/>
                      <w:color w:val="auto"/>
                      <w:lang w:val="en-US" w:eastAsia="zh-CN"/>
                    </w:rPr>
                  </w:pPr>
                  <w:r>
                    <w:rPr>
                      <w:rFonts w:hint="eastAsia"/>
                      <w:color w:val="auto"/>
                      <w:lang w:val="en-US" w:eastAsia="zh-CN"/>
                    </w:rPr>
                    <w:t>是否开展专项评价</w:t>
                  </w:r>
                </w:p>
              </w:tc>
            </w:tr>
            <w:tr w14:paraId="309517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578" w:type="pct"/>
                  <w:tcBorders>
                    <w:tl2br w:val="nil"/>
                    <w:tr2bl w:val="nil"/>
                  </w:tcBorders>
                  <w:vAlign w:val="center"/>
                </w:tcPr>
                <w:p w14:paraId="14C1CDBB">
                  <w:pPr>
                    <w:pStyle w:val="33"/>
                    <w:spacing w:line="240" w:lineRule="auto"/>
                    <w:ind w:firstLine="0" w:firstLineChars="0"/>
                    <w:jc w:val="center"/>
                    <w:rPr>
                      <w:color w:val="auto"/>
                    </w:rPr>
                  </w:pPr>
                  <w:r>
                    <w:rPr>
                      <w:rFonts w:hint="eastAsia"/>
                      <w:color w:val="auto"/>
                    </w:rPr>
                    <w:t>大气</w:t>
                  </w:r>
                </w:p>
              </w:tc>
              <w:tc>
                <w:tcPr>
                  <w:tcW w:w="1619" w:type="pct"/>
                  <w:tcBorders>
                    <w:tl2br w:val="nil"/>
                    <w:tr2bl w:val="nil"/>
                  </w:tcBorders>
                  <w:vAlign w:val="center"/>
                </w:tcPr>
                <w:p w14:paraId="717FB6D5">
                  <w:pPr>
                    <w:pStyle w:val="33"/>
                    <w:spacing w:line="240" w:lineRule="auto"/>
                    <w:ind w:firstLine="0" w:firstLineChars="0"/>
                    <w:jc w:val="center"/>
                    <w:rPr>
                      <w:color w:val="auto"/>
                    </w:rPr>
                  </w:pPr>
                  <w:r>
                    <w:rPr>
                      <w:color w:val="auto"/>
                    </w:rPr>
                    <w:t>排放废气含有毒有害污染物二噁英、苯并[α]芘、氰化物、氯气且厂界外500米范围内有环境空气保护目标的建设项目</w:t>
                  </w:r>
                </w:p>
              </w:tc>
              <w:tc>
                <w:tcPr>
                  <w:tcW w:w="2105" w:type="pct"/>
                  <w:tcBorders>
                    <w:tl2br w:val="nil"/>
                    <w:tr2bl w:val="nil"/>
                  </w:tcBorders>
                  <w:vAlign w:val="center"/>
                </w:tcPr>
                <w:p w14:paraId="6010C966">
                  <w:pPr>
                    <w:pStyle w:val="33"/>
                    <w:spacing w:line="240" w:lineRule="auto"/>
                    <w:ind w:firstLine="0" w:firstLineChars="0"/>
                    <w:jc w:val="center"/>
                    <w:rPr>
                      <w:color w:val="auto"/>
                    </w:rPr>
                  </w:pPr>
                  <w:r>
                    <w:rPr>
                      <w:rFonts w:hint="eastAsia"/>
                      <w:color w:val="auto"/>
                      <w:lang w:val="en-US" w:eastAsia="zh-CN"/>
                    </w:rPr>
                    <w:t>本项目排放废气为颗粒物，</w:t>
                  </w:r>
                  <w:r>
                    <w:rPr>
                      <w:rFonts w:hint="eastAsia"/>
                      <w:color w:val="auto"/>
                    </w:rPr>
                    <w:t>不</w:t>
                  </w:r>
                  <w:r>
                    <w:rPr>
                      <w:color w:val="auto"/>
                    </w:rPr>
                    <w:t>排放含有毒有害污染物二噁英、苯并[α]]芘、氰化物、氯气</w:t>
                  </w:r>
                </w:p>
              </w:tc>
              <w:tc>
                <w:tcPr>
                  <w:tcW w:w="696" w:type="pct"/>
                  <w:tcBorders>
                    <w:tl2br w:val="nil"/>
                    <w:tr2bl w:val="nil"/>
                  </w:tcBorders>
                  <w:vAlign w:val="center"/>
                </w:tcPr>
                <w:p w14:paraId="3C3026F3">
                  <w:pPr>
                    <w:pStyle w:val="33"/>
                    <w:spacing w:line="240" w:lineRule="auto"/>
                    <w:ind w:firstLine="0" w:firstLineChars="0"/>
                    <w:jc w:val="center"/>
                    <w:rPr>
                      <w:rFonts w:hint="eastAsia" w:eastAsia="宋体"/>
                      <w:color w:val="auto"/>
                      <w:lang w:eastAsia="zh-CN"/>
                    </w:rPr>
                  </w:pPr>
                  <w:r>
                    <w:rPr>
                      <w:rFonts w:hint="eastAsia"/>
                      <w:color w:val="auto"/>
                      <w:lang w:val="en-US" w:eastAsia="zh-CN"/>
                    </w:rPr>
                    <w:t>否</w:t>
                  </w:r>
                </w:p>
              </w:tc>
            </w:tr>
            <w:tr w14:paraId="59E884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578" w:type="pct"/>
                  <w:tcBorders>
                    <w:tl2br w:val="nil"/>
                    <w:tr2bl w:val="nil"/>
                  </w:tcBorders>
                  <w:vAlign w:val="center"/>
                </w:tcPr>
                <w:p w14:paraId="135E3731">
                  <w:pPr>
                    <w:pStyle w:val="33"/>
                    <w:spacing w:line="240" w:lineRule="auto"/>
                    <w:ind w:firstLine="0" w:firstLineChars="0"/>
                    <w:jc w:val="center"/>
                    <w:rPr>
                      <w:color w:val="auto"/>
                    </w:rPr>
                  </w:pPr>
                  <w:r>
                    <w:rPr>
                      <w:rFonts w:hint="eastAsia"/>
                      <w:color w:val="auto"/>
                    </w:rPr>
                    <w:t>地表水</w:t>
                  </w:r>
                </w:p>
              </w:tc>
              <w:tc>
                <w:tcPr>
                  <w:tcW w:w="1619" w:type="pct"/>
                  <w:tcBorders>
                    <w:tl2br w:val="nil"/>
                    <w:tr2bl w:val="nil"/>
                  </w:tcBorders>
                  <w:vAlign w:val="center"/>
                </w:tcPr>
                <w:p w14:paraId="1BBBEF7A">
                  <w:pPr>
                    <w:pStyle w:val="33"/>
                    <w:spacing w:line="240" w:lineRule="auto"/>
                    <w:ind w:firstLine="0" w:firstLineChars="0"/>
                    <w:jc w:val="center"/>
                    <w:rPr>
                      <w:color w:val="auto"/>
                    </w:rPr>
                  </w:pPr>
                  <w:r>
                    <w:rPr>
                      <w:color w:val="auto"/>
                    </w:rPr>
                    <w:t>新增工业废水直排建设项目（槽罐车外送污水处理厂的除外）；新增废水直排的污水集中处理厂</w:t>
                  </w:r>
                </w:p>
              </w:tc>
              <w:tc>
                <w:tcPr>
                  <w:tcW w:w="2105" w:type="pct"/>
                  <w:tcBorders>
                    <w:tl2br w:val="nil"/>
                    <w:tr2bl w:val="nil"/>
                  </w:tcBorders>
                  <w:vAlign w:val="center"/>
                </w:tcPr>
                <w:p w14:paraId="3340BAAE">
                  <w:pPr>
                    <w:pStyle w:val="33"/>
                    <w:spacing w:line="240" w:lineRule="auto"/>
                    <w:ind w:firstLine="0" w:firstLineChars="0"/>
                    <w:jc w:val="center"/>
                    <w:rPr>
                      <w:color w:val="auto"/>
                    </w:rPr>
                  </w:pPr>
                  <w:r>
                    <w:rPr>
                      <w:color w:val="auto"/>
                      <w:szCs w:val="21"/>
                    </w:rPr>
                    <w:t>本项目</w:t>
                  </w:r>
                  <w:r>
                    <w:rPr>
                      <w:rFonts w:hint="eastAsia"/>
                      <w:color w:val="auto"/>
                      <w:szCs w:val="21"/>
                      <w:lang w:val="en-US" w:eastAsia="zh-CN"/>
                    </w:rPr>
                    <w:t>厂区初期雨水经过雨水导流槽收集至初期雨水收集池，沉淀后全部用于车辆冲洗、厂区路面降尘，不外排；车辆冲洗废水集中收集经沉淀池沉淀后用于厂区路面降尘，自然蒸发，不外排；降尘用水全部自然蒸发，不外排；</w:t>
                  </w:r>
                  <w:r>
                    <w:rPr>
                      <w:color w:val="auto"/>
                      <w:szCs w:val="21"/>
                    </w:rPr>
                    <w:t>生活污水排入</w:t>
                  </w:r>
                  <w:r>
                    <w:rPr>
                      <w:rFonts w:hint="eastAsia"/>
                      <w:color w:val="auto"/>
                      <w:szCs w:val="21"/>
                    </w:rPr>
                    <w:t>防渗旱厕，定期清掏，外运堆肥，不外排</w:t>
                  </w:r>
                  <w:r>
                    <w:rPr>
                      <w:rFonts w:hint="eastAsia"/>
                      <w:color w:val="auto"/>
                      <w:szCs w:val="21"/>
                      <w:lang w:eastAsia="zh-CN"/>
                    </w:rPr>
                    <w:t>。</w:t>
                  </w:r>
                </w:p>
              </w:tc>
              <w:tc>
                <w:tcPr>
                  <w:tcW w:w="696" w:type="pct"/>
                  <w:tcBorders>
                    <w:tl2br w:val="nil"/>
                    <w:tr2bl w:val="nil"/>
                  </w:tcBorders>
                  <w:vAlign w:val="center"/>
                </w:tcPr>
                <w:p w14:paraId="3E0A96AD">
                  <w:pPr>
                    <w:pStyle w:val="33"/>
                    <w:spacing w:line="240" w:lineRule="auto"/>
                    <w:ind w:firstLine="0" w:firstLineChars="0"/>
                    <w:jc w:val="center"/>
                    <w:rPr>
                      <w:rFonts w:hint="eastAsia" w:eastAsia="宋体"/>
                      <w:color w:val="auto"/>
                      <w:lang w:val="en-US" w:eastAsia="zh-CN"/>
                    </w:rPr>
                  </w:pPr>
                  <w:r>
                    <w:rPr>
                      <w:rFonts w:hint="eastAsia"/>
                      <w:color w:val="auto"/>
                      <w:lang w:val="en-US" w:eastAsia="zh-CN"/>
                    </w:rPr>
                    <w:t>否</w:t>
                  </w:r>
                </w:p>
              </w:tc>
            </w:tr>
            <w:tr w14:paraId="4D2FE9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578" w:type="pct"/>
                  <w:tcBorders>
                    <w:tl2br w:val="nil"/>
                    <w:tr2bl w:val="nil"/>
                  </w:tcBorders>
                  <w:vAlign w:val="center"/>
                </w:tcPr>
                <w:p w14:paraId="4FFD520F">
                  <w:pPr>
                    <w:pStyle w:val="33"/>
                    <w:spacing w:line="240" w:lineRule="auto"/>
                    <w:ind w:firstLine="0" w:firstLineChars="0"/>
                    <w:jc w:val="center"/>
                    <w:rPr>
                      <w:color w:val="auto"/>
                    </w:rPr>
                  </w:pPr>
                  <w:r>
                    <w:rPr>
                      <w:rFonts w:hint="eastAsia"/>
                      <w:color w:val="auto"/>
                    </w:rPr>
                    <w:t>环境风险</w:t>
                  </w:r>
                </w:p>
              </w:tc>
              <w:tc>
                <w:tcPr>
                  <w:tcW w:w="1619" w:type="pct"/>
                  <w:tcBorders>
                    <w:tl2br w:val="nil"/>
                    <w:tr2bl w:val="nil"/>
                  </w:tcBorders>
                  <w:vAlign w:val="center"/>
                </w:tcPr>
                <w:p w14:paraId="2A6690BB">
                  <w:pPr>
                    <w:pStyle w:val="33"/>
                    <w:spacing w:line="240" w:lineRule="auto"/>
                    <w:ind w:firstLine="0" w:firstLineChars="0"/>
                    <w:jc w:val="center"/>
                    <w:rPr>
                      <w:color w:val="auto"/>
                    </w:rPr>
                  </w:pPr>
                  <w:r>
                    <w:rPr>
                      <w:color w:val="auto"/>
                    </w:rPr>
                    <w:t>有毒有害和易燃易爆危险物质存储量超过临界量的建设项目</w:t>
                  </w:r>
                </w:p>
              </w:tc>
              <w:tc>
                <w:tcPr>
                  <w:tcW w:w="2105" w:type="pct"/>
                  <w:tcBorders>
                    <w:tl2br w:val="nil"/>
                    <w:tr2bl w:val="nil"/>
                  </w:tcBorders>
                  <w:vAlign w:val="center"/>
                </w:tcPr>
                <w:p w14:paraId="7AC3036F">
                  <w:pPr>
                    <w:pStyle w:val="33"/>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eastAsiaTheme="minorEastAsia"/>
                      <w:color w:val="auto"/>
                      <w:lang w:val="en-US" w:eastAsia="zh-CN"/>
                    </w:rPr>
                  </w:pPr>
                  <w:r>
                    <w:rPr>
                      <w:rFonts w:hint="eastAsia"/>
                      <w:color w:val="auto"/>
                    </w:rPr>
                    <w:t>本项目废机油最大存储量为0.</w:t>
                  </w:r>
                  <w:r>
                    <w:rPr>
                      <w:rFonts w:hint="eastAsia"/>
                      <w:color w:val="auto"/>
                      <w:lang w:val="en-US" w:eastAsia="zh-CN"/>
                    </w:rPr>
                    <w:t>1</w:t>
                  </w:r>
                  <w:r>
                    <w:rPr>
                      <w:rFonts w:hint="eastAsia"/>
                      <w:color w:val="auto"/>
                    </w:rPr>
                    <w:t>t，临界量2500t，</w:t>
                  </w:r>
                  <w:r>
                    <w:rPr>
                      <w:rFonts w:hint="eastAsia"/>
                      <w:color w:val="auto"/>
                      <w:lang w:val="en-US" w:eastAsia="zh-CN"/>
                    </w:rPr>
                    <w:t>经核算本项目Q值为</w:t>
                  </w:r>
                  <w:r>
                    <w:rPr>
                      <w:rFonts w:hint="default" w:ascii="Times New Roman" w:hAnsi="Times New Roman" w:cs="Times New Roman" w:eastAsiaTheme="minorEastAsia"/>
                      <w:color w:val="auto"/>
                    </w:rPr>
                    <w:t>0.00004</w:t>
                  </w:r>
                  <w:r>
                    <w:rPr>
                      <w:rFonts w:hint="eastAsia"/>
                      <w:color w:val="auto"/>
                      <w:lang w:val="en-US" w:eastAsia="zh-CN"/>
                    </w:rPr>
                    <w:t>，</w:t>
                  </w:r>
                  <w:r>
                    <w:rPr>
                      <w:rFonts w:hint="eastAsia" w:eastAsiaTheme="minorEastAsia"/>
                      <w:color w:val="auto"/>
                    </w:rPr>
                    <w:t>根据《建设项目环境风险评价技术导则》（HJ169-2018）</w:t>
                  </w:r>
                  <w:r>
                    <w:rPr>
                      <w:rFonts w:hint="eastAsia" w:eastAsiaTheme="minorEastAsia"/>
                      <w:color w:val="auto"/>
                      <w:lang w:val="en-US" w:eastAsia="zh-CN"/>
                    </w:rPr>
                    <w:t>当q＜1时，该项目环境风险潜势为Ⅰ，本项目不开展环境风险专项评价</w:t>
                  </w:r>
                </w:p>
              </w:tc>
              <w:tc>
                <w:tcPr>
                  <w:tcW w:w="696" w:type="pct"/>
                  <w:tcBorders>
                    <w:tl2br w:val="nil"/>
                    <w:tr2bl w:val="nil"/>
                  </w:tcBorders>
                  <w:vAlign w:val="center"/>
                </w:tcPr>
                <w:p w14:paraId="78EB85E9">
                  <w:pPr>
                    <w:pStyle w:val="33"/>
                    <w:spacing w:line="240" w:lineRule="auto"/>
                    <w:ind w:firstLine="0" w:firstLineChars="0"/>
                    <w:jc w:val="center"/>
                    <w:rPr>
                      <w:rFonts w:hint="eastAsia" w:eastAsia="宋体"/>
                      <w:color w:val="auto"/>
                      <w:lang w:eastAsia="zh-CN"/>
                    </w:rPr>
                  </w:pPr>
                  <w:r>
                    <w:rPr>
                      <w:rFonts w:hint="eastAsia"/>
                      <w:color w:val="auto"/>
                      <w:lang w:val="en-US" w:eastAsia="zh-CN"/>
                    </w:rPr>
                    <w:t>否</w:t>
                  </w:r>
                </w:p>
              </w:tc>
            </w:tr>
            <w:tr w14:paraId="2A4F38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578" w:type="pct"/>
                  <w:tcBorders>
                    <w:tl2br w:val="nil"/>
                    <w:tr2bl w:val="nil"/>
                  </w:tcBorders>
                  <w:vAlign w:val="center"/>
                </w:tcPr>
                <w:p w14:paraId="10DA6B2A">
                  <w:pPr>
                    <w:pStyle w:val="33"/>
                    <w:spacing w:line="240" w:lineRule="auto"/>
                    <w:ind w:firstLine="0" w:firstLineChars="0"/>
                    <w:jc w:val="center"/>
                    <w:rPr>
                      <w:color w:val="auto"/>
                    </w:rPr>
                  </w:pPr>
                  <w:r>
                    <w:rPr>
                      <w:rFonts w:hint="eastAsia"/>
                      <w:color w:val="auto"/>
                    </w:rPr>
                    <w:t>生态</w:t>
                  </w:r>
                </w:p>
              </w:tc>
              <w:tc>
                <w:tcPr>
                  <w:tcW w:w="1619" w:type="pct"/>
                  <w:tcBorders>
                    <w:tl2br w:val="nil"/>
                    <w:tr2bl w:val="nil"/>
                  </w:tcBorders>
                  <w:vAlign w:val="center"/>
                </w:tcPr>
                <w:p w14:paraId="3DA5CE59">
                  <w:pPr>
                    <w:pStyle w:val="33"/>
                    <w:spacing w:line="240" w:lineRule="auto"/>
                    <w:ind w:firstLine="0" w:firstLineChars="0"/>
                    <w:jc w:val="center"/>
                    <w:rPr>
                      <w:color w:val="auto"/>
                    </w:rPr>
                  </w:pPr>
                  <w:r>
                    <w:rPr>
                      <w:color w:val="auto"/>
                    </w:rPr>
                    <w:t>取水口下游500米范围内有重要水生生物的自然产卵场、索饵场、越冬场和洄游通道的新增河道取水的污染类建设项目</w:t>
                  </w:r>
                </w:p>
              </w:tc>
              <w:tc>
                <w:tcPr>
                  <w:tcW w:w="2105" w:type="pct"/>
                  <w:tcBorders>
                    <w:tl2br w:val="nil"/>
                    <w:tr2bl w:val="nil"/>
                  </w:tcBorders>
                  <w:vAlign w:val="center"/>
                </w:tcPr>
                <w:p w14:paraId="3D46909C">
                  <w:pPr>
                    <w:pStyle w:val="33"/>
                    <w:spacing w:line="240" w:lineRule="auto"/>
                    <w:ind w:firstLine="0" w:firstLineChars="0"/>
                    <w:jc w:val="center"/>
                    <w:rPr>
                      <w:color w:val="auto"/>
                    </w:rPr>
                  </w:pPr>
                  <w:r>
                    <w:rPr>
                      <w:rFonts w:hint="eastAsia"/>
                      <w:color w:val="auto"/>
                    </w:rPr>
                    <w:t>不涉及取水工程</w:t>
                  </w:r>
                </w:p>
              </w:tc>
              <w:tc>
                <w:tcPr>
                  <w:tcW w:w="696" w:type="pct"/>
                  <w:tcBorders>
                    <w:tl2br w:val="nil"/>
                    <w:tr2bl w:val="nil"/>
                  </w:tcBorders>
                  <w:vAlign w:val="center"/>
                </w:tcPr>
                <w:p w14:paraId="5A7B304C">
                  <w:pPr>
                    <w:pStyle w:val="33"/>
                    <w:spacing w:line="240" w:lineRule="auto"/>
                    <w:ind w:firstLine="0" w:firstLineChars="0"/>
                    <w:jc w:val="center"/>
                    <w:rPr>
                      <w:rFonts w:hint="eastAsia" w:eastAsia="宋体"/>
                      <w:color w:val="auto"/>
                      <w:lang w:eastAsia="zh-CN"/>
                    </w:rPr>
                  </w:pPr>
                  <w:r>
                    <w:rPr>
                      <w:rFonts w:hint="eastAsia"/>
                      <w:color w:val="auto"/>
                      <w:lang w:val="en-US" w:eastAsia="zh-CN"/>
                    </w:rPr>
                    <w:t>否</w:t>
                  </w:r>
                </w:p>
              </w:tc>
            </w:tr>
            <w:tr w14:paraId="382A19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78" w:type="pct"/>
                  <w:tcBorders>
                    <w:tl2br w:val="nil"/>
                    <w:tr2bl w:val="nil"/>
                  </w:tcBorders>
                  <w:vAlign w:val="center"/>
                </w:tcPr>
                <w:p w14:paraId="7DD90650">
                  <w:pPr>
                    <w:pStyle w:val="33"/>
                    <w:spacing w:line="240" w:lineRule="auto"/>
                    <w:ind w:firstLine="0" w:firstLineChars="0"/>
                    <w:jc w:val="center"/>
                    <w:rPr>
                      <w:color w:val="auto"/>
                    </w:rPr>
                  </w:pPr>
                  <w:r>
                    <w:rPr>
                      <w:rFonts w:hint="eastAsia"/>
                      <w:color w:val="auto"/>
                    </w:rPr>
                    <w:t>海洋</w:t>
                  </w:r>
                </w:p>
              </w:tc>
              <w:tc>
                <w:tcPr>
                  <w:tcW w:w="1619" w:type="pct"/>
                  <w:tcBorders>
                    <w:tl2br w:val="nil"/>
                    <w:tr2bl w:val="nil"/>
                  </w:tcBorders>
                  <w:vAlign w:val="center"/>
                </w:tcPr>
                <w:p w14:paraId="2083FFB9">
                  <w:pPr>
                    <w:pStyle w:val="33"/>
                    <w:spacing w:line="240" w:lineRule="auto"/>
                    <w:ind w:firstLine="0" w:firstLineChars="0"/>
                    <w:jc w:val="center"/>
                    <w:rPr>
                      <w:color w:val="auto"/>
                    </w:rPr>
                  </w:pPr>
                  <w:r>
                    <w:rPr>
                      <w:color w:val="auto"/>
                    </w:rPr>
                    <w:t>直接向海排放污染物的海洋工程建设项目</w:t>
                  </w:r>
                </w:p>
              </w:tc>
              <w:tc>
                <w:tcPr>
                  <w:tcW w:w="2105" w:type="pct"/>
                  <w:tcBorders>
                    <w:tl2br w:val="nil"/>
                    <w:tr2bl w:val="nil"/>
                  </w:tcBorders>
                  <w:vAlign w:val="center"/>
                </w:tcPr>
                <w:p w14:paraId="1A7B2BC9">
                  <w:pPr>
                    <w:pStyle w:val="33"/>
                    <w:spacing w:line="240" w:lineRule="auto"/>
                    <w:ind w:firstLine="0" w:firstLineChars="0"/>
                    <w:jc w:val="center"/>
                    <w:rPr>
                      <w:color w:val="auto"/>
                    </w:rPr>
                  </w:pPr>
                  <w:r>
                    <w:rPr>
                      <w:rFonts w:hint="eastAsia"/>
                      <w:color w:val="auto"/>
                    </w:rPr>
                    <w:t>不涉及</w:t>
                  </w:r>
                </w:p>
              </w:tc>
              <w:tc>
                <w:tcPr>
                  <w:tcW w:w="696" w:type="pct"/>
                  <w:tcBorders>
                    <w:tl2br w:val="nil"/>
                    <w:tr2bl w:val="nil"/>
                  </w:tcBorders>
                  <w:vAlign w:val="center"/>
                </w:tcPr>
                <w:p w14:paraId="1FCCCB49">
                  <w:pPr>
                    <w:pStyle w:val="33"/>
                    <w:spacing w:line="240" w:lineRule="auto"/>
                    <w:ind w:firstLine="0" w:firstLineChars="0"/>
                    <w:jc w:val="center"/>
                    <w:rPr>
                      <w:rFonts w:hint="eastAsia" w:eastAsia="宋体"/>
                      <w:color w:val="auto"/>
                      <w:lang w:eastAsia="zh-CN"/>
                    </w:rPr>
                  </w:pPr>
                  <w:r>
                    <w:rPr>
                      <w:rFonts w:hint="eastAsia"/>
                      <w:color w:val="auto"/>
                      <w:lang w:val="en-US" w:eastAsia="zh-CN"/>
                    </w:rPr>
                    <w:t>否</w:t>
                  </w:r>
                </w:p>
              </w:tc>
            </w:tr>
          </w:tbl>
          <w:p w14:paraId="0A814778">
            <w:pPr>
              <w:pStyle w:val="33"/>
              <w:ind w:firstLine="480"/>
              <w:rPr>
                <w:color w:val="auto"/>
              </w:rPr>
            </w:pPr>
            <w:r>
              <w:rPr>
                <w:rFonts w:hint="eastAsia"/>
                <w:iCs w:val="0"/>
                <w:color w:val="auto"/>
                <w:sz w:val="24"/>
                <w:szCs w:val="24"/>
              </w:rPr>
              <w:t>综上，本项目不开展大气、地表水、环境风险、生态及海洋专项评价。</w:t>
            </w:r>
          </w:p>
        </w:tc>
      </w:tr>
      <w:tr w14:paraId="1094A8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345" w:type="dxa"/>
            <w:vAlign w:val="center"/>
          </w:tcPr>
          <w:p w14:paraId="6033A3C6">
            <w:pPr>
              <w:adjustRightInd w:val="0"/>
              <w:snapToGrid w:val="0"/>
              <w:jc w:val="center"/>
              <w:rPr>
                <w:color w:val="auto"/>
                <w:kern w:val="0"/>
                <w:sz w:val="22"/>
                <w:szCs w:val="22"/>
              </w:rPr>
            </w:pPr>
            <w:r>
              <w:rPr>
                <w:color w:val="auto"/>
                <w:sz w:val="22"/>
                <w:szCs w:val="22"/>
              </w:rPr>
              <w:t>规划情况</w:t>
            </w:r>
          </w:p>
        </w:tc>
        <w:tc>
          <w:tcPr>
            <w:tcW w:w="7525" w:type="dxa"/>
            <w:gridSpan w:val="3"/>
            <w:vAlign w:val="center"/>
          </w:tcPr>
          <w:p w14:paraId="123E95B4">
            <w:pPr>
              <w:spacing w:line="360" w:lineRule="auto"/>
              <w:ind w:firstLine="480" w:firstLineChars="200"/>
              <w:jc w:val="center"/>
              <w:rPr>
                <w:color w:val="auto"/>
                <w:sz w:val="24"/>
              </w:rPr>
            </w:pPr>
            <w:r>
              <w:rPr>
                <w:rFonts w:hint="eastAsia"/>
                <w:color w:val="auto"/>
                <w:sz w:val="24"/>
              </w:rPr>
              <w:t>无</w:t>
            </w:r>
          </w:p>
        </w:tc>
      </w:tr>
      <w:tr w14:paraId="0B8B35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1345" w:type="dxa"/>
            <w:vAlign w:val="center"/>
          </w:tcPr>
          <w:p w14:paraId="4C578029">
            <w:pPr>
              <w:adjustRightInd w:val="0"/>
              <w:snapToGrid w:val="0"/>
              <w:jc w:val="center"/>
              <w:rPr>
                <w:color w:val="auto"/>
                <w:sz w:val="22"/>
                <w:szCs w:val="22"/>
              </w:rPr>
            </w:pPr>
            <w:r>
              <w:rPr>
                <w:color w:val="auto"/>
                <w:sz w:val="22"/>
                <w:szCs w:val="22"/>
              </w:rPr>
              <w:t>规划环境影响评价情况</w:t>
            </w:r>
          </w:p>
        </w:tc>
        <w:tc>
          <w:tcPr>
            <w:tcW w:w="7525" w:type="dxa"/>
            <w:gridSpan w:val="3"/>
            <w:vAlign w:val="center"/>
          </w:tcPr>
          <w:p w14:paraId="2AA628D2">
            <w:pPr>
              <w:spacing w:line="360" w:lineRule="auto"/>
              <w:ind w:firstLine="480" w:firstLineChars="200"/>
              <w:jc w:val="center"/>
              <w:rPr>
                <w:color w:val="auto"/>
                <w:sz w:val="24"/>
              </w:rPr>
            </w:pPr>
            <w:r>
              <w:rPr>
                <w:rFonts w:hint="eastAsia"/>
                <w:color w:val="auto"/>
                <w:sz w:val="24"/>
              </w:rPr>
              <w:t>无</w:t>
            </w:r>
          </w:p>
        </w:tc>
      </w:tr>
      <w:tr w14:paraId="3535ED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1345" w:type="dxa"/>
            <w:vAlign w:val="center"/>
          </w:tcPr>
          <w:p w14:paraId="6494C4B5">
            <w:pPr>
              <w:adjustRightInd w:val="0"/>
              <w:snapToGrid w:val="0"/>
              <w:jc w:val="center"/>
              <w:rPr>
                <w:color w:val="auto"/>
                <w:sz w:val="22"/>
                <w:szCs w:val="22"/>
              </w:rPr>
            </w:pPr>
            <w:r>
              <w:rPr>
                <w:color w:val="auto"/>
                <w:sz w:val="22"/>
                <w:szCs w:val="22"/>
              </w:rPr>
              <w:t>规划及规划环境影响评价符合性分析</w:t>
            </w:r>
          </w:p>
        </w:tc>
        <w:tc>
          <w:tcPr>
            <w:tcW w:w="7525" w:type="dxa"/>
            <w:gridSpan w:val="3"/>
            <w:vAlign w:val="center"/>
          </w:tcPr>
          <w:p w14:paraId="5EEE34B9">
            <w:pPr>
              <w:spacing w:line="360" w:lineRule="auto"/>
              <w:ind w:firstLine="480" w:firstLineChars="200"/>
              <w:jc w:val="center"/>
              <w:rPr>
                <w:color w:val="auto"/>
              </w:rPr>
            </w:pPr>
            <w:r>
              <w:rPr>
                <w:rFonts w:hint="eastAsia"/>
                <w:color w:val="auto"/>
                <w:sz w:val="24"/>
              </w:rPr>
              <w:t>无</w:t>
            </w:r>
          </w:p>
        </w:tc>
      </w:tr>
      <w:tr w14:paraId="2160B5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1345" w:type="dxa"/>
            <w:vAlign w:val="center"/>
          </w:tcPr>
          <w:p w14:paraId="57678C32">
            <w:pPr>
              <w:adjustRightInd w:val="0"/>
              <w:snapToGrid w:val="0"/>
              <w:jc w:val="center"/>
              <w:rPr>
                <w:color w:val="auto"/>
                <w:sz w:val="22"/>
                <w:szCs w:val="22"/>
              </w:rPr>
            </w:pPr>
            <w:r>
              <w:rPr>
                <w:b/>
                <w:color w:val="auto"/>
                <w:kern w:val="0"/>
                <w:szCs w:val="21"/>
              </w:rPr>
              <w:t>其他符合性分析</w:t>
            </w:r>
          </w:p>
        </w:tc>
        <w:tc>
          <w:tcPr>
            <w:tcW w:w="7525" w:type="dxa"/>
            <w:gridSpan w:val="3"/>
            <w:vAlign w:val="center"/>
          </w:tcPr>
          <w:p w14:paraId="54016F4F">
            <w:pPr>
              <w:keepNext w:val="0"/>
              <w:keepLines w:val="0"/>
              <w:pageBreakBefore w:val="0"/>
              <w:kinsoku/>
              <w:overflowPunct/>
              <w:topLinePunct w:val="0"/>
              <w:bidi w:val="0"/>
              <w:spacing w:line="360" w:lineRule="auto"/>
              <w:ind w:firstLine="480" w:firstLineChars="200"/>
              <w:rPr>
                <w:color w:val="auto"/>
                <w:sz w:val="24"/>
                <w:szCs w:val="32"/>
              </w:rPr>
            </w:pPr>
            <w:r>
              <w:rPr>
                <w:color w:val="auto"/>
                <w:sz w:val="24"/>
                <w:szCs w:val="32"/>
              </w:rPr>
              <w:t>1、产业政策符合性分析</w:t>
            </w:r>
          </w:p>
          <w:p w14:paraId="36D70844">
            <w:pPr>
              <w:keepNext w:val="0"/>
              <w:keepLines w:val="0"/>
              <w:pageBreakBefore w:val="0"/>
              <w:kinsoku/>
              <w:overflowPunct/>
              <w:topLinePunct w:val="0"/>
              <w:bidi w:val="0"/>
              <w:spacing w:line="360" w:lineRule="auto"/>
              <w:ind w:firstLine="480" w:firstLineChars="200"/>
              <w:rPr>
                <w:color w:val="auto"/>
                <w:sz w:val="24"/>
                <w:szCs w:val="32"/>
              </w:rPr>
            </w:pPr>
            <w:r>
              <w:rPr>
                <w:color w:val="auto"/>
                <w:sz w:val="24"/>
                <w:szCs w:val="32"/>
              </w:rPr>
              <w:t>本项目为</w:t>
            </w:r>
            <w:r>
              <w:rPr>
                <w:rFonts w:hint="eastAsia"/>
                <w:color w:val="auto"/>
                <w:sz w:val="24"/>
                <w:szCs w:val="32"/>
                <w:lang w:val="en-US" w:eastAsia="zh-CN"/>
              </w:rPr>
              <w:t>煤炭集运</w:t>
            </w:r>
            <w:r>
              <w:rPr>
                <w:color w:val="auto"/>
                <w:sz w:val="24"/>
                <w:szCs w:val="32"/>
              </w:rPr>
              <w:t>项目，</w:t>
            </w:r>
            <w:r>
              <w:rPr>
                <w:rFonts w:hint="eastAsia" w:cs="Times New Roman"/>
                <w:color w:val="auto"/>
                <w:sz w:val="24"/>
                <w:szCs w:val="24"/>
                <w:highlight w:val="none"/>
                <w:lang w:val="en-US" w:eastAsia="zh-CN"/>
              </w:rPr>
              <w:t>根据</w:t>
            </w:r>
            <w:r>
              <w:rPr>
                <w:rFonts w:hint="default" w:cs="Times New Roman"/>
                <w:color w:val="auto"/>
                <w:sz w:val="24"/>
                <w:szCs w:val="24"/>
                <w:highlight w:val="none"/>
                <w:lang w:val="en-US" w:eastAsia="zh-CN"/>
              </w:rPr>
              <w:t>《</w:t>
            </w:r>
            <w:r>
              <w:rPr>
                <w:rFonts w:hint="eastAsia" w:cs="Times New Roman"/>
                <w:color w:val="auto"/>
                <w:sz w:val="24"/>
                <w:szCs w:val="24"/>
                <w:highlight w:val="none"/>
                <w:lang w:val="en-US" w:eastAsia="zh-CN"/>
              </w:rPr>
              <w:t>产业结构调整指导目录</w:t>
            </w:r>
            <w:r>
              <w:rPr>
                <w:rFonts w:hint="default" w:cs="Times New Roman"/>
                <w:color w:val="auto"/>
                <w:sz w:val="24"/>
                <w:szCs w:val="24"/>
                <w:highlight w:val="none"/>
                <w:lang w:val="en-US" w:eastAsia="zh-CN"/>
              </w:rPr>
              <w:t>》</w:t>
            </w:r>
            <w:r>
              <w:rPr>
                <w:rFonts w:hint="eastAsia" w:cs="Times New Roman"/>
                <w:color w:val="auto"/>
                <w:sz w:val="24"/>
                <w:szCs w:val="24"/>
                <w:highlight w:val="none"/>
                <w:lang w:val="en-US" w:eastAsia="zh-CN"/>
              </w:rPr>
              <w:t>（2024年本）</w:t>
            </w:r>
            <w:r>
              <w:rPr>
                <w:color w:val="auto"/>
                <w:sz w:val="24"/>
                <w:szCs w:val="32"/>
              </w:rPr>
              <w:t>，本项目不属于</w:t>
            </w:r>
            <w:r>
              <w:rPr>
                <w:rFonts w:hint="eastAsia"/>
                <w:color w:val="auto"/>
                <w:sz w:val="24"/>
                <w:szCs w:val="32"/>
              </w:rPr>
              <w:t>“</w:t>
            </w:r>
            <w:r>
              <w:rPr>
                <w:color w:val="auto"/>
                <w:sz w:val="24"/>
                <w:szCs w:val="32"/>
              </w:rPr>
              <w:t>限制类</w:t>
            </w:r>
            <w:r>
              <w:rPr>
                <w:rFonts w:hint="eastAsia"/>
                <w:color w:val="auto"/>
                <w:sz w:val="24"/>
                <w:szCs w:val="32"/>
              </w:rPr>
              <w:t>”</w:t>
            </w:r>
            <w:r>
              <w:rPr>
                <w:color w:val="auto"/>
                <w:sz w:val="24"/>
                <w:szCs w:val="32"/>
              </w:rPr>
              <w:t>和</w:t>
            </w:r>
            <w:r>
              <w:rPr>
                <w:rFonts w:hint="eastAsia"/>
                <w:color w:val="auto"/>
                <w:sz w:val="24"/>
                <w:szCs w:val="32"/>
              </w:rPr>
              <w:t>“</w:t>
            </w:r>
            <w:r>
              <w:rPr>
                <w:color w:val="auto"/>
                <w:sz w:val="24"/>
                <w:szCs w:val="32"/>
              </w:rPr>
              <w:t>淘汰类</w:t>
            </w:r>
            <w:r>
              <w:rPr>
                <w:rFonts w:hint="eastAsia"/>
                <w:color w:val="auto"/>
                <w:sz w:val="24"/>
                <w:szCs w:val="32"/>
              </w:rPr>
              <w:t>”</w:t>
            </w:r>
            <w:r>
              <w:rPr>
                <w:color w:val="auto"/>
                <w:sz w:val="24"/>
                <w:szCs w:val="32"/>
              </w:rPr>
              <w:t>项目，项目的建设符合国家相关法律和政策。</w:t>
            </w:r>
          </w:p>
          <w:p w14:paraId="799CB3BC">
            <w:pPr>
              <w:keepNext w:val="0"/>
              <w:keepLines w:val="0"/>
              <w:pageBreakBefore w:val="0"/>
              <w:kinsoku/>
              <w:overflowPunct/>
              <w:topLinePunct w:val="0"/>
              <w:bidi w:val="0"/>
              <w:spacing w:line="360" w:lineRule="auto"/>
              <w:ind w:firstLine="480" w:firstLineChars="200"/>
              <w:rPr>
                <w:color w:val="auto"/>
                <w:sz w:val="24"/>
                <w:szCs w:val="32"/>
              </w:rPr>
            </w:pPr>
            <w:r>
              <w:rPr>
                <w:color w:val="auto"/>
                <w:sz w:val="24"/>
                <w:szCs w:val="32"/>
              </w:rPr>
              <w:t>项目所用设备及产品无</w:t>
            </w:r>
            <w:r>
              <w:rPr>
                <w:rFonts w:hint="default" w:cs="Times New Roman"/>
                <w:color w:val="auto"/>
                <w:sz w:val="24"/>
                <w:szCs w:val="24"/>
                <w:highlight w:val="none"/>
                <w:lang w:val="en-US" w:eastAsia="zh-CN"/>
              </w:rPr>
              <w:t>《</w:t>
            </w:r>
            <w:r>
              <w:rPr>
                <w:rFonts w:hint="eastAsia" w:cs="Times New Roman"/>
                <w:color w:val="auto"/>
                <w:sz w:val="24"/>
                <w:szCs w:val="24"/>
                <w:highlight w:val="none"/>
                <w:lang w:val="en-US" w:eastAsia="zh-CN"/>
              </w:rPr>
              <w:t>产业结构调整指导目录</w:t>
            </w:r>
            <w:r>
              <w:rPr>
                <w:rFonts w:hint="default" w:cs="Times New Roman"/>
                <w:color w:val="auto"/>
                <w:sz w:val="24"/>
                <w:szCs w:val="24"/>
                <w:highlight w:val="none"/>
                <w:lang w:val="en-US" w:eastAsia="zh-CN"/>
              </w:rPr>
              <w:t>》</w:t>
            </w:r>
            <w:r>
              <w:rPr>
                <w:rFonts w:hint="eastAsia" w:cs="Times New Roman"/>
                <w:color w:val="auto"/>
                <w:sz w:val="24"/>
                <w:szCs w:val="24"/>
                <w:highlight w:val="none"/>
                <w:lang w:val="en-US" w:eastAsia="zh-CN"/>
              </w:rPr>
              <w:t>（2024年本）</w:t>
            </w:r>
            <w:r>
              <w:rPr>
                <w:color w:val="auto"/>
                <w:sz w:val="24"/>
                <w:szCs w:val="32"/>
              </w:rPr>
              <w:t>中限制类中生产装置设备、淘汰类中</w:t>
            </w:r>
            <w:r>
              <w:rPr>
                <w:rFonts w:hint="eastAsia"/>
                <w:color w:val="auto"/>
                <w:sz w:val="24"/>
                <w:szCs w:val="32"/>
              </w:rPr>
              <w:t>产业结构调整</w:t>
            </w:r>
            <w:r>
              <w:rPr>
                <w:color w:val="auto"/>
                <w:sz w:val="24"/>
                <w:szCs w:val="32"/>
              </w:rPr>
              <w:t>落后生产工艺装备、落后产品。因此，本项目建设符合国家产业政策要求。</w:t>
            </w:r>
          </w:p>
          <w:p w14:paraId="7FF2E771">
            <w:pPr>
              <w:keepNext w:val="0"/>
              <w:keepLines w:val="0"/>
              <w:pageBreakBefore w:val="0"/>
              <w:kinsoku/>
              <w:overflowPunct/>
              <w:topLinePunct w:val="0"/>
              <w:bidi w:val="0"/>
              <w:spacing w:line="360" w:lineRule="auto"/>
              <w:ind w:firstLine="480" w:firstLineChars="200"/>
              <w:rPr>
                <w:color w:val="auto"/>
                <w:sz w:val="24"/>
                <w:szCs w:val="32"/>
              </w:rPr>
            </w:pPr>
            <w:r>
              <w:rPr>
                <w:color w:val="auto"/>
                <w:sz w:val="24"/>
                <w:szCs w:val="32"/>
              </w:rPr>
              <w:t>2、项目与</w:t>
            </w:r>
            <w:r>
              <w:rPr>
                <w:rFonts w:hint="eastAsia"/>
                <w:color w:val="auto"/>
                <w:sz w:val="24"/>
                <w:szCs w:val="32"/>
                <w:lang w:val="en-US" w:eastAsia="zh-CN"/>
              </w:rPr>
              <w:t>生态分区管控符合性分析</w:t>
            </w:r>
          </w:p>
          <w:p w14:paraId="58F6AFC8">
            <w:pPr>
              <w:keepNext w:val="0"/>
              <w:keepLines w:val="0"/>
              <w:pageBreakBefore w:val="0"/>
              <w:kinsoku/>
              <w:overflowPunct/>
              <w:topLinePunct w:val="0"/>
              <w:bidi w:val="0"/>
              <w:spacing w:line="360" w:lineRule="auto"/>
              <w:ind w:firstLine="480" w:firstLineChars="200"/>
              <w:rPr>
                <w:color w:val="auto"/>
                <w:sz w:val="24"/>
              </w:rPr>
            </w:pPr>
            <w:r>
              <w:rPr>
                <w:color w:val="auto"/>
                <w:sz w:val="24"/>
                <w:szCs w:val="32"/>
              </w:rPr>
              <w:t>项目位于</w:t>
            </w:r>
            <w:r>
              <w:rPr>
                <w:rFonts w:hint="eastAsia" w:ascii="Times New Roman" w:hAnsi="Times New Roman" w:eastAsia="宋体" w:cs="Times New Roman"/>
                <w:color w:val="auto"/>
                <w:spacing w:val="4"/>
                <w:sz w:val="24"/>
                <w:lang w:val="en-US" w:eastAsia="zh-CN"/>
              </w:rPr>
              <w:t>黑龙江省鸡西市城子河区南兴委，原三五一厂城砖分厂</w:t>
            </w:r>
            <w:r>
              <w:rPr>
                <w:color w:val="auto"/>
                <w:sz w:val="24"/>
                <w:szCs w:val="32"/>
              </w:rPr>
              <w:t>，</w:t>
            </w:r>
            <w:r>
              <w:rPr>
                <w:rFonts w:hint="eastAsia"/>
                <w:color w:val="auto"/>
                <w:sz w:val="24"/>
                <w:szCs w:val="32"/>
              </w:rPr>
              <w:t>用地性质为</w:t>
            </w:r>
            <w:r>
              <w:rPr>
                <w:rFonts w:hint="eastAsia"/>
                <w:color w:val="auto"/>
                <w:sz w:val="24"/>
                <w:szCs w:val="32"/>
                <w:lang w:val="en-US" w:eastAsia="zh-CN"/>
              </w:rPr>
              <w:t>工业</w:t>
            </w:r>
            <w:r>
              <w:rPr>
                <w:rFonts w:hint="eastAsia"/>
                <w:color w:val="auto"/>
                <w:sz w:val="24"/>
                <w:szCs w:val="32"/>
              </w:rPr>
              <w:t>用地。根据《黑龙江省人民政府关于实施“三线一单”生态环境分区管</w:t>
            </w:r>
            <w:r>
              <w:rPr>
                <w:rFonts w:hint="eastAsia"/>
                <w:color w:val="auto"/>
                <w:sz w:val="24"/>
              </w:rPr>
              <w:t>控的意见》（黑政发〔2020〕14号）、《鸡西市人民政府关于实施“三线一单”生态环境分区管控的意见》（鸡政发〔2021〕7号）规定，环境管控单元包括优先保护单元、重点管控单元和一般管控单元三类。本项目所在区域属于重点管控单元。突出污染物排放控制和环境风险防控，按照差别化的生态环境准入要求，优化空间和产业布局，不断提升资源利用效率，强化环境质量改善目标约束，解决局部生态环境质量不达标、生态环境风险高的问题。</w:t>
            </w:r>
          </w:p>
          <w:p w14:paraId="1B5DC2E4">
            <w:pPr>
              <w:keepNext w:val="0"/>
              <w:keepLines w:val="0"/>
              <w:pageBreakBefore w:val="0"/>
              <w:kinsoku/>
              <w:overflowPunct/>
              <w:topLinePunct w:val="0"/>
              <w:bidi w:val="0"/>
              <w:spacing w:line="360" w:lineRule="auto"/>
              <w:ind w:firstLine="480" w:firstLineChars="200"/>
              <w:rPr>
                <w:color w:val="auto"/>
                <w:sz w:val="24"/>
              </w:rPr>
            </w:pPr>
            <w:r>
              <w:rPr>
                <w:color w:val="auto"/>
                <w:sz w:val="24"/>
              </w:rPr>
              <w:t>（1）生态保护红线符合性</w:t>
            </w:r>
          </w:p>
          <w:p w14:paraId="54829CE4">
            <w:pPr>
              <w:keepNext w:val="0"/>
              <w:keepLines w:val="0"/>
              <w:pageBreakBefore w:val="0"/>
              <w:kinsoku/>
              <w:overflowPunct/>
              <w:topLinePunct w:val="0"/>
              <w:bidi w:val="0"/>
              <w:spacing w:line="360" w:lineRule="auto"/>
              <w:ind w:firstLine="480" w:firstLineChars="200"/>
              <w:rPr>
                <w:color w:val="auto"/>
                <w:sz w:val="24"/>
                <w:szCs w:val="32"/>
              </w:rPr>
            </w:pPr>
            <w:r>
              <w:rPr>
                <w:color w:val="auto"/>
                <w:sz w:val="24"/>
              </w:rPr>
              <w:t>本项目位于</w:t>
            </w:r>
            <w:r>
              <w:rPr>
                <w:rFonts w:hint="eastAsia"/>
                <w:color w:val="auto"/>
                <w:sz w:val="24"/>
                <w:szCs w:val="32"/>
                <w:lang w:val="en-US" w:eastAsia="zh-CN"/>
              </w:rPr>
              <w:t>黑龙江省鸡西市城子河区南兴委，原三五一厂城砖分厂</w:t>
            </w:r>
            <w:r>
              <w:rPr>
                <w:color w:val="auto"/>
                <w:sz w:val="24"/>
              </w:rPr>
              <w:t>，</w:t>
            </w:r>
            <w:r>
              <w:rPr>
                <w:rFonts w:hint="eastAsia"/>
                <w:color w:val="auto"/>
                <w:sz w:val="24"/>
              </w:rPr>
              <w:t>根据</w:t>
            </w:r>
            <w:r>
              <w:rPr>
                <w:rFonts w:hint="eastAsia" w:ascii="Times New Roman" w:hAnsi="Times New Roman" w:eastAsia="宋体" w:cs="Times New Roman"/>
                <w:b w:val="0"/>
                <w:bCs w:val="0"/>
                <w:color w:val="auto"/>
                <w:sz w:val="24"/>
                <w:szCs w:val="24"/>
                <w:highlight w:val="none"/>
                <w:lang w:val="en-US" w:eastAsia="zh-CN"/>
              </w:rPr>
              <w:t>《生态环境分区管控分析报告》</w:t>
            </w:r>
            <w:r>
              <w:rPr>
                <w:rFonts w:hint="eastAsia" w:ascii="Times New Roman" w:hAnsi="Times New Roman" w:cs="Times New Roman"/>
                <w:b w:val="0"/>
                <w:bCs w:val="0"/>
                <w:color w:val="auto"/>
                <w:sz w:val="24"/>
                <w:szCs w:val="24"/>
                <w:highlight w:val="none"/>
                <w:lang w:val="en-US" w:eastAsia="zh-CN"/>
              </w:rPr>
              <w:t>（附件</w:t>
            </w:r>
            <w:r>
              <w:rPr>
                <w:rFonts w:hint="eastAsia" w:cs="Times New Roman"/>
                <w:b w:val="0"/>
                <w:bCs w:val="0"/>
                <w:color w:val="auto"/>
                <w:sz w:val="24"/>
                <w:szCs w:val="24"/>
                <w:highlight w:val="none"/>
                <w:lang w:val="en-US" w:eastAsia="zh-CN"/>
              </w:rPr>
              <w:t>6</w:t>
            </w:r>
            <w:r>
              <w:rPr>
                <w:rFonts w:hint="eastAsia" w:ascii="Times New Roman" w:hAnsi="Times New Roman" w:cs="Times New Roman"/>
                <w:b w:val="0"/>
                <w:bCs w:val="0"/>
                <w:color w:val="auto"/>
                <w:sz w:val="24"/>
                <w:szCs w:val="24"/>
                <w:highlight w:val="none"/>
                <w:lang w:val="en-US" w:eastAsia="zh-CN"/>
              </w:rPr>
              <w:t>）</w:t>
            </w:r>
            <w:r>
              <w:rPr>
                <w:color w:val="auto"/>
                <w:sz w:val="24"/>
                <w:szCs w:val="32"/>
              </w:rPr>
              <w:t>分析</w:t>
            </w:r>
            <w:r>
              <w:rPr>
                <w:rFonts w:hint="eastAsia"/>
                <w:color w:val="auto"/>
                <w:sz w:val="24"/>
                <w:szCs w:val="32"/>
              </w:rPr>
              <w:t>，本项目不涉及生态保护红线</w:t>
            </w:r>
            <w:r>
              <w:rPr>
                <w:color w:val="auto"/>
                <w:sz w:val="24"/>
                <w:szCs w:val="32"/>
              </w:rPr>
              <w:t>。</w:t>
            </w:r>
          </w:p>
          <w:p w14:paraId="4141A40B">
            <w:pPr>
              <w:keepNext w:val="0"/>
              <w:keepLines w:val="0"/>
              <w:pageBreakBefore w:val="0"/>
              <w:kinsoku/>
              <w:overflowPunct/>
              <w:topLinePunct w:val="0"/>
              <w:bidi w:val="0"/>
              <w:spacing w:line="360" w:lineRule="auto"/>
              <w:ind w:firstLine="480" w:firstLineChars="200"/>
              <w:rPr>
                <w:color w:val="auto"/>
                <w:sz w:val="24"/>
                <w:szCs w:val="32"/>
              </w:rPr>
            </w:pPr>
            <w:r>
              <w:rPr>
                <w:color w:val="auto"/>
                <w:sz w:val="24"/>
                <w:szCs w:val="32"/>
              </w:rPr>
              <w:t>（2）环境质量底线</w:t>
            </w:r>
          </w:p>
          <w:p w14:paraId="3B536975">
            <w:pPr>
              <w:keepNext w:val="0"/>
              <w:keepLines w:val="0"/>
              <w:pageBreakBefore w:val="0"/>
              <w:kinsoku/>
              <w:overflowPunct/>
              <w:topLinePunct w:val="0"/>
              <w:bidi w:val="0"/>
              <w:spacing w:line="360" w:lineRule="auto"/>
              <w:ind w:firstLine="480" w:firstLineChars="200"/>
              <w:rPr>
                <w:rFonts w:hint="eastAsia" w:hAnsi="宋体" w:cs="Times New Roman"/>
                <w:color w:val="auto"/>
                <w:sz w:val="24"/>
                <w:szCs w:val="24"/>
                <w:lang w:val="en-US" w:eastAsia="zh-CN"/>
              </w:rPr>
            </w:pPr>
            <w:r>
              <w:rPr>
                <w:rFonts w:ascii="Times New Roman" w:hAnsi="Times New Roman" w:cs="Times New Roman"/>
                <w:color w:val="auto"/>
                <w:sz w:val="24"/>
                <w:szCs w:val="24"/>
              </w:rPr>
              <w:t>根据</w:t>
            </w:r>
            <w:r>
              <w:rPr>
                <w:rFonts w:hint="eastAsia" w:hAnsi="宋体"/>
                <w:color w:val="auto"/>
                <w:sz w:val="24"/>
              </w:rPr>
              <w:t>《2025年黑龙江省生态环境质量状况》中的监测数据，2025年，鸡西市SO</w:t>
            </w:r>
            <w:r>
              <w:rPr>
                <w:rFonts w:hint="eastAsia" w:hAnsi="宋体"/>
                <w:color w:val="auto"/>
                <w:sz w:val="24"/>
                <w:vertAlign w:val="subscript"/>
              </w:rPr>
              <w:t>2</w:t>
            </w:r>
            <w:r>
              <w:rPr>
                <w:rFonts w:hint="eastAsia" w:hAnsi="宋体"/>
                <w:color w:val="auto"/>
                <w:sz w:val="24"/>
              </w:rPr>
              <w:t>、NO</w:t>
            </w:r>
            <w:r>
              <w:rPr>
                <w:rFonts w:hint="eastAsia" w:hAnsi="宋体"/>
                <w:color w:val="auto"/>
                <w:sz w:val="24"/>
                <w:vertAlign w:val="subscript"/>
              </w:rPr>
              <w:t>2</w:t>
            </w:r>
            <w:r>
              <w:rPr>
                <w:rFonts w:hint="eastAsia" w:hAnsi="宋体"/>
                <w:color w:val="auto"/>
                <w:sz w:val="24"/>
              </w:rPr>
              <w:t>、PM</w:t>
            </w:r>
            <w:r>
              <w:rPr>
                <w:rFonts w:hint="eastAsia" w:hAnsi="宋体"/>
                <w:color w:val="auto"/>
                <w:sz w:val="24"/>
                <w:vertAlign w:val="subscript"/>
                <w:lang w:val="en-US" w:eastAsia="zh-CN"/>
              </w:rPr>
              <w:t>10</w:t>
            </w:r>
            <w:r>
              <w:rPr>
                <w:rFonts w:hint="eastAsia" w:hAnsi="宋体"/>
                <w:color w:val="auto"/>
                <w:sz w:val="24"/>
              </w:rPr>
              <w:t>、PM</w:t>
            </w:r>
            <w:r>
              <w:rPr>
                <w:rFonts w:hint="eastAsia" w:hAnsi="宋体"/>
                <w:color w:val="auto"/>
                <w:sz w:val="24"/>
                <w:vertAlign w:val="subscript"/>
              </w:rPr>
              <w:t>2</w:t>
            </w:r>
            <w:r>
              <w:rPr>
                <w:rFonts w:hint="eastAsia" w:hAnsi="宋体"/>
                <w:color w:val="auto"/>
                <w:sz w:val="24"/>
                <w:vertAlign w:val="subscript"/>
                <w:lang w:val="en-US" w:eastAsia="zh-CN"/>
              </w:rPr>
              <w:t>.5</w:t>
            </w:r>
            <w:r>
              <w:rPr>
                <w:rFonts w:hint="eastAsia" w:hAnsi="宋体"/>
                <w:color w:val="auto"/>
                <w:sz w:val="24"/>
              </w:rPr>
              <w:t>、CO、O</w:t>
            </w:r>
            <w:r>
              <w:rPr>
                <w:rFonts w:hint="eastAsia" w:hAnsi="宋体"/>
                <w:color w:val="auto"/>
                <w:sz w:val="24"/>
                <w:vertAlign w:val="subscript"/>
                <w:lang w:val="en-US" w:eastAsia="zh-CN"/>
              </w:rPr>
              <w:t>3</w:t>
            </w:r>
            <w:r>
              <w:rPr>
                <w:rFonts w:hint="eastAsia" w:hAnsi="宋体"/>
                <w:color w:val="auto"/>
                <w:sz w:val="24"/>
              </w:rPr>
              <w:t>一8h共6项污染物年均值浓度均达到《环境空气质量标准》</w:t>
            </w:r>
            <w:r>
              <w:rPr>
                <w:rFonts w:hint="eastAsia" w:hAnsi="宋体"/>
                <w:color w:val="auto"/>
                <w:sz w:val="24"/>
                <w:lang w:eastAsia="zh-CN"/>
              </w:rPr>
              <w:t>（</w:t>
            </w:r>
            <w:r>
              <w:rPr>
                <w:rFonts w:hint="eastAsia" w:hAnsi="宋体"/>
                <w:color w:val="auto"/>
                <w:sz w:val="24"/>
              </w:rPr>
              <w:t>GB3095-2026</w:t>
            </w:r>
            <w:r>
              <w:rPr>
                <w:rFonts w:hint="eastAsia" w:hAnsi="宋体"/>
                <w:color w:val="auto"/>
                <w:sz w:val="24"/>
                <w:lang w:eastAsia="zh-CN"/>
              </w:rPr>
              <w:t>）</w:t>
            </w:r>
            <w:r>
              <w:rPr>
                <w:rFonts w:hint="eastAsia"/>
                <w:color w:val="auto"/>
                <w:kern w:val="2"/>
                <w:sz w:val="24"/>
                <w:szCs w:val="24"/>
                <w:lang w:val="en-US" w:eastAsia="zh-CN"/>
              </w:rPr>
              <w:t>表1中</w:t>
            </w:r>
            <w:r>
              <w:rPr>
                <w:rFonts w:hint="default"/>
                <w:color w:val="auto"/>
                <w:kern w:val="2"/>
                <w:sz w:val="24"/>
                <w:szCs w:val="24"/>
              </w:rPr>
              <w:t>二级</w:t>
            </w:r>
            <w:r>
              <w:rPr>
                <w:rFonts w:hint="eastAsia"/>
                <w:color w:val="auto"/>
                <w:kern w:val="2"/>
                <w:sz w:val="24"/>
                <w:szCs w:val="24"/>
                <w:lang w:val="en-US" w:eastAsia="zh-CN"/>
              </w:rPr>
              <w:t>过渡阶段浓度限值</w:t>
            </w:r>
            <w:r>
              <w:rPr>
                <w:rFonts w:hint="eastAsia" w:hAnsi="宋体"/>
                <w:color w:val="auto"/>
                <w:sz w:val="24"/>
              </w:rPr>
              <w:t>要求。</w:t>
            </w:r>
            <w:r>
              <w:rPr>
                <w:rFonts w:hint="eastAsia" w:ascii="Times New Roman" w:hAnsi="Times New Roman" w:eastAsia="宋体" w:cs="Times New Roman"/>
                <w:color w:val="auto"/>
                <w:kern w:val="0"/>
                <w:sz w:val="24"/>
                <w:szCs w:val="28"/>
                <w:lang w:val="en-US" w:eastAsia="zh-CN" w:bidi="ar-SA"/>
              </w:rPr>
              <w:t>项目附近地表水体为城子河，属于穆棱河水系。根据《全国重要江河湖泊水功能区划</w:t>
            </w:r>
            <w:r>
              <w:rPr>
                <w:rFonts w:hint="eastAsia" w:cs="Times New Roman"/>
                <w:color w:val="auto"/>
                <w:kern w:val="0"/>
                <w:sz w:val="24"/>
                <w:szCs w:val="28"/>
                <w:lang w:val="en-US" w:eastAsia="zh-CN" w:bidi="ar-SA"/>
              </w:rPr>
              <w:t>（</w:t>
            </w:r>
            <w:r>
              <w:rPr>
                <w:rFonts w:hint="eastAsia" w:ascii="Times New Roman" w:hAnsi="Times New Roman" w:eastAsia="宋体" w:cs="Times New Roman"/>
                <w:color w:val="auto"/>
                <w:kern w:val="0"/>
                <w:sz w:val="24"/>
                <w:szCs w:val="28"/>
                <w:lang w:val="en-US" w:eastAsia="zh-CN" w:bidi="ar-SA"/>
              </w:rPr>
              <w:t>2011一2030年</w:t>
            </w:r>
            <w:r>
              <w:rPr>
                <w:rFonts w:hint="eastAsia" w:cs="Times New Roman"/>
                <w:color w:val="auto"/>
                <w:kern w:val="0"/>
                <w:sz w:val="24"/>
                <w:szCs w:val="28"/>
                <w:lang w:val="en-US" w:eastAsia="zh-CN" w:bidi="ar-SA"/>
              </w:rPr>
              <w:t>）</w:t>
            </w:r>
            <w:r>
              <w:rPr>
                <w:rFonts w:hint="eastAsia" w:ascii="Times New Roman" w:hAnsi="Times New Roman" w:eastAsia="宋体" w:cs="Times New Roman"/>
                <w:color w:val="auto"/>
                <w:kern w:val="0"/>
                <w:sz w:val="24"/>
                <w:szCs w:val="28"/>
                <w:lang w:val="en-US" w:eastAsia="zh-CN" w:bidi="ar-SA"/>
              </w:rPr>
              <w:t>》规定，本项目区域穆棱河断面水质执行《地表水环境质量标准》</w:t>
            </w:r>
            <w:r>
              <w:rPr>
                <w:rFonts w:hint="eastAsia" w:cs="Times New Roman"/>
                <w:color w:val="auto"/>
                <w:kern w:val="0"/>
                <w:sz w:val="24"/>
                <w:szCs w:val="28"/>
                <w:lang w:val="en-US" w:eastAsia="zh-CN" w:bidi="ar-SA"/>
              </w:rPr>
              <w:t>（</w:t>
            </w:r>
            <w:r>
              <w:rPr>
                <w:rFonts w:hint="eastAsia" w:ascii="Times New Roman" w:hAnsi="Times New Roman" w:eastAsia="宋体" w:cs="Times New Roman"/>
                <w:color w:val="auto"/>
                <w:kern w:val="0"/>
                <w:sz w:val="24"/>
                <w:szCs w:val="28"/>
                <w:lang w:val="en-US" w:eastAsia="zh-CN" w:bidi="ar-SA"/>
              </w:rPr>
              <w:t>GB3838-2002</w:t>
            </w:r>
            <w:r>
              <w:rPr>
                <w:rFonts w:hint="eastAsia" w:cs="Times New Roman"/>
                <w:color w:val="auto"/>
                <w:kern w:val="0"/>
                <w:sz w:val="24"/>
                <w:szCs w:val="28"/>
                <w:lang w:val="en-US" w:eastAsia="zh-CN" w:bidi="ar-SA"/>
              </w:rPr>
              <w:t>）</w:t>
            </w:r>
            <w:r>
              <w:rPr>
                <w:rFonts w:hint="eastAsia" w:ascii="Times New Roman" w:hAnsi="Times New Roman" w:eastAsia="宋体" w:cs="Times New Roman"/>
                <w:color w:val="auto"/>
                <w:kern w:val="0"/>
                <w:sz w:val="24"/>
                <w:szCs w:val="28"/>
                <w:lang w:val="en-US" w:eastAsia="zh-CN" w:bidi="ar-SA"/>
              </w:rPr>
              <w:t>中III类标准，本项目附近水体城子河</w:t>
            </w:r>
            <w:r>
              <w:rPr>
                <w:rFonts w:hint="eastAsia" w:cs="Times New Roman"/>
                <w:color w:val="auto"/>
                <w:kern w:val="0"/>
                <w:sz w:val="24"/>
                <w:szCs w:val="28"/>
                <w:lang w:val="en-US" w:eastAsia="zh-CN" w:bidi="ar-SA"/>
              </w:rPr>
              <w:t>（</w:t>
            </w:r>
            <w:r>
              <w:rPr>
                <w:rFonts w:hint="eastAsia" w:ascii="Times New Roman" w:hAnsi="Times New Roman" w:eastAsia="宋体" w:cs="Times New Roman"/>
                <w:color w:val="auto"/>
                <w:kern w:val="0"/>
                <w:sz w:val="24"/>
                <w:szCs w:val="28"/>
                <w:lang w:val="en-US" w:eastAsia="zh-CN" w:bidi="ar-SA"/>
              </w:rPr>
              <w:t>穆棱河一级支流</w:t>
            </w:r>
            <w:r>
              <w:rPr>
                <w:rFonts w:hint="eastAsia" w:cs="Times New Roman"/>
                <w:color w:val="auto"/>
                <w:kern w:val="0"/>
                <w:sz w:val="24"/>
                <w:szCs w:val="28"/>
                <w:lang w:val="en-US" w:eastAsia="zh-CN" w:bidi="ar-SA"/>
              </w:rPr>
              <w:t>）</w:t>
            </w:r>
            <w:r>
              <w:rPr>
                <w:rFonts w:hint="eastAsia" w:ascii="Times New Roman" w:hAnsi="Times New Roman" w:eastAsia="宋体" w:cs="Times New Roman"/>
                <w:color w:val="auto"/>
                <w:kern w:val="0"/>
                <w:sz w:val="24"/>
                <w:szCs w:val="28"/>
                <w:lang w:val="en-US" w:eastAsia="zh-CN" w:bidi="ar-SA"/>
              </w:rPr>
              <w:t>参照I类功能水体，因此本工程地表水环境质量执行《地表水环境质量标准》（GB3838-2002</w:t>
            </w:r>
            <w:r>
              <w:rPr>
                <w:rFonts w:hint="eastAsia" w:cs="Times New Roman"/>
                <w:color w:val="auto"/>
                <w:kern w:val="0"/>
                <w:sz w:val="24"/>
                <w:szCs w:val="28"/>
                <w:lang w:val="en-US" w:eastAsia="zh-CN" w:bidi="ar-SA"/>
              </w:rPr>
              <w:t>）</w:t>
            </w:r>
            <w:r>
              <w:rPr>
                <w:rFonts w:hint="eastAsia" w:ascii="Times New Roman" w:hAnsi="Times New Roman" w:eastAsia="宋体" w:cs="Times New Roman"/>
                <w:color w:val="auto"/>
                <w:kern w:val="0"/>
                <w:sz w:val="24"/>
                <w:szCs w:val="28"/>
                <w:lang w:val="en-US" w:eastAsia="zh-CN" w:bidi="ar-SA"/>
              </w:rPr>
              <w:t>中I类水体标准。根据鸡西市生态环境局网站公布的2025年1月~12月《鸡西市地表水国控考核断面水质信息公开》，穆棱河知一桥、穆棱河河口内断面全年达到II类水质类别标准。</w:t>
            </w:r>
            <w:r>
              <w:rPr>
                <w:rFonts w:hint="eastAsia" w:ascii="Times New Roman" w:hAnsi="Times New Roman" w:eastAsia="宋体"/>
                <w:bCs/>
                <w:color w:val="auto"/>
                <w:kern w:val="0"/>
                <w:sz w:val="24"/>
                <w:lang w:val="en-US" w:eastAsia="zh-CN"/>
              </w:rPr>
              <w:t>根据</w:t>
            </w:r>
            <w:r>
              <w:rPr>
                <w:rFonts w:ascii="Times New Roman" w:hAnsi="宋体" w:eastAsia="宋体" w:cs="Times New Roman"/>
                <w:color w:val="auto"/>
                <w:sz w:val="24"/>
              </w:rPr>
              <w:t>《</w:t>
            </w:r>
            <w:r>
              <w:rPr>
                <w:rFonts w:hint="eastAsia" w:hAnsi="宋体"/>
                <w:color w:val="auto"/>
                <w:sz w:val="24"/>
              </w:rPr>
              <w:t>2025年黑龙江省生态环境质量状况</w:t>
            </w:r>
            <w:r>
              <w:rPr>
                <w:rFonts w:ascii="Times New Roman" w:hAnsi="宋体" w:eastAsia="宋体" w:cs="Times New Roman"/>
                <w:color w:val="auto"/>
                <w:sz w:val="24"/>
              </w:rPr>
              <w:t>》</w:t>
            </w:r>
            <w:r>
              <w:rPr>
                <w:rFonts w:hint="eastAsia" w:ascii="Times New Roman" w:hAnsi="Times New Roman" w:eastAsia="宋体"/>
                <w:bCs/>
                <w:color w:val="auto"/>
                <w:kern w:val="0"/>
                <w:sz w:val="24"/>
                <w:lang w:val="en-US" w:eastAsia="zh-CN"/>
              </w:rPr>
              <w:t>可知，鸡西市区域昼间声环境质量为二级，等效声级为53.2dB</w:t>
            </w:r>
            <w:r>
              <w:rPr>
                <w:rFonts w:hint="eastAsia"/>
                <w:bCs/>
                <w:color w:val="auto"/>
                <w:kern w:val="0"/>
                <w:sz w:val="24"/>
                <w:lang w:val="en-US" w:eastAsia="zh-CN"/>
              </w:rPr>
              <w:t>（</w:t>
            </w:r>
            <w:r>
              <w:rPr>
                <w:rFonts w:hint="eastAsia" w:ascii="Times New Roman" w:hAnsi="Times New Roman" w:eastAsia="宋体"/>
                <w:bCs/>
                <w:color w:val="auto"/>
                <w:kern w:val="0"/>
                <w:sz w:val="24"/>
                <w:lang w:val="en-US" w:eastAsia="zh-CN"/>
              </w:rPr>
              <w:t>A</w:t>
            </w:r>
            <w:r>
              <w:rPr>
                <w:rFonts w:hint="eastAsia"/>
                <w:bCs/>
                <w:color w:val="auto"/>
                <w:kern w:val="0"/>
                <w:sz w:val="24"/>
                <w:lang w:val="en-US" w:eastAsia="zh-CN"/>
              </w:rPr>
              <w:t>）；</w:t>
            </w:r>
            <w:r>
              <w:rPr>
                <w:rFonts w:hint="eastAsia" w:ascii="Times New Roman" w:hAnsi="Times New Roman" w:eastAsia="宋体"/>
                <w:bCs/>
                <w:color w:val="auto"/>
                <w:kern w:val="0"/>
                <w:sz w:val="24"/>
                <w:lang w:val="en-US" w:eastAsia="zh-CN"/>
              </w:rPr>
              <w:t>道路交通昼间声环境质量为一级，等效声级为64.7dB</w:t>
            </w:r>
            <w:r>
              <w:rPr>
                <w:rFonts w:hint="eastAsia"/>
                <w:bCs/>
                <w:color w:val="auto"/>
                <w:kern w:val="0"/>
                <w:sz w:val="24"/>
                <w:lang w:val="en-US" w:eastAsia="zh-CN"/>
              </w:rPr>
              <w:t>（</w:t>
            </w:r>
            <w:r>
              <w:rPr>
                <w:rFonts w:hint="eastAsia" w:ascii="Times New Roman" w:hAnsi="Times New Roman" w:eastAsia="宋体"/>
                <w:bCs/>
                <w:color w:val="auto"/>
                <w:kern w:val="0"/>
                <w:sz w:val="24"/>
                <w:lang w:val="en-US" w:eastAsia="zh-CN"/>
              </w:rPr>
              <w:t>A</w:t>
            </w:r>
            <w:r>
              <w:rPr>
                <w:rFonts w:hint="eastAsia"/>
                <w:bCs/>
                <w:color w:val="auto"/>
                <w:kern w:val="0"/>
                <w:sz w:val="24"/>
                <w:lang w:val="en-US" w:eastAsia="zh-CN"/>
              </w:rPr>
              <w:t>）；</w:t>
            </w:r>
            <w:r>
              <w:rPr>
                <w:rFonts w:hint="eastAsia" w:ascii="Times New Roman" w:hAnsi="Times New Roman" w:eastAsia="宋体"/>
                <w:bCs/>
                <w:color w:val="auto"/>
                <w:kern w:val="0"/>
                <w:sz w:val="24"/>
                <w:lang w:val="en-US" w:eastAsia="zh-CN"/>
              </w:rPr>
              <w:t>功能区昼间达标率87.7%，功能区夜间达标率97.6%。</w:t>
            </w:r>
          </w:p>
          <w:p w14:paraId="0E775BDA">
            <w:pPr>
              <w:keepNext w:val="0"/>
              <w:keepLines w:val="0"/>
              <w:pageBreakBefore w:val="0"/>
              <w:kinsoku/>
              <w:overflowPunct/>
              <w:topLinePunct w:val="0"/>
              <w:bidi w:val="0"/>
              <w:spacing w:line="360" w:lineRule="auto"/>
              <w:ind w:firstLine="480" w:firstLineChars="200"/>
              <w:rPr>
                <w:rFonts w:hint="default" w:eastAsia="宋体"/>
                <w:color w:val="auto"/>
                <w:sz w:val="24"/>
                <w:szCs w:val="32"/>
                <w:lang w:val="en-US" w:eastAsia="zh-CN"/>
              </w:rPr>
            </w:pPr>
            <w:r>
              <w:rPr>
                <w:rFonts w:hint="eastAsia" w:hAnsi="宋体" w:cs="Times New Roman"/>
                <w:color w:val="auto"/>
                <w:sz w:val="24"/>
                <w:szCs w:val="24"/>
                <w:lang w:val="en-US" w:eastAsia="zh-CN"/>
              </w:rPr>
              <w:t>本项目煤炭运输</w:t>
            </w:r>
            <w:r>
              <w:rPr>
                <w:rFonts w:hint="eastAsia" w:cs="Times New Roman"/>
                <w:color w:val="auto"/>
                <w:kern w:val="0"/>
                <w:sz w:val="24"/>
                <w:szCs w:val="20"/>
                <w:lang w:val="en-US" w:eastAsia="zh-CN" w:bidi="ar-SA"/>
              </w:rPr>
              <w:t>过程中</w:t>
            </w:r>
            <w:r>
              <w:rPr>
                <w:rFonts w:hint="default" w:cs="Times New Roman"/>
                <w:color w:val="auto"/>
                <w:kern w:val="0"/>
                <w:sz w:val="24"/>
                <w:szCs w:val="20"/>
                <w:lang w:val="en-US" w:eastAsia="zh-CN" w:bidi="ar-SA"/>
              </w:rPr>
              <w:t>采用苫布覆盖，</w:t>
            </w:r>
            <w:r>
              <w:rPr>
                <w:rFonts w:hint="eastAsia" w:cs="Times New Roman"/>
                <w:color w:val="auto"/>
                <w:kern w:val="0"/>
                <w:sz w:val="24"/>
                <w:szCs w:val="20"/>
                <w:lang w:val="en-US" w:eastAsia="zh-CN" w:bidi="ar-SA"/>
              </w:rPr>
              <w:t>出厂时车轮进行清洗，防止物料洒落，</w:t>
            </w:r>
            <w:r>
              <w:rPr>
                <w:rFonts w:hint="default" w:cs="Times New Roman"/>
                <w:color w:val="auto"/>
                <w:kern w:val="0"/>
                <w:sz w:val="24"/>
                <w:szCs w:val="20"/>
                <w:lang w:val="en-US" w:eastAsia="zh-CN" w:bidi="ar-SA"/>
              </w:rPr>
              <w:t>减少运输过程中粉尘排放量</w:t>
            </w:r>
            <w:r>
              <w:rPr>
                <w:rFonts w:hint="eastAsia" w:cs="Times New Roman"/>
                <w:color w:val="auto"/>
                <w:kern w:val="0"/>
                <w:sz w:val="24"/>
                <w:szCs w:val="20"/>
                <w:lang w:val="en-US" w:eastAsia="zh-CN" w:bidi="ar-SA"/>
              </w:rPr>
              <w:t>；</w:t>
            </w:r>
            <w:r>
              <w:rPr>
                <w:rFonts w:hint="eastAsia" w:hAnsi="宋体" w:cs="Times New Roman"/>
                <w:color w:val="auto"/>
                <w:sz w:val="24"/>
                <w:szCs w:val="24"/>
                <w:lang w:val="en-US" w:eastAsia="zh-CN"/>
              </w:rPr>
              <w:t>厂区采用</w:t>
            </w:r>
            <w:r>
              <w:rPr>
                <w:rFonts w:hint="eastAsia" w:ascii="Times New Roman" w:hAnsi="宋体" w:eastAsia="宋体" w:cs="Times New Roman"/>
                <w:color w:val="auto"/>
                <w:sz w:val="24"/>
                <w:szCs w:val="24"/>
                <w:lang w:eastAsia="zh-CN"/>
              </w:rPr>
              <w:t>围挡</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防风抑尘网</w:t>
            </w:r>
            <w:r>
              <w:rPr>
                <w:rFonts w:hint="eastAsia" w:hAnsi="宋体" w:cs="Times New Roman"/>
                <w:color w:val="auto"/>
                <w:sz w:val="24"/>
                <w:szCs w:val="24"/>
                <w:lang w:eastAsia="zh-CN"/>
              </w:rPr>
              <w:t>），</w:t>
            </w:r>
            <w:r>
              <w:rPr>
                <w:rFonts w:hint="eastAsia" w:hAnsi="宋体" w:cs="Times New Roman"/>
                <w:color w:val="auto"/>
                <w:sz w:val="24"/>
                <w:szCs w:val="24"/>
                <w:lang w:val="en-US" w:eastAsia="zh-CN"/>
              </w:rPr>
              <w:t>堆场采用</w:t>
            </w:r>
            <w:r>
              <w:rPr>
                <w:rFonts w:hint="eastAsia" w:ascii="Times New Roman" w:hAnsi="宋体" w:eastAsia="宋体" w:cs="Times New Roman"/>
                <w:color w:val="auto"/>
                <w:sz w:val="24"/>
                <w:szCs w:val="24"/>
                <w:lang w:eastAsia="zh-CN"/>
              </w:rPr>
              <w:t>编织覆盖</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防尘网</w:t>
            </w:r>
            <w:r>
              <w:rPr>
                <w:rFonts w:hint="eastAsia" w:hAnsi="宋体" w:cs="Times New Roman"/>
                <w:color w:val="auto"/>
                <w:sz w:val="24"/>
                <w:szCs w:val="24"/>
                <w:lang w:eastAsia="zh-CN"/>
              </w:rPr>
              <w:t>）</w:t>
            </w:r>
            <w:r>
              <w:rPr>
                <w:rFonts w:hint="eastAsia" w:ascii="Times New Roman" w:hAnsi="宋体" w:eastAsia="宋体" w:cs="Times New Roman"/>
                <w:color w:val="auto"/>
                <w:sz w:val="24"/>
                <w:szCs w:val="24"/>
                <w:lang w:eastAsia="zh-CN"/>
              </w:rPr>
              <w:t>方式</w:t>
            </w:r>
            <w:r>
              <w:rPr>
                <w:rFonts w:hint="eastAsia" w:hAnsi="宋体" w:cs="Times New Roman"/>
                <w:color w:val="auto"/>
                <w:sz w:val="24"/>
                <w:szCs w:val="24"/>
                <w:lang w:val="en-US" w:eastAsia="zh-CN"/>
              </w:rPr>
              <w:t>降尘，煤炭装车和卸车过程采用车辆出入冲洗（高压水枪）方式降尘，降尘后颗粒物以无组织形式排放。</w:t>
            </w:r>
            <w:r>
              <w:rPr>
                <w:rFonts w:hint="eastAsia" w:ascii="Times New Roman" w:hAnsi="宋体" w:eastAsia="宋体" w:cs="Times New Roman"/>
                <w:color w:val="auto"/>
                <w:sz w:val="24"/>
                <w:szCs w:val="24"/>
              </w:rPr>
              <w:t>本项目无组织颗粒物排放满足</w:t>
            </w:r>
            <w:r>
              <w:rPr>
                <w:rFonts w:hint="eastAsia"/>
                <w:bCs/>
                <w:color w:val="auto"/>
                <w:sz w:val="24"/>
                <w:lang w:val="en-US" w:eastAsia="zh-CN"/>
              </w:rPr>
              <w:t>《煤炭工业污染物排放标准》（</w:t>
            </w:r>
            <w:r>
              <w:rPr>
                <w:rFonts w:hint="eastAsia"/>
                <w:bCs/>
                <w:color w:val="auto"/>
                <w:sz w:val="24"/>
              </w:rPr>
              <w:t>GB20426-2006</w:t>
            </w:r>
            <w:r>
              <w:rPr>
                <w:rFonts w:hint="eastAsia"/>
                <w:bCs/>
                <w:color w:val="auto"/>
                <w:sz w:val="24"/>
                <w:lang w:val="en-US" w:eastAsia="zh-CN"/>
              </w:rPr>
              <w:t>）表5煤炭工业无组织排放限值</w:t>
            </w:r>
            <w:r>
              <w:rPr>
                <w:rFonts w:hint="eastAsia" w:ascii="Times New Roman" w:hAnsi="宋体" w:eastAsia="宋体" w:cs="Times New Roman"/>
                <w:color w:val="auto"/>
                <w:sz w:val="24"/>
                <w:szCs w:val="24"/>
              </w:rPr>
              <w:t>要求。</w:t>
            </w:r>
            <w:r>
              <w:rPr>
                <w:rFonts w:hint="default"/>
                <w:color w:val="auto"/>
                <w:kern w:val="0"/>
                <w:sz w:val="24"/>
                <w:lang w:val="en-US" w:eastAsia="zh-CN"/>
              </w:rPr>
              <w:t>本项目</w:t>
            </w:r>
            <w:r>
              <w:rPr>
                <w:rFonts w:hint="eastAsia"/>
                <w:color w:val="auto"/>
                <w:kern w:val="0"/>
                <w:sz w:val="24"/>
                <w:lang w:val="en-US" w:eastAsia="zh-CN"/>
              </w:rPr>
              <w:t>厂区初期雨水经过雨水导流槽收集至初期雨水收集池，沉淀后全部用于车辆冲洗、厂区路面降尘，不外排；车辆冲洗废水集中收集经沉淀池沉淀后用于厂区路面降尘，自然蒸发，不外排；降尘用水全部自然蒸发，不外排；</w:t>
            </w:r>
            <w:r>
              <w:rPr>
                <w:rFonts w:hint="default"/>
                <w:color w:val="auto"/>
                <w:kern w:val="0"/>
                <w:sz w:val="24"/>
                <w:lang w:val="en-US" w:eastAsia="zh-CN"/>
              </w:rPr>
              <w:t>生活污水排入</w:t>
            </w:r>
            <w:r>
              <w:rPr>
                <w:rFonts w:hint="eastAsia"/>
                <w:color w:val="auto"/>
                <w:kern w:val="0"/>
                <w:sz w:val="24"/>
                <w:lang w:val="en-US" w:eastAsia="zh-CN"/>
              </w:rPr>
              <w:t>防渗旱厕，定期清掏，外运堆肥，不外排。本项目通过选用低噪声车辆及设备，</w:t>
            </w:r>
            <w:r>
              <w:rPr>
                <w:rFonts w:hint="eastAsia" w:cs="Times New Roman"/>
                <w:bCs/>
                <w:color w:val="auto"/>
                <w:sz w:val="24"/>
                <w:lang w:val="en-US" w:eastAsia="zh-CN"/>
              </w:rPr>
              <w:t>加强厂区运输管理，夜间不生产，夜间不安排运输，运输车辆采取限制车速、禁鸣等措施，可有效降低运输车辆噪声对道路两侧环境的影响。</w:t>
            </w:r>
            <w:r>
              <w:rPr>
                <w:rFonts w:hint="eastAsia"/>
                <w:color w:val="auto"/>
                <w:kern w:val="0"/>
                <w:sz w:val="24"/>
                <w:lang w:val="en-US" w:eastAsia="zh-CN"/>
              </w:rPr>
              <w:t>厂界四周噪声能够满足</w:t>
            </w:r>
            <w:r>
              <w:rPr>
                <w:rFonts w:hint="default"/>
                <w:color w:val="auto"/>
                <w:kern w:val="0"/>
                <w:sz w:val="24"/>
                <w:lang w:val="en-US" w:eastAsia="zh-CN"/>
              </w:rPr>
              <w:t>《工业企业厂界环境噪声排放标准》（GB</w:t>
            </w:r>
            <w:r>
              <w:rPr>
                <w:rFonts w:hint="eastAsia"/>
                <w:color w:val="auto"/>
                <w:kern w:val="0"/>
                <w:sz w:val="24"/>
                <w:lang w:val="en-US" w:eastAsia="zh-CN"/>
              </w:rPr>
              <w:t xml:space="preserve"> </w:t>
            </w:r>
            <w:r>
              <w:rPr>
                <w:rFonts w:hint="default"/>
                <w:color w:val="auto"/>
                <w:kern w:val="0"/>
                <w:sz w:val="24"/>
                <w:lang w:val="en-US" w:eastAsia="zh-CN"/>
              </w:rPr>
              <w:t>12348-2008）表1中2类标准要求</w:t>
            </w:r>
            <w:r>
              <w:rPr>
                <w:rFonts w:hint="eastAsia"/>
                <w:color w:val="auto"/>
                <w:kern w:val="0"/>
                <w:sz w:val="24"/>
                <w:lang w:val="en-US" w:eastAsia="zh-CN"/>
              </w:rPr>
              <w:t>。本项目固体废物综合利用处置率100%，不会对项目周边环境造成影响。</w:t>
            </w:r>
            <w:r>
              <w:rPr>
                <w:rFonts w:hint="default" w:ascii="Times New Roman" w:hAnsi="Times New Roman" w:eastAsia="宋体" w:cs="Times New Roman"/>
                <w:color w:val="auto"/>
                <w:sz w:val="24"/>
                <w:szCs w:val="32"/>
                <w:highlight w:val="none"/>
              </w:rPr>
              <w:t>项目所采取污染防治措施合理可行，各污染物达标排放，不会加剧现有环境质量状况。</w:t>
            </w:r>
            <w:r>
              <w:rPr>
                <w:rFonts w:hint="eastAsia" w:cs="Times New Roman"/>
                <w:color w:val="auto"/>
                <w:sz w:val="24"/>
                <w:szCs w:val="32"/>
                <w:highlight w:val="none"/>
                <w:lang w:val="en-US" w:eastAsia="zh-CN"/>
              </w:rPr>
              <w:t>因此，符合环境质量底线要求。</w:t>
            </w:r>
          </w:p>
          <w:p w14:paraId="633797E1">
            <w:pPr>
              <w:keepNext w:val="0"/>
              <w:keepLines w:val="0"/>
              <w:pageBreakBefore w:val="0"/>
              <w:widowControl/>
              <w:kinsoku/>
              <w:overflowPunct/>
              <w:topLinePunct w:val="0"/>
              <w:bidi w:val="0"/>
              <w:adjustRightInd w:val="0"/>
              <w:snapToGrid w:val="0"/>
              <w:spacing w:line="360" w:lineRule="auto"/>
              <w:ind w:firstLine="480" w:firstLineChars="200"/>
              <w:rPr>
                <w:color w:val="auto"/>
                <w:sz w:val="24"/>
              </w:rPr>
            </w:pPr>
            <w:r>
              <w:rPr>
                <w:color w:val="auto"/>
                <w:sz w:val="24"/>
              </w:rPr>
              <w:t>（3）资源利用上线</w:t>
            </w:r>
          </w:p>
          <w:p w14:paraId="7B24D9AE">
            <w:pPr>
              <w:keepNext w:val="0"/>
              <w:keepLines w:val="0"/>
              <w:pageBreakBefore w:val="0"/>
              <w:kinsoku/>
              <w:overflowPunct/>
              <w:topLinePunct w:val="0"/>
              <w:bidi w:val="0"/>
              <w:spacing w:line="360" w:lineRule="auto"/>
              <w:ind w:firstLine="480" w:firstLineChars="200"/>
              <w:rPr>
                <w:color w:val="auto"/>
                <w:sz w:val="24"/>
                <w:szCs w:val="32"/>
              </w:rPr>
            </w:pPr>
            <w:r>
              <w:rPr>
                <w:color w:val="auto"/>
                <w:sz w:val="24"/>
                <w:szCs w:val="32"/>
              </w:rPr>
              <w:t>本项目</w:t>
            </w:r>
            <w:r>
              <w:rPr>
                <w:rFonts w:hint="eastAsia"/>
                <w:color w:val="auto"/>
                <w:sz w:val="24"/>
                <w:szCs w:val="32"/>
                <w:lang w:val="en-US" w:eastAsia="zh-CN"/>
              </w:rPr>
              <w:t>生活</w:t>
            </w:r>
            <w:r>
              <w:rPr>
                <w:rFonts w:hint="eastAsia"/>
                <w:color w:val="auto"/>
                <w:sz w:val="24"/>
              </w:rPr>
              <w:t>供水</w:t>
            </w:r>
            <w:r>
              <w:rPr>
                <w:rFonts w:hint="eastAsia"/>
                <w:color w:val="auto"/>
                <w:sz w:val="24"/>
                <w:lang w:val="en-US" w:eastAsia="zh-CN"/>
              </w:rPr>
              <w:t>购买桶装水使用，车辆冲洗用水和降尘用水优先使用收集的初期雨水，初期雨水不足时购买黑龙江龙煤鸡西矿业有限责任公司自来水使用</w:t>
            </w:r>
            <w:r>
              <w:rPr>
                <w:rFonts w:hint="eastAsia"/>
                <w:color w:val="auto"/>
                <w:sz w:val="24"/>
              </w:rPr>
              <w:t>，供电电源由</w:t>
            </w:r>
            <w:r>
              <w:rPr>
                <w:rFonts w:hint="eastAsia"/>
                <w:color w:val="auto"/>
                <w:sz w:val="24"/>
                <w:lang w:val="en-US" w:eastAsia="zh-CN"/>
              </w:rPr>
              <w:t>当地市政</w:t>
            </w:r>
            <w:r>
              <w:rPr>
                <w:rFonts w:hint="eastAsia"/>
                <w:color w:val="auto"/>
                <w:sz w:val="24"/>
              </w:rPr>
              <w:t>电网提供，用水水源及供电电源可靠，</w:t>
            </w:r>
            <w:r>
              <w:rPr>
                <w:rFonts w:hint="eastAsia"/>
                <w:snapToGrid w:val="0"/>
                <w:color w:val="auto"/>
                <w:kern w:val="0"/>
                <w:sz w:val="24"/>
              </w:rPr>
              <w:t>资源消耗量相对于区域资源利用总量较小，符合资源利用上线要求。</w:t>
            </w:r>
          </w:p>
          <w:p w14:paraId="58A00149">
            <w:pPr>
              <w:keepNext w:val="0"/>
              <w:keepLines w:val="0"/>
              <w:pageBreakBefore w:val="0"/>
              <w:kinsoku/>
              <w:overflowPunct/>
              <w:topLinePunct w:val="0"/>
              <w:bidi w:val="0"/>
              <w:spacing w:line="360" w:lineRule="auto"/>
              <w:ind w:firstLine="480" w:firstLineChars="200"/>
              <w:rPr>
                <w:color w:val="auto"/>
                <w:sz w:val="24"/>
              </w:rPr>
            </w:pPr>
            <w:r>
              <w:rPr>
                <w:color w:val="auto"/>
                <w:sz w:val="24"/>
              </w:rPr>
              <w:t>（4）生态环境准入清单</w:t>
            </w:r>
          </w:p>
          <w:p w14:paraId="76C30422">
            <w:pPr>
              <w:keepNext w:val="0"/>
              <w:keepLines w:val="0"/>
              <w:pageBreakBefore w:val="0"/>
              <w:kinsoku/>
              <w:overflowPunct/>
              <w:topLinePunct w:val="0"/>
              <w:bidi w:val="0"/>
              <w:spacing w:line="360" w:lineRule="auto"/>
              <w:ind w:firstLine="480" w:firstLineChars="200"/>
              <w:rPr>
                <w:color w:val="auto"/>
                <w:sz w:val="24"/>
              </w:rPr>
            </w:pPr>
            <w:r>
              <w:rPr>
                <w:color w:val="auto"/>
                <w:sz w:val="24"/>
              </w:rPr>
              <w:t>本项目位于</w:t>
            </w:r>
            <w:r>
              <w:rPr>
                <w:rFonts w:hint="eastAsia" w:ascii="Times New Roman" w:hAnsi="Times New Roman" w:eastAsia="宋体" w:cs="Times New Roman"/>
                <w:color w:val="auto"/>
                <w:spacing w:val="4"/>
                <w:sz w:val="24"/>
                <w:lang w:val="en-US" w:eastAsia="zh-CN"/>
              </w:rPr>
              <w:t>黑龙江省鸡西市城子河区南兴委，原三五一厂城砖分厂</w:t>
            </w:r>
            <w:r>
              <w:rPr>
                <w:color w:val="auto"/>
                <w:sz w:val="24"/>
              </w:rPr>
              <w:t>，根据</w:t>
            </w:r>
            <w:r>
              <w:rPr>
                <w:rFonts w:hint="eastAsia"/>
                <w:color w:val="auto"/>
                <w:sz w:val="24"/>
              </w:rPr>
              <w:t>《鸡西市人民政府关于实施“三线一单”生态环境分区管控的意见》（鸡政发〔2021〕7号）</w:t>
            </w:r>
            <w:r>
              <w:rPr>
                <w:color w:val="auto"/>
                <w:sz w:val="24"/>
              </w:rPr>
              <w:t>，本项目属于重点管控单元。本项目与《</w:t>
            </w:r>
            <w:r>
              <w:rPr>
                <w:rFonts w:hint="eastAsia"/>
                <w:color w:val="auto"/>
                <w:sz w:val="24"/>
              </w:rPr>
              <w:t>鸡西市生态环境准入清单</w:t>
            </w:r>
            <w:r>
              <w:rPr>
                <w:color w:val="auto"/>
                <w:sz w:val="24"/>
              </w:rPr>
              <w:t>》符合性分析见表1-</w:t>
            </w:r>
            <w:r>
              <w:rPr>
                <w:rFonts w:hint="eastAsia"/>
                <w:color w:val="auto"/>
                <w:sz w:val="24"/>
              </w:rPr>
              <w:t>2</w:t>
            </w:r>
            <w:r>
              <w:rPr>
                <w:color w:val="auto"/>
                <w:sz w:val="24"/>
              </w:rPr>
              <w:t>。</w:t>
            </w:r>
          </w:p>
          <w:p w14:paraId="03B70684">
            <w:pPr>
              <w:pStyle w:val="187"/>
              <w:keepNext w:val="0"/>
              <w:keepLines w:val="0"/>
              <w:pageBreakBefore w:val="0"/>
              <w:kinsoku/>
              <w:overflowPunct/>
              <w:topLinePunct w:val="0"/>
              <w:bidi w:val="0"/>
              <w:spacing w:line="240" w:lineRule="auto"/>
              <w:rPr>
                <w:rFonts w:ascii="Times New Roman" w:eastAsia="宋体"/>
                <w:b/>
                <w:bCs/>
                <w:color w:val="auto"/>
                <w:sz w:val="21"/>
                <w:szCs w:val="21"/>
              </w:rPr>
            </w:pPr>
            <w:r>
              <w:rPr>
                <w:rFonts w:ascii="Times New Roman" w:eastAsia="宋体"/>
                <w:b/>
                <w:bCs/>
                <w:color w:val="auto"/>
                <w:sz w:val="21"/>
                <w:szCs w:val="21"/>
              </w:rPr>
              <w:t>表1-</w:t>
            </w:r>
            <w:r>
              <w:rPr>
                <w:rFonts w:hint="eastAsia" w:ascii="Times New Roman" w:eastAsia="宋体"/>
                <w:b/>
                <w:bCs/>
                <w:color w:val="auto"/>
                <w:sz w:val="21"/>
                <w:szCs w:val="21"/>
              </w:rPr>
              <w:t>2</w:t>
            </w:r>
            <w:r>
              <w:rPr>
                <w:rFonts w:ascii="Times New Roman" w:eastAsia="宋体"/>
                <w:b/>
                <w:bCs/>
                <w:color w:val="auto"/>
                <w:sz w:val="21"/>
                <w:szCs w:val="21"/>
              </w:rPr>
              <w:t xml:space="preserve">  本项目与《</w:t>
            </w:r>
            <w:r>
              <w:rPr>
                <w:rFonts w:hint="eastAsia" w:ascii="Times New Roman" w:eastAsia="宋体"/>
                <w:b/>
                <w:bCs/>
                <w:color w:val="auto"/>
                <w:sz w:val="21"/>
                <w:szCs w:val="21"/>
                <w:lang w:val="en-US" w:eastAsia="zh-CN"/>
              </w:rPr>
              <w:t>鸡西</w:t>
            </w:r>
            <w:r>
              <w:rPr>
                <w:rFonts w:ascii="Times New Roman" w:eastAsia="宋体"/>
                <w:b/>
                <w:bCs/>
                <w:color w:val="auto"/>
                <w:sz w:val="21"/>
                <w:szCs w:val="21"/>
              </w:rPr>
              <w:t>市生态环境准入清单》符合性分析</w:t>
            </w:r>
          </w:p>
          <w:tbl>
            <w:tblPr>
              <w:tblStyle w:val="38"/>
              <w:tblpPr w:leftFromText="180" w:rightFromText="180" w:vertAnchor="text" w:horzAnchor="page" w:tblpX="78" w:tblpY="129"/>
              <w:tblOverlap w:val="never"/>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941"/>
              <w:gridCol w:w="421"/>
              <w:gridCol w:w="3549"/>
              <w:gridCol w:w="2394"/>
            </w:tblGrid>
            <w:tr w14:paraId="61E1B8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644" w:type="pct"/>
                  <w:vAlign w:val="center"/>
                </w:tcPr>
                <w:p w14:paraId="70B2746F">
                  <w:pPr>
                    <w:keepNext w:val="0"/>
                    <w:keepLines w:val="0"/>
                    <w:pageBreakBefore w:val="0"/>
                    <w:kinsoku/>
                    <w:overflowPunct/>
                    <w:topLinePunct w:val="0"/>
                    <w:bidi w:val="0"/>
                    <w:jc w:val="center"/>
                    <w:rPr>
                      <w:color w:val="auto"/>
                      <w:szCs w:val="21"/>
                    </w:rPr>
                  </w:pPr>
                  <w:r>
                    <w:rPr>
                      <w:color w:val="auto"/>
                      <w:szCs w:val="21"/>
                    </w:rPr>
                    <w:t>环境管控单元名称</w:t>
                  </w:r>
                </w:p>
              </w:tc>
              <w:tc>
                <w:tcPr>
                  <w:tcW w:w="2717" w:type="pct"/>
                  <w:gridSpan w:val="2"/>
                  <w:tcBorders>
                    <w:left w:val="single" w:color="auto" w:sz="4" w:space="0"/>
                  </w:tcBorders>
                  <w:vAlign w:val="center"/>
                </w:tcPr>
                <w:p w14:paraId="5F600178">
                  <w:pPr>
                    <w:keepNext w:val="0"/>
                    <w:keepLines w:val="0"/>
                    <w:pageBreakBefore w:val="0"/>
                    <w:kinsoku/>
                    <w:overflowPunct/>
                    <w:topLinePunct w:val="0"/>
                    <w:bidi w:val="0"/>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城子河区城镇空间</w:t>
                  </w:r>
                </w:p>
              </w:tc>
              <w:tc>
                <w:tcPr>
                  <w:tcW w:w="1638" w:type="pct"/>
                  <w:vMerge w:val="restart"/>
                  <w:vAlign w:val="center"/>
                </w:tcPr>
                <w:p w14:paraId="2FB84FFA">
                  <w:pPr>
                    <w:keepNext w:val="0"/>
                    <w:keepLines w:val="0"/>
                    <w:pageBreakBefore w:val="0"/>
                    <w:kinsoku/>
                    <w:overflowPunct/>
                    <w:topLinePunct w:val="0"/>
                    <w:bidi w:val="0"/>
                    <w:jc w:val="center"/>
                    <w:rPr>
                      <w:color w:val="auto"/>
                      <w:szCs w:val="21"/>
                    </w:rPr>
                  </w:pPr>
                  <w:r>
                    <w:rPr>
                      <w:rFonts w:hint="eastAsia"/>
                      <w:color w:val="auto"/>
                      <w:szCs w:val="21"/>
                    </w:rPr>
                    <w:t>本项目</w:t>
                  </w:r>
                </w:p>
              </w:tc>
            </w:tr>
            <w:tr w14:paraId="4F0B94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44" w:type="pct"/>
                  <w:vAlign w:val="center"/>
                </w:tcPr>
                <w:p w14:paraId="15C312BA">
                  <w:pPr>
                    <w:keepNext w:val="0"/>
                    <w:keepLines w:val="0"/>
                    <w:pageBreakBefore w:val="0"/>
                    <w:kinsoku/>
                    <w:overflowPunct/>
                    <w:topLinePunct w:val="0"/>
                    <w:bidi w:val="0"/>
                    <w:jc w:val="center"/>
                    <w:rPr>
                      <w:color w:val="auto"/>
                      <w:szCs w:val="21"/>
                    </w:rPr>
                  </w:pPr>
                  <w:r>
                    <w:rPr>
                      <w:color w:val="auto"/>
                      <w:szCs w:val="21"/>
                    </w:rPr>
                    <w:t>环境管控单元编码</w:t>
                  </w:r>
                </w:p>
              </w:tc>
              <w:tc>
                <w:tcPr>
                  <w:tcW w:w="2717" w:type="pct"/>
                  <w:gridSpan w:val="2"/>
                  <w:tcBorders>
                    <w:left w:val="single" w:color="auto" w:sz="4" w:space="0"/>
                  </w:tcBorders>
                  <w:vAlign w:val="center"/>
                </w:tcPr>
                <w:p w14:paraId="7FA24E57">
                  <w:pPr>
                    <w:keepNext w:val="0"/>
                    <w:keepLines w:val="0"/>
                    <w:pageBreakBefore w:val="0"/>
                    <w:kinsoku/>
                    <w:overflowPunct/>
                    <w:topLinePunct w:val="0"/>
                    <w:bidi w:val="0"/>
                    <w:jc w:val="center"/>
                    <w:rPr>
                      <w:rFonts w:ascii="Times New Roman" w:hAnsi="Times New Roman" w:eastAsia="宋体" w:cs="Times New Roman"/>
                      <w:color w:val="auto"/>
                      <w:szCs w:val="21"/>
                    </w:rPr>
                  </w:pPr>
                  <w:r>
                    <w:rPr>
                      <w:rFonts w:hint="eastAsia"/>
                      <w:color w:val="auto"/>
                      <w:sz w:val="21"/>
                      <w:szCs w:val="21"/>
                    </w:rPr>
                    <w:t>ZH23030620001</w:t>
                  </w:r>
                </w:p>
              </w:tc>
              <w:tc>
                <w:tcPr>
                  <w:tcW w:w="1638" w:type="pct"/>
                  <w:vMerge w:val="continue"/>
                  <w:vAlign w:val="center"/>
                </w:tcPr>
                <w:p w14:paraId="021E6DE9">
                  <w:pPr>
                    <w:keepNext w:val="0"/>
                    <w:keepLines w:val="0"/>
                    <w:pageBreakBefore w:val="0"/>
                    <w:kinsoku/>
                    <w:overflowPunct/>
                    <w:topLinePunct w:val="0"/>
                    <w:bidi w:val="0"/>
                    <w:jc w:val="center"/>
                    <w:rPr>
                      <w:color w:val="auto"/>
                      <w:szCs w:val="21"/>
                    </w:rPr>
                  </w:pPr>
                </w:p>
              </w:tc>
            </w:tr>
            <w:tr w14:paraId="0E4A9D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644" w:type="pct"/>
                  <w:vAlign w:val="center"/>
                </w:tcPr>
                <w:p w14:paraId="0479BC2A">
                  <w:pPr>
                    <w:keepNext w:val="0"/>
                    <w:keepLines w:val="0"/>
                    <w:pageBreakBefore w:val="0"/>
                    <w:kinsoku/>
                    <w:overflowPunct/>
                    <w:topLinePunct w:val="0"/>
                    <w:bidi w:val="0"/>
                    <w:jc w:val="center"/>
                    <w:rPr>
                      <w:color w:val="auto"/>
                      <w:szCs w:val="21"/>
                    </w:rPr>
                  </w:pPr>
                  <w:r>
                    <w:rPr>
                      <w:color w:val="auto"/>
                      <w:szCs w:val="21"/>
                    </w:rPr>
                    <w:t>管控单元类别</w:t>
                  </w:r>
                </w:p>
              </w:tc>
              <w:tc>
                <w:tcPr>
                  <w:tcW w:w="2717" w:type="pct"/>
                  <w:gridSpan w:val="2"/>
                  <w:tcBorders>
                    <w:left w:val="single" w:color="auto" w:sz="4" w:space="0"/>
                  </w:tcBorders>
                  <w:vAlign w:val="center"/>
                </w:tcPr>
                <w:p w14:paraId="07ED13E7">
                  <w:pPr>
                    <w:keepNext w:val="0"/>
                    <w:keepLines w:val="0"/>
                    <w:pageBreakBefore w:val="0"/>
                    <w:kinsoku/>
                    <w:overflowPunct/>
                    <w:topLinePunct w:val="0"/>
                    <w:bidi w:val="0"/>
                    <w:jc w:val="center"/>
                    <w:rPr>
                      <w:color w:val="auto"/>
                      <w:szCs w:val="21"/>
                    </w:rPr>
                  </w:pPr>
                  <w:r>
                    <w:rPr>
                      <w:color w:val="auto"/>
                      <w:szCs w:val="21"/>
                    </w:rPr>
                    <w:t>重点管控单元</w:t>
                  </w:r>
                </w:p>
              </w:tc>
              <w:tc>
                <w:tcPr>
                  <w:tcW w:w="1638" w:type="pct"/>
                  <w:vMerge w:val="continue"/>
                  <w:vAlign w:val="center"/>
                </w:tcPr>
                <w:p w14:paraId="547EF5F7">
                  <w:pPr>
                    <w:keepNext w:val="0"/>
                    <w:keepLines w:val="0"/>
                    <w:pageBreakBefore w:val="0"/>
                    <w:kinsoku/>
                    <w:overflowPunct/>
                    <w:topLinePunct w:val="0"/>
                    <w:bidi w:val="0"/>
                    <w:jc w:val="center"/>
                    <w:rPr>
                      <w:color w:val="auto"/>
                      <w:szCs w:val="21"/>
                    </w:rPr>
                  </w:pPr>
                </w:p>
              </w:tc>
            </w:tr>
            <w:tr w14:paraId="6C72B5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530" w:hRule="atLeast"/>
              </w:trPr>
              <w:tc>
                <w:tcPr>
                  <w:tcW w:w="644" w:type="pct"/>
                  <w:vMerge w:val="restart"/>
                  <w:vAlign w:val="center"/>
                </w:tcPr>
                <w:p w14:paraId="4E6B7D74">
                  <w:pPr>
                    <w:keepNext w:val="0"/>
                    <w:keepLines w:val="0"/>
                    <w:pageBreakBefore w:val="0"/>
                    <w:kinsoku/>
                    <w:overflowPunct/>
                    <w:topLinePunct w:val="0"/>
                    <w:bidi w:val="0"/>
                    <w:jc w:val="center"/>
                    <w:rPr>
                      <w:color w:val="auto"/>
                      <w:szCs w:val="21"/>
                    </w:rPr>
                  </w:pPr>
                  <w:r>
                    <w:rPr>
                      <w:rFonts w:hint="eastAsia"/>
                      <w:color w:val="auto"/>
                      <w:szCs w:val="21"/>
                    </w:rPr>
                    <w:t>管控要求</w:t>
                  </w:r>
                </w:p>
              </w:tc>
              <w:tc>
                <w:tcPr>
                  <w:tcW w:w="288" w:type="pct"/>
                  <w:tcBorders>
                    <w:left w:val="single" w:color="auto" w:sz="4" w:space="0"/>
                  </w:tcBorders>
                  <w:vAlign w:val="center"/>
                </w:tcPr>
                <w:p w14:paraId="10EC9BCC">
                  <w:pPr>
                    <w:keepNext w:val="0"/>
                    <w:keepLines w:val="0"/>
                    <w:pageBreakBefore w:val="0"/>
                    <w:kinsoku/>
                    <w:overflowPunct/>
                    <w:topLinePunct w:val="0"/>
                    <w:bidi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空间布局约束</w:t>
                  </w:r>
                </w:p>
              </w:tc>
              <w:tc>
                <w:tcPr>
                  <w:tcW w:w="2429" w:type="pct"/>
                  <w:vAlign w:val="center"/>
                </w:tcPr>
                <w:p w14:paraId="1BA41809">
                  <w:pPr>
                    <w:keepNext w:val="0"/>
                    <w:keepLines w:val="0"/>
                    <w:pageBreakBefore w:val="0"/>
                    <w:kinsoku/>
                    <w:overflowPunct/>
                    <w:topLinePunct w:val="0"/>
                    <w:bidi w:val="0"/>
                    <w:jc w:val="left"/>
                    <w:rPr>
                      <w:rFonts w:hint="eastAsia" w:ascii="Times New Roman" w:hAnsi="Times New Roman" w:eastAsia="宋体" w:cs="Times New Roman"/>
                      <w:color w:val="auto"/>
                      <w:szCs w:val="21"/>
                      <w:lang w:val="en-US" w:eastAsia="zh-CN"/>
                    </w:rPr>
                  </w:pPr>
                  <w:r>
                    <w:rPr>
                      <w:rFonts w:hint="eastAsia" w:cs="Times New Roman"/>
                      <w:color w:val="auto"/>
                      <w:szCs w:val="21"/>
                      <w:lang w:val="en-US" w:eastAsia="zh-CN"/>
                    </w:rPr>
                    <w:t>1.同时执行:(1)严禁在人口密集区新建危险化学品生产项目，城镇人口密集区危险化学品生产企业应搬迁改造。(2)禁止在城镇居民区、文化教育科学研究区等人口集中区域建设畜禽养殖场、养殖小区。2.水环境农业污染重点管控区同时执行 (1)科学划定畜禽养殖禁养区。(2)加快农业结构调整。松嫩平原和三江平原等地下水易受污染地区优先种植需肥需药量低、环境效益突出的农作物;在西部干旱区发展谷子、高粱等耐旱杂粮种植;在北部四、五积温区开展米豆麦轮作，促进化肥需求低的农作物面积恢复性增长。3.水环境城镇生活污染重点管控区同时执行除干旱地区外，新建城区应全面实行雨污分流，鼓励对初期雨水进行收集、处理和资源化利用。4.大气环境布局敏感重点管控区同时执行(1)严控“两高”行业产能。严格执行钢铁、水泥、平板玻璃等行业产能置换实施办法。(2)利用水泥窑协同处置城市生活垃圾、危险废弃物、电石渣等固废伴生水泥项目，必须依托现有新型干法水泥熟料生产线进行不扩产能改造</w:t>
                  </w:r>
                </w:p>
              </w:tc>
              <w:tc>
                <w:tcPr>
                  <w:tcW w:w="1638" w:type="pct"/>
                  <w:vAlign w:val="center"/>
                </w:tcPr>
                <w:p w14:paraId="454B5578">
                  <w:pPr>
                    <w:keepNext w:val="0"/>
                    <w:keepLines w:val="0"/>
                    <w:pageBreakBefore w:val="0"/>
                    <w:kinsoku/>
                    <w:overflowPunct/>
                    <w:topLinePunct w:val="0"/>
                    <w:bidi w:val="0"/>
                    <w:jc w:val="center"/>
                    <w:rPr>
                      <w:rFonts w:hint="default" w:cs="Times New Roman"/>
                      <w:color w:val="auto"/>
                      <w:szCs w:val="21"/>
                      <w:lang w:val="en-US" w:eastAsia="zh-CN"/>
                    </w:rPr>
                  </w:pPr>
                  <w:r>
                    <w:rPr>
                      <w:rFonts w:hint="eastAsia" w:cs="Times New Roman"/>
                      <w:color w:val="auto"/>
                      <w:szCs w:val="21"/>
                      <w:lang w:val="en-US" w:eastAsia="zh-CN"/>
                    </w:rPr>
                    <w:t>本项目为煤炭集运项目</w:t>
                  </w:r>
                  <w:r>
                    <w:rPr>
                      <w:rFonts w:hint="eastAsia" w:cs="Times New Roman"/>
                      <w:color w:val="auto"/>
                      <w:szCs w:val="21"/>
                      <w:lang w:val="zh-CN" w:eastAsia="zh-CN"/>
                    </w:rPr>
                    <w:t>不属于危险化学品生产项目、养殖场项目，</w:t>
                  </w:r>
                  <w:r>
                    <w:rPr>
                      <w:rFonts w:hint="eastAsia" w:cs="Times New Roman"/>
                      <w:color w:val="auto"/>
                      <w:szCs w:val="21"/>
                      <w:lang w:val="en-US" w:eastAsia="zh-CN"/>
                    </w:rPr>
                    <w:t>不属于</w:t>
                  </w:r>
                  <w:r>
                    <w:rPr>
                      <w:rFonts w:hint="eastAsia" w:ascii="Times New Roman" w:hAnsi="Times New Roman" w:eastAsia="宋体" w:cs="Times New Roman"/>
                      <w:color w:val="auto"/>
                      <w:szCs w:val="21"/>
                      <w:lang w:val="en-US" w:eastAsia="zh-CN"/>
                    </w:rPr>
                    <w:t>钢铁、水泥、平板玻璃等行业</w:t>
                  </w:r>
                  <w:r>
                    <w:rPr>
                      <w:rFonts w:hint="eastAsia" w:cs="Times New Roman"/>
                      <w:color w:val="auto"/>
                      <w:szCs w:val="21"/>
                      <w:lang w:val="zh-CN" w:eastAsia="zh-CN"/>
                    </w:rPr>
                    <w:t>，</w:t>
                  </w:r>
                  <w:r>
                    <w:rPr>
                      <w:rFonts w:hint="eastAsia" w:cs="Times New Roman"/>
                      <w:color w:val="auto"/>
                      <w:szCs w:val="21"/>
                      <w:lang w:val="en-US" w:eastAsia="zh-CN"/>
                    </w:rPr>
                    <w:t>不属于</w:t>
                  </w:r>
                  <w:r>
                    <w:rPr>
                      <w:rFonts w:hint="eastAsia" w:ascii="Times New Roman" w:hAnsi="Times New Roman" w:eastAsia="宋体" w:cs="Times New Roman"/>
                      <w:color w:val="auto"/>
                      <w:szCs w:val="21"/>
                      <w:lang w:val="en-US" w:eastAsia="zh-CN"/>
                    </w:rPr>
                    <w:t>利用水泥窑协同处置城市生活垃圾、危险废弃物、电石渣等固废伴生水泥项目</w:t>
                  </w:r>
                  <w:r>
                    <w:rPr>
                      <w:rFonts w:hint="eastAsia" w:cs="Times New Roman"/>
                      <w:color w:val="auto"/>
                      <w:szCs w:val="21"/>
                      <w:lang w:val="en-US" w:eastAsia="zh-CN"/>
                    </w:rPr>
                    <w:t>；本项目生产不用水，</w:t>
                  </w:r>
                  <w:r>
                    <w:rPr>
                      <w:color w:val="auto"/>
                      <w:szCs w:val="21"/>
                    </w:rPr>
                    <w:t>职工生活用水</w:t>
                  </w:r>
                  <w:r>
                    <w:rPr>
                      <w:rFonts w:hint="eastAsia"/>
                      <w:color w:val="auto"/>
                      <w:szCs w:val="21"/>
                      <w:lang w:val="en-US" w:eastAsia="zh-CN"/>
                    </w:rPr>
                    <w:t>购买桶装水使用</w:t>
                  </w:r>
                  <w:r>
                    <w:rPr>
                      <w:rFonts w:hint="eastAsia"/>
                      <w:color w:val="auto"/>
                      <w:szCs w:val="21"/>
                    </w:rPr>
                    <w:t>。</w:t>
                  </w:r>
                  <w:r>
                    <w:rPr>
                      <w:rFonts w:hint="eastAsia"/>
                      <w:color w:val="auto"/>
                      <w:szCs w:val="21"/>
                      <w:lang w:val="en-US" w:eastAsia="zh-CN"/>
                    </w:rPr>
                    <w:t>车辆冲洗用水和降尘用水优先使用收集的初期雨水，初期雨水不足时购买黑龙江龙煤鸡西矿业有限责任公司自来水使用</w:t>
                  </w:r>
                  <w:r>
                    <w:rPr>
                      <w:rFonts w:hint="eastAsia" w:cs="Times New Roman"/>
                      <w:color w:val="auto"/>
                      <w:szCs w:val="21"/>
                      <w:lang w:val="en-US" w:eastAsia="zh-CN"/>
                    </w:rPr>
                    <w:t>，废气为无组织颗粒物，不属于“两高”行业；项目所用设备及产品无</w:t>
                  </w:r>
                  <w:r>
                    <w:rPr>
                      <w:rFonts w:hint="default" w:cs="Times New Roman"/>
                      <w:color w:val="auto"/>
                      <w:szCs w:val="21"/>
                      <w:lang w:val="en-US" w:eastAsia="zh-CN"/>
                    </w:rPr>
                    <w:t>《</w:t>
                  </w:r>
                  <w:r>
                    <w:rPr>
                      <w:rFonts w:hint="eastAsia" w:cs="Times New Roman"/>
                      <w:color w:val="auto"/>
                      <w:szCs w:val="21"/>
                      <w:lang w:val="en-US" w:eastAsia="zh-CN"/>
                    </w:rPr>
                    <w:t>产业结构调整指导目录</w:t>
                  </w:r>
                  <w:r>
                    <w:rPr>
                      <w:rFonts w:hint="default" w:cs="Times New Roman"/>
                      <w:color w:val="auto"/>
                      <w:szCs w:val="21"/>
                      <w:lang w:val="en-US" w:eastAsia="zh-CN"/>
                    </w:rPr>
                    <w:t>》</w:t>
                  </w:r>
                  <w:r>
                    <w:rPr>
                      <w:rFonts w:hint="eastAsia" w:cs="Times New Roman"/>
                      <w:color w:val="auto"/>
                      <w:szCs w:val="21"/>
                      <w:lang w:val="en-US" w:eastAsia="zh-CN"/>
                    </w:rPr>
                    <w:t>（2024年本）中限制类中生产装置设备、淘汰类中产业结构调整落后生产工艺装备、落后产品。</w:t>
                  </w:r>
                </w:p>
              </w:tc>
            </w:tr>
            <w:tr w14:paraId="43D1A9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530" w:hRule="atLeast"/>
              </w:trPr>
              <w:tc>
                <w:tcPr>
                  <w:tcW w:w="644" w:type="pct"/>
                  <w:vMerge w:val="continue"/>
                  <w:vAlign w:val="center"/>
                </w:tcPr>
                <w:p w14:paraId="7B69F7BF">
                  <w:pPr>
                    <w:keepNext w:val="0"/>
                    <w:keepLines w:val="0"/>
                    <w:pageBreakBefore w:val="0"/>
                    <w:kinsoku/>
                    <w:overflowPunct/>
                    <w:topLinePunct w:val="0"/>
                    <w:bidi w:val="0"/>
                    <w:jc w:val="center"/>
                    <w:rPr>
                      <w:color w:val="auto"/>
                      <w:szCs w:val="21"/>
                    </w:rPr>
                  </w:pPr>
                </w:p>
              </w:tc>
              <w:tc>
                <w:tcPr>
                  <w:tcW w:w="288" w:type="pct"/>
                  <w:tcBorders>
                    <w:left w:val="single" w:color="auto" w:sz="4" w:space="0"/>
                  </w:tcBorders>
                  <w:vAlign w:val="center"/>
                </w:tcPr>
                <w:p w14:paraId="2C820AFF">
                  <w:pPr>
                    <w:keepNext w:val="0"/>
                    <w:keepLines w:val="0"/>
                    <w:pageBreakBefore w:val="0"/>
                    <w:kinsoku/>
                    <w:overflowPunct/>
                    <w:topLinePunct w:val="0"/>
                    <w:bidi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污染物排放管控</w:t>
                  </w:r>
                </w:p>
              </w:tc>
              <w:tc>
                <w:tcPr>
                  <w:tcW w:w="2429" w:type="pct"/>
                  <w:vAlign w:val="center"/>
                </w:tcPr>
                <w:p w14:paraId="04F45414">
                  <w:pPr>
                    <w:keepNext w:val="0"/>
                    <w:keepLines w:val="0"/>
                    <w:pageBreakBefore w:val="0"/>
                    <w:kinsoku/>
                    <w:overflowPunct/>
                    <w:topLinePunct w:val="0"/>
                    <w:bidi w:val="0"/>
                    <w:jc w:val="left"/>
                    <w:rPr>
                      <w:rFonts w:hint="eastAsia" w:ascii="Times New Roman" w:hAnsi="Times New Roman" w:eastAsia="宋体" w:cs="Times New Roman"/>
                      <w:color w:val="auto"/>
                      <w:szCs w:val="21"/>
                      <w:lang w:val="en-US" w:eastAsia="zh-CN"/>
                    </w:rPr>
                  </w:pPr>
                  <w:r>
                    <w:rPr>
                      <w:rFonts w:hint="eastAsia" w:cs="Times New Roman"/>
                      <w:color w:val="auto"/>
                      <w:szCs w:val="21"/>
                      <w:lang w:val="en-US" w:eastAsia="zh-CN"/>
                    </w:rPr>
                    <w:t>1.同时执行:加快65t/h以上燃煤锅炉(含电力)超低排放改造。2.水环境农业污染重点管控区同时执行 (1)支持规模化畜禽养殖场(小区)开展标准化改造和建设，提高畜禽粪污收集和处理机械化水平，实施雨污分流、粪污资源化利用，控制畜禽养殖污染排放。(2)畜禽养殖户应当及时对畜禽粪便、污水进行收集、贮存、清运，或者进行无害化处理。县级人民政府应当组织对本行政区域的畜禽散养密集区畜禽粪便、污水进行集中处理利用，督促乡镇人民政府建设或者配备污染防治配套设施。(3)全面加强农业面源污染防控，科学合理使用农业投入品，提高使用效率，减少农业内源性污染。3.水环境城镇生活污染重点管控区同时执行 (1)新区污水管网规划建设应当与城市开发同步推进，除干旱地区外均实行雨污分流。 (2)强化城中村、老旧城区和城乡结合部污水截流、收集。 (3)推进合流制排水系统雨污分流改造，难以改造的，应采取截流、调蓄和治理等措施;推进现有污水处理设施配套管网建设;进一步提高城市、县城生活污水收集处理效能。(4)县级以上人民政府应当合理确定城镇排水与污水处理设施建设标准，统筹安排管网、泵站、污水处理厂以及污泥处理处置、再生水利用、雨水调蓄和排放等排水与污水处理设施建设和改造，提高城镇污水收集率和处理率。4.大气环境布局敏感重点管控区同时执行 (1)对以煤、石焦油、渣油、重油等为燃料的锅炉和工业炉窑，加快使用清洁低碳能源以及工厂余热、电力热力等进行替代。(2)到2025年，在用65蒸吨/小时以上的燃煤锅炉(含电力)实现超低排放，钢铁企业基本实现超低排放。</w:t>
                  </w:r>
                </w:p>
              </w:tc>
              <w:tc>
                <w:tcPr>
                  <w:tcW w:w="1638" w:type="pct"/>
                  <w:vAlign w:val="center"/>
                </w:tcPr>
                <w:p w14:paraId="72263660">
                  <w:pPr>
                    <w:keepNext w:val="0"/>
                    <w:keepLines w:val="0"/>
                    <w:pageBreakBefore w:val="0"/>
                    <w:kinsoku/>
                    <w:overflowPunct/>
                    <w:topLinePunct w:val="0"/>
                    <w:bidi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本项目冬季不生产，无需供热</w:t>
                  </w:r>
                  <w:r>
                    <w:rPr>
                      <w:rFonts w:hint="eastAsia" w:cs="Times New Roman"/>
                      <w:color w:val="auto"/>
                      <w:szCs w:val="21"/>
                      <w:lang w:val="en-US" w:eastAsia="zh-CN"/>
                    </w:rPr>
                    <w:t>本项目不使用锅炉；本项目位于</w:t>
                  </w:r>
                  <w:r>
                    <w:rPr>
                      <w:rFonts w:hint="eastAsia" w:ascii="Times New Roman" w:hAnsi="Times New Roman" w:eastAsia="宋体" w:cs="Times New Roman"/>
                      <w:color w:val="auto"/>
                      <w:szCs w:val="21"/>
                      <w:lang w:val="en-US" w:eastAsia="zh-CN"/>
                    </w:rPr>
                    <w:t>黑龙江省鸡西市城子河区南兴委，原三五一厂城砖分厂，不在工业集聚区内</w:t>
                  </w:r>
                  <w:r>
                    <w:rPr>
                      <w:rFonts w:hint="eastAsia" w:cs="Times New Roman"/>
                      <w:color w:val="auto"/>
                      <w:szCs w:val="21"/>
                      <w:lang w:val="en-US" w:eastAsia="zh-CN"/>
                    </w:rPr>
                    <w:t>；本项目生产不用水，</w:t>
                  </w:r>
                  <w:r>
                    <w:rPr>
                      <w:color w:val="auto"/>
                      <w:szCs w:val="21"/>
                    </w:rPr>
                    <w:t>职工生活用水</w:t>
                  </w:r>
                  <w:r>
                    <w:rPr>
                      <w:rFonts w:hint="eastAsia"/>
                      <w:color w:val="auto"/>
                      <w:szCs w:val="21"/>
                      <w:lang w:val="en-US" w:eastAsia="zh-CN"/>
                    </w:rPr>
                    <w:t>购买桶装水使用</w:t>
                  </w:r>
                  <w:r>
                    <w:rPr>
                      <w:rFonts w:hint="eastAsia"/>
                      <w:color w:val="auto"/>
                      <w:szCs w:val="21"/>
                    </w:rPr>
                    <w:t>。</w:t>
                  </w:r>
                  <w:r>
                    <w:rPr>
                      <w:rFonts w:hint="eastAsia"/>
                      <w:color w:val="auto"/>
                      <w:szCs w:val="21"/>
                      <w:lang w:val="en-US" w:eastAsia="zh-CN"/>
                    </w:rPr>
                    <w:t>车辆冲洗用水和降尘用水优先使用收集的初期雨水，初期雨水不足时购买黑龙江龙煤鸡西矿业有限责任公司自来水使用。</w:t>
                  </w:r>
                </w:p>
              </w:tc>
            </w:tr>
            <w:tr w14:paraId="5C0216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45" w:hRule="atLeast"/>
              </w:trPr>
              <w:tc>
                <w:tcPr>
                  <w:tcW w:w="644" w:type="pct"/>
                  <w:vMerge w:val="continue"/>
                  <w:vAlign w:val="center"/>
                </w:tcPr>
                <w:p w14:paraId="39821E5E">
                  <w:pPr>
                    <w:keepNext w:val="0"/>
                    <w:keepLines w:val="0"/>
                    <w:pageBreakBefore w:val="0"/>
                    <w:kinsoku/>
                    <w:overflowPunct/>
                    <w:topLinePunct w:val="0"/>
                    <w:bidi w:val="0"/>
                    <w:jc w:val="center"/>
                    <w:rPr>
                      <w:color w:val="auto"/>
                      <w:szCs w:val="21"/>
                    </w:rPr>
                  </w:pPr>
                </w:p>
              </w:tc>
              <w:tc>
                <w:tcPr>
                  <w:tcW w:w="288" w:type="pct"/>
                  <w:tcBorders>
                    <w:left w:val="single" w:color="auto" w:sz="4" w:space="0"/>
                  </w:tcBorders>
                  <w:vAlign w:val="center"/>
                </w:tcPr>
                <w:p w14:paraId="7CAA024F">
                  <w:pPr>
                    <w:keepNext w:val="0"/>
                    <w:keepLines w:val="0"/>
                    <w:pageBreakBefore w:val="0"/>
                    <w:kinsoku/>
                    <w:overflowPunct/>
                    <w:topLinePunct w:val="0"/>
                    <w:bidi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环境风险防控</w:t>
                  </w:r>
                </w:p>
              </w:tc>
              <w:tc>
                <w:tcPr>
                  <w:tcW w:w="2429" w:type="pct"/>
                  <w:vAlign w:val="center"/>
                </w:tcPr>
                <w:p w14:paraId="0EAC10BB">
                  <w:pPr>
                    <w:keepNext w:val="0"/>
                    <w:keepLines w:val="0"/>
                    <w:pageBreakBefore w:val="0"/>
                    <w:kinsoku/>
                    <w:overflowPunct/>
                    <w:topLinePunct w:val="0"/>
                    <w:bidi w:val="0"/>
                    <w:jc w:val="left"/>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化工园区与城市建成区、人员密集场所、重要设施、敏感目标等应当保持规定的安全距离，相对封闭，不应保留常住居民，非关联企业和产业要逐步搬迁或退出，妥善防范化解“邻避”问题。严禁在松花江干流及一级支流沿岸1公里范围内布局化工园区。2.大气环境布局敏感重点管控区同时执行本清单禁止在居民区、学校、医疗和养老机构等周边新建有色金属冶炼、焦化等行业企业。</w:t>
                  </w:r>
                </w:p>
              </w:tc>
              <w:tc>
                <w:tcPr>
                  <w:tcW w:w="1638" w:type="pct"/>
                  <w:vAlign w:val="center"/>
                </w:tcPr>
                <w:p w14:paraId="05C44992">
                  <w:pPr>
                    <w:keepNext w:val="0"/>
                    <w:keepLines w:val="0"/>
                    <w:pageBreakBefore w:val="0"/>
                    <w:kinsoku/>
                    <w:overflowPunct/>
                    <w:topLinePunct w:val="0"/>
                    <w:bidi w:val="0"/>
                    <w:jc w:val="center"/>
                    <w:rPr>
                      <w:rFonts w:hint="default" w:eastAsia="宋体"/>
                      <w:b/>
                      <w:bCs/>
                      <w:color w:val="auto"/>
                      <w:szCs w:val="21"/>
                      <w:lang w:val="en-US" w:eastAsia="zh-CN"/>
                    </w:rPr>
                  </w:pPr>
                  <w:r>
                    <w:rPr>
                      <w:rFonts w:hint="eastAsia" w:cs="Times New Roman"/>
                      <w:color w:val="auto"/>
                      <w:szCs w:val="21"/>
                      <w:lang w:val="en-US" w:eastAsia="zh-CN"/>
                    </w:rPr>
                    <w:t>本项目位于</w:t>
                  </w:r>
                  <w:r>
                    <w:rPr>
                      <w:rFonts w:hint="eastAsia" w:ascii="Times New Roman" w:hAnsi="Times New Roman" w:eastAsia="宋体" w:cs="Times New Roman"/>
                      <w:color w:val="auto"/>
                      <w:szCs w:val="21"/>
                      <w:lang w:val="en-US" w:eastAsia="zh-CN"/>
                    </w:rPr>
                    <w:t>黑龙江省鸡西市城子河区南兴委，原三五一厂城砖分厂，</w:t>
                  </w:r>
                  <w:r>
                    <w:rPr>
                      <w:rFonts w:hint="eastAsia" w:cs="Times New Roman"/>
                      <w:color w:val="auto"/>
                      <w:szCs w:val="21"/>
                      <w:lang w:val="en-US" w:eastAsia="zh-CN"/>
                    </w:rPr>
                    <w:t>不在化工园区；</w:t>
                  </w:r>
                  <w:r>
                    <w:rPr>
                      <w:rFonts w:hint="default" w:ascii="Times New Roman" w:hAnsi="Times New Roman" w:eastAsia="宋体" w:cs="Times New Roman"/>
                      <w:color w:val="auto"/>
                      <w:szCs w:val="21"/>
                      <w:lang w:val="en-US" w:eastAsia="zh-CN"/>
                    </w:rPr>
                    <w:t>本</w:t>
                  </w:r>
                  <w:r>
                    <w:rPr>
                      <w:rFonts w:hint="eastAsia" w:cs="Times New Roman"/>
                      <w:color w:val="auto"/>
                      <w:szCs w:val="21"/>
                      <w:lang w:val="en-US" w:eastAsia="zh-CN"/>
                    </w:rPr>
                    <w:t>本项目不属于</w:t>
                  </w:r>
                  <w:r>
                    <w:rPr>
                      <w:rFonts w:hint="eastAsia" w:ascii="Times New Roman" w:hAnsi="Times New Roman" w:eastAsia="宋体" w:cs="Times New Roman"/>
                      <w:color w:val="auto"/>
                      <w:szCs w:val="21"/>
                      <w:lang w:val="en-US" w:eastAsia="zh-CN"/>
                    </w:rPr>
                    <w:t>有色金属冶炼、焦化等行业企业。</w:t>
                  </w:r>
                </w:p>
              </w:tc>
            </w:tr>
            <w:tr w14:paraId="61C0FB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45" w:hRule="atLeast"/>
              </w:trPr>
              <w:tc>
                <w:tcPr>
                  <w:tcW w:w="644" w:type="pct"/>
                  <w:vMerge w:val="continue"/>
                  <w:vAlign w:val="center"/>
                </w:tcPr>
                <w:p w14:paraId="14B63431">
                  <w:pPr>
                    <w:keepNext w:val="0"/>
                    <w:keepLines w:val="0"/>
                    <w:pageBreakBefore w:val="0"/>
                    <w:kinsoku/>
                    <w:overflowPunct/>
                    <w:topLinePunct w:val="0"/>
                    <w:bidi w:val="0"/>
                    <w:jc w:val="center"/>
                    <w:rPr>
                      <w:color w:val="auto"/>
                      <w:szCs w:val="21"/>
                    </w:rPr>
                  </w:pPr>
                </w:p>
              </w:tc>
              <w:tc>
                <w:tcPr>
                  <w:tcW w:w="288" w:type="pct"/>
                  <w:tcBorders>
                    <w:left w:val="single" w:color="auto" w:sz="4" w:space="0"/>
                  </w:tcBorders>
                  <w:vAlign w:val="center"/>
                </w:tcPr>
                <w:p w14:paraId="20069F3F">
                  <w:pPr>
                    <w:keepNext w:val="0"/>
                    <w:keepLines w:val="0"/>
                    <w:pageBreakBefore w:val="0"/>
                    <w:kinsoku/>
                    <w:overflowPunct/>
                    <w:topLinePunct w:val="0"/>
                    <w:bidi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资源利用效率要求</w:t>
                  </w:r>
                </w:p>
              </w:tc>
              <w:tc>
                <w:tcPr>
                  <w:tcW w:w="2429" w:type="pct"/>
                  <w:vAlign w:val="center"/>
                </w:tcPr>
                <w:p w14:paraId="5CA68BB6">
                  <w:pPr>
                    <w:keepNext w:val="0"/>
                    <w:keepLines w:val="0"/>
                    <w:pageBreakBefore w:val="0"/>
                    <w:kinsoku/>
                    <w:overflowPunct/>
                    <w:topLinePunct w:val="0"/>
                    <w:bidi w:val="0"/>
                    <w:jc w:val="left"/>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1.同时执行:(1)推进污水再生利用设施建设。(2)公共建筑必须采用节水器具，限期淘汰公共建筑中不符合节水标准的水嘴、便器水箱等生活用水器具。2.高污染燃料禁燃区执行 (1)在禁燃区内，禁止销售、燃用高污染燃料;禁止新建、扩建燃用高污染燃料的设施，已建成的，应当在城市人民政府规定的期限内改用天然气、页岩气、液化石油气、电或者其他清洁能源。(2)城市建设应当统筹规划，在燃煤供热地区，推进热电联产和集中供热。在集中供热管网覆盖地区，禁止新建、扩建分散燃煤供热锅炉;已建成的不能达标排放的燃煤供热锅炉，应当在城市人民政府规定的期限内拆除。</w:t>
                  </w:r>
                </w:p>
              </w:tc>
              <w:tc>
                <w:tcPr>
                  <w:tcW w:w="1638" w:type="pct"/>
                  <w:vAlign w:val="center"/>
                </w:tcPr>
                <w:p w14:paraId="770CB67F">
                  <w:pPr>
                    <w:keepNext w:val="0"/>
                    <w:keepLines w:val="0"/>
                    <w:pageBreakBefore w:val="0"/>
                    <w:kinsoku/>
                    <w:overflowPunct/>
                    <w:topLinePunct w:val="0"/>
                    <w:bidi w:val="0"/>
                    <w:jc w:val="center"/>
                    <w:rPr>
                      <w:rFonts w:hint="default"/>
                      <w:color w:val="auto"/>
                      <w:szCs w:val="21"/>
                      <w:lang w:val="en-US" w:eastAsia="zh-CN"/>
                    </w:rPr>
                  </w:pPr>
                  <w:r>
                    <w:rPr>
                      <w:rFonts w:hint="eastAsia"/>
                      <w:color w:val="auto"/>
                      <w:szCs w:val="21"/>
                      <w:lang w:val="en-US" w:eastAsia="zh-CN"/>
                    </w:rPr>
                    <w:t>本项目不在高污染禁燃区；本项目冬季不生产，无需供热，生产不用锅炉。</w:t>
                  </w:r>
                </w:p>
              </w:tc>
            </w:tr>
            <w:tr w14:paraId="7A2C65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644" w:type="pct"/>
                  <w:vAlign w:val="center"/>
                </w:tcPr>
                <w:p w14:paraId="163E419E">
                  <w:pPr>
                    <w:keepNext w:val="0"/>
                    <w:keepLines w:val="0"/>
                    <w:pageBreakBefore w:val="0"/>
                    <w:kinsoku/>
                    <w:overflowPunct/>
                    <w:topLinePunct w:val="0"/>
                    <w:bidi w:val="0"/>
                    <w:jc w:val="center"/>
                    <w:rPr>
                      <w:color w:val="auto"/>
                      <w:szCs w:val="21"/>
                    </w:rPr>
                  </w:pPr>
                  <w:r>
                    <w:rPr>
                      <w:color w:val="auto"/>
                      <w:szCs w:val="21"/>
                    </w:rPr>
                    <w:t>环境管控单元名称</w:t>
                  </w:r>
                </w:p>
              </w:tc>
              <w:tc>
                <w:tcPr>
                  <w:tcW w:w="2717" w:type="pct"/>
                  <w:gridSpan w:val="2"/>
                  <w:tcBorders>
                    <w:left w:val="single" w:color="auto" w:sz="4" w:space="0"/>
                  </w:tcBorders>
                  <w:vAlign w:val="center"/>
                </w:tcPr>
                <w:p w14:paraId="4821B982">
                  <w:pPr>
                    <w:keepNext w:val="0"/>
                    <w:keepLines w:val="0"/>
                    <w:pageBreakBefore w:val="0"/>
                    <w:kinsoku/>
                    <w:overflowPunct/>
                    <w:topLinePunct w:val="0"/>
                    <w:bidi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城子河区水环境农业污染重点管控区</w:t>
                  </w:r>
                </w:p>
              </w:tc>
              <w:tc>
                <w:tcPr>
                  <w:tcW w:w="1638" w:type="pct"/>
                  <w:vMerge w:val="restart"/>
                  <w:vAlign w:val="center"/>
                </w:tcPr>
                <w:p w14:paraId="4D413AC6">
                  <w:pPr>
                    <w:keepNext w:val="0"/>
                    <w:keepLines w:val="0"/>
                    <w:pageBreakBefore w:val="0"/>
                    <w:kinsoku/>
                    <w:overflowPunct/>
                    <w:topLinePunct w:val="0"/>
                    <w:bidi w:val="0"/>
                    <w:jc w:val="center"/>
                    <w:rPr>
                      <w:rFonts w:hint="default"/>
                      <w:color w:val="auto"/>
                      <w:szCs w:val="21"/>
                      <w:lang w:val="en-US" w:eastAsia="zh-CN"/>
                    </w:rPr>
                  </w:pPr>
                  <w:r>
                    <w:rPr>
                      <w:rFonts w:hint="eastAsia"/>
                      <w:color w:val="auto"/>
                      <w:szCs w:val="21"/>
                      <w:lang w:val="en-US" w:eastAsia="zh-CN"/>
                    </w:rPr>
                    <w:t>本项目</w:t>
                  </w:r>
                </w:p>
              </w:tc>
            </w:tr>
            <w:tr w14:paraId="273A4E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644" w:type="pct"/>
                  <w:vAlign w:val="center"/>
                </w:tcPr>
                <w:p w14:paraId="2F883A4B">
                  <w:pPr>
                    <w:keepNext w:val="0"/>
                    <w:keepLines w:val="0"/>
                    <w:pageBreakBefore w:val="0"/>
                    <w:kinsoku/>
                    <w:overflowPunct/>
                    <w:topLinePunct w:val="0"/>
                    <w:bidi w:val="0"/>
                    <w:jc w:val="center"/>
                    <w:rPr>
                      <w:color w:val="auto"/>
                      <w:szCs w:val="21"/>
                    </w:rPr>
                  </w:pPr>
                  <w:r>
                    <w:rPr>
                      <w:color w:val="auto"/>
                      <w:szCs w:val="21"/>
                    </w:rPr>
                    <w:t>环境管控单元编码</w:t>
                  </w:r>
                </w:p>
              </w:tc>
              <w:tc>
                <w:tcPr>
                  <w:tcW w:w="2717" w:type="pct"/>
                  <w:gridSpan w:val="2"/>
                  <w:tcBorders>
                    <w:left w:val="single" w:color="auto" w:sz="4" w:space="0"/>
                  </w:tcBorders>
                  <w:vAlign w:val="center"/>
                </w:tcPr>
                <w:p w14:paraId="17EADDD7">
                  <w:pPr>
                    <w:keepNext w:val="0"/>
                    <w:keepLines w:val="0"/>
                    <w:pageBreakBefore w:val="0"/>
                    <w:kinsoku/>
                    <w:overflowPunct/>
                    <w:topLinePunct w:val="0"/>
                    <w:bidi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ZH23030620003</w:t>
                  </w:r>
                </w:p>
              </w:tc>
              <w:tc>
                <w:tcPr>
                  <w:tcW w:w="1638" w:type="pct"/>
                  <w:vMerge w:val="continue"/>
                  <w:vAlign w:val="center"/>
                </w:tcPr>
                <w:p w14:paraId="4985DD5C">
                  <w:pPr>
                    <w:keepNext w:val="0"/>
                    <w:keepLines w:val="0"/>
                    <w:pageBreakBefore w:val="0"/>
                    <w:kinsoku/>
                    <w:overflowPunct/>
                    <w:topLinePunct w:val="0"/>
                    <w:bidi w:val="0"/>
                    <w:jc w:val="center"/>
                    <w:rPr>
                      <w:rFonts w:hint="eastAsia"/>
                      <w:color w:val="auto"/>
                      <w:szCs w:val="21"/>
                      <w:lang w:val="en-US" w:eastAsia="zh-CN"/>
                    </w:rPr>
                  </w:pPr>
                </w:p>
              </w:tc>
            </w:tr>
            <w:tr w14:paraId="2A7E28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644" w:type="pct"/>
                  <w:vAlign w:val="center"/>
                </w:tcPr>
                <w:p w14:paraId="7BDBFB17">
                  <w:pPr>
                    <w:keepNext w:val="0"/>
                    <w:keepLines w:val="0"/>
                    <w:pageBreakBefore w:val="0"/>
                    <w:kinsoku/>
                    <w:overflowPunct/>
                    <w:topLinePunct w:val="0"/>
                    <w:bidi w:val="0"/>
                    <w:jc w:val="center"/>
                    <w:rPr>
                      <w:color w:val="auto"/>
                      <w:szCs w:val="21"/>
                    </w:rPr>
                  </w:pPr>
                  <w:r>
                    <w:rPr>
                      <w:color w:val="auto"/>
                      <w:szCs w:val="21"/>
                    </w:rPr>
                    <w:t>管控单元类别</w:t>
                  </w:r>
                </w:p>
              </w:tc>
              <w:tc>
                <w:tcPr>
                  <w:tcW w:w="2717" w:type="pct"/>
                  <w:gridSpan w:val="2"/>
                  <w:tcBorders>
                    <w:left w:val="single" w:color="auto" w:sz="4" w:space="0"/>
                  </w:tcBorders>
                  <w:vAlign w:val="center"/>
                </w:tcPr>
                <w:p w14:paraId="0D192C74">
                  <w:pPr>
                    <w:keepNext w:val="0"/>
                    <w:keepLines w:val="0"/>
                    <w:pageBreakBefore w:val="0"/>
                    <w:kinsoku/>
                    <w:overflowPunct/>
                    <w:topLinePunct w:val="0"/>
                    <w:bidi w:val="0"/>
                    <w:jc w:val="center"/>
                    <w:rPr>
                      <w:rFonts w:hint="eastAsia" w:ascii="Times New Roman" w:hAnsi="Times New Roman" w:eastAsia="宋体" w:cs="Times New Roman"/>
                      <w:color w:val="auto"/>
                      <w:szCs w:val="21"/>
                      <w:lang w:val="en-US" w:eastAsia="zh-CN"/>
                    </w:rPr>
                  </w:pPr>
                  <w:r>
                    <w:rPr>
                      <w:color w:val="auto"/>
                      <w:szCs w:val="21"/>
                    </w:rPr>
                    <w:t>重点管控单元</w:t>
                  </w:r>
                </w:p>
              </w:tc>
              <w:tc>
                <w:tcPr>
                  <w:tcW w:w="1638" w:type="pct"/>
                  <w:vMerge w:val="continue"/>
                  <w:vAlign w:val="center"/>
                </w:tcPr>
                <w:p w14:paraId="151F8E4A">
                  <w:pPr>
                    <w:keepNext w:val="0"/>
                    <w:keepLines w:val="0"/>
                    <w:pageBreakBefore w:val="0"/>
                    <w:kinsoku/>
                    <w:overflowPunct/>
                    <w:topLinePunct w:val="0"/>
                    <w:bidi w:val="0"/>
                    <w:jc w:val="center"/>
                    <w:rPr>
                      <w:rFonts w:hint="eastAsia"/>
                      <w:color w:val="auto"/>
                      <w:szCs w:val="21"/>
                      <w:lang w:val="en-US" w:eastAsia="zh-CN"/>
                    </w:rPr>
                  </w:pPr>
                </w:p>
              </w:tc>
            </w:tr>
            <w:tr w14:paraId="5F89D5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45" w:hRule="atLeast"/>
              </w:trPr>
              <w:tc>
                <w:tcPr>
                  <w:tcW w:w="644" w:type="pct"/>
                  <w:vMerge w:val="restart"/>
                  <w:vAlign w:val="center"/>
                </w:tcPr>
                <w:p w14:paraId="521D31A9">
                  <w:pPr>
                    <w:keepNext w:val="0"/>
                    <w:keepLines w:val="0"/>
                    <w:pageBreakBefore w:val="0"/>
                    <w:kinsoku/>
                    <w:overflowPunct/>
                    <w:topLinePunct w:val="0"/>
                    <w:bidi w:val="0"/>
                    <w:jc w:val="center"/>
                    <w:rPr>
                      <w:rFonts w:hint="default" w:eastAsia="宋体"/>
                      <w:color w:val="auto"/>
                      <w:szCs w:val="21"/>
                      <w:lang w:val="en-US" w:eastAsia="zh-CN"/>
                    </w:rPr>
                  </w:pPr>
                  <w:r>
                    <w:rPr>
                      <w:rFonts w:hint="eastAsia"/>
                      <w:color w:val="auto"/>
                      <w:szCs w:val="21"/>
                      <w:lang w:val="en-US" w:eastAsia="zh-CN"/>
                    </w:rPr>
                    <w:t>管控要求</w:t>
                  </w:r>
                </w:p>
              </w:tc>
              <w:tc>
                <w:tcPr>
                  <w:tcW w:w="288" w:type="pct"/>
                  <w:tcBorders>
                    <w:left w:val="single" w:color="auto" w:sz="4" w:space="0"/>
                  </w:tcBorders>
                  <w:vAlign w:val="center"/>
                </w:tcPr>
                <w:p w14:paraId="464D1148">
                  <w:pPr>
                    <w:keepNext w:val="0"/>
                    <w:keepLines w:val="0"/>
                    <w:pageBreakBefore w:val="0"/>
                    <w:kinsoku/>
                    <w:overflowPunct/>
                    <w:topLinePunct w:val="0"/>
                    <w:bidi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空间布局约束</w:t>
                  </w:r>
                </w:p>
              </w:tc>
              <w:tc>
                <w:tcPr>
                  <w:tcW w:w="2429" w:type="pct"/>
                  <w:vAlign w:val="center"/>
                </w:tcPr>
                <w:p w14:paraId="410E96F1">
                  <w:pPr>
                    <w:keepNext w:val="0"/>
                    <w:keepLines w:val="0"/>
                    <w:pageBreakBefore w:val="0"/>
                    <w:kinsoku/>
                    <w:overflowPunct/>
                    <w:topLinePunct w:val="0"/>
                    <w:bidi w:val="0"/>
                    <w:jc w:val="left"/>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同时执行:(1)科学划定畜禽养殖禁养区。(2)加快农业结构调整。松嫩平原和三江平原等地下水易受污染地区优先种植需肥需药量低、环境效益突出的农作物;在西部干旱区发展谷子、高粱等耐旱杂粮种植;在北部四、五积温区开展米豆麦轮作，促进化肥需求低的农作物面积恢复性增长。2.大气环境布局敏感重点管控区同时执行 (1)严控“两高”行业产能。严格执行钢铁、水泥、平板玻璃等行业产能置换实施办法。(2)利用水泥窑协同处置城市生活垃圾、危险废弃物、电石渣等固废伴生水泥项目，必须依托现有新型干法水泥熟料生产线进行不扩产能改造。</w:t>
                  </w:r>
                </w:p>
              </w:tc>
              <w:tc>
                <w:tcPr>
                  <w:tcW w:w="1638" w:type="pct"/>
                  <w:vAlign w:val="center"/>
                </w:tcPr>
                <w:p w14:paraId="36E11C33">
                  <w:pPr>
                    <w:keepNext w:val="0"/>
                    <w:keepLines w:val="0"/>
                    <w:pageBreakBefore w:val="0"/>
                    <w:kinsoku/>
                    <w:overflowPunct/>
                    <w:topLinePunct w:val="0"/>
                    <w:bidi w:val="0"/>
                    <w:jc w:val="center"/>
                    <w:rPr>
                      <w:rFonts w:hint="eastAsia"/>
                      <w:color w:val="auto"/>
                      <w:szCs w:val="21"/>
                      <w:lang w:val="en-US" w:eastAsia="zh-CN"/>
                    </w:rPr>
                  </w:pPr>
                  <w:r>
                    <w:rPr>
                      <w:rFonts w:hint="eastAsia" w:cs="Times New Roman"/>
                      <w:color w:val="auto"/>
                      <w:szCs w:val="21"/>
                      <w:lang w:val="en-US" w:eastAsia="zh-CN"/>
                    </w:rPr>
                    <w:t>本项目为煤炭集运项目不属于“两高”行业，不属于</w:t>
                  </w:r>
                  <w:r>
                    <w:rPr>
                      <w:rFonts w:hint="eastAsia" w:ascii="Times New Roman" w:hAnsi="Times New Roman" w:eastAsia="宋体" w:cs="Times New Roman"/>
                      <w:color w:val="auto"/>
                      <w:szCs w:val="21"/>
                      <w:lang w:val="en-US" w:eastAsia="zh-CN"/>
                    </w:rPr>
                    <w:t>钢铁、水泥、平板玻璃等行业</w:t>
                  </w:r>
                  <w:r>
                    <w:rPr>
                      <w:rFonts w:hint="eastAsia" w:cs="Times New Roman"/>
                      <w:color w:val="auto"/>
                      <w:szCs w:val="21"/>
                      <w:lang w:val="zh-CN" w:eastAsia="zh-CN"/>
                    </w:rPr>
                    <w:t>，</w:t>
                  </w:r>
                  <w:r>
                    <w:rPr>
                      <w:rFonts w:hint="eastAsia" w:cs="Times New Roman"/>
                      <w:color w:val="auto"/>
                      <w:szCs w:val="21"/>
                      <w:lang w:val="en-US" w:eastAsia="zh-CN"/>
                    </w:rPr>
                    <w:t>不属于</w:t>
                  </w:r>
                  <w:r>
                    <w:rPr>
                      <w:rFonts w:hint="eastAsia" w:ascii="Times New Roman" w:hAnsi="Times New Roman" w:eastAsia="宋体" w:cs="Times New Roman"/>
                      <w:color w:val="auto"/>
                      <w:szCs w:val="21"/>
                      <w:lang w:val="en-US" w:eastAsia="zh-CN"/>
                    </w:rPr>
                    <w:t>利用水泥窑协同处置城市生活垃圾、危险废弃物、电石渣等固废伴生水泥项目</w:t>
                  </w:r>
                  <w:r>
                    <w:rPr>
                      <w:rFonts w:hint="eastAsia" w:cs="Times New Roman"/>
                      <w:color w:val="auto"/>
                      <w:szCs w:val="21"/>
                      <w:lang w:val="en-US" w:eastAsia="zh-CN"/>
                    </w:rPr>
                    <w:t>，不属于养殖行业；本项目生产不用水，</w:t>
                  </w:r>
                  <w:r>
                    <w:rPr>
                      <w:color w:val="auto"/>
                      <w:szCs w:val="21"/>
                    </w:rPr>
                    <w:t>职工生活用水</w:t>
                  </w:r>
                  <w:r>
                    <w:rPr>
                      <w:rFonts w:hint="eastAsia"/>
                      <w:color w:val="auto"/>
                      <w:szCs w:val="21"/>
                      <w:lang w:val="en-US" w:eastAsia="zh-CN"/>
                    </w:rPr>
                    <w:t>购买桶装水使用</w:t>
                  </w:r>
                  <w:r>
                    <w:rPr>
                      <w:rFonts w:hint="eastAsia"/>
                      <w:color w:val="auto"/>
                      <w:szCs w:val="21"/>
                    </w:rPr>
                    <w:t>。</w:t>
                  </w:r>
                  <w:r>
                    <w:rPr>
                      <w:rFonts w:hint="eastAsia"/>
                      <w:color w:val="auto"/>
                      <w:szCs w:val="21"/>
                      <w:lang w:val="en-US" w:eastAsia="zh-CN"/>
                    </w:rPr>
                    <w:t>车辆冲洗用水和降尘用水优先使用收集的初期雨水，初期雨水不足时购买黑龙江龙煤鸡西矿业有限责任公司自来水使用</w:t>
                  </w:r>
                  <w:r>
                    <w:rPr>
                      <w:rFonts w:hint="eastAsia" w:cs="Times New Roman"/>
                      <w:color w:val="auto"/>
                      <w:szCs w:val="21"/>
                      <w:lang w:val="en-US" w:eastAsia="zh-CN"/>
                    </w:rPr>
                    <w:t>，废气为无组织颗粒物，不属于高耗水、高污染行业；项目所用设备及产品无</w:t>
                  </w:r>
                  <w:r>
                    <w:rPr>
                      <w:rFonts w:hint="default" w:cs="Times New Roman"/>
                      <w:color w:val="auto"/>
                      <w:szCs w:val="21"/>
                      <w:lang w:val="en-US" w:eastAsia="zh-CN"/>
                    </w:rPr>
                    <w:t>《</w:t>
                  </w:r>
                  <w:r>
                    <w:rPr>
                      <w:rFonts w:hint="eastAsia" w:cs="Times New Roman"/>
                      <w:color w:val="auto"/>
                      <w:szCs w:val="21"/>
                      <w:lang w:val="en-US" w:eastAsia="zh-CN"/>
                    </w:rPr>
                    <w:t>产业结构调整指导目录</w:t>
                  </w:r>
                  <w:r>
                    <w:rPr>
                      <w:rFonts w:hint="default" w:cs="Times New Roman"/>
                      <w:color w:val="auto"/>
                      <w:szCs w:val="21"/>
                      <w:lang w:val="en-US" w:eastAsia="zh-CN"/>
                    </w:rPr>
                    <w:t>》</w:t>
                  </w:r>
                  <w:r>
                    <w:rPr>
                      <w:rFonts w:hint="eastAsia" w:cs="Times New Roman"/>
                      <w:color w:val="auto"/>
                      <w:szCs w:val="21"/>
                      <w:lang w:val="en-US" w:eastAsia="zh-CN"/>
                    </w:rPr>
                    <w:t>（2024年本）中限制类中生产装置设备、淘汰类中产业结构调整落后生产工艺装备、落后产品。</w:t>
                  </w:r>
                </w:p>
              </w:tc>
            </w:tr>
            <w:tr w14:paraId="61E7BE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44" w:type="pct"/>
                  <w:vMerge w:val="continue"/>
                  <w:vAlign w:val="center"/>
                </w:tcPr>
                <w:p w14:paraId="1BCFA5CB">
                  <w:pPr>
                    <w:keepNext w:val="0"/>
                    <w:keepLines w:val="0"/>
                    <w:pageBreakBefore w:val="0"/>
                    <w:kinsoku/>
                    <w:overflowPunct/>
                    <w:topLinePunct w:val="0"/>
                    <w:bidi w:val="0"/>
                    <w:jc w:val="center"/>
                    <w:rPr>
                      <w:color w:val="auto"/>
                      <w:szCs w:val="21"/>
                    </w:rPr>
                  </w:pPr>
                </w:p>
              </w:tc>
              <w:tc>
                <w:tcPr>
                  <w:tcW w:w="288" w:type="pct"/>
                  <w:tcBorders>
                    <w:left w:val="single" w:color="auto" w:sz="4" w:space="0"/>
                  </w:tcBorders>
                  <w:vAlign w:val="center"/>
                </w:tcPr>
                <w:p w14:paraId="115D0E3D">
                  <w:pPr>
                    <w:keepNext w:val="0"/>
                    <w:keepLines w:val="0"/>
                    <w:pageBreakBefore w:val="0"/>
                    <w:kinsoku/>
                    <w:overflowPunct/>
                    <w:topLinePunct w:val="0"/>
                    <w:bidi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污染物排放管控</w:t>
                  </w:r>
                </w:p>
              </w:tc>
              <w:tc>
                <w:tcPr>
                  <w:tcW w:w="2429" w:type="pct"/>
                  <w:vAlign w:val="center"/>
                </w:tcPr>
                <w:p w14:paraId="75AB1DD4">
                  <w:pPr>
                    <w:keepNext w:val="0"/>
                    <w:keepLines w:val="0"/>
                    <w:pageBreakBefore w:val="0"/>
                    <w:kinsoku/>
                    <w:overflowPunct/>
                    <w:topLinePunct w:val="0"/>
                    <w:bidi w:val="0"/>
                    <w:jc w:val="left"/>
                    <w:rPr>
                      <w:rFonts w:hint="eastAsia" w:ascii="Times New Roman" w:hAnsi="Times New Roman" w:eastAsia="宋体" w:cs="Times New Roman"/>
                      <w:color w:val="auto"/>
                      <w:szCs w:val="21"/>
                      <w:lang w:val="en-US" w:eastAsia="zh-CN"/>
                    </w:rPr>
                  </w:pPr>
                  <w:r>
                    <w:rPr>
                      <w:rFonts w:hint="eastAsia" w:cs="Times New Roman"/>
                      <w:color w:val="auto"/>
                      <w:szCs w:val="21"/>
                      <w:lang w:val="en-US" w:eastAsia="zh-CN"/>
                    </w:rPr>
                    <w:t>1.执行本清单 (1)支持规模化畜禽养殖场(小区)开展标准化改造和建设，提高畜禽粪污收集和处理机械化水平，实施雨污分流、粪污资源化利用，控制畜禽养殖污染排放。(2)畜禽养殖户应当及时对畜禽粪便、污水进行收集、贮存、清运，或者进行无害化处理。县级人民政府应当组织对本行政区域的畜禽散养密集区畜禽粪便、污水进行集中处理利用，督促乡镇人民政府建设或者配备污染防治配套设施。(3)全面加强农业面源污染防控，科学合理使用农业投入品，提高使用效率，减少农业内源性污染。2.大气环境布局敏感重点管控区同时执行(1)对以煤、石焦油、渣油、重油等为燃料的锅炉和工业炉窑，加快使用清洁低碳能源以及工厂余热、电力热力等进行替代。 (2)到2025年，在用65蒸吨/小时以上的燃煤锅炉(含电力)实现超低排放，钢铁企业基本实现超低排放。</w:t>
                  </w:r>
                </w:p>
              </w:tc>
              <w:tc>
                <w:tcPr>
                  <w:tcW w:w="1638" w:type="pct"/>
                  <w:vAlign w:val="center"/>
                </w:tcPr>
                <w:p w14:paraId="7937468A">
                  <w:pPr>
                    <w:keepNext w:val="0"/>
                    <w:keepLines w:val="0"/>
                    <w:pageBreakBefore w:val="0"/>
                    <w:kinsoku/>
                    <w:overflowPunct/>
                    <w:topLinePunct w:val="0"/>
                    <w:bidi w:val="0"/>
                    <w:jc w:val="center"/>
                    <w:rPr>
                      <w:rFonts w:hint="default"/>
                      <w:color w:val="auto"/>
                      <w:szCs w:val="21"/>
                      <w:lang w:val="en-US" w:eastAsia="zh-CN"/>
                    </w:rPr>
                  </w:pPr>
                  <w:r>
                    <w:rPr>
                      <w:rFonts w:hint="eastAsia"/>
                      <w:color w:val="auto"/>
                      <w:szCs w:val="21"/>
                      <w:lang w:val="en-US" w:eastAsia="zh-CN"/>
                    </w:rPr>
                    <w:t>本项目不属于畜禽养殖行业，不属于农业；</w:t>
                  </w:r>
                  <w:r>
                    <w:rPr>
                      <w:rFonts w:hint="eastAsia" w:cs="Times New Roman"/>
                      <w:color w:val="auto"/>
                      <w:szCs w:val="21"/>
                      <w:lang w:val="en-US" w:eastAsia="zh-CN"/>
                    </w:rPr>
                    <w:t>本项目冬季不生产，无需供暖，生产不使用锅炉。</w:t>
                  </w:r>
                </w:p>
              </w:tc>
            </w:tr>
            <w:tr w14:paraId="30D24E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45" w:hRule="atLeast"/>
              </w:trPr>
              <w:tc>
                <w:tcPr>
                  <w:tcW w:w="644" w:type="pct"/>
                  <w:vMerge w:val="continue"/>
                  <w:vAlign w:val="center"/>
                </w:tcPr>
                <w:p w14:paraId="5C193177">
                  <w:pPr>
                    <w:keepNext w:val="0"/>
                    <w:keepLines w:val="0"/>
                    <w:pageBreakBefore w:val="0"/>
                    <w:kinsoku/>
                    <w:overflowPunct/>
                    <w:topLinePunct w:val="0"/>
                    <w:bidi w:val="0"/>
                    <w:jc w:val="center"/>
                    <w:rPr>
                      <w:color w:val="auto"/>
                      <w:szCs w:val="21"/>
                    </w:rPr>
                  </w:pPr>
                </w:p>
              </w:tc>
              <w:tc>
                <w:tcPr>
                  <w:tcW w:w="288" w:type="pct"/>
                  <w:tcBorders>
                    <w:left w:val="single" w:color="auto" w:sz="4" w:space="0"/>
                  </w:tcBorders>
                  <w:vAlign w:val="center"/>
                </w:tcPr>
                <w:p w14:paraId="22CA32C8">
                  <w:pPr>
                    <w:keepNext w:val="0"/>
                    <w:keepLines w:val="0"/>
                    <w:pageBreakBefore w:val="0"/>
                    <w:kinsoku/>
                    <w:overflowPunct/>
                    <w:topLinePunct w:val="0"/>
                    <w:bidi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环境风险防控</w:t>
                  </w:r>
                </w:p>
              </w:tc>
              <w:tc>
                <w:tcPr>
                  <w:tcW w:w="2429" w:type="pct"/>
                  <w:vAlign w:val="center"/>
                </w:tcPr>
                <w:p w14:paraId="0AC253F1">
                  <w:pPr>
                    <w:keepNext w:val="0"/>
                    <w:keepLines w:val="0"/>
                    <w:pageBreakBefore w:val="0"/>
                    <w:kinsoku/>
                    <w:overflowPunct/>
                    <w:topLinePunct w:val="0"/>
                    <w:bidi w:val="0"/>
                    <w:jc w:val="left"/>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大气环境布局敏感重点管控区同时执行本清单禁止在居民区、学校、医疗和养老机构等周边新建有色金属冶炼、焦化等行业企业。</w:t>
                  </w:r>
                </w:p>
              </w:tc>
              <w:tc>
                <w:tcPr>
                  <w:tcW w:w="1638" w:type="pct"/>
                  <w:vAlign w:val="center"/>
                </w:tcPr>
                <w:p w14:paraId="6E8B910A">
                  <w:pPr>
                    <w:keepNext w:val="0"/>
                    <w:keepLines w:val="0"/>
                    <w:pageBreakBefore w:val="0"/>
                    <w:kinsoku/>
                    <w:overflowPunct/>
                    <w:topLinePunct w:val="0"/>
                    <w:bidi w:val="0"/>
                    <w:jc w:val="center"/>
                    <w:rPr>
                      <w:rFonts w:hint="default"/>
                      <w:color w:val="auto"/>
                      <w:szCs w:val="21"/>
                      <w:lang w:val="en-US" w:eastAsia="zh-CN"/>
                    </w:rPr>
                  </w:pPr>
                  <w:r>
                    <w:rPr>
                      <w:rFonts w:hint="eastAsia" w:cs="Times New Roman"/>
                      <w:color w:val="auto"/>
                      <w:szCs w:val="21"/>
                      <w:lang w:val="en-US" w:eastAsia="zh-CN"/>
                    </w:rPr>
                    <w:t>本项目为煤炭储运项目，不属于</w:t>
                  </w:r>
                  <w:r>
                    <w:rPr>
                      <w:rFonts w:hint="eastAsia" w:ascii="Times New Roman" w:hAnsi="Times New Roman" w:eastAsia="宋体" w:cs="Times New Roman"/>
                      <w:color w:val="auto"/>
                      <w:szCs w:val="21"/>
                      <w:lang w:val="en-US" w:eastAsia="zh-CN"/>
                    </w:rPr>
                    <w:t>有色金属冶炼、焦化等行业</w:t>
                  </w:r>
                  <w:r>
                    <w:rPr>
                      <w:rFonts w:hint="eastAsia" w:cs="Times New Roman"/>
                      <w:color w:val="auto"/>
                      <w:szCs w:val="21"/>
                      <w:lang w:val="en-US" w:eastAsia="zh-CN"/>
                    </w:rPr>
                    <w:t>。</w:t>
                  </w:r>
                </w:p>
              </w:tc>
            </w:tr>
            <w:tr w14:paraId="477842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941" w:type="dxa"/>
                  <w:vAlign w:val="center"/>
                </w:tcPr>
                <w:p w14:paraId="5CD6D7F4">
                  <w:pPr>
                    <w:keepNext w:val="0"/>
                    <w:keepLines w:val="0"/>
                    <w:pageBreakBefore w:val="0"/>
                    <w:kinsoku/>
                    <w:overflowPunct/>
                    <w:topLinePunct w:val="0"/>
                    <w:bidi w:val="0"/>
                    <w:jc w:val="center"/>
                    <w:rPr>
                      <w:color w:val="auto"/>
                      <w:szCs w:val="21"/>
                    </w:rPr>
                  </w:pPr>
                  <w:r>
                    <w:rPr>
                      <w:color w:val="auto"/>
                      <w:szCs w:val="21"/>
                    </w:rPr>
                    <w:t>环境管控</w:t>
                  </w:r>
                  <w:r>
                    <w:rPr>
                      <w:rFonts w:hint="eastAsia"/>
                      <w:color w:val="auto"/>
                      <w:szCs w:val="21"/>
                      <w:lang w:val="en-US" w:eastAsia="zh-CN"/>
                    </w:rPr>
                    <w:t>区</w:t>
                  </w:r>
                  <w:r>
                    <w:rPr>
                      <w:color w:val="auto"/>
                      <w:szCs w:val="21"/>
                    </w:rPr>
                    <w:t>名称</w:t>
                  </w:r>
                </w:p>
              </w:tc>
              <w:tc>
                <w:tcPr>
                  <w:tcW w:w="3970" w:type="dxa"/>
                  <w:gridSpan w:val="2"/>
                  <w:tcBorders>
                    <w:left w:val="single" w:color="auto" w:sz="4" w:space="0"/>
                  </w:tcBorders>
                  <w:vAlign w:val="center"/>
                </w:tcPr>
                <w:p w14:paraId="7E62527F">
                  <w:pPr>
                    <w:keepNext w:val="0"/>
                    <w:keepLines w:val="0"/>
                    <w:pageBreakBefore w:val="0"/>
                    <w:kinsoku/>
                    <w:overflowPunct/>
                    <w:topLinePunct w:val="0"/>
                    <w:bidi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城子河区地下水环境一般管控区</w:t>
                  </w:r>
                </w:p>
              </w:tc>
              <w:tc>
                <w:tcPr>
                  <w:tcW w:w="1638" w:type="pct"/>
                  <w:vMerge w:val="restart"/>
                  <w:vAlign w:val="center"/>
                </w:tcPr>
                <w:p w14:paraId="0DEABB39">
                  <w:pPr>
                    <w:keepNext w:val="0"/>
                    <w:keepLines w:val="0"/>
                    <w:pageBreakBefore w:val="0"/>
                    <w:kinsoku/>
                    <w:overflowPunct/>
                    <w:topLinePunct w:val="0"/>
                    <w:bidi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本项目</w:t>
                  </w:r>
                </w:p>
              </w:tc>
            </w:tr>
            <w:tr w14:paraId="52C2B0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941" w:type="dxa"/>
                  <w:vAlign w:val="center"/>
                </w:tcPr>
                <w:p w14:paraId="5B6195B0">
                  <w:pPr>
                    <w:keepNext w:val="0"/>
                    <w:keepLines w:val="0"/>
                    <w:pageBreakBefore w:val="0"/>
                    <w:kinsoku/>
                    <w:overflowPunct/>
                    <w:topLinePunct w:val="0"/>
                    <w:bidi w:val="0"/>
                    <w:jc w:val="center"/>
                    <w:rPr>
                      <w:color w:val="auto"/>
                      <w:szCs w:val="21"/>
                    </w:rPr>
                  </w:pPr>
                  <w:r>
                    <w:rPr>
                      <w:color w:val="auto"/>
                      <w:szCs w:val="21"/>
                    </w:rPr>
                    <w:t>环境管控</w:t>
                  </w:r>
                  <w:r>
                    <w:rPr>
                      <w:rFonts w:hint="eastAsia"/>
                      <w:color w:val="auto"/>
                      <w:szCs w:val="21"/>
                      <w:lang w:val="en-US" w:eastAsia="zh-CN"/>
                    </w:rPr>
                    <w:t>区</w:t>
                  </w:r>
                  <w:r>
                    <w:rPr>
                      <w:color w:val="auto"/>
                      <w:szCs w:val="21"/>
                    </w:rPr>
                    <w:t>编码</w:t>
                  </w:r>
                </w:p>
              </w:tc>
              <w:tc>
                <w:tcPr>
                  <w:tcW w:w="3970" w:type="dxa"/>
                  <w:gridSpan w:val="2"/>
                  <w:tcBorders>
                    <w:left w:val="single" w:color="auto" w:sz="4" w:space="0"/>
                  </w:tcBorders>
                  <w:vAlign w:val="center"/>
                </w:tcPr>
                <w:p w14:paraId="464FD8FA">
                  <w:pPr>
                    <w:keepNext w:val="0"/>
                    <w:keepLines w:val="0"/>
                    <w:pageBreakBefore w:val="0"/>
                    <w:kinsoku/>
                    <w:overflowPunct/>
                    <w:topLinePunct w:val="0"/>
                    <w:bidi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YS2303066310001</w:t>
                  </w:r>
                </w:p>
              </w:tc>
              <w:tc>
                <w:tcPr>
                  <w:tcW w:w="1638" w:type="pct"/>
                  <w:vMerge w:val="continue"/>
                  <w:vAlign w:val="center"/>
                </w:tcPr>
                <w:p w14:paraId="0B358C0A">
                  <w:pPr>
                    <w:keepNext w:val="0"/>
                    <w:keepLines w:val="0"/>
                    <w:pageBreakBefore w:val="0"/>
                    <w:kinsoku/>
                    <w:overflowPunct/>
                    <w:topLinePunct w:val="0"/>
                    <w:bidi w:val="0"/>
                    <w:jc w:val="center"/>
                    <w:rPr>
                      <w:rFonts w:hint="default" w:ascii="Times New Roman" w:hAnsi="Times New Roman" w:eastAsia="宋体" w:cs="Times New Roman"/>
                      <w:color w:val="auto"/>
                      <w:szCs w:val="21"/>
                      <w:lang w:val="en-US" w:eastAsia="zh-CN"/>
                    </w:rPr>
                  </w:pPr>
                </w:p>
              </w:tc>
            </w:tr>
            <w:tr w14:paraId="60C0D2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941" w:type="dxa"/>
                  <w:vAlign w:val="center"/>
                </w:tcPr>
                <w:p w14:paraId="1784411B">
                  <w:pPr>
                    <w:keepNext w:val="0"/>
                    <w:keepLines w:val="0"/>
                    <w:pageBreakBefore w:val="0"/>
                    <w:kinsoku/>
                    <w:overflowPunct/>
                    <w:topLinePunct w:val="0"/>
                    <w:bidi w:val="0"/>
                    <w:jc w:val="center"/>
                    <w:rPr>
                      <w:rFonts w:hint="eastAsia" w:eastAsia="宋体"/>
                      <w:color w:val="auto"/>
                      <w:szCs w:val="21"/>
                      <w:lang w:eastAsia="zh-CN"/>
                    </w:rPr>
                  </w:pPr>
                  <w:r>
                    <w:rPr>
                      <w:color w:val="auto"/>
                      <w:szCs w:val="21"/>
                    </w:rPr>
                    <w:t>管控</w:t>
                  </w:r>
                  <w:r>
                    <w:rPr>
                      <w:rFonts w:hint="eastAsia"/>
                      <w:color w:val="auto"/>
                      <w:szCs w:val="21"/>
                      <w:lang w:val="en-US" w:eastAsia="zh-CN"/>
                    </w:rPr>
                    <w:t>区</w:t>
                  </w:r>
                  <w:r>
                    <w:rPr>
                      <w:color w:val="auto"/>
                      <w:szCs w:val="21"/>
                    </w:rPr>
                    <w:t>类</w:t>
                  </w:r>
                  <w:r>
                    <w:rPr>
                      <w:rFonts w:hint="eastAsia"/>
                      <w:color w:val="auto"/>
                      <w:szCs w:val="21"/>
                      <w:lang w:val="en-US" w:eastAsia="zh-CN"/>
                    </w:rPr>
                    <w:t>型</w:t>
                  </w:r>
                </w:p>
              </w:tc>
              <w:tc>
                <w:tcPr>
                  <w:tcW w:w="3970" w:type="dxa"/>
                  <w:gridSpan w:val="2"/>
                  <w:tcBorders>
                    <w:left w:val="single" w:color="auto" w:sz="4" w:space="0"/>
                  </w:tcBorders>
                  <w:vAlign w:val="center"/>
                </w:tcPr>
                <w:p w14:paraId="5397D062">
                  <w:pPr>
                    <w:keepNext w:val="0"/>
                    <w:keepLines w:val="0"/>
                    <w:pageBreakBefore w:val="0"/>
                    <w:kinsoku/>
                    <w:overflowPunct/>
                    <w:topLinePunct w:val="0"/>
                    <w:bidi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一般管控区</w:t>
                  </w:r>
                </w:p>
              </w:tc>
              <w:tc>
                <w:tcPr>
                  <w:tcW w:w="1638" w:type="pct"/>
                  <w:vMerge w:val="continue"/>
                  <w:vAlign w:val="center"/>
                </w:tcPr>
                <w:p w14:paraId="10D91EA4">
                  <w:pPr>
                    <w:keepNext w:val="0"/>
                    <w:keepLines w:val="0"/>
                    <w:pageBreakBefore w:val="0"/>
                    <w:kinsoku/>
                    <w:overflowPunct/>
                    <w:topLinePunct w:val="0"/>
                    <w:bidi w:val="0"/>
                    <w:jc w:val="center"/>
                    <w:rPr>
                      <w:rFonts w:hint="default" w:ascii="Times New Roman" w:hAnsi="Times New Roman" w:eastAsia="宋体" w:cs="Times New Roman"/>
                      <w:color w:val="auto"/>
                      <w:szCs w:val="21"/>
                      <w:lang w:val="en-US" w:eastAsia="zh-CN"/>
                    </w:rPr>
                  </w:pPr>
                </w:p>
              </w:tc>
            </w:tr>
            <w:tr w14:paraId="3887D6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45" w:hRule="atLeast"/>
              </w:trPr>
              <w:tc>
                <w:tcPr>
                  <w:tcW w:w="644" w:type="pct"/>
                  <w:vAlign w:val="center"/>
                </w:tcPr>
                <w:p w14:paraId="5C5C1F12">
                  <w:pPr>
                    <w:keepNext w:val="0"/>
                    <w:keepLines w:val="0"/>
                    <w:pageBreakBefore w:val="0"/>
                    <w:kinsoku/>
                    <w:overflowPunct/>
                    <w:topLinePunct w:val="0"/>
                    <w:bidi w:val="0"/>
                    <w:jc w:val="center"/>
                    <w:rPr>
                      <w:rFonts w:hint="default" w:eastAsia="宋体"/>
                      <w:color w:val="auto"/>
                      <w:szCs w:val="21"/>
                      <w:lang w:val="en-US" w:eastAsia="zh-CN"/>
                    </w:rPr>
                  </w:pPr>
                  <w:r>
                    <w:rPr>
                      <w:rFonts w:hint="eastAsia"/>
                      <w:color w:val="auto"/>
                      <w:szCs w:val="21"/>
                      <w:lang w:val="en-US" w:eastAsia="zh-CN"/>
                    </w:rPr>
                    <w:t>管控要求</w:t>
                  </w:r>
                </w:p>
              </w:tc>
              <w:tc>
                <w:tcPr>
                  <w:tcW w:w="288" w:type="pct"/>
                  <w:tcBorders>
                    <w:left w:val="single" w:color="auto" w:sz="4" w:space="0"/>
                  </w:tcBorders>
                  <w:vAlign w:val="center"/>
                </w:tcPr>
                <w:p w14:paraId="4C38C10E">
                  <w:pPr>
                    <w:keepNext w:val="0"/>
                    <w:keepLines w:val="0"/>
                    <w:pageBreakBefore w:val="0"/>
                    <w:kinsoku/>
                    <w:overflowPunct/>
                    <w:topLinePunct w:val="0"/>
                    <w:bidi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环境风险管控</w:t>
                  </w:r>
                </w:p>
              </w:tc>
              <w:tc>
                <w:tcPr>
                  <w:tcW w:w="2429" w:type="pct"/>
                  <w:vAlign w:val="center"/>
                </w:tcPr>
                <w:p w14:paraId="0F1C3C0B">
                  <w:pPr>
                    <w:keepNext w:val="0"/>
                    <w:keepLines w:val="0"/>
                    <w:pageBreakBefore w:val="0"/>
                    <w:kinsoku/>
                    <w:overflowPunct/>
                    <w:topLinePunct w:val="0"/>
                    <w:bidi w:val="0"/>
                    <w:jc w:val="left"/>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土壤污染重点监管单位应当履行下列义务:(一)严格控制有毒有害物质排放，并按年度向生态环境主管部门报告排放情况;(二)建立土壤污染隐患排查制度，保证持续有效防止有毒有害物质渗漏、流失、扬散;(三)制定、实施自行监测方案，并将监测数据报生态环境主管部门。2.重点单位新、改、扩建项目地下储罐储存有毒有害物质的，应当在项目投入生产或者使用之前，将地下储罐的信息报所在地设区的市级生态环境主管部门备案。3.重点单位应当建立土壤和地下水污染隐患排查治理制度，定期对重点区域、重点设施开展隐患排查。发现污染隐患的，应当制定整改方案，及时采取技术、管理措施消除隐患。隐患排查、治理情况应当如实记录并建立档案。重点区域包括涉及有毒有害物质的生产区，原材料及固体废物的堆存区、储放区和转运区等;重点设施包括涉及有毒有害物质的地下储罐、地下管线，以及污染治理设施等。4.化学品生产企业以及工业集聚区、矿山开采区、尾矿库、危险废物处置场、垃圾填埋场等的运营、管理单位，应当采取防渗漏等措施，并建设地下水水质监测井进行监测，防止地下水污染。5.重点单位通过新、改、扩建项目的土壤和地下水环境现状调查，发现项目用地污染物含量超过国家或者地方有关建设用地土壤污染风险管控标准的，土地使用权人或者污染责任人应当参照污染地块土壤环境管理有关规定开展详细调查、风险评估、风险管控、治理与修复等活动。</w:t>
                  </w:r>
                </w:p>
              </w:tc>
              <w:tc>
                <w:tcPr>
                  <w:tcW w:w="1638" w:type="pct"/>
                  <w:vAlign w:val="center"/>
                </w:tcPr>
                <w:p w14:paraId="65507D03">
                  <w:pPr>
                    <w:keepNext w:val="0"/>
                    <w:keepLines w:val="0"/>
                    <w:pageBreakBefore w:val="0"/>
                    <w:kinsoku/>
                    <w:overflowPunct/>
                    <w:topLinePunct w:val="0"/>
                    <w:bidi w:val="0"/>
                    <w:jc w:val="center"/>
                    <w:rPr>
                      <w:rFonts w:hint="default" w:ascii="Times New Roman" w:hAnsi="Times New Roman" w:eastAsia="宋体" w:cs="Times New Roman"/>
                      <w:color w:val="auto"/>
                      <w:szCs w:val="21"/>
                      <w:lang w:val="en-US" w:eastAsia="zh-CN"/>
                    </w:rPr>
                  </w:pPr>
                  <w:r>
                    <w:rPr>
                      <w:rFonts w:hint="eastAsia" w:eastAsia="宋体" w:cs="Times New Roman"/>
                      <w:color w:val="auto"/>
                      <w:sz w:val="22"/>
                      <w:szCs w:val="18"/>
                      <w:highlight w:val="none"/>
                      <w:lang w:val="en-US" w:eastAsia="zh-CN"/>
                    </w:rPr>
                    <w:t>项目</w:t>
                  </w:r>
                  <w:r>
                    <w:rPr>
                      <w:rFonts w:hint="eastAsia" w:cs="Times New Roman"/>
                      <w:color w:val="auto"/>
                      <w:sz w:val="21"/>
                      <w:szCs w:val="21"/>
                      <w:highlight w:val="none"/>
                      <w:lang w:val="en-US" w:eastAsia="zh-CN"/>
                    </w:rPr>
                    <w:t>危废贮存点采取</w:t>
                  </w:r>
                  <w:r>
                    <w:rPr>
                      <w:rFonts w:ascii="Times New Roman" w:hAnsi="Times New Roman" w:cs="Times New Roman"/>
                      <w:color w:val="auto"/>
                      <w:sz w:val="21"/>
                      <w:szCs w:val="21"/>
                    </w:rPr>
                    <w:t>地面与裙脚采用坚固防渗的材料建造，防风、防晒、防雨；基础</w:t>
                  </w:r>
                  <w:r>
                    <w:rPr>
                      <w:rFonts w:hint="eastAsia" w:ascii="Times New Roman" w:hAnsi="Times New Roman" w:cs="Times New Roman"/>
                      <w:color w:val="auto"/>
                      <w:sz w:val="21"/>
                      <w:szCs w:val="21"/>
                    </w:rPr>
                    <w:t>敷设</w:t>
                  </w:r>
                  <w:r>
                    <w:rPr>
                      <w:rFonts w:ascii="Times New Roman" w:hAnsi="Times New Roman" w:cs="Times New Roman"/>
                      <w:color w:val="auto"/>
                      <w:sz w:val="21"/>
                      <w:szCs w:val="21"/>
                    </w:rPr>
                    <w:t>至少2mm厚的高密度聚乙烯防水层，上部敷设10cm厚水泥层，渗透系数应≤1×10</w:t>
                  </w:r>
                  <w:r>
                    <w:rPr>
                      <w:rFonts w:ascii="Times New Roman" w:hAnsi="Times New Roman" w:cs="Times New Roman"/>
                      <w:color w:val="auto"/>
                      <w:sz w:val="21"/>
                      <w:szCs w:val="21"/>
                      <w:vertAlign w:val="superscript"/>
                    </w:rPr>
                    <w:t>-10</w:t>
                  </w:r>
                  <w:r>
                    <w:rPr>
                      <w:rFonts w:ascii="Times New Roman" w:hAnsi="Times New Roman" w:cs="Times New Roman"/>
                      <w:color w:val="auto"/>
                      <w:sz w:val="21"/>
                      <w:szCs w:val="21"/>
                    </w:rPr>
                    <w:t>cm/s</w:t>
                  </w:r>
                  <w:r>
                    <w:rPr>
                      <w:rFonts w:hint="eastAsia" w:ascii="Times New Roman" w:hAnsi="Times New Roman" w:cs="Times New Roman"/>
                      <w:color w:val="auto"/>
                      <w:sz w:val="21"/>
                      <w:szCs w:val="21"/>
                      <w:lang w:val="en-US" w:eastAsia="zh-CN"/>
                    </w:rPr>
                    <w:t>的防渗措施，满足重点防渗区要求。</w:t>
                  </w:r>
                  <w:r>
                    <w:rPr>
                      <w:rFonts w:hint="eastAsia" w:eastAsia="宋体" w:cs="Times New Roman"/>
                      <w:color w:val="auto"/>
                      <w:sz w:val="22"/>
                      <w:szCs w:val="18"/>
                      <w:highlight w:val="none"/>
                      <w:lang w:val="en-US" w:eastAsia="zh-CN"/>
                    </w:rPr>
                    <w:t>煤炭堆场</w:t>
                  </w:r>
                  <w:r>
                    <w:rPr>
                      <w:rFonts w:hint="eastAsia" w:cs="Times New Roman"/>
                      <w:color w:val="auto"/>
                      <w:sz w:val="22"/>
                      <w:szCs w:val="18"/>
                      <w:highlight w:val="none"/>
                      <w:lang w:val="en-US" w:eastAsia="zh-CN"/>
                    </w:rPr>
                    <w:t>、</w:t>
                  </w:r>
                  <w:r>
                    <w:rPr>
                      <w:rFonts w:hint="eastAsia" w:eastAsia="宋体" w:cs="Times New Roman"/>
                      <w:color w:val="auto"/>
                      <w:sz w:val="22"/>
                      <w:szCs w:val="18"/>
                      <w:highlight w:val="none"/>
                      <w:lang w:val="en-US" w:eastAsia="zh-CN"/>
                    </w:rPr>
                    <w:t>初期雨水收集池、沉淀池地面采取防渗性能不低于1.5m厚等效粘土防渗层，渗透系数K≤1×10</w:t>
                  </w:r>
                  <w:r>
                    <w:rPr>
                      <w:rFonts w:hint="eastAsia" w:eastAsia="宋体" w:cs="Times New Roman"/>
                      <w:color w:val="auto"/>
                      <w:sz w:val="22"/>
                      <w:szCs w:val="18"/>
                      <w:highlight w:val="none"/>
                      <w:vertAlign w:val="superscript"/>
                      <w:lang w:val="en-US" w:eastAsia="zh-CN"/>
                    </w:rPr>
                    <w:t>-7</w:t>
                  </w:r>
                  <w:r>
                    <w:rPr>
                      <w:rFonts w:hint="eastAsia" w:eastAsia="宋体" w:cs="Times New Roman"/>
                      <w:color w:val="auto"/>
                      <w:sz w:val="22"/>
                      <w:szCs w:val="18"/>
                      <w:highlight w:val="none"/>
                      <w:lang w:val="en-US" w:eastAsia="zh-CN"/>
                    </w:rPr>
                    <w:t>cm/s的防渗性能措施，满足一般防渗区要求。厂区道路进行水泥硬化，满足简单防渗区要求。除一般防渗区全厂区其他区域敷设水泥硬化路面，满足简单防渗区要求。本项目不储存有毒有害物质；</w:t>
                  </w:r>
                  <w:r>
                    <w:rPr>
                      <w:rFonts w:hint="eastAsia" w:cs="Times New Roman"/>
                      <w:color w:val="auto"/>
                      <w:szCs w:val="21"/>
                      <w:lang w:val="en-US" w:eastAsia="zh-CN"/>
                    </w:rPr>
                    <w:t>本项目为煤炭储运项目，不属于</w:t>
                  </w:r>
                  <w:r>
                    <w:rPr>
                      <w:rFonts w:hint="eastAsia" w:ascii="Times New Roman" w:hAnsi="Times New Roman" w:eastAsia="宋体" w:cs="Times New Roman"/>
                      <w:color w:val="auto"/>
                      <w:szCs w:val="21"/>
                      <w:lang w:val="en-US" w:eastAsia="zh-CN"/>
                    </w:rPr>
                    <w:t>化学品生产企业以及工业集聚区、矿山开采区、尾矿库、危险废物处置场、垃圾填埋场等行业。</w:t>
                  </w:r>
                </w:p>
              </w:tc>
            </w:tr>
          </w:tbl>
          <w:p w14:paraId="0537283F">
            <w:pPr>
              <w:keepNext w:val="0"/>
              <w:keepLines w:val="0"/>
              <w:pageBreakBefore w:val="0"/>
              <w:kinsoku/>
              <w:overflowPunct/>
              <w:topLinePunct w:val="0"/>
              <w:autoSpaceDE w:val="0"/>
              <w:autoSpaceDN w:val="0"/>
              <w:bidi w:val="0"/>
              <w:spacing w:line="360" w:lineRule="auto"/>
              <w:ind w:firstLine="480" w:firstLineChars="200"/>
              <w:rPr>
                <w:color w:val="auto"/>
                <w:sz w:val="24"/>
              </w:rPr>
            </w:pPr>
            <w:r>
              <w:rPr>
                <w:color w:val="auto"/>
                <w:sz w:val="24"/>
              </w:rPr>
              <w:t>综上所述，本项目符合</w:t>
            </w:r>
            <w:r>
              <w:rPr>
                <w:rFonts w:hint="eastAsia"/>
                <w:color w:val="auto"/>
                <w:sz w:val="24"/>
              </w:rPr>
              <w:t>《鸡西市人民政府关于实施“三线一单”生态环境分区管控的意见》（鸡政发〔2021〕7号）</w:t>
            </w:r>
            <w:r>
              <w:rPr>
                <w:rFonts w:hint="eastAsia"/>
                <w:color w:val="auto"/>
                <w:sz w:val="24"/>
                <w:lang w:val="en-US" w:eastAsia="zh-CN"/>
              </w:rPr>
              <w:t>与</w:t>
            </w:r>
            <w:r>
              <w:rPr>
                <w:color w:val="auto"/>
                <w:sz w:val="24"/>
              </w:rPr>
              <w:t>《</w:t>
            </w:r>
            <w:r>
              <w:rPr>
                <w:rFonts w:hint="eastAsia"/>
                <w:color w:val="auto"/>
                <w:sz w:val="24"/>
              </w:rPr>
              <w:t>鸡西市生态环境准入清单</w:t>
            </w:r>
            <w:r>
              <w:rPr>
                <w:color w:val="auto"/>
                <w:sz w:val="24"/>
              </w:rPr>
              <w:t>》的相关要求。</w:t>
            </w:r>
          </w:p>
          <w:p w14:paraId="794A7545">
            <w:pPr>
              <w:keepNext w:val="0"/>
              <w:keepLines w:val="0"/>
              <w:pageBreakBefore w:val="0"/>
              <w:kinsoku/>
              <w:overflowPunct/>
              <w:topLinePunct w:val="0"/>
              <w:bidi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3、与《中华人民共和国大气污染防治法》符合性分析</w:t>
            </w:r>
          </w:p>
          <w:p w14:paraId="6C0A8DBC">
            <w:pPr>
              <w:spacing w:line="360" w:lineRule="auto"/>
              <w:ind w:firstLine="480" w:firstLineChars="200"/>
              <w:rPr>
                <w:rFonts w:hint="eastAsia" w:ascii="Times New Roman" w:hAnsi="Times New Roman" w:eastAsia="宋体" w:cs="Times New Roman"/>
                <w:b w:val="0"/>
                <w:bCs w:val="0"/>
                <w:color w:val="auto"/>
                <w:spacing w:val="0"/>
                <w:kern w:val="0"/>
                <w:sz w:val="24"/>
                <w:szCs w:val="24"/>
                <w:highlight w:val="none"/>
                <w:lang w:val="en-US" w:eastAsia="zh-CN"/>
              </w:rPr>
            </w:pPr>
            <w:r>
              <w:rPr>
                <w:rFonts w:hint="eastAsia" w:ascii="Times New Roman" w:hAnsi="Times New Roman" w:eastAsia="宋体" w:cs="Times New Roman"/>
                <w:b w:val="0"/>
                <w:bCs w:val="0"/>
                <w:color w:val="auto"/>
                <w:spacing w:val="0"/>
                <w:kern w:val="0"/>
                <w:sz w:val="24"/>
                <w:szCs w:val="24"/>
                <w:highlight w:val="none"/>
                <w:lang w:val="en-US" w:eastAsia="zh-CN"/>
              </w:rPr>
              <w:t>根据《中华人民共和国大气污染防治法》第二节工业污染防治中第四十八条，钢铁、建材、有色金属、石油、化工、制药、矿产开采等企业，应当加强精细化管理，采取集中收集处理等措施，严格控制粉尘和气态污染物的排放。</w:t>
            </w:r>
          </w:p>
          <w:p w14:paraId="0C138326">
            <w:pPr>
              <w:spacing w:line="360" w:lineRule="auto"/>
              <w:ind w:firstLine="480" w:firstLineChars="200"/>
              <w:rPr>
                <w:rFonts w:hint="eastAsia" w:ascii="Times New Roman" w:hAnsi="Times New Roman" w:eastAsia="宋体" w:cs="Times New Roman"/>
                <w:b w:val="0"/>
                <w:bCs w:val="0"/>
                <w:color w:val="auto"/>
                <w:spacing w:val="0"/>
                <w:kern w:val="0"/>
                <w:sz w:val="24"/>
                <w:szCs w:val="24"/>
                <w:highlight w:val="none"/>
                <w:lang w:val="en-US" w:eastAsia="zh-CN"/>
              </w:rPr>
            </w:pPr>
            <w:r>
              <w:rPr>
                <w:rFonts w:hint="eastAsia" w:ascii="Times New Roman" w:hAnsi="Times New Roman" w:eastAsia="宋体" w:cs="Times New Roman"/>
                <w:b w:val="0"/>
                <w:bCs w:val="0"/>
                <w:color w:val="auto"/>
                <w:spacing w:val="0"/>
                <w:kern w:val="0"/>
                <w:sz w:val="24"/>
                <w:szCs w:val="24"/>
                <w:highlight w:val="none"/>
                <w:lang w:val="en-US" w:eastAsia="zh-CN"/>
              </w:rPr>
              <w:t>工业生产企业应当采取密闭、围挡、遮盖、清扫、洒水等措施，减少内部物料的堆存、传输、装卸等环节产生的粉尘和气态污染物的排放。</w:t>
            </w:r>
          </w:p>
          <w:p w14:paraId="0C6A28E0">
            <w:pPr>
              <w:keepNext w:val="0"/>
              <w:keepLines w:val="0"/>
              <w:pageBreakBefore w:val="0"/>
              <w:kinsoku/>
              <w:overflowPunct/>
              <w:topLinePunct w:val="0"/>
              <w:bidi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b w:val="0"/>
                <w:bCs w:val="0"/>
                <w:color w:val="auto"/>
                <w:spacing w:val="0"/>
                <w:kern w:val="0"/>
                <w:sz w:val="24"/>
                <w:szCs w:val="24"/>
                <w:highlight w:val="none"/>
                <w:lang w:val="en-US" w:eastAsia="zh-CN"/>
              </w:rPr>
              <w:t>根据《中华人民共和国大气污染防治法》第七十二条，贮存煤炭、煤矸石、煤渣、煤灰、水泥、石灰、石膏、砂土等易产生扬尘的物料应当密</w:t>
            </w:r>
            <w:r>
              <w:rPr>
                <w:rFonts w:hint="eastAsia" w:ascii="Times New Roman" w:hAnsi="Times New Roman" w:eastAsia="宋体" w:cs="Times New Roman"/>
                <w:color w:val="auto"/>
                <w:sz w:val="24"/>
                <w:lang w:val="en-US" w:eastAsia="zh-CN"/>
              </w:rPr>
              <w:t>闭；不能密闭的，应当设置不低于堆放物高度的严密围挡，并采取有效覆盖措施防治扬尘污染。码头、矿山、填埋场和消纳场应当实施分区作业，并采取有效措施防治扬尘污染。</w:t>
            </w:r>
          </w:p>
          <w:p w14:paraId="0DB54259">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hAnsi="宋体" w:cs="Times New Roman"/>
                <w:color w:val="auto"/>
                <w:sz w:val="24"/>
                <w:szCs w:val="24"/>
                <w:lang w:val="en-US" w:eastAsia="zh-CN"/>
              </w:rPr>
              <w:t>本项目煤炭运输</w:t>
            </w:r>
            <w:r>
              <w:rPr>
                <w:rFonts w:hint="eastAsia" w:cs="Times New Roman"/>
                <w:color w:val="auto"/>
                <w:kern w:val="0"/>
                <w:sz w:val="24"/>
                <w:szCs w:val="20"/>
                <w:lang w:val="en-US" w:eastAsia="zh-CN" w:bidi="ar-SA"/>
              </w:rPr>
              <w:t>过程中</w:t>
            </w:r>
            <w:r>
              <w:rPr>
                <w:rFonts w:hint="default" w:cs="Times New Roman"/>
                <w:color w:val="auto"/>
                <w:kern w:val="0"/>
                <w:sz w:val="24"/>
                <w:szCs w:val="20"/>
                <w:lang w:val="en-US" w:eastAsia="zh-CN" w:bidi="ar-SA"/>
              </w:rPr>
              <w:t>采用苫布覆盖，</w:t>
            </w:r>
            <w:r>
              <w:rPr>
                <w:rFonts w:hint="eastAsia" w:cs="Times New Roman"/>
                <w:color w:val="auto"/>
                <w:kern w:val="0"/>
                <w:sz w:val="24"/>
                <w:szCs w:val="20"/>
                <w:lang w:val="en-US" w:eastAsia="zh-CN" w:bidi="ar-SA"/>
              </w:rPr>
              <w:t>出厂时车轮进行清洗，防止物料洒落，</w:t>
            </w:r>
            <w:r>
              <w:rPr>
                <w:rFonts w:hint="default" w:cs="Times New Roman"/>
                <w:color w:val="auto"/>
                <w:kern w:val="0"/>
                <w:sz w:val="24"/>
                <w:szCs w:val="20"/>
                <w:lang w:val="en-US" w:eastAsia="zh-CN" w:bidi="ar-SA"/>
              </w:rPr>
              <w:t>减少运输过程中粉尘排放量</w:t>
            </w:r>
            <w:r>
              <w:rPr>
                <w:rFonts w:hint="eastAsia" w:cs="Times New Roman"/>
                <w:color w:val="auto"/>
                <w:kern w:val="0"/>
                <w:sz w:val="24"/>
                <w:szCs w:val="20"/>
                <w:lang w:val="en-US" w:eastAsia="zh-CN" w:bidi="ar-SA"/>
              </w:rPr>
              <w:t>；</w:t>
            </w:r>
            <w:r>
              <w:rPr>
                <w:rFonts w:hint="eastAsia" w:hAnsi="宋体" w:cs="Times New Roman"/>
                <w:color w:val="auto"/>
                <w:sz w:val="24"/>
                <w:szCs w:val="24"/>
                <w:lang w:val="en-US" w:eastAsia="zh-CN"/>
              </w:rPr>
              <w:t>厂区采用</w:t>
            </w:r>
            <w:r>
              <w:rPr>
                <w:rFonts w:hint="eastAsia" w:ascii="Times New Roman" w:hAnsi="宋体" w:eastAsia="宋体" w:cs="Times New Roman"/>
                <w:color w:val="auto"/>
                <w:sz w:val="24"/>
                <w:szCs w:val="24"/>
                <w:lang w:eastAsia="zh-CN"/>
              </w:rPr>
              <w:t>围挡</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防风抑尘网</w:t>
            </w:r>
            <w:r>
              <w:rPr>
                <w:rFonts w:hint="eastAsia" w:hAnsi="宋体" w:cs="Times New Roman"/>
                <w:color w:val="auto"/>
                <w:sz w:val="24"/>
                <w:szCs w:val="24"/>
                <w:lang w:eastAsia="zh-CN"/>
              </w:rPr>
              <w:t>），</w:t>
            </w:r>
            <w:r>
              <w:rPr>
                <w:rFonts w:hint="eastAsia" w:hAnsi="宋体" w:cs="Times New Roman"/>
                <w:color w:val="auto"/>
                <w:sz w:val="24"/>
                <w:szCs w:val="24"/>
                <w:lang w:val="en-US" w:eastAsia="zh-CN"/>
              </w:rPr>
              <w:t>堆场采用</w:t>
            </w:r>
            <w:r>
              <w:rPr>
                <w:rFonts w:hint="eastAsia" w:ascii="Times New Roman" w:hAnsi="宋体" w:eastAsia="宋体" w:cs="Times New Roman"/>
                <w:color w:val="auto"/>
                <w:sz w:val="24"/>
                <w:szCs w:val="24"/>
                <w:lang w:eastAsia="zh-CN"/>
              </w:rPr>
              <w:t>编织覆盖</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防尘网</w:t>
            </w:r>
            <w:r>
              <w:rPr>
                <w:rFonts w:hint="eastAsia" w:hAnsi="宋体" w:cs="Times New Roman"/>
                <w:color w:val="auto"/>
                <w:sz w:val="24"/>
                <w:szCs w:val="24"/>
                <w:lang w:eastAsia="zh-CN"/>
              </w:rPr>
              <w:t>）</w:t>
            </w:r>
            <w:r>
              <w:rPr>
                <w:rFonts w:hint="eastAsia" w:ascii="Times New Roman" w:hAnsi="宋体" w:eastAsia="宋体" w:cs="Times New Roman"/>
                <w:color w:val="auto"/>
                <w:sz w:val="24"/>
                <w:szCs w:val="24"/>
                <w:lang w:eastAsia="zh-CN"/>
              </w:rPr>
              <w:t>方式</w:t>
            </w:r>
            <w:r>
              <w:rPr>
                <w:rFonts w:hint="eastAsia" w:hAnsi="宋体" w:cs="Times New Roman"/>
                <w:color w:val="auto"/>
                <w:sz w:val="24"/>
                <w:szCs w:val="24"/>
                <w:lang w:val="en-US" w:eastAsia="zh-CN"/>
              </w:rPr>
              <w:t>降尘，煤炭装车和卸车过程采用车辆出入冲洗（高压水枪）方式降尘，降尘后颗粒物以无组织形式排放。本项目严禁在重污染天气期间、大风天气时生产作业。无组织</w:t>
            </w:r>
            <w:r>
              <w:rPr>
                <w:rFonts w:hint="eastAsia" w:ascii="Times New Roman" w:hAnsi="Times New Roman" w:eastAsia="宋体" w:cs="Times New Roman"/>
                <w:b w:val="0"/>
                <w:bCs w:val="0"/>
                <w:color w:val="auto"/>
                <w:spacing w:val="0"/>
                <w:kern w:val="0"/>
                <w:sz w:val="24"/>
                <w:szCs w:val="24"/>
                <w:highlight w:val="none"/>
                <w:lang w:val="en-US" w:eastAsia="zh-CN"/>
              </w:rPr>
              <w:t>颗粒物排放满足</w:t>
            </w:r>
            <w:r>
              <w:rPr>
                <w:rFonts w:hint="eastAsia"/>
                <w:bCs/>
                <w:color w:val="auto"/>
                <w:sz w:val="24"/>
                <w:lang w:val="en-US" w:eastAsia="zh-CN"/>
              </w:rPr>
              <w:t>《煤炭工业污染物排放标准》（</w:t>
            </w:r>
            <w:r>
              <w:rPr>
                <w:rFonts w:hint="eastAsia"/>
                <w:bCs/>
                <w:color w:val="auto"/>
                <w:sz w:val="24"/>
              </w:rPr>
              <w:t>GB20426-2006</w:t>
            </w:r>
            <w:r>
              <w:rPr>
                <w:rFonts w:hint="eastAsia"/>
                <w:bCs/>
                <w:color w:val="auto"/>
                <w:sz w:val="24"/>
                <w:lang w:val="en-US" w:eastAsia="zh-CN"/>
              </w:rPr>
              <w:t>）表5煤炭工业无组织排放限值</w:t>
            </w:r>
            <w:r>
              <w:rPr>
                <w:rFonts w:hint="eastAsia" w:ascii="Times New Roman" w:hAnsi="Times New Roman" w:eastAsia="宋体" w:cs="Times New Roman"/>
                <w:b w:val="0"/>
                <w:bCs w:val="0"/>
                <w:color w:val="auto"/>
                <w:spacing w:val="0"/>
                <w:kern w:val="0"/>
                <w:sz w:val="24"/>
                <w:szCs w:val="24"/>
                <w:highlight w:val="none"/>
                <w:lang w:val="en-US" w:eastAsia="zh-CN"/>
              </w:rPr>
              <w:t>要求。因此，本项目符合</w:t>
            </w:r>
            <w:r>
              <w:rPr>
                <w:rFonts w:hint="eastAsia" w:ascii="Times New Roman" w:hAnsi="Times New Roman" w:eastAsia="宋体" w:cs="Times New Roman"/>
                <w:color w:val="auto"/>
                <w:sz w:val="24"/>
                <w:lang w:val="en-US" w:eastAsia="zh-CN"/>
              </w:rPr>
              <w:t>《中华人民共和国大气污染防治法》相关要求。</w:t>
            </w:r>
          </w:p>
          <w:p w14:paraId="4F7537E1">
            <w:pPr>
              <w:keepNext w:val="0"/>
              <w:keepLines w:val="0"/>
              <w:pageBreakBefore w:val="0"/>
              <w:kinsoku/>
              <w:overflowPunct/>
              <w:topLinePunct w:val="0"/>
              <w:bidi w:val="0"/>
              <w:spacing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4、与《鸡西市人民政府印发鸡西市“十四五”生态环境保护规划的通知》（鸡政规〔2022〕7号）符合性分析</w:t>
            </w:r>
          </w:p>
          <w:p w14:paraId="64296E6D">
            <w:pPr>
              <w:keepNext w:val="0"/>
              <w:keepLines w:val="0"/>
              <w:pageBreakBefore w:val="0"/>
              <w:kinsoku/>
              <w:overflowPunct/>
              <w:topLinePunct w:val="0"/>
              <w:bidi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（三）深化协同防治，全面改善空气质量</w:t>
            </w:r>
          </w:p>
          <w:p w14:paraId="3A987CF2">
            <w:pPr>
              <w:keepNext w:val="0"/>
              <w:keepLines w:val="0"/>
              <w:pageBreakBefore w:val="0"/>
              <w:kinsoku/>
              <w:overflowPunct/>
              <w:topLinePunct w:val="0"/>
              <w:bidi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cs="Times New Roman"/>
                <w:color w:val="auto"/>
                <w:sz w:val="24"/>
                <w:lang w:val="en-US" w:eastAsia="zh-CN"/>
              </w:rPr>
              <w:t>（1）</w:t>
            </w:r>
            <w:r>
              <w:rPr>
                <w:rFonts w:hint="eastAsia" w:ascii="Times New Roman" w:hAnsi="Times New Roman" w:eastAsia="宋体" w:cs="Times New Roman"/>
                <w:color w:val="auto"/>
                <w:sz w:val="24"/>
                <w:lang w:val="en-US" w:eastAsia="zh-CN"/>
              </w:rPr>
              <w:t>加强细颗粒物污染防治。</w:t>
            </w:r>
          </w:p>
          <w:p w14:paraId="29E3E5B6">
            <w:pPr>
              <w:keepNext w:val="0"/>
              <w:keepLines w:val="0"/>
              <w:pageBreakBefore w:val="0"/>
              <w:kinsoku/>
              <w:overflowPunct/>
              <w:topLinePunct w:val="0"/>
              <w:bidi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实施大气环境质量目标管理。对照2035年远景目标，开展形势分析，逐步提高大气环境质量目标，持续改善城市大气环境质量。</w:t>
            </w:r>
          </w:p>
          <w:p w14:paraId="5708DC50">
            <w:pPr>
              <w:keepNext w:val="0"/>
              <w:keepLines w:val="0"/>
              <w:pageBreakBefore w:val="0"/>
              <w:kinsoku/>
              <w:overflowPunct/>
              <w:topLinePunct w:val="0"/>
              <w:bidi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推进扬尘精细化管控。全面推行绿色施工，严格落实施工工地扬尘管控责任，加强施工扬尘监管执法。推进低尘机械化湿式清扫作业，加大城市出入口、城乡结合部等重要路段冲洗保洁力度，渣土车实施全密闭运输，强化绿化用地扬尘治理。城市裸露地面、粉粒类物料堆放以及大型煤炭物料堆场，全面完成抑尘设施建设和物料输送系统封闭改造，鼓励有条件的堆场实施全封闭改造。</w:t>
            </w:r>
          </w:p>
          <w:p w14:paraId="23AFBA5A">
            <w:pPr>
              <w:keepNext w:val="0"/>
              <w:keepLines w:val="0"/>
              <w:pageBreakBefore w:val="0"/>
              <w:kinsoku/>
              <w:overflowPunct/>
              <w:topLinePunct w:val="0"/>
              <w:bidi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cs="Times New Roman"/>
                <w:color w:val="auto"/>
                <w:sz w:val="24"/>
                <w:lang w:val="en-US" w:eastAsia="zh-CN"/>
              </w:rPr>
              <w:t>（2）</w:t>
            </w:r>
            <w:r>
              <w:rPr>
                <w:rFonts w:hint="eastAsia" w:ascii="Times New Roman" w:hAnsi="Times New Roman" w:eastAsia="宋体" w:cs="Times New Roman"/>
                <w:color w:val="auto"/>
                <w:sz w:val="24"/>
                <w:lang w:val="en-US" w:eastAsia="zh-CN"/>
              </w:rPr>
              <w:t>强化噪声污染防治。</w:t>
            </w:r>
          </w:p>
          <w:p w14:paraId="3AA4084E">
            <w:pPr>
              <w:keepNext w:val="0"/>
              <w:keepLines w:val="0"/>
              <w:pageBreakBefore w:val="0"/>
              <w:kinsoku/>
              <w:overflowPunct/>
              <w:topLinePunct w:val="0"/>
              <w:bidi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制定实施噪声污染防治行动计划。开展环境功能区评估与调整。城市建成区在声环境功能区安装噪声自动监测系统。制定国土空间规划及交通运输等相关规划时，合理划定防噪声距离，明确规划设计要求。因特殊需要必须连续作业的，必须有县级以上政府或者其有关主管部门的证明，并公告附近居民。鼓励采用低噪声施工设备和工艺。依法将工业企业噪声纳入排污许可管理，严厉查处工业企业噪声排放超标扰民行为。加强对文化娱乐、商业经营中社会生活噪声热点问题日常监管和集中整治。到2025年，城市建成区全面实现功能区声环境质量自动监测，声环境功能区夜间达标率达到国家要求。</w:t>
            </w:r>
          </w:p>
          <w:p w14:paraId="7F6E222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lang w:val="en-US" w:eastAsia="zh-CN"/>
              </w:rPr>
            </w:pPr>
            <w:r>
              <w:rPr>
                <w:rFonts w:hint="eastAsia" w:hAnsi="宋体" w:cs="Times New Roman"/>
                <w:color w:val="auto"/>
                <w:sz w:val="24"/>
                <w:szCs w:val="24"/>
                <w:lang w:val="en-US" w:eastAsia="zh-CN"/>
              </w:rPr>
              <w:t>本项目煤炭运输</w:t>
            </w:r>
            <w:r>
              <w:rPr>
                <w:rFonts w:hint="eastAsia" w:cs="Times New Roman"/>
                <w:color w:val="auto"/>
                <w:kern w:val="0"/>
                <w:sz w:val="24"/>
                <w:szCs w:val="20"/>
                <w:lang w:val="en-US" w:eastAsia="zh-CN" w:bidi="ar-SA"/>
              </w:rPr>
              <w:t>过程中</w:t>
            </w:r>
            <w:r>
              <w:rPr>
                <w:rFonts w:hint="default" w:cs="Times New Roman"/>
                <w:color w:val="auto"/>
                <w:kern w:val="0"/>
                <w:sz w:val="24"/>
                <w:szCs w:val="20"/>
                <w:lang w:val="en-US" w:eastAsia="zh-CN" w:bidi="ar-SA"/>
              </w:rPr>
              <w:t>采用苫布覆盖，</w:t>
            </w:r>
            <w:r>
              <w:rPr>
                <w:rFonts w:hint="eastAsia" w:cs="Times New Roman"/>
                <w:color w:val="auto"/>
                <w:kern w:val="0"/>
                <w:sz w:val="24"/>
                <w:szCs w:val="20"/>
                <w:lang w:val="en-US" w:eastAsia="zh-CN" w:bidi="ar-SA"/>
              </w:rPr>
              <w:t>出厂时车轮进行清洗，防止物料洒落，</w:t>
            </w:r>
            <w:r>
              <w:rPr>
                <w:rFonts w:hint="default" w:cs="Times New Roman"/>
                <w:color w:val="auto"/>
                <w:kern w:val="0"/>
                <w:sz w:val="24"/>
                <w:szCs w:val="20"/>
                <w:lang w:val="en-US" w:eastAsia="zh-CN" w:bidi="ar-SA"/>
              </w:rPr>
              <w:t>减少运输过程中粉尘排放量</w:t>
            </w:r>
            <w:r>
              <w:rPr>
                <w:rFonts w:hint="eastAsia" w:cs="Times New Roman"/>
                <w:color w:val="auto"/>
                <w:kern w:val="0"/>
                <w:sz w:val="24"/>
                <w:szCs w:val="20"/>
                <w:lang w:val="en-US" w:eastAsia="zh-CN" w:bidi="ar-SA"/>
              </w:rPr>
              <w:t>；</w:t>
            </w:r>
            <w:r>
              <w:rPr>
                <w:rFonts w:hint="eastAsia" w:hAnsi="宋体" w:cs="Times New Roman"/>
                <w:color w:val="auto"/>
                <w:sz w:val="24"/>
                <w:szCs w:val="24"/>
                <w:lang w:val="en-US" w:eastAsia="zh-CN"/>
              </w:rPr>
              <w:t>厂区采用</w:t>
            </w:r>
            <w:r>
              <w:rPr>
                <w:rFonts w:hint="eastAsia" w:ascii="Times New Roman" w:hAnsi="宋体" w:eastAsia="宋体" w:cs="Times New Roman"/>
                <w:color w:val="auto"/>
                <w:sz w:val="24"/>
                <w:szCs w:val="24"/>
                <w:lang w:eastAsia="zh-CN"/>
              </w:rPr>
              <w:t>围挡</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防风抑尘网</w:t>
            </w:r>
            <w:r>
              <w:rPr>
                <w:rFonts w:hint="eastAsia" w:hAnsi="宋体" w:cs="Times New Roman"/>
                <w:color w:val="auto"/>
                <w:sz w:val="24"/>
                <w:szCs w:val="24"/>
                <w:lang w:eastAsia="zh-CN"/>
              </w:rPr>
              <w:t>），</w:t>
            </w:r>
            <w:r>
              <w:rPr>
                <w:rFonts w:hint="eastAsia" w:hAnsi="宋体" w:cs="Times New Roman"/>
                <w:color w:val="auto"/>
                <w:sz w:val="24"/>
                <w:szCs w:val="24"/>
                <w:lang w:val="en-US" w:eastAsia="zh-CN"/>
              </w:rPr>
              <w:t>堆场采用</w:t>
            </w:r>
            <w:r>
              <w:rPr>
                <w:rFonts w:hint="eastAsia" w:ascii="Times New Roman" w:hAnsi="宋体" w:eastAsia="宋体" w:cs="Times New Roman"/>
                <w:color w:val="auto"/>
                <w:sz w:val="24"/>
                <w:szCs w:val="24"/>
                <w:lang w:eastAsia="zh-CN"/>
              </w:rPr>
              <w:t>编织覆盖</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防尘网</w:t>
            </w:r>
            <w:r>
              <w:rPr>
                <w:rFonts w:hint="eastAsia" w:hAnsi="宋体" w:cs="Times New Roman"/>
                <w:color w:val="auto"/>
                <w:sz w:val="24"/>
                <w:szCs w:val="24"/>
                <w:lang w:eastAsia="zh-CN"/>
              </w:rPr>
              <w:t>）</w:t>
            </w:r>
            <w:r>
              <w:rPr>
                <w:rFonts w:hint="eastAsia" w:ascii="Times New Roman" w:hAnsi="宋体" w:eastAsia="宋体" w:cs="Times New Roman"/>
                <w:color w:val="auto"/>
                <w:sz w:val="24"/>
                <w:szCs w:val="24"/>
                <w:lang w:eastAsia="zh-CN"/>
              </w:rPr>
              <w:t>方式</w:t>
            </w:r>
            <w:r>
              <w:rPr>
                <w:rFonts w:hint="eastAsia" w:hAnsi="宋体" w:cs="Times New Roman"/>
                <w:color w:val="auto"/>
                <w:sz w:val="24"/>
                <w:szCs w:val="24"/>
                <w:lang w:val="en-US" w:eastAsia="zh-CN"/>
              </w:rPr>
              <w:t>降尘，煤炭装车和卸车过程采用车辆出入冲洗（高压水枪）方式降尘，降尘后颗粒物以无组织形式排放。本项目严禁在重污染天气期间、大风天气时生产作业。无组织颗粒物排放满足《煤炭工业污染物排放标准》（GB20426-2006）表5</w:t>
            </w:r>
            <w:r>
              <w:rPr>
                <w:rFonts w:hint="eastAsia"/>
                <w:bCs/>
                <w:color w:val="auto"/>
                <w:sz w:val="24"/>
                <w:lang w:val="en-US" w:eastAsia="zh-CN"/>
              </w:rPr>
              <w:t>煤炭工业无组织排放限值</w:t>
            </w:r>
            <w:r>
              <w:rPr>
                <w:rFonts w:hint="eastAsia" w:ascii="Times New Roman" w:hAnsi="Times New Roman" w:eastAsia="宋体" w:cs="Times New Roman"/>
                <w:b w:val="0"/>
                <w:bCs w:val="0"/>
                <w:color w:val="auto"/>
                <w:spacing w:val="0"/>
                <w:kern w:val="0"/>
                <w:sz w:val="24"/>
                <w:szCs w:val="24"/>
                <w:highlight w:val="none"/>
                <w:lang w:val="en-US" w:eastAsia="zh-CN"/>
              </w:rPr>
              <w:t>要求。</w:t>
            </w:r>
            <w:r>
              <w:rPr>
                <w:rFonts w:hint="eastAsia"/>
                <w:color w:val="auto"/>
                <w:kern w:val="0"/>
                <w:sz w:val="24"/>
                <w:lang w:val="en-US" w:eastAsia="zh-CN"/>
              </w:rPr>
              <w:t>本项目通过选用低噪声车辆及设备，</w:t>
            </w:r>
            <w:r>
              <w:rPr>
                <w:rFonts w:hint="eastAsia" w:cs="Times New Roman"/>
                <w:bCs/>
                <w:color w:val="auto"/>
                <w:sz w:val="24"/>
                <w:lang w:val="en-US" w:eastAsia="zh-CN"/>
              </w:rPr>
              <w:t>加强厂区运输管理，夜间不生产，夜间不安排</w:t>
            </w:r>
            <w:r>
              <w:rPr>
                <w:rFonts w:hint="eastAsia" w:ascii="Times New Roman" w:hAnsi="宋体" w:eastAsia="宋体" w:cs="Times New Roman"/>
                <w:color w:val="auto"/>
                <w:sz w:val="24"/>
                <w:szCs w:val="24"/>
                <w:lang w:val="en-US" w:eastAsia="zh-CN"/>
              </w:rPr>
              <w:t>运输，运输车辆采取限制车速、禁鸣等措施，可有效降低运输车辆噪声对道路两侧环境的影响。厂界四周噪声能够满足</w:t>
            </w:r>
            <w:r>
              <w:rPr>
                <w:rFonts w:hint="default" w:ascii="Times New Roman" w:hAnsi="宋体" w:eastAsia="宋体" w:cs="Times New Roman"/>
                <w:color w:val="auto"/>
                <w:sz w:val="24"/>
                <w:szCs w:val="24"/>
                <w:lang w:val="en-US" w:eastAsia="zh-CN"/>
              </w:rPr>
              <w:t>《工业企业厂界环境噪声排放标准》（GB</w:t>
            </w:r>
            <w:r>
              <w:rPr>
                <w:rFonts w:hint="eastAsia" w:ascii="Times New Roman" w:hAnsi="宋体" w:eastAsia="宋体" w:cs="Times New Roman"/>
                <w:color w:val="auto"/>
                <w:sz w:val="24"/>
                <w:szCs w:val="24"/>
                <w:lang w:val="en-US" w:eastAsia="zh-CN"/>
              </w:rPr>
              <w:t xml:space="preserve"> </w:t>
            </w:r>
            <w:r>
              <w:rPr>
                <w:rFonts w:hint="default" w:ascii="Times New Roman" w:hAnsi="宋体" w:eastAsia="宋体" w:cs="Times New Roman"/>
                <w:color w:val="auto"/>
                <w:sz w:val="24"/>
                <w:szCs w:val="24"/>
                <w:lang w:val="en-US" w:eastAsia="zh-CN"/>
              </w:rPr>
              <w:t>12348-2008）表1中</w:t>
            </w:r>
            <w:r>
              <w:rPr>
                <w:rFonts w:hint="eastAsia" w:ascii="Times New Roman" w:hAnsi="宋体" w:eastAsia="宋体" w:cs="Times New Roman"/>
                <w:color w:val="auto"/>
                <w:sz w:val="24"/>
                <w:szCs w:val="24"/>
                <w:lang w:val="en-US" w:eastAsia="zh-CN"/>
              </w:rPr>
              <w:t>2</w:t>
            </w:r>
            <w:r>
              <w:rPr>
                <w:rFonts w:hint="default" w:ascii="Times New Roman" w:hAnsi="宋体" w:eastAsia="宋体" w:cs="Times New Roman"/>
                <w:color w:val="auto"/>
                <w:sz w:val="24"/>
                <w:szCs w:val="24"/>
                <w:lang w:val="en-US" w:eastAsia="zh-CN"/>
              </w:rPr>
              <w:t>类标准要求</w:t>
            </w:r>
            <w:r>
              <w:rPr>
                <w:rFonts w:hint="eastAsia" w:ascii="Times New Roman" w:hAnsi="宋体" w:eastAsia="宋体" w:cs="Times New Roman"/>
                <w:color w:val="auto"/>
                <w:sz w:val="24"/>
                <w:szCs w:val="24"/>
                <w:lang w:val="en-US" w:eastAsia="zh-CN"/>
              </w:rPr>
              <w:t>。因此，符合《鸡西市人民政府印发鸡西市“十四五”生态环境保护规划的通知》（鸡政规〔2022〕7号）相关要求。</w:t>
            </w:r>
          </w:p>
          <w:p w14:paraId="36B0FF92">
            <w:pPr>
              <w:keepNext w:val="0"/>
              <w:keepLines w:val="0"/>
              <w:pageBreakBefore w:val="0"/>
              <w:kinsoku/>
              <w:overflowPunct/>
              <w:topLinePunct w:val="0"/>
              <w:bidi w:val="0"/>
              <w:adjustRightInd w:val="0"/>
              <w:snapToGrid w:val="0"/>
              <w:spacing w:line="360" w:lineRule="auto"/>
              <w:ind w:firstLine="480" w:firstLineChars="200"/>
              <w:rPr>
                <w:rFonts w:hint="default" w:eastAsia="宋体"/>
                <w:color w:val="auto"/>
                <w:sz w:val="24"/>
                <w:lang w:val="en-US" w:eastAsia="zh-CN"/>
              </w:rPr>
            </w:pPr>
            <w:r>
              <w:rPr>
                <w:rFonts w:hint="eastAsia"/>
                <w:color w:val="auto"/>
                <w:sz w:val="24"/>
              </w:rPr>
              <w:t>5、</w:t>
            </w:r>
            <w:r>
              <w:rPr>
                <w:rFonts w:hint="eastAsia"/>
                <w:color w:val="auto"/>
                <w:sz w:val="24"/>
                <w:lang w:val="en-US" w:eastAsia="zh-CN"/>
              </w:rPr>
              <w:t>与《鸡西市洗煤厂、储煤厂排查整治工作方案》的符合性分析</w:t>
            </w:r>
          </w:p>
          <w:p w14:paraId="25583D8A">
            <w:pPr>
              <w:keepNext w:val="0"/>
              <w:keepLines w:val="0"/>
              <w:pageBreakBefore w:val="0"/>
              <w:kinsoku/>
              <w:overflowPunct/>
              <w:topLinePunct w:val="0"/>
              <w:bidi w:val="0"/>
              <w:adjustRightInd w:val="0"/>
              <w:snapToGrid w:val="0"/>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一</w:t>
            </w:r>
            <w:r>
              <w:rPr>
                <w:rFonts w:hint="eastAsia"/>
                <w:color w:val="auto"/>
                <w:sz w:val="24"/>
                <w:lang w:eastAsia="zh-CN"/>
              </w:rPr>
              <w:t>）</w:t>
            </w:r>
            <w:r>
              <w:rPr>
                <w:rFonts w:hint="eastAsia"/>
                <w:color w:val="auto"/>
                <w:sz w:val="24"/>
              </w:rPr>
              <w:t>全面排查工作阶段</w:t>
            </w:r>
            <w:r>
              <w:rPr>
                <w:rFonts w:hint="eastAsia"/>
                <w:color w:val="auto"/>
                <w:sz w:val="24"/>
                <w:lang w:eastAsia="zh-CN"/>
              </w:rPr>
              <w:t>（</w:t>
            </w:r>
            <w:r>
              <w:rPr>
                <w:rFonts w:hint="eastAsia"/>
                <w:color w:val="auto"/>
                <w:sz w:val="24"/>
              </w:rPr>
              <w:t>2023年6月7日至6月30日</w:t>
            </w:r>
            <w:r>
              <w:rPr>
                <w:rFonts w:hint="eastAsia"/>
                <w:color w:val="auto"/>
                <w:sz w:val="24"/>
                <w:lang w:eastAsia="zh-CN"/>
              </w:rPr>
              <w:t>）</w:t>
            </w:r>
            <w:r>
              <w:rPr>
                <w:rFonts w:hint="eastAsia"/>
                <w:color w:val="auto"/>
                <w:sz w:val="24"/>
              </w:rPr>
              <w:t>。各县</w:t>
            </w:r>
            <w:r>
              <w:rPr>
                <w:rFonts w:hint="eastAsia"/>
                <w:color w:val="auto"/>
                <w:sz w:val="24"/>
                <w:lang w:eastAsia="zh-CN"/>
              </w:rPr>
              <w:t>（</w:t>
            </w:r>
            <w:r>
              <w:rPr>
                <w:rFonts w:hint="eastAsia"/>
                <w:color w:val="auto"/>
                <w:sz w:val="24"/>
              </w:rPr>
              <w:t>市</w:t>
            </w:r>
            <w:r>
              <w:rPr>
                <w:rFonts w:hint="eastAsia"/>
                <w:color w:val="auto"/>
                <w:sz w:val="24"/>
                <w:lang w:eastAsia="zh-CN"/>
              </w:rPr>
              <w:t>）</w:t>
            </w:r>
            <w:r>
              <w:rPr>
                <w:rFonts w:hint="eastAsia"/>
                <w:color w:val="auto"/>
                <w:sz w:val="24"/>
              </w:rPr>
              <w:t>区生态环境局要压实工作责任，在原有工作基础上，迅速开展本辖区内洗煤厂、储煤厂的环保审批手续、土地规划手续和环保设施建设问题，建立《洗煤企业排查整治工作台账》《储煤厂核查情况台账》并动态更新管理全面排查和台账建立工作要在2023年6月30日前完成。排查过程中发现无法办理相关审批手续、无法采取防尘措施、短期内无生产意愿或整治无望的要采取关停取缔、“两断三清”等手段立即消除污染。</w:t>
            </w:r>
          </w:p>
          <w:p w14:paraId="69D0EEB4">
            <w:pPr>
              <w:keepNext w:val="0"/>
              <w:keepLines w:val="0"/>
              <w:pageBreakBefore w:val="0"/>
              <w:kinsoku/>
              <w:overflowPunct/>
              <w:topLinePunct w:val="0"/>
              <w:bidi w:val="0"/>
              <w:adjustRightInd w:val="0"/>
              <w:snapToGrid w:val="0"/>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二</w:t>
            </w:r>
            <w:r>
              <w:rPr>
                <w:rFonts w:hint="eastAsia"/>
                <w:color w:val="auto"/>
                <w:sz w:val="24"/>
                <w:lang w:eastAsia="zh-CN"/>
              </w:rPr>
              <w:t>）</w:t>
            </w:r>
            <w:r>
              <w:rPr>
                <w:rFonts w:hint="eastAsia"/>
                <w:color w:val="auto"/>
                <w:sz w:val="24"/>
              </w:rPr>
              <w:t>全面整治工作阶段</w:t>
            </w:r>
            <w:r>
              <w:rPr>
                <w:rFonts w:hint="eastAsia"/>
                <w:color w:val="auto"/>
                <w:sz w:val="24"/>
                <w:lang w:eastAsia="zh-CN"/>
              </w:rPr>
              <w:t>（</w:t>
            </w:r>
            <w:r>
              <w:rPr>
                <w:rFonts w:hint="eastAsia"/>
                <w:color w:val="auto"/>
                <w:sz w:val="24"/>
              </w:rPr>
              <w:t>2023年7月1日至8月20日</w:t>
            </w:r>
            <w:r>
              <w:rPr>
                <w:rFonts w:hint="eastAsia"/>
                <w:color w:val="auto"/>
                <w:sz w:val="24"/>
                <w:lang w:eastAsia="zh-CN"/>
              </w:rPr>
              <w:t>）</w:t>
            </w:r>
            <w:r>
              <w:rPr>
                <w:rFonts w:hint="eastAsia"/>
                <w:color w:val="auto"/>
                <w:sz w:val="24"/>
              </w:rPr>
              <w:t>。按照《储煤厂综合整治验收标准》《洗煤厂环境整治验收标准》，督促企业办理环保、土地规划手续，按整治内容和标准开展环境综合整治工作，针对无法办理合规手续无法实施环境综合整治的储煤厂，要向属地县</w:t>
            </w:r>
            <w:r>
              <w:rPr>
                <w:rFonts w:hint="eastAsia"/>
                <w:color w:val="auto"/>
                <w:sz w:val="24"/>
                <w:lang w:eastAsia="zh-CN"/>
              </w:rPr>
              <w:t>（</w:t>
            </w:r>
            <w:r>
              <w:rPr>
                <w:rFonts w:hint="eastAsia"/>
                <w:color w:val="auto"/>
                <w:sz w:val="24"/>
              </w:rPr>
              <w:t>市</w:t>
            </w:r>
            <w:r>
              <w:rPr>
                <w:rFonts w:hint="eastAsia"/>
                <w:color w:val="auto"/>
                <w:sz w:val="24"/>
                <w:lang w:eastAsia="zh-CN"/>
              </w:rPr>
              <w:t>）</w:t>
            </w:r>
            <w:r>
              <w:rPr>
                <w:rFonts w:hint="eastAsia"/>
                <w:color w:val="auto"/>
                <w:sz w:val="24"/>
              </w:rPr>
              <w:t>区政府及时报告，采取联合执法方式，依法予以取缔。整治工作要在2023年8月31日前完成。</w:t>
            </w:r>
          </w:p>
          <w:p w14:paraId="3F193337">
            <w:pPr>
              <w:keepNext w:val="0"/>
              <w:keepLines w:val="0"/>
              <w:pageBreakBefore w:val="0"/>
              <w:kinsoku/>
              <w:overflowPunct/>
              <w:topLinePunct w:val="0"/>
              <w:bidi w:val="0"/>
              <w:adjustRightInd w:val="0"/>
              <w:snapToGrid w:val="0"/>
              <w:spacing w:line="360" w:lineRule="auto"/>
              <w:ind w:firstLine="480" w:firstLineChars="200"/>
              <w:rPr>
                <w:rFonts w:hint="eastAsia" w:eastAsia="宋体"/>
                <w:color w:val="auto"/>
                <w:sz w:val="24"/>
                <w:lang w:val="en-US" w:eastAsia="zh-CN"/>
              </w:rPr>
            </w:pPr>
            <w:r>
              <w:rPr>
                <w:rFonts w:hint="eastAsia"/>
                <w:color w:val="auto"/>
                <w:sz w:val="24"/>
                <w:lang w:eastAsia="zh-CN"/>
              </w:rPr>
              <w:t>（</w:t>
            </w:r>
            <w:r>
              <w:rPr>
                <w:rFonts w:hint="eastAsia"/>
                <w:color w:val="auto"/>
                <w:sz w:val="24"/>
                <w:lang w:val="en-US" w:eastAsia="zh-CN"/>
              </w:rPr>
              <w:t>三</w:t>
            </w:r>
            <w:r>
              <w:rPr>
                <w:rFonts w:hint="eastAsia"/>
                <w:color w:val="auto"/>
                <w:sz w:val="24"/>
                <w:lang w:eastAsia="zh-CN"/>
              </w:rPr>
              <w:t>）</w:t>
            </w:r>
            <w:r>
              <w:rPr>
                <w:rFonts w:hint="eastAsia"/>
                <w:color w:val="auto"/>
                <w:sz w:val="24"/>
              </w:rPr>
              <w:t>整治工作销号验收阶段</w:t>
            </w:r>
            <w:r>
              <w:rPr>
                <w:rFonts w:hint="eastAsia"/>
                <w:color w:val="auto"/>
                <w:sz w:val="24"/>
                <w:lang w:eastAsia="zh-CN"/>
              </w:rPr>
              <w:t>（</w:t>
            </w:r>
            <w:r>
              <w:rPr>
                <w:rFonts w:hint="eastAsia"/>
                <w:color w:val="auto"/>
                <w:sz w:val="24"/>
              </w:rPr>
              <w:t>2023年8月21日至8月31日</w:t>
            </w:r>
            <w:r>
              <w:rPr>
                <w:rFonts w:hint="eastAsia"/>
                <w:color w:val="auto"/>
                <w:sz w:val="24"/>
                <w:lang w:eastAsia="zh-CN"/>
              </w:rPr>
              <w:t>）</w:t>
            </w:r>
            <w:r>
              <w:rPr>
                <w:rFonts w:hint="eastAsia"/>
                <w:color w:val="auto"/>
                <w:sz w:val="24"/>
              </w:rPr>
              <w:t>。在前阶段整治工作基础上，逐步深入推进，对已完成整改的问题进行“回头看”销号验收，确保整改到位不发生反弹。逾期未完成整改任务的一律停产整治，逾期无法办理相关审批手续、整治无望和拒不整改的要依法予以</w:t>
            </w:r>
            <w:r>
              <w:rPr>
                <w:rFonts w:hint="eastAsia"/>
                <w:color w:val="auto"/>
                <w:sz w:val="24"/>
                <w:lang w:val="en-US" w:eastAsia="zh-CN"/>
              </w:rPr>
              <w:t>取缔。</w:t>
            </w:r>
          </w:p>
          <w:p w14:paraId="2DF3AC54">
            <w:pPr>
              <w:keepNext w:val="0"/>
              <w:keepLines w:val="0"/>
              <w:pageBreakBefore w:val="0"/>
              <w:kinsoku/>
              <w:overflowPunct/>
              <w:topLinePunct w:val="0"/>
              <w:bidi w:val="0"/>
              <w:adjustRightInd w:val="0"/>
              <w:snapToGrid w:val="0"/>
              <w:spacing w:line="360" w:lineRule="auto"/>
              <w:ind w:firstLine="480" w:firstLineChars="200"/>
              <w:rPr>
                <w:rFonts w:hint="default" w:eastAsia="宋体"/>
                <w:color w:val="auto"/>
                <w:sz w:val="24"/>
                <w:lang w:val="en-US" w:eastAsia="zh-CN"/>
              </w:rPr>
            </w:pPr>
            <w:r>
              <w:rPr>
                <w:rFonts w:hint="eastAsia"/>
                <w:color w:val="auto"/>
                <w:sz w:val="24"/>
                <w:lang w:val="en-US" w:eastAsia="zh-CN"/>
              </w:rPr>
              <w:t>本项目厂区四周设置防风抑尘网，本项目场内堆场最大堆存高度2.5m，防风抑尘网高4m高于堆场最大堆存高度，堆场采用编织覆盖（防尘网）方式降尘。</w:t>
            </w:r>
            <w:r>
              <w:rPr>
                <w:rFonts w:hint="eastAsia" w:hAnsi="宋体" w:cs="Times New Roman"/>
                <w:color w:val="auto"/>
                <w:sz w:val="24"/>
                <w:szCs w:val="24"/>
                <w:lang w:val="en-US" w:eastAsia="zh-CN"/>
              </w:rPr>
              <w:t>煤炭装车和卸车过程采用车辆出入冲洗（高压水枪）方式降尘，降尘后颗粒物以无组织形式排放。本项目严禁在重污染天气期间、大风天气时生产作业</w:t>
            </w:r>
            <w:r>
              <w:rPr>
                <w:rFonts w:hint="eastAsia"/>
                <w:color w:val="auto"/>
                <w:sz w:val="24"/>
                <w:lang w:eastAsia="zh-CN"/>
              </w:rPr>
              <w:t>。</w:t>
            </w:r>
            <w:r>
              <w:rPr>
                <w:rFonts w:hint="eastAsia" w:hAnsi="宋体" w:cs="Times New Roman"/>
                <w:color w:val="auto"/>
                <w:sz w:val="24"/>
                <w:szCs w:val="24"/>
                <w:lang w:val="en-US" w:eastAsia="zh-CN"/>
              </w:rPr>
              <w:t>本项目煤炭运输过程</w:t>
            </w:r>
            <w:r>
              <w:rPr>
                <w:rFonts w:hint="eastAsia" w:cs="Times New Roman"/>
                <w:color w:val="auto"/>
                <w:kern w:val="0"/>
                <w:sz w:val="24"/>
                <w:szCs w:val="20"/>
                <w:lang w:val="en-US" w:eastAsia="zh-CN" w:bidi="ar-SA"/>
              </w:rPr>
              <w:t>中</w:t>
            </w:r>
            <w:r>
              <w:rPr>
                <w:rFonts w:hint="default" w:cs="Times New Roman"/>
                <w:color w:val="auto"/>
                <w:kern w:val="0"/>
                <w:sz w:val="24"/>
                <w:szCs w:val="20"/>
                <w:lang w:val="en-US" w:eastAsia="zh-CN" w:bidi="ar-SA"/>
              </w:rPr>
              <w:t>采</w:t>
            </w:r>
            <w:r>
              <w:rPr>
                <w:rFonts w:hint="eastAsia" w:cs="Times New Roman"/>
                <w:color w:val="auto"/>
                <w:kern w:val="0"/>
                <w:sz w:val="24"/>
                <w:szCs w:val="20"/>
                <w:lang w:val="en-US" w:eastAsia="zh-CN" w:bidi="ar-SA"/>
              </w:rPr>
              <w:t>用苫布覆盖，出厂时车轮进行清洗，防止物料洒落，</w:t>
            </w:r>
            <w:r>
              <w:rPr>
                <w:rFonts w:hint="default" w:cs="Times New Roman"/>
                <w:color w:val="auto"/>
                <w:kern w:val="0"/>
                <w:sz w:val="24"/>
                <w:szCs w:val="20"/>
                <w:lang w:val="en-US" w:eastAsia="zh-CN" w:bidi="ar-SA"/>
              </w:rPr>
              <w:t>减少运输过程中粉尘排放量</w:t>
            </w:r>
            <w:r>
              <w:rPr>
                <w:rFonts w:hint="eastAsia" w:cs="Times New Roman"/>
                <w:color w:val="auto"/>
                <w:kern w:val="0"/>
                <w:sz w:val="24"/>
                <w:szCs w:val="20"/>
                <w:lang w:val="en-US" w:eastAsia="zh-CN" w:bidi="ar-SA"/>
              </w:rPr>
              <w:t>。符合</w:t>
            </w:r>
            <w:r>
              <w:rPr>
                <w:rFonts w:hint="eastAsia"/>
                <w:color w:val="auto"/>
                <w:sz w:val="24"/>
                <w:lang w:val="en-US" w:eastAsia="zh-CN"/>
              </w:rPr>
              <w:t>《鸡西市洗煤厂、储煤厂排查整治工作方案》相关要求。</w:t>
            </w:r>
          </w:p>
          <w:p w14:paraId="58F79529">
            <w:pPr>
              <w:keepNext w:val="0"/>
              <w:keepLines w:val="0"/>
              <w:pageBreakBefore w:val="0"/>
              <w:kinsoku/>
              <w:overflowPunct/>
              <w:topLinePunct w:val="0"/>
              <w:bidi w:val="0"/>
              <w:spacing w:line="360" w:lineRule="auto"/>
              <w:ind w:firstLine="480" w:firstLineChars="200"/>
              <w:rPr>
                <w:rFonts w:hint="default" w:eastAsia="宋体"/>
                <w:color w:val="auto"/>
                <w:sz w:val="24"/>
                <w:lang w:val="en-US" w:eastAsia="zh-CN"/>
              </w:rPr>
            </w:pPr>
            <w:r>
              <w:rPr>
                <w:rFonts w:hint="eastAsia" w:cs="Times New Roman"/>
                <w:color w:val="auto"/>
                <w:sz w:val="24"/>
                <w:lang w:val="en-US" w:eastAsia="zh-CN"/>
              </w:rPr>
              <w:t>6</w:t>
            </w:r>
            <w:r>
              <w:rPr>
                <w:rFonts w:hint="eastAsia" w:ascii="Times New Roman" w:hAnsi="Times New Roman" w:eastAsia="宋体" w:cs="Times New Roman"/>
                <w:color w:val="auto"/>
                <w:sz w:val="24"/>
                <w:lang w:val="en-US" w:eastAsia="zh-CN"/>
              </w:rPr>
              <w:t>、</w:t>
            </w:r>
            <w:r>
              <w:rPr>
                <w:rFonts w:hint="eastAsia"/>
                <w:color w:val="auto"/>
                <w:sz w:val="24"/>
                <w:lang w:val="en-US" w:eastAsia="zh-CN"/>
              </w:rPr>
              <w:t>与《鸡西市储煤厂环境综合整治验收标准（暂行）》的符合性分析</w:t>
            </w:r>
          </w:p>
          <w:p w14:paraId="4E804235">
            <w:pPr>
              <w:keepNext w:val="0"/>
              <w:keepLines w:val="0"/>
              <w:pageBreakBefore w:val="0"/>
              <w:kinsoku/>
              <w:overflowPunct/>
              <w:topLinePunct w:val="0"/>
              <w:bidi w:val="0"/>
              <w:adjustRightInd w:val="0"/>
              <w:snapToGrid w:val="0"/>
              <w:spacing w:line="360" w:lineRule="auto"/>
              <w:ind w:firstLine="480" w:firstLineChars="200"/>
              <w:rPr>
                <w:rFonts w:hint="eastAsia"/>
                <w:color w:val="auto"/>
                <w:sz w:val="24"/>
                <w:lang w:val="en-US" w:eastAsia="zh-CN"/>
              </w:rPr>
            </w:pPr>
            <w:r>
              <w:rPr>
                <w:rFonts w:hint="eastAsia"/>
                <w:color w:val="auto"/>
                <w:sz w:val="24"/>
                <w:lang w:val="en-US" w:eastAsia="zh-CN"/>
              </w:rPr>
              <w:t>本项目与《鸡西市储煤厂环境综合整治验收标准（暂行）》的符合性分析见表1-3。</w:t>
            </w:r>
          </w:p>
          <w:p w14:paraId="10278082">
            <w:pPr>
              <w:pStyle w:val="187"/>
              <w:keepNext w:val="0"/>
              <w:keepLines w:val="0"/>
              <w:pageBreakBefore w:val="0"/>
              <w:kinsoku/>
              <w:overflowPunct/>
              <w:topLinePunct w:val="0"/>
              <w:bidi w:val="0"/>
              <w:spacing w:line="240" w:lineRule="auto"/>
              <w:rPr>
                <w:rFonts w:hint="default" w:ascii="Times New Roman" w:hAnsi="Times New Roman" w:eastAsia="宋体" w:cs="Times New Roman"/>
                <w:b/>
                <w:bCs/>
                <w:color w:val="auto"/>
                <w:sz w:val="21"/>
                <w:szCs w:val="21"/>
                <w:lang w:val="en-US" w:eastAsia="zh-CN"/>
              </w:rPr>
            </w:pPr>
            <w:r>
              <w:rPr>
                <w:rFonts w:ascii="Times New Roman" w:eastAsia="宋体"/>
                <w:b/>
                <w:bCs/>
                <w:color w:val="auto"/>
                <w:sz w:val="21"/>
                <w:szCs w:val="21"/>
              </w:rPr>
              <w:t>表1-</w:t>
            </w:r>
            <w:r>
              <w:rPr>
                <w:rFonts w:hint="eastAsia" w:ascii="Times New Roman" w:eastAsia="宋体"/>
                <w:b/>
                <w:bCs/>
                <w:color w:val="auto"/>
                <w:sz w:val="21"/>
                <w:szCs w:val="21"/>
                <w:lang w:val="en-US" w:eastAsia="zh-CN"/>
              </w:rPr>
              <w:t>3</w:t>
            </w:r>
            <w:r>
              <w:rPr>
                <w:rFonts w:ascii="Times New Roman" w:eastAsia="宋体"/>
                <w:b/>
                <w:bCs/>
                <w:color w:val="auto"/>
                <w:sz w:val="21"/>
                <w:szCs w:val="21"/>
              </w:rPr>
              <w:t xml:space="preserve">  本项目与</w:t>
            </w:r>
            <w:r>
              <w:rPr>
                <w:rFonts w:ascii="Times New Roman" w:hAnsi="Times New Roman" w:eastAsia="宋体" w:cs="Times New Roman"/>
                <w:b/>
                <w:bCs/>
                <w:color w:val="auto"/>
                <w:sz w:val="21"/>
                <w:szCs w:val="21"/>
              </w:rPr>
              <w:t>《</w:t>
            </w:r>
            <w:r>
              <w:rPr>
                <w:rFonts w:hint="eastAsia" w:ascii="Times New Roman" w:hAnsi="Times New Roman" w:eastAsia="宋体" w:cs="Times New Roman"/>
                <w:b/>
                <w:bCs/>
                <w:color w:val="auto"/>
                <w:sz w:val="21"/>
                <w:szCs w:val="21"/>
                <w:lang w:val="en-US" w:eastAsia="zh-CN"/>
              </w:rPr>
              <w:t>鸡西市储煤厂环境综合整治验收标准（暂行）</w:t>
            </w:r>
            <w:r>
              <w:rPr>
                <w:rFonts w:ascii="Times New Roman" w:hAnsi="Times New Roman" w:eastAsia="宋体" w:cs="Times New Roman"/>
                <w:b/>
                <w:bCs/>
                <w:color w:val="auto"/>
                <w:sz w:val="21"/>
                <w:szCs w:val="21"/>
              </w:rPr>
              <w:t>》符合性分析</w:t>
            </w:r>
          </w:p>
          <w:tbl>
            <w:tblPr>
              <w:tblStyle w:val="39"/>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2915"/>
              <w:gridCol w:w="2595"/>
              <w:gridCol w:w="908"/>
            </w:tblGrid>
            <w:tr w14:paraId="0D7CC9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1" w:type="dxa"/>
                  <w:tcBorders>
                    <w:tl2br w:val="nil"/>
                    <w:tr2bl w:val="nil"/>
                  </w:tcBorders>
                  <w:vAlign w:val="center"/>
                </w:tcPr>
                <w:p w14:paraId="3C1F4904">
                  <w:pPr>
                    <w:keepNext w:val="0"/>
                    <w:keepLines w:val="0"/>
                    <w:pageBreakBefore w:val="0"/>
                    <w:kinsoku/>
                    <w:overflowPunct/>
                    <w:topLinePunct w:val="0"/>
                    <w:bidi w:val="0"/>
                    <w:adjustRightInd w:val="0"/>
                    <w:snapToGrid w:val="0"/>
                    <w:spacing w:line="240" w:lineRule="auto"/>
                    <w:jc w:val="center"/>
                    <w:rPr>
                      <w:rFonts w:hint="eastAsia" w:eastAsia="宋体"/>
                      <w:color w:val="auto"/>
                      <w:sz w:val="21"/>
                      <w:szCs w:val="21"/>
                      <w:vertAlign w:val="baseline"/>
                      <w:lang w:val="en-US" w:eastAsia="zh-CN"/>
                    </w:rPr>
                  </w:pPr>
                  <w:r>
                    <w:rPr>
                      <w:rFonts w:hint="eastAsia"/>
                      <w:color w:val="auto"/>
                      <w:sz w:val="21"/>
                      <w:szCs w:val="21"/>
                      <w:vertAlign w:val="baseline"/>
                      <w:lang w:val="en-US" w:eastAsia="zh-CN"/>
                    </w:rPr>
                    <w:t>项目</w:t>
                  </w:r>
                </w:p>
              </w:tc>
              <w:tc>
                <w:tcPr>
                  <w:tcW w:w="2915" w:type="dxa"/>
                  <w:tcBorders>
                    <w:tl2br w:val="nil"/>
                    <w:tr2bl w:val="nil"/>
                  </w:tcBorders>
                  <w:vAlign w:val="center"/>
                </w:tcPr>
                <w:p w14:paraId="1266B4C6">
                  <w:pPr>
                    <w:keepNext w:val="0"/>
                    <w:keepLines w:val="0"/>
                    <w:pageBreakBefore w:val="0"/>
                    <w:kinsoku/>
                    <w:overflowPunct/>
                    <w:topLinePunct w:val="0"/>
                    <w:bidi w:val="0"/>
                    <w:adjustRightInd w:val="0"/>
                    <w:snapToGrid w:val="0"/>
                    <w:spacing w:line="240" w:lineRule="auto"/>
                    <w:jc w:val="center"/>
                    <w:rPr>
                      <w:rFonts w:hint="default" w:eastAsia="宋体"/>
                      <w:color w:val="auto"/>
                      <w:sz w:val="21"/>
                      <w:szCs w:val="21"/>
                      <w:vertAlign w:val="baseline"/>
                      <w:lang w:val="en-US" w:eastAsia="zh-CN"/>
                    </w:rPr>
                  </w:pPr>
                  <w:r>
                    <w:rPr>
                      <w:rFonts w:hint="eastAsia"/>
                      <w:color w:val="auto"/>
                      <w:sz w:val="21"/>
                      <w:szCs w:val="21"/>
                      <w:vertAlign w:val="baseline"/>
                      <w:lang w:val="en-US" w:eastAsia="zh-CN"/>
                    </w:rPr>
                    <w:t>标准要求</w:t>
                  </w:r>
                </w:p>
              </w:tc>
              <w:tc>
                <w:tcPr>
                  <w:tcW w:w="2595" w:type="dxa"/>
                  <w:tcBorders>
                    <w:tl2br w:val="nil"/>
                    <w:tr2bl w:val="nil"/>
                  </w:tcBorders>
                  <w:vAlign w:val="center"/>
                </w:tcPr>
                <w:p w14:paraId="28BB8FB3">
                  <w:pPr>
                    <w:keepNext w:val="0"/>
                    <w:keepLines w:val="0"/>
                    <w:pageBreakBefore w:val="0"/>
                    <w:kinsoku/>
                    <w:overflowPunct/>
                    <w:topLinePunct w:val="0"/>
                    <w:bidi w:val="0"/>
                    <w:adjustRightInd w:val="0"/>
                    <w:snapToGrid w:val="0"/>
                    <w:spacing w:line="240" w:lineRule="auto"/>
                    <w:jc w:val="center"/>
                    <w:rPr>
                      <w:rFonts w:hint="eastAsia" w:eastAsia="宋体"/>
                      <w:color w:val="auto"/>
                      <w:sz w:val="21"/>
                      <w:szCs w:val="21"/>
                      <w:vertAlign w:val="baseline"/>
                      <w:lang w:val="en-US" w:eastAsia="zh-CN"/>
                    </w:rPr>
                  </w:pPr>
                  <w:r>
                    <w:rPr>
                      <w:rFonts w:hint="eastAsia"/>
                      <w:color w:val="auto"/>
                      <w:sz w:val="21"/>
                      <w:szCs w:val="21"/>
                      <w:vertAlign w:val="baseline"/>
                      <w:lang w:val="en-US" w:eastAsia="zh-CN"/>
                    </w:rPr>
                    <w:t>本项目</w:t>
                  </w:r>
                </w:p>
              </w:tc>
              <w:tc>
                <w:tcPr>
                  <w:tcW w:w="908" w:type="dxa"/>
                  <w:tcBorders>
                    <w:tl2br w:val="nil"/>
                    <w:tr2bl w:val="nil"/>
                  </w:tcBorders>
                  <w:vAlign w:val="center"/>
                </w:tcPr>
                <w:p w14:paraId="635998EB">
                  <w:pPr>
                    <w:keepNext w:val="0"/>
                    <w:keepLines w:val="0"/>
                    <w:pageBreakBefore w:val="0"/>
                    <w:kinsoku/>
                    <w:overflowPunct/>
                    <w:topLinePunct w:val="0"/>
                    <w:bidi w:val="0"/>
                    <w:adjustRightInd w:val="0"/>
                    <w:snapToGrid w:val="0"/>
                    <w:spacing w:line="240" w:lineRule="auto"/>
                    <w:jc w:val="center"/>
                    <w:rPr>
                      <w:rFonts w:hint="eastAsia" w:eastAsia="宋体"/>
                      <w:color w:val="auto"/>
                      <w:sz w:val="21"/>
                      <w:szCs w:val="21"/>
                      <w:vertAlign w:val="baseline"/>
                      <w:lang w:val="en-US" w:eastAsia="zh-CN"/>
                    </w:rPr>
                  </w:pPr>
                  <w:r>
                    <w:rPr>
                      <w:rFonts w:hint="eastAsia"/>
                      <w:color w:val="auto"/>
                      <w:sz w:val="21"/>
                      <w:szCs w:val="21"/>
                      <w:vertAlign w:val="baseline"/>
                      <w:lang w:val="en-US" w:eastAsia="zh-CN"/>
                    </w:rPr>
                    <w:t>符合性</w:t>
                  </w:r>
                </w:p>
              </w:tc>
            </w:tr>
            <w:tr w14:paraId="022BF0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1" w:type="dxa"/>
                  <w:vMerge w:val="restart"/>
                  <w:tcBorders>
                    <w:tl2br w:val="nil"/>
                    <w:tr2bl w:val="nil"/>
                  </w:tcBorders>
                  <w:vAlign w:val="center"/>
                </w:tcPr>
                <w:p w14:paraId="5D36D088">
                  <w:pPr>
                    <w:keepNext w:val="0"/>
                    <w:keepLines w:val="0"/>
                    <w:pageBreakBefore w:val="0"/>
                    <w:kinsoku/>
                    <w:overflowPunct/>
                    <w:topLinePunct w:val="0"/>
                    <w:bidi w:val="0"/>
                    <w:adjustRightInd w:val="0"/>
                    <w:snapToGrid w:val="0"/>
                    <w:spacing w:line="240" w:lineRule="auto"/>
                    <w:jc w:val="center"/>
                    <w:rPr>
                      <w:rFonts w:hint="default" w:eastAsia="宋体"/>
                      <w:color w:val="auto"/>
                      <w:sz w:val="21"/>
                      <w:szCs w:val="21"/>
                      <w:vertAlign w:val="baseline"/>
                      <w:lang w:val="en-US" w:eastAsia="zh-CN"/>
                    </w:rPr>
                  </w:pPr>
                  <w:r>
                    <w:rPr>
                      <w:rFonts w:hint="eastAsia"/>
                      <w:color w:val="auto"/>
                      <w:sz w:val="21"/>
                      <w:szCs w:val="21"/>
                      <w:vertAlign w:val="baseline"/>
                      <w:lang w:val="en-US" w:eastAsia="zh-CN"/>
                    </w:rPr>
                    <w:t>大气污染防治措施</w:t>
                  </w:r>
                </w:p>
              </w:tc>
              <w:tc>
                <w:tcPr>
                  <w:tcW w:w="2915" w:type="dxa"/>
                  <w:tcBorders>
                    <w:tl2br w:val="nil"/>
                    <w:tr2bl w:val="nil"/>
                  </w:tcBorders>
                  <w:vAlign w:val="center"/>
                </w:tcPr>
                <w:p w14:paraId="103BD270">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rPr>
                    <w:t>储煤厂四周应当建设闭合的防风抑尘网。防风抑尘网高度不得低于物料堆高度，遇到高压线等高空障碍物可适当调整高度。储煤厂堆存物应当使用绿网进行苫盖</w:t>
                  </w:r>
                  <w:r>
                    <w:rPr>
                      <w:rFonts w:hint="eastAsia"/>
                      <w:color w:val="auto"/>
                      <w:sz w:val="21"/>
                      <w:szCs w:val="21"/>
                      <w:lang w:eastAsia="zh-CN"/>
                    </w:rPr>
                    <w:t>。</w:t>
                  </w:r>
                </w:p>
              </w:tc>
              <w:tc>
                <w:tcPr>
                  <w:tcW w:w="2595" w:type="dxa"/>
                  <w:tcBorders>
                    <w:tl2br w:val="nil"/>
                    <w:tr2bl w:val="nil"/>
                  </w:tcBorders>
                  <w:vAlign w:val="center"/>
                </w:tcPr>
                <w:p w14:paraId="7BFB3641">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ascii="Times New Roman" w:hAnsi="Times New Roman" w:eastAsia="宋体" w:cs="Times New Roman"/>
                      <w:color w:val="auto"/>
                      <w:sz w:val="21"/>
                      <w:szCs w:val="21"/>
                      <w:lang w:val="en-US" w:eastAsia="zh-CN"/>
                    </w:rPr>
                    <w:t>本项目厂区四周设置防风抑尘网，本项目场内堆场最大堆存高度2</w:t>
                  </w:r>
                  <w:r>
                    <w:rPr>
                      <w:rFonts w:hint="eastAsia" w:cs="Times New Roman"/>
                      <w:color w:val="auto"/>
                      <w:sz w:val="21"/>
                      <w:szCs w:val="21"/>
                      <w:lang w:val="en-US" w:eastAsia="zh-CN"/>
                    </w:rPr>
                    <w:t>.5</w:t>
                  </w:r>
                  <w:r>
                    <w:rPr>
                      <w:rFonts w:hint="eastAsia" w:ascii="Times New Roman" w:hAnsi="Times New Roman" w:eastAsia="宋体" w:cs="Times New Roman"/>
                      <w:color w:val="auto"/>
                      <w:sz w:val="21"/>
                      <w:szCs w:val="21"/>
                      <w:lang w:val="en-US" w:eastAsia="zh-CN"/>
                    </w:rPr>
                    <w:t>m，防风抑尘网高4m高于堆场最大堆存高度。</w:t>
                  </w:r>
                </w:p>
              </w:tc>
              <w:tc>
                <w:tcPr>
                  <w:tcW w:w="908" w:type="dxa"/>
                  <w:tcBorders>
                    <w:tl2br w:val="nil"/>
                    <w:tr2bl w:val="nil"/>
                  </w:tcBorders>
                  <w:vAlign w:val="center"/>
                </w:tcPr>
                <w:p w14:paraId="7A434D68">
                  <w:pPr>
                    <w:keepNext w:val="0"/>
                    <w:keepLines w:val="0"/>
                    <w:pageBreakBefore w:val="0"/>
                    <w:kinsoku/>
                    <w:overflowPunct/>
                    <w:topLinePunct w:val="0"/>
                    <w:bidi w:val="0"/>
                    <w:adjustRightInd w:val="0"/>
                    <w:snapToGrid w:val="0"/>
                    <w:spacing w:line="240" w:lineRule="auto"/>
                    <w:jc w:val="center"/>
                    <w:rPr>
                      <w:rFonts w:hint="eastAsia" w:eastAsia="宋体"/>
                      <w:color w:val="auto"/>
                      <w:sz w:val="21"/>
                      <w:szCs w:val="21"/>
                      <w:vertAlign w:val="baseline"/>
                      <w:lang w:val="en-US" w:eastAsia="zh-CN"/>
                    </w:rPr>
                  </w:pPr>
                  <w:r>
                    <w:rPr>
                      <w:rFonts w:hint="eastAsia"/>
                      <w:color w:val="auto"/>
                      <w:sz w:val="21"/>
                      <w:szCs w:val="21"/>
                      <w:vertAlign w:val="baseline"/>
                      <w:lang w:val="en-US" w:eastAsia="zh-CN"/>
                    </w:rPr>
                    <w:t>符合</w:t>
                  </w:r>
                </w:p>
              </w:tc>
            </w:tr>
            <w:tr w14:paraId="2F83ED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1" w:type="dxa"/>
                  <w:vMerge w:val="continue"/>
                  <w:tcBorders>
                    <w:tl2br w:val="nil"/>
                    <w:tr2bl w:val="nil"/>
                  </w:tcBorders>
                  <w:vAlign w:val="center"/>
                </w:tcPr>
                <w:p w14:paraId="117B7798">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p>
              </w:tc>
              <w:tc>
                <w:tcPr>
                  <w:tcW w:w="2915" w:type="dxa"/>
                  <w:tcBorders>
                    <w:tl2br w:val="nil"/>
                    <w:tr2bl w:val="nil"/>
                  </w:tcBorders>
                  <w:vAlign w:val="center"/>
                </w:tcPr>
                <w:p w14:paraId="611859DB">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rPr>
                    <w:t>储煤厂在日常作业中应当采取喷淋、洒水等方式进行降尘，并且严禁在重污染天气期间、大风天气时生产作业以避免造成扬尘污染。</w:t>
                  </w:r>
                </w:p>
              </w:tc>
              <w:tc>
                <w:tcPr>
                  <w:tcW w:w="2595" w:type="dxa"/>
                  <w:tcBorders>
                    <w:tl2br w:val="nil"/>
                    <w:tr2bl w:val="nil"/>
                  </w:tcBorders>
                  <w:vAlign w:val="center"/>
                </w:tcPr>
                <w:p w14:paraId="2D096FFB">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ascii="Times New Roman" w:hAnsi="Times New Roman" w:eastAsia="宋体" w:cs="Times New Roman"/>
                      <w:color w:val="auto"/>
                      <w:sz w:val="21"/>
                      <w:szCs w:val="21"/>
                      <w:lang w:val="en-US" w:eastAsia="zh-CN"/>
                    </w:rPr>
                    <w:t>本项目严禁在污染天气期间、大风天气时生产作业。车辆冲洗用水和降尘用水优先使用收集的初期雨水，初期雨水不足时购买黑龙江龙煤鸡西矿业有限责任公司自来水使用。</w:t>
                  </w:r>
                </w:p>
              </w:tc>
              <w:tc>
                <w:tcPr>
                  <w:tcW w:w="908" w:type="dxa"/>
                  <w:tcBorders>
                    <w:tl2br w:val="nil"/>
                    <w:tr2bl w:val="nil"/>
                  </w:tcBorders>
                  <w:vAlign w:val="center"/>
                </w:tcPr>
                <w:p w14:paraId="2C7E41DF">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vertAlign w:val="baseline"/>
                      <w:lang w:val="en-US" w:eastAsia="zh-CN"/>
                    </w:rPr>
                    <w:t>符合</w:t>
                  </w:r>
                </w:p>
              </w:tc>
            </w:tr>
            <w:tr w14:paraId="325B1A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1" w:type="dxa"/>
                  <w:vMerge w:val="continue"/>
                  <w:tcBorders>
                    <w:tl2br w:val="nil"/>
                    <w:tr2bl w:val="nil"/>
                  </w:tcBorders>
                  <w:vAlign w:val="center"/>
                </w:tcPr>
                <w:p w14:paraId="4FAF863B">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p>
              </w:tc>
              <w:tc>
                <w:tcPr>
                  <w:tcW w:w="2915" w:type="dxa"/>
                  <w:tcBorders>
                    <w:tl2br w:val="nil"/>
                    <w:tr2bl w:val="nil"/>
                  </w:tcBorders>
                  <w:vAlign w:val="center"/>
                </w:tcPr>
                <w:p w14:paraId="33123C8C">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rPr>
                    <w:t>储煤厂使用的运输车辆应当按照当地城市执法部门的要求进行全面苦盖，并确保车辆清洁。</w:t>
                  </w:r>
                </w:p>
              </w:tc>
              <w:tc>
                <w:tcPr>
                  <w:tcW w:w="2595" w:type="dxa"/>
                  <w:tcBorders>
                    <w:tl2br w:val="nil"/>
                    <w:tr2bl w:val="nil"/>
                  </w:tcBorders>
                  <w:vAlign w:val="center"/>
                </w:tcPr>
                <w:p w14:paraId="13480436">
                  <w:pPr>
                    <w:keepNext w:val="0"/>
                    <w:keepLines w:val="0"/>
                    <w:pageBreakBefore w:val="0"/>
                    <w:kinsoku/>
                    <w:overflowPunct/>
                    <w:topLinePunct w:val="0"/>
                    <w:bidi w:val="0"/>
                    <w:adjustRightInd w:val="0"/>
                    <w:snapToGrid w:val="0"/>
                    <w:spacing w:line="240" w:lineRule="auto"/>
                    <w:jc w:val="center"/>
                    <w:rPr>
                      <w:rFonts w:hint="default"/>
                      <w:color w:val="auto"/>
                      <w:sz w:val="21"/>
                      <w:szCs w:val="21"/>
                      <w:vertAlign w:val="baseline"/>
                      <w:lang w:val="en-US"/>
                    </w:rPr>
                  </w:pPr>
                  <w:r>
                    <w:rPr>
                      <w:rFonts w:hint="eastAsia" w:ascii="Times New Roman" w:hAnsi="Times New Roman" w:eastAsia="宋体" w:cs="Times New Roman"/>
                      <w:color w:val="auto"/>
                      <w:szCs w:val="21"/>
                      <w:lang w:val="en-US" w:eastAsia="zh-CN"/>
                    </w:rPr>
                    <w:t>装车和卸车过程采用车辆出入冲洗方式降尘，并全面苫盖。</w:t>
                  </w:r>
                </w:p>
              </w:tc>
              <w:tc>
                <w:tcPr>
                  <w:tcW w:w="908" w:type="dxa"/>
                  <w:tcBorders>
                    <w:tl2br w:val="nil"/>
                    <w:tr2bl w:val="nil"/>
                  </w:tcBorders>
                  <w:vAlign w:val="center"/>
                </w:tcPr>
                <w:p w14:paraId="0F8CB9DF">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vertAlign w:val="baseline"/>
                      <w:lang w:val="en-US" w:eastAsia="zh-CN"/>
                    </w:rPr>
                    <w:t>符合</w:t>
                  </w:r>
                </w:p>
              </w:tc>
            </w:tr>
            <w:tr w14:paraId="5BC9D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1" w:type="dxa"/>
                  <w:vMerge w:val="continue"/>
                  <w:tcBorders>
                    <w:tl2br w:val="nil"/>
                    <w:tr2bl w:val="nil"/>
                  </w:tcBorders>
                  <w:vAlign w:val="center"/>
                </w:tcPr>
                <w:p w14:paraId="3F30D9B2">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p>
              </w:tc>
              <w:tc>
                <w:tcPr>
                  <w:tcW w:w="2915" w:type="dxa"/>
                  <w:tcBorders>
                    <w:tl2br w:val="nil"/>
                    <w:tr2bl w:val="nil"/>
                  </w:tcBorders>
                  <w:vAlign w:val="center"/>
                </w:tcPr>
                <w:p w14:paraId="54278A99">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rPr>
                    <w:t>储煤厂原则上不得使用燃煤锅炉，应当使用电、天然气等清洁能源取暖。若因条件限制使用燃煤、生物质锅炉的应当配套建设高效除尘设施，并定期检测。</w:t>
                  </w:r>
                </w:p>
              </w:tc>
              <w:tc>
                <w:tcPr>
                  <w:tcW w:w="2595" w:type="dxa"/>
                  <w:tcBorders>
                    <w:tl2br w:val="nil"/>
                    <w:tr2bl w:val="nil"/>
                  </w:tcBorders>
                  <w:vAlign w:val="center"/>
                </w:tcPr>
                <w:p w14:paraId="5D6BFE6D">
                  <w:pPr>
                    <w:keepNext w:val="0"/>
                    <w:keepLines w:val="0"/>
                    <w:pageBreakBefore w:val="0"/>
                    <w:kinsoku/>
                    <w:overflowPunct/>
                    <w:topLinePunct w:val="0"/>
                    <w:bidi w:val="0"/>
                    <w:adjustRightInd w:val="0"/>
                    <w:snapToGrid w:val="0"/>
                    <w:spacing w:line="240" w:lineRule="auto"/>
                    <w:jc w:val="center"/>
                    <w:rPr>
                      <w:rFonts w:hint="default" w:eastAsia="宋体"/>
                      <w:color w:val="auto"/>
                      <w:sz w:val="21"/>
                      <w:szCs w:val="21"/>
                      <w:vertAlign w:val="baseline"/>
                      <w:lang w:val="en-US" w:eastAsia="zh-CN"/>
                    </w:rPr>
                  </w:pPr>
                  <w:r>
                    <w:rPr>
                      <w:color w:val="auto"/>
                      <w:szCs w:val="21"/>
                    </w:rPr>
                    <w:t>本项目</w:t>
                  </w:r>
                  <w:r>
                    <w:rPr>
                      <w:rFonts w:hint="eastAsia"/>
                      <w:color w:val="auto"/>
                      <w:szCs w:val="21"/>
                    </w:rPr>
                    <w:t>冬季</w:t>
                  </w:r>
                  <w:r>
                    <w:rPr>
                      <w:rFonts w:hint="eastAsia"/>
                      <w:color w:val="auto"/>
                      <w:szCs w:val="21"/>
                      <w:lang w:val="en-US" w:eastAsia="zh-CN"/>
                    </w:rPr>
                    <w:t>不生产，无需采暖</w:t>
                  </w:r>
                  <w:r>
                    <w:rPr>
                      <w:rFonts w:hint="eastAsia"/>
                      <w:color w:val="auto"/>
                      <w:szCs w:val="21"/>
                    </w:rPr>
                    <w:t>。</w:t>
                  </w:r>
                  <w:r>
                    <w:rPr>
                      <w:rFonts w:hint="eastAsia"/>
                      <w:color w:val="auto"/>
                      <w:szCs w:val="21"/>
                      <w:lang w:val="en-US" w:eastAsia="zh-CN"/>
                    </w:rPr>
                    <w:t>储煤过程不使用锅炉。</w:t>
                  </w:r>
                </w:p>
              </w:tc>
              <w:tc>
                <w:tcPr>
                  <w:tcW w:w="908" w:type="dxa"/>
                  <w:tcBorders>
                    <w:tl2br w:val="nil"/>
                    <w:tr2bl w:val="nil"/>
                  </w:tcBorders>
                  <w:vAlign w:val="center"/>
                </w:tcPr>
                <w:p w14:paraId="7E63B3E8">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vertAlign w:val="baseline"/>
                      <w:lang w:val="en-US" w:eastAsia="zh-CN"/>
                    </w:rPr>
                    <w:t>符合</w:t>
                  </w:r>
                </w:p>
              </w:tc>
            </w:tr>
            <w:tr w14:paraId="1A9844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1" w:type="dxa"/>
                  <w:vMerge w:val="continue"/>
                  <w:tcBorders>
                    <w:tl2br w:val="nil"/>
                    <w:tr2bl w:val="nil"/>
                  </w:tcBorders>
                  <w:vAlign w:val="center"/>
                </w:tcPr>
                <w:p w14:paraId="6906D09A">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p>
              </w:tc>
              <w:tc>
                <w:tcPr>
                  <w:tcW w:w="2915" w:type="dxa"/>
                  <w:tcBorders>
                    <w:tl2br w:val="nil"/>
                    <w:tr2bl w:val="nil"/>
                  </w:tcBorders>
                  <w:vAlign w:val="center"/>
                </w:tcPr>
                <w:p w14:paraId="5BF4CF26">
                  <w:pPr>
                    <w:keepNext w:val="0"/>
                    <w:keepLines w:val="0"/>
                    <w:pageBreakBefore w:val="0"/>
                    <w:kinsoku/>
                    <w:overflowPunct/>
                    <w:topLinePunct w:val="0"/>
                    <w:bidi w:val="0"/>
                    <w:adjustRightInd w:val="0"/>
                    <w:snapToGrid w:val="0"/>
                    <w:spacing w:line="240" w:lineRule="auto"/>
                    <w:jc w:val="center"/>
                    <w:rPr>
                      <w:rFonts w:hint="eastAsia"/>
                      <w:color w:val="auto"/>
                      <w:sz w:val="21"/>
                      <w:szCs w:val="21"/>
                    </w:rPr>
                  </w:pPr>
                  <w:r>
                    <w:rPr>
                      <w:rFonts w:hint="eastAsia"/>
                      <w:color w:val="auto"/>
                      <w:sz w:val="21"/>
                      <w:szCs w:val="21"/>
                    </w:rPr>
                    <w:t>如有破碎工序或皮带输送作业环节的，须在封闭空间内作业，防止扬尘污染。</w:t>
                  </w:r>
                </w:p>
              </w:tc>
              <w:tc>
                <w:tcPr>
                  <w:tcW w:w="2595" w:type="dxa"/>
                  <w:tcBorders>
                    <w:tl2br w:val="nil"/>
                    <w:tr2bl w:val="nil"/>
                  </w:tcBorders>
                  <w:vAlign w:val="center"/>
                </w:tcPr>
                <w:p w14:paraId="422E0223">
                  <w:pPr>
                    <w:keepNext w:val="0"/>
                    <w:keepLines w:val="0"/>
                    <w:pageBreakBefore w:val="0"/>
                    <w:kinsoku/>
                    <w:overflowPunct/>
                    <w:topLinePunct w:val="0"/>
                    <w:bidi w:val="0"/>
                    <w:adjustRightInd w:val="0"/>
                    <w:snapToGrid w:val="0"/>
                    <w:spacing w:line="240" w:lineRule="auto"/>
                    <w:jc w:val="center"/>
                    <w:rPr>
                      <w:rFonts w:hint="default" w:eastAsia="宋体"/>
                      <w:color w:val="auto"/>
                      <w:sz w:val="21"/>
                      <w:szCs w:val="21"/>
                      <w:vertAlign w:val="baseline"/>
                      <w:lang w:val="en-US" w:eastAsia="zh-CN"/>
                    </w:rPr>
                  </w:pPr>
                  <w:r>
                    <w:rPr>
                      <w:rFonts w:hint="eastAsia"/>
                      <w:color w:val="auto"/>
                      <w:sz w:val="21"/>
                      <w:szCs w:val="21"/>
                      <w:vertAlign w:val="baseline"/>
                      <w:lang w:val="en-US" w:eastAsia="zh-CN"/>
                    </w:rPr>
                    <w:t>本项目工艺为卸煤、储煤、外运，没有破碎工序或传输作业环节。</w:t>
                  </w:r>
                </w:p>
              </w:tc>
              <w:tc>
                <w:tcPr>
                  <w:tcW w:w="908" w:type="dxa"/>
                  <w:tcBorders>
                    <w:tl2br w:val="nil"/>
                    <w:tr2bl w:val="nil"/>
                  </w:tcBorders>
                  <w:vAlign w:val="center"/>
                </w:tcPr>
                <w:p w14:paraId="0ADEB560">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vertAlign w:val="baseline"/>
                      <w:lang w:val="en-US" w:eastAsia="zh-CN"/>
                    </w:rPr>
                    <w:t>符合</w:t>
                  </w:r>
                </w:p>
              </w:tc>
            </w:tr>
            <w:tr w14:paraId="4B2334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1" w:type="dxa"/>
                  <w:vMerge w:val="restart"/>
                  <w:tcBorders>
                    <w:tl2br w:val="nil"/>
                    <w:tr2bl w:val="nil"/>
                  </w:tcBorders>
                  <w:vAlign w:val="center"/>
                </w:tcPr>
                <w:p w14:paraId="27C620E6">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rPr>
                    <w:t>水污染防治措施</w:t>
                  </w:r>
                </w:p>
              </w:tc>
              <w:tc>
                <w:tcPr>
                  <w:tcW w:w="2915" w:type="dxa"/>
                  <w:tcBorders>
                    <w:tl2br w:val="nil"/>
                    <w:tr2bl w:val="nil"/>
                  </w:tcBorders>
                  <w:vAlign w:val="center"/>
                </w:tcPr>
                <w:p w14:paraId="3CB820A1">
                  <w:pPr>
                    <w:keepNext w:val="0"/>
                    <w:keepLines w:val="0"/>
                    <w:pageBreakBefore w:val="0"/>
                    <w:kinsoku/>
                    <w:overflowPunct/>
                    <w:topLinePunct w:val="0"/>
                    <w:bidi w:val="0"/>
                    <w:adjustRightInd w:val="0"/>
                    <w:snapToGrid w:val="0"/>
                    <w:spacing w:line="240" w:lineRule="auto"/>
                    <w:jc w:val="center"/>
                    <w:rPr>
                      <w:rFonts w:hint="eastAsia"/>
                      <w:color w:val="auto"/>
                      <w:sz w:val="21"/>
                      <w:szCs w:val="21"/>
                    </w:rPr>
                  </w:pPr>
                  <w:r>
                    <w:rPr>
                      <w:rFonts w:hint="eastAsia"/>
                      <w:color w:val="auto"/>
                      <w:sz w:val="21"/>
                      <w:szCs w:val="21"/>
                    </w:rPr>
                    <w:t>储煤厂所应当配套建设雨水导流槽、雨水收集池(雨水收集池应建在厂区地势最低处)，收集的雨水沉淀后用于场区洒水降尘和绿化。</w:t>
                  </w:r>
                </w:p>
              </w:tc>
              <w:tc>
                <w:tcPr>
                  <w:tcW w:w="2595" w:type="dxa"/>
                  <w:tcBorders>
                    <w:tl2br w:val="nil"/>
                    <w:tr2bl w:val="nil"/>
                  </w:tcBorders>
                  <w:vAlign w:val="center"/>
                </w:tcPr>
                <w:p w14:paraId="29A2D42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color w:val="auto"/>
                      <w:sz w:val="21"/>
                      <w:szCs w:val="21"/>
                      <w:vertAlign w:val="baseline"/>
                    </w:rPr>
                  </w:pPr>
                  <w:r>
                    <w:rPr>
                      <w:rFonts w:hint="eastAsia"/>
                      <w:color w:val="auto"/>
                      <w:szCs w:val="21"/>
                      <w:lang w:val="en-US" w:eastAsia="zh-CN"/>
                    </w:rPr>
                    <w:t>本项目初期雨水收集池，位于位于厂区东北侧，10m*10m*2m，最大容积200m</w:t>
                  </w:r>
                  <w:r>
                    <w:rPr>
                      <w:rFonts w:hint="eastAsia"/>
                      <w:color w:val="auto"/>
                      <w:szCs w:val="21"/>
                      <w:vertAlign w:val="superscript"/>
                      <w:lang w:val="en-US" w:eastAsia="zh-CN"/>
                    </w:rPr>
                    <w:t>3</w:t>
                  </w:r>
                  <w:r>
                    <w:rPr>
                      <w:rFonts w:hint="eastAsia"/>
                      <w:color w:val="auto"/>
                      <w:szCs w:val="21"/>
                      <w:vertAlign w:val="baseline"/>
                      <w:lang w:val="en-US" w:eastAsia="zh-CN"/>
                    </w:rPr>
                    <w:t>，可满足本项目1次雨水收集需求。</w:t>
                  </w:r>
                  <w:r>
                    <w:rPr>
                      <w:rFonts w:hint="eastAsia"/>
                      <w:color w:val="auto"/>
                      <w:szCs w:val="21"/>
                      <w:lang w:val="en-US" w:eastAsia="zh-CN"/>
                    </w:rPr>
                    <w:t>车辆冲洗用水和降尘用水优先使用收集的初期雨水。</w:t>
                  </w:r>
                </w:p>
              </w:tc>
              <w:tc>
                <w:tcPr>
                  <w:tcW w:w="908" w:type="dxa"/>
                  <w:tcBorders>
                    <w:tl2br w:val="nil"/>
                    <w:tr2bl w:val="nil"/>
                  </w:tcBorders>
                  <w:vAlign w:val="center"/>
                </w:tcPr>
                <w:p w14:paraId="5E079825">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vertAlign w:val="baseline"/>
                      <w:lang w:val="en-US" w:eastAsia="zh-CN"/>
                    </w:rPr>
                    <w:t>符合</w:t>
                  </w:r>
                </w:p>
              </w:tc>
            </w:tr>
            <w:tr w14:paraId="734234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1" w:type="dxa"/>
                  <w:vMerge w:val="continue"/>
                  <w:tcBorders>
                    <w:tl2br w:val="nil"/>
                    <w:tr2bl w:val="nil"/>
                  </w:tcBorders>
                  <w:vAlign w:val="center"/>
                </w:tcPr>
                <w:p w14:paraId="6206F256">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p>
              </w:tc>
              <w:tc>
                <w:tcPr>
                  <w:tcW w:w="2915" w:type="dxa"/>
                  <w:tcBorders>
                    <w:tl2br w:val="nil"/>
                    <w:tr2bl w:val="nil"/>
                  </w:tcBorders>
                  <w:vAlign w:val="center"/>
                </w:tcPr>
                <w:p w14:paraId="5307FFBC">
                  <w:pPr>
                    <w:keepNext w:val="0"/>
                    <w:keepLines w:val="0"/>
                    <w:pageBreakBefore w:val="0"/>
                    <w:kinsoku/>
                    <w:overflowPunct/>
                    <w:topLinePunct w:val="0"/>
                    <w:bidi w:val="0"/>
                    <w:adjustRightInd w:val="0"/>
                    <w:snapToGrid w:val="0"/>
                    <w:spacing w:line="240" w:lineRule="auto"/>
                    <w:jc w:val="center"/>
                    <w:rPr>
                      <w:rFonts w:hint="eastAsia"/>
                      <w:color w:val="auto"/>
                      <w:sz w:val="21"/>
                      <w:szCs w:val="21"/>
                    </w:rPr>
                  </w:pPr>
                  <w:r>
                    <w:rPr>
                      <w:rFonts w:hint="eastAsia"/>
                      <w:color w:val="auto"/>
                      <w:sz w:val="21"/>
                      <w:szCs w:val="21"/>
                    </w:rPr>
                    <w:t>无法接入污水管网的储煤厂应当建设防渗旱厕或防渗化粪池，定期转运至当地生活污水处理厂进行处理或作为肥料进行综合利用，并建立管理台账。</w:t>
                  </w:r>
                </w:p>
              </w:tc>
              <w:tc>
                <w:tcPr>
                  <w:tcW w:w="2595" w:type="dxa"/>
                  <w:tcBorders>
                    <w:tl2br w:val="nil"/>
                    <w:tr2bl w:val="nil"/>
                  </w:tcBorders>
                  <w:vAlign w:val="center"/>
                </w:tcPr>
                <w:p w14:paraId="1A5D1CAC">
                  <w:pPr>
                    <w:keepNext w:val="0"/>
                    <w:keepLines w:val="0"/>
                    <w:pageBreakBefore w:val="0"/>
                    <w:kinsoku/>
                    <w:overflowPunct/>
                    <w:topLinePunct w:val="0"/>
                    <w:bidi w:val="0"/>
                    <w:adjustRightInd w:val="0"/>
                    <w:snapToGrid w:val="0"/>
                    <w:spacing w:line="240" w:lineRule="auto"/>
                    <w:jc w:val="center"/>
                    <w:rPr>
                      <w:rFonts w:hint="eastAsia" w:eastAsia="宋体"/>
                      <w:color w:val="auto"/>
                      <w:sz w:val="21"/>
                      <w:szCs w:val="21"/>
                      <w:vertAlign w:val="baseline"/>
                      <w:lang w:val="en-US" w:eastAsia="zh-CN"/>
                    </w:rPr>
                  </w:pPr>
                  <w:r>
                    <w:rPr>
                      <w:rFonts w:hint="eastAsia"/>
                      <w:color w:val="auto"/>
                      <w:sz w:val="21"/>
                      <w:szCs w:val="21"/>
                      <w:vertAlign w:val="baseline"/>
                      <w:lang w:val="en-US" w:eastAsia="zh-CN"/>
                    </w:rPr>
                    <w:t>本项目</w:t>
                  </w:r>
                  <w:r>
                    <w:rPr>
                      <w:rFonts w:hint="default" w:ascii="Times New Roman" w:hAnsi="Times New Roman" w:eastAsia="宋体" w:cs="Times New Roman"/>
                      <w:color w:val="auto"/>
                      <w:szCs w:val="21"/>
                      <w:lang w:val="en-US" w:eastAsia="zh-CN"/>
                    </w:rPr>
                    <w:t>生活污水排入</w:t>
                  </w:r>
                  <w:r>
                    <w:rPr>
                      <w:rFonts w:hint="eastAsia" w:ascii="Times New Roman" w:hAnsi="Times New Roman" w:eastAsia="宋体" w:cs="Times New Roman"/>
                      <w:color w:val="auto"/>
                      <w:szCs w:val="21"/>
                      <w:lang w:val="en-US" w:eastAsia="zh-CN"/>
                    </w:rPr>
                    <w:t>防渗旱厕，定期清掏，外运堆肥，不外排。</w:t>
                  </w:r>
                </w:p>
              </w:tc>
              <w:tc>
                <w:tcPr>
                  <w:tcW w:w="908" w:type="dxa"/>
                  <w:tcBorders>
                    <w:tl2br w:val="nil"/>
                    <w:tr2bl w:val="nil"/>
                  </w:tcBorders>
                  <w:vAlign w:val="center"/>
                </w:tcPr>
                <w:p w14:paraId="2B2BF143">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vertAlign w:val="baseline"/>
                      <w:lang w:val="en-US" w:eastAsia="zh-CN"/>
                    </w:rPr>
                    <w:t>符合</w:t>
                  </w:r>
                </w:p>
              </w:tc>
            </w:tr>
            <w:tr w14:paraId="7DF2A3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1" w:type="dxa"/>
                  <w:tcBorders>
                    <w:tl2br w:val="nil"/>
                    <w:tr2bl w:val="nil"/>
                  </w:tcBorders>
                  <w:vAlign w:val="center"/>
                </w:tcPr>
                <w:p w14:paraId="5299B977">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rPr>
                    <w:t>土壤污染防治措施</w:t>
                  </w:r>
                </w:p>
              </w:tc>
              <w:tc>
                <w:tcPr>
                  <w:tcW w:w="2915" w:type="dxa"/>
                  <w:tcBorders>
                    <w:tl2br w:val="nil"/>
                    <w:tr2bl w:val="nil"/>
                  </w:tcBorders>
                  <w:vAlign w:val="center"/>
                </w:tcPr>
                <w:p w14:paraId="1A3A00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储煤厂场区地面必须全部硬化，其中车辆进出口及主要运输通道必须使用水泥或柏油进行硬化。</w:t>
                  </w:r>
                </w:p>
              </w:tc>
              <w:tc>
                <w:tcPr>
                  <w:tcW w:w="2595" w:type="dxa"/>
                  <w:tcBorders>
                    <w:tl2br w:val="nil"/>
                    <w:tr2bl w:val="nil"/>
                  </w:tcBorders>
                  <w:vAlign w:val="center"/>
                </w:tcPr>
                <w:p w14:paraId="7D9C8645">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eastAsia="宋体" w:cs="Times New Roman"/>
                      <w:color w:val="auto"/>
                      <w:sz w:val="22"/>
                      <w:szCs w:val="18"/>
                      <w:highlight w:val="none"/>
                      <w:lang w:val="en-US" w:eastAsia="zh-CN"/>
                    </w:rPr>
                    <w:t>全厂区敷设水泥硬化路面。</w:t>
                  </w:r>
                </w:p>
              </w:tc>
              <w:tc>
                <w:tcPr>
                  <w:tcW w:w="908" w:type="dxa"/>
                  <w:tcBorders>
                    <w:tl2br w:val="nil"/>
                    <w:tr2bl w:val="nil"/>
                  </w:tcBorders>
                  <w:vAlign w:val="center"/>
                </w:tcPr>
                <w:p w14:paraId="6C329771">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vertAlign w:val="baseline"/>
                      <w:lang w:val="en-US" w:eastAsia="zh-CN"/>
                    </w:rPr>
                    <w:t>符合</w:t>
                  </w:r>
                </w:p>
              </w:tc>
            </w:tr>
            <w:tr w14:paraId="065687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1" w:type="dxa"/>
                  <w:tcBorders>
                    <w:tl2br w:val="nil"/>
                    <w:tr2bl w:val="nil"/>
                  </w:tcBorders>
                  <w:vAlign w:val="center"/>
                </w:tcPr>
                <w:p w14:paraId="2BA7F635">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rPr>
                    <w:t>噪声污染防治措施</w:t>
                  </w:r>
                </w:p>
              </w:tc>
              <w:tc>
                <w:tcPr>
                  <w:tcW w:w="2915" w:type="dxa"/>
                  <w:tcBorders>
                    <w:tl2br w:val="nil"/>
                    <w:tr2bl w:val="nil"/>
                  </w:tcBorders>
                  <w:vAlign w:val="center"/>
                </w:tcPr>
                <w:p w14:paraId="3266FC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储煤厂应当选取低噪声的设备、设施，并严格遵守《中华人民共和国噪声污染防治法》的相关规定，合理规划生产作业时限</w:t>
                  </w:r>
                  <w:r>
                    <w:rPr>
                      <w:rFonts w:hint="eastAsia"/>
                      <w:color w:val="auto"/>
                      <w:sz w:val="21"/>
                      <w:szCs w:val="21"/>
                      <w:lang w:eastAsia="zh-CN"/>
                    </w:rPr>
                    <w:t>。</w:t>
                  </w:r>
                </w:p>
              </w:tc>
              <w:tc>
                <w:tcPr>
                  <w:tcW w:w="2595" w:type="dxa"/>
                  <w:tcBorders>
                    <w:tl2br w:val="nil"/>
                    <w:tr2bl w:val="nil"/>
                  </w:tcBorders>
                  <w:vAlign w:val="center"/>
                </w:tcPr>
                <w:p w14:paraId="43B12206">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Cs w:val="21"/>
                      <w:lang w:val="en-US" w:eastAsia="zh-CN"/>
                    </w:rPr>
                    <w:t>选用低噪声车辆及设备，加强厂区运输管理，夜间不生产，夜间不安排运输，运输车辆采取限制车速、禁鸣等措施。</w:t>
                  </w:r>
                </w:p>
              </w:tc>
              <w:tc>
                <w:tcPr>
                  <w:tcW w:w="908" w:type="dxa"/>
                  <w:tcBorders>
                    <w:tl2br w:val="nil"/>
                    <w:tr2bl w:val="nil"/>
                  </w:tcBorders>
                  <w:vAlign w:val="center"/>
                </w:tcPr>
                <w:p w14:paraId="4D989FD1">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vertAlign w:val="baseline"/>
                      <w:lang w:val="en-US" w:eastAsia="zh-CN"/>
                    </w:rPr>
                    <w:t>符合</w:t>
                  </w:r>
                </w:p>
              </w:tc>
            </w:tr>
            <w:tr w14:paraId="7A74B3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1" w:type="dxa"/>
                  <w:tcBorders>
                    <w:tl2br w:val="nil"/>
                    <w:tr2bl w:val="nil"/>
                  </w:tcBorders>
                  <w:vAlign w:val="center"/>
                </w:tcPr>
                <w:p w14:paraId="602F8EFD">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rPr>
                    <w:t>危险废物污染防治措施</w:t>
                  </w:r>
                </w:p>
              </w:tc>
              <w:tc>
                <w:tcPr>
                  <w:tcW w:w="2915" w:type="dxa"/>
                  <w:tcBorders>
                    <w:tl2br w:val="nil"/>
                    <w:tr2bl w:val="nil"/>
                  </w:tcBorders>
                  <w:vAlign w:val="center"/>
                </w:tcPr>
                <w:p w14:paraId="26A05F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储煤厂应当建设</w:t>
                  </w:r>
                  <w:r>
                    <w:rPr>
                      <w:rFonts w:hint="eastAsia"/>
                      <w:color w:val="auto"/>
                      <w:sz w:val="21"/>
                      <w:szCs w:val="21"/>
                      <w:lang w:eastAsia="zh-CN"/>
                    </w:rPr>
                    <w:t>危废贮存点</w:t>
                  </w:r>
                  <w:r>
                    <w:rPr>
                      <w:rFonts w:hint="eastAsia"/>
                      <w:color w:val="auto"/>
                      <w:sz w:val="21"/>
                      <w:szCs w:val="21"/>
                    </w:rPr>
                    <w:t>，并按照《危险废物识别标志设置技术规范》设置危险废物标识，将产生的废机油等危险废物进行收集贮存，定期由有资质的处置单位转移、处置，执行危险废物转移联单管理制度并做好台账记录</w:t>
                  </w:r>
                  <w:r>
                    <w:rPr>
                      <w:rFonts w:hint="eastAsia"/>
                      <w:color w:val="auto"/>
                      <w:sz w:val="21"/>
                      <w:szCs w:val="21"/>
                      <w:lang w:eastAsia="zh-CN"/>
                    </w:rPr>
                    <w:t>。</w:t>
                  </w:r>
                </w:p>
              </w:tc>
              <w:tc>
                <w:tcPr>
                  <w:tcW w:w="2595" w:type="dxa"/>
                  <w:tcBorders>
                    <w:tl2br w:val="nil"/>
                    <w:tr2bl w:val="nil"/>
                  </w:tcBorders>
                  <w:vAlign w:val="center"/>
                </w:tcPr>
                <w:p w14:paraId="727B8E60">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s="Times New Roman"/>
                      <w:color w:val="auto"/>
                      <w:kern w:val="2"/>
                      <w:sz w:val="21"/>
                      <w:szCs w:val="21"/>
                      <w:highlight w:val="none"/>
                      <w:lang w:val="en-US" w:eastAsia="zh-CN" w:bidi="ar-SA"/>
                    </w:rPr>
                    <w:t>本项目新建危废贮存点位于厂区北侧，钢架结构，建筑高度3m，</w:t>
                  </w:r>
                  <w:r>
                    <w:rPr>
                      <w:rFonts w:hint="eastAsia"/>
                      <w:color w:val="auto"/>
                      <w:lang w:val="en-US" w:eastAsia="zh-CN"/>
                    </w:rPr>
                    <w:t>建筑面积10m</w:t>
                  </w:r>
                  <w:r>
                    <w:rPr>
                      <w:rFonts w:hint="eastAsia"/>
                      <w:color w:val="auto"/>
                      <w:vertAlign w:val="superscript"/>
                      <w:lang w:val="en-US" w:eastAsia="zh-CN"/>
                    </w:rPr>
                    <w:t>2</w:t>
                  </w:r>
                  <w:r>
                    <w:rPr>
                      <w:rFonts w:hint="eastAsia"/>
                      <w:color w:val="auto"/>
                      <w:lang w:val="en-US" w:eastAsia="zh-CN"/>
                    </w:rPr>
                    <w:t>，用于贮存废机油、废含油手套、废含油抹布。</w:t>
                  </w:r>
                </w:p>
              </w:tc>
              <w:tc>
                <w:tcPr>
                  <w:tcW w:w="908" w:type="dxa"/>
                  <w:tcBorders>
                    <w:tl2br w:val="nil"/>
                    <w:tr2bl w:val="nil"/>
                  </w:tcBorders>
                  <w:vAlign w:val="center"/>
                </w:tcPr>
                <w:p w14:paraId="6CAA21DE">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vertAlign w:val="baseline"/>
                      <w:lang w:val="en-US" w:eastAsia="zh-CN"/>
                    </w:rPr>
                    <w:t>符合</w:t>
                  </w:r>
                </w:p>
              </w:tc>
            </w:tr>
            <w:tr w14:paraId="491CB2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1" w:type="dxa"/>
                  <w:vMerge w:val="restart"/>
                  <w:tcBorders>
                    <w:tl2br w:val="nil"/>
                    <w:tr2bl w:val="nil"/>
                  </w:tcBorders>
                  <w:vAlign w:val="center"/>
                </w:tcPr>
                <w:p w14:paraId="04635639">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rPr>
                    <w:t>其它污染防治措施</w:t>
                  </w:r>
                </w:p>
              </w:tc>
              <w:tc>
                <w:tcPr>
                  <w:tcW w:w="2915" w:type="dxa"/>
                  <w:tcBorders>
                    <w:tl2br w:val="nil"/>
                    <w:tr2bl w:val="nil"/>
                  </w:tcBorders>
                  <w:vAlign w:val="center"/>
                </w:tcPr>
                <w:p w14:paraId="15A62C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储煤厂应当在厂区四周(防风抑尘网外侧)植树绿化，改善周边生态环境质量</w:t>
                  </w:r>
                  <w:r>
                    <w:rPr>
                      <w:rFonts w:hint="eastAsia"/>
                      <w:color w:val="auto"/>
                      <w:sz w:val="21"/>
                      <w:szCs w:val="21"/>
                      <w:lang w:eastAsia="zh-CN"/>
                    </w:rPr>
                    <w:t>。</w:t>
                  </w:r>
                </w:p>
              </w:tc>
              <w:tc>
                <w:tcPr>
                  <w:tcW w:w="2595" w:type="dxa"/>
                  <w:tcBorders>
                    <w:tl2br w:val="nil"/>
                    <w:tr2bl w:val="nil"/>
                  </w:tcBorders>
                  <w:vAlign w:val="center"/>
                </w:tcPr>
                <w:p w14:paraId="0C60678E">
                  <w:pPr>
                    <w:keepNext w:val="0"/>
                    <w:keepLines w:val="0"/>
                    <w:pageBreakBefore w:val="0"/>
                    <w:kinsoku/>
                    <w:overflowPunct/>
                    <w:topLinePunct w:val="0"/>
                    <w:bidi w:val="0"/>
                    <w:adjustRightInd w:val="0"/>
                    <w:snapToGrid w:val="0"/>
                    <w:spacing w:line="240" w:lineRule="auto"/>
                    <w:jc w:val="center"/>
                    <w:rPr>
                      <w:rFonts w:hint="default" w:eastAsia="宋体"/>
                      <w:color w:val="auto"/>
                      <w:sz w:val="21"/>
                      <w:szCs w:val="21"/>
                      <w:vertAlign w:val="baseline"/>
                      <w:lang w:val="en-US" w:eastAsia="zh-CN"/>
                    </w:rPr>
                  </w:pPr>
                  <w:r>
                    <w:rPr>
                      <w:rFonts w:hint="eastAsia"/>
                      <w:color w:val="auto"/>
                      <w:sz w:val="21"/>
                      <w:szCs w:val="21"/>
                      <w:vertAlign w:val="baseline"/>
                      <w:lang w:val="en-US" w:eastAsia="zh-CN"/>
                    </w:rPr>
                    <w:t>企业在防风抑尘网外侧种植绿植，并定期对路面进行清扫。</w:t>
                  </w:r>
                </w:p>
              </w:tc>
              <w:tc>
                <w:tcPr>
                  <w:tcW w:w="908" w:type="dxa"/>
                  <w:tcBorders>
                    <w:tl2br w:val="nil"/>
                    <w:tr2bl w:val="nil"/>
                  </w:tcBorders>
                  <w:vAlign w:val="center"/>
                </w:tcPr>
                <w:p w14:paraId="39423D38">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vertAlign w:val="baseline"/>
                      <w:lang w:val="en-US" w:eastAsia="zh-CN"/>
                    </w:rPr>
                    <w:t>符合</w:t>
                  </w:r>
                </w:p>
              </w:tc>
            </w:tr>
            <w:tr w14:paraId="523E57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1" w:type="dxa"/>
                  <w:vMerge w:val="continue"/>
                  <w:tcBorders>
                    <w:tl2br w:val="nil"/>
                    <w:tr2bl w:val="nil"/>
                  </w:tcBorders>
                  <w:vAlign w:val="center"/>
                </w:tcPr>
                <w:p w14:paraId="60DDC7A8">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p>
              </w:tc>
              <w:tc>
                <w:tcPr>
                  <w:tcW w:w="2915" w:type="dxa"/>
                  <w:tcBorders>
                    <w:tl2br w:val="nil"/>
                    <w:tr2bl w:val="nil"/>
                  </w:tcBorders>
                  <w:vAlign w:val="center"/>
                </w:tcPr>
                <w:p w14:paraId="28A425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rPr>
                  </w:pPr>
                  <w:r>
                    <w:rPr>
                      <w:rFonts w:hint="eastAsia"/>
                      <w:color w:val="auto"/>
                      <w:sz w:val="21"/>
                      <w:szCs w:val="21"/>
                    </w:rPr>
                    <w:t>储煤厂应当定期对厂区及周边进行清理保洁，保持良好的环境卫生面貌，防止出现“脏、乱、差”现象。并设置生活垃圾收集箱，定期转运。</w:t>
                  </w:r>
                </w:p>
              </w:tc>
              <w:tc>
                <w:tcPr>
                  <w:tcW w:w="2595" w:type="dxa"/>
                  <w:tcBorders>
                    <w:tl2br w:val="nil"/>
                    <w:tr2bl w:val="nil"/>
                  </w:tcBorders>
                  <w:vAlign w:val="center"/>
                </w:tcPr>
                <w:p w14:paraId="3D2DF1E0">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vertAlign w:val="baseline"/>
                      <w:lang w:val="en-US" w:eastAsia="zh-CN"/>
                    </w:rPr>
                    <w:t>企业在防风抑尘网外侧种植绿植，并定期对路面进行清扫。</w:t>
                  </w:r>
                </w:p>
              </w:tc>
              <w:tc>
                <w:tcPr>
                  <w:tcW w:w="908" w:type="dxa"/>
                  <w:tcBorders>
                    <w:tl2br w:val="nil"/>
                    <w:tr2bl w:val="nil"/>
                  </w:tcBorders>
                  <w:vAlign w:val="center"/>
                </w:tcPr>
                <w:p w14:paraId="4487DCD2">
                  <w:pPr>
                    <w:keepNext w:val="0"/>
                    <w:keepLines w:val="0"/>
                    <w:pageBreakBefore w:val="0"/>
                    <w:kinsoku/>
                    <w:overflowPunct/>
                    <w:topLinePunct w:val="0"/>
                    <w:bidi w:val="0"/>
                    <w:adjustRightInd w:val="0"/>
                    <w:snapToGrid w:val="0"/>
                    <w:spacing w:line="240" w:lineRule="auto"/>
                    <w:jc w:val="center"/>
                    <w:rPr>
                      <w:rFonts w:hint="eastAsia"/>
                      <w:color w:val="auto"/>
                      <w:sz w:val="21"/>
                      <w:szCs w:val="21"/>
                      <w:vertAlign w:val="baseline"/>
                    </w:rPr>
                  </w:pPr>
                  <w:r>
                    <w:rPr>
                      <w:rFonts w:hint="eastAsia"/>
                      <w:color w:val="auto"/>
                      <w:sz w:val="21"/>
                      <w:szCs w:val="21"/>
                      <w:vertAlign w:val="baseline"/>
                      <w:lang w:val="en-US" w:eastAsia="zh-CN"/>
                    </w:rPr>
                    <w:t>符合</w:t>
                  </w:r>
                </w:p>
              </w:tc>
            </w:tr>
          </w:tbl>
          <w:p w14:paraId="6B764F00">
            <w:pPr>
              <w:keepNext w:val="0"/>
              <w:keepLines w:val="0"/>
              <w:pageBreakBefore w:val="0"/>
              <w:kinsoku/>
              <w:overflowPunct/>
              <w:topLinePunct w:val="0"/>
              <w:bidi w:val="0"/>
              <w:adjustRightInd w:val="0"/>
              <w:snapToGrid w:val="0"/>
              <w:spacing w:line="360" w:lineRule="auto"/>
              <w:ind w:firstLine="480" w:firstLineChars="200"/>
              <w:rPr>
                <w:rFonts w:hint="eastAsia"/>
                <w:color w:val="auto"/>
                <w:sz w:val="24"/>
              </w:rPr>
            </w:pPr>
            <w:r>
              <w:rPr>
                <w:rFonts w:hint="eastAsia" w:ascii="Times New Roman" w:hAnsi="Times New Roman" w:eastAsia="宋体" w:cs="Times New Roman"/>
                <w:color w:val="auto"/>
                <w:sz w:val="24"/>
                <w:lang w:val="en-US" w:eastAsia="zh-CN"/>
              </w:rPr>
              <w:t>综上，本项目符合</w:t>
            </w:r>
            <w:r>
              <w:rPr>
                <w:rFonts w:hint="eastAsia"/>
                <w:color w:val="auto"/>
                <w:sz w:val="24"/>
                <w:lang w:val="en-US" w:eastAsia="zh-CN"/>
              </w:rPr>
              <w:t>《鸡西市储煤厂环境综合整治验收标准（暂行）》相关要求。</w:t>
            </w:r>
          </w:p>
          <w:p w14:paraId="4E720755">
            <w:pPr>
              <w:keepNext w:val="0"/>
              <w:keepLines w:val="0"/>
              <w:pageBreakBefore w:val="0"/>
              <w:kinsoku/>
              <w:overflowPunct/>
              <w:topLinePunct w:val="0"/>
              <w:bidi w:val="0"/>
              <w:adjustRightInd w:val="0"/>
              <w:snapToGrid w:val="0"/>
              <w:spacing w:line="360" w:lineRule="auto"/>
              <w:ind w:firstLine="480" w:firstLineChars="200"/>
              <w:rPr>
                <w:rFonts w:hint="default"/>
                <w:color w:val="auto"/>
                <w:sz w:val="24"/>
                <w:lang w:val="en-US" w:eastAsia="zh-CN"/>
              </w:rPr>
            </w:pPr>
            <w:r>
              <w:rPr>
                <w:rFonts w:hint="eastAsia"/>
                <w:color w:val="auto"/>
                <w:sz w:val="24"/>
                <w:lang w:val="en-US" w:eastAsia="zh-CN"/>
              </w:rPr>
              <w:t>7、与《鸡西市人民政府关于划定高污染燃料禁燃区的通告》的符合性分析</w:t>
            </w:r>
          </w:p>
          <w:p w14:paraId="516AD9C9">
            <w:pPr>
              <w:keepNext w:val="0"/>
              <w:keepLines w:val="0"/>
              <w:pageBreakBefore w:val="0"/>
              <w:kinsoku/>
              <w:overflowPunct/>
              <w:topLinePunct w:val="0"/>
              <w:bidi w:val="0"/>
              <w:adjustRightInd w:val="0"/>
              <w:snapToGrid w:val="0"/>
              <w:spacing w:line="360" w:lineRule="auto"/>
              <w:ind w:firstLine="480" w:firstLineChars="200"/>
              <w:rPr>
                <w:rFonts w:hint="eastAsia"/>
                <w:color w:val="auto"/>
                <w:sz w:val="24"/>
                <w:lang w:val="en-US" w:eastAsia="zh-CN"/>
              </w:rPr>
            </w:pPr>
            <w:r>
              <w:rPr>
                <w:rFonts w:hint="eastAsia"/>
                <w:color w:val="auto"/>
                <w:sz w:val="24"/>
                <w:lang w:val="en-US" w:eastAsia="zh-CN"/>
              </w:rPr>
              <w:t>为进一步改善城市空气环境质量，保障人民群众身体健康，根据《中华人民共和国大气污染防治法》、《黑龙江省人民政府关于印发黑龙江省大气污染防治行动计划实施细则的通知》(黑政发(2014)1号)要求，经研究，划定高污染燃料禁燃区(简称禁燃区，下同)，现就有关事宜通告如下：</w:t>
            </w:r>
          </w:p>
          <w:p w14:paraId="31D91BDD">
            <w:pPr>
              <w:keepNext w:val="0"/>
              <w:keepLines w:val="0"/>
              <w:pageBreakBefore w:val="0"/>
              <w:kinsoku/>
              <w:overflowPunct/>
              <w:topLinePunct w:val="0"/>
              <w:bidi w:val="0"/>
              <w:adjustRightInd w:val="0"/>
              <w:snapToGrid w:val="0"/>
              <w:spacing w:line="360" w:lineRule="auto"/>
              <w:ind w:firstLine="480" w:firstLineChars="200"/>
              <w:rPr>
                <w:rFonts w:hint="eastAsia"/>
                <w:color w:val="auto"/>
                <w:sz w:val="24"/>
                <w:lang w:val="en-US" w:eastAsia="zh-CN"/>
              </w:rPr>
            </w:pPr>
            <w:r>
              <w:rPr>
                <w:rFonts w:hint="eastAsia"/>
                <w:color w:val="auto"/>
                <w:sz w:val="24"/>
                <w:lang w:val="en-US" w:eastAsia="zh-CN"/>
              </w:rPr>
              <w:t>一、本市下列区域为禁燃区：北环中路(西)—东山街—兴国东路(蔬菜公司)—电工路—红星路—和平南大街—201国道(体育馆)—兴国西路头—北环中路(休闲广场东)，形成的围合区域。</w:t>
            </w:r>
          </w:p>
          <w:p w14:paraId="0C528332">
            <w:pPr>
              <w:keepNext w:val="0"/>
              <w:keepLines w:val="0"/>
              <w:pageBreakBefore w:val="0"/>
              <w:kinsoku/>
              <w:overflowPunct/>
              <w:topLinePunct w:val="0"/>
              <w:bidi w:val="0"/>
              <w:adjustRightInd w:val="0"/>
              <w:snapToGrid w:val="0"/>
              <w:spacing w:line="360" w:lineRule="auto"/>
              <w:ind w:firstLine="480" w:firstLineChars="200"/>
              <w:rPr>
                <w:rFonts w:hint="eastAsia"/>
                <w:color w:val="auto"/>
                <w:sz w:val="24"/>
                <w:lang w:val="en-US" w:eastAsia="zh-CN"/>
              </w:rPr>
            </w:pPr>
            <w:r>
              <w:rPr>
                <w:rFonts w:hint="eastAsia"/>
                <w:color w:val="auto"/>
                <w:sz w:val="24"/>
                <w:lang w:val="en-US" w:eastAsia="zh-CN"/>
              </w:rPr>
              <w:t>二、禁止燃用的高污染燃料种类：禁燃区内除单台出力大于等于20吨/小时锅炉以外禁止燃用煤炭及其制品（包括原煤、散煤、煤研石、煤泥、煤粉、水煤浆、型煤、焦炭、兰炭等），禁止燃用石油焦、油页岩、原油、重油、渣油、煤焦油等油类常规燃料。</w:t>
            </w:r>
          </w:p>
          <w:p w14:paraId="653E6A7A">
            <w:pPr>
              <w:keepNext w:val="0"/>
              <w:keepLines w:val="0"/>
              <w:pageBreakBefore w:val="0"/>
              <w:kinsoku/>
              <w:overflowPunct/>
              <w:topLinePunct w:val="0"/>
              <w:bidi w:val="0"/>
              <w:adjustRightInd w:val="0"/>
              <w:snapToGrid w:val="0"/>
              <w:spacing w:line="360" w:lineRule="auto"/>
              <w:ind w:firstLine="480" w:firstLineChars="200"/>
              <w:rPr>
                <w:rFonts w:hint="eastAsia"/>
                <w:color w:val="auto"/>
                <w:sz w:val="24"/>
                <w:lang w:val="en-US" w:eastAsia="zh-CN"/>
              </w:rPr>
            </w:pPr>
            <w:r>
              <w:rPr>
                <w:rFonts w:hint="eastAsia"/>
                <w:color w:val="auto"/>
                <w:sz w:val="24"/>
                <w:lang w:val="en-US" w:eastAsia="zh-CN"/>
              </w:rPr>
              <w:t>三、禁燃区内禁止销售、燃用高污染燃料，禁止新建、扩建燃用高污染燃料设施，已建成的应在政府规定期限内改用天然气、页岩气、液化石油气、电或者其他清洁能源。</w:t>
            </w:r>
          </w:p>
          <w:p w14:paraId="08175146">
            <w:pPr>
              <w:keepNext w:val="0"/>
              <w:keepLines w:val="0"/>
              <w:pageBreakBefore w:val="0"/>
              <w:kinsoku/>
              <w:overflowPunct/>
              <w:topLinePunct w:val="0"/>
              <w:bidi w:val="0"/>
              <w:adjustRightInd w:val="0"/>
              <w:snapToGrid w:val="0"/>
              <w:spacing w:line="360" w:lineRule="auto"/>
              <w:ind w:firstLine="480" w:firstLineChars="200"/>
              <w:rPr>
                <w:rFonts w:hint="eastAsia"/>
                <w:color w:val="auto"/>
                <w:sz w:val="24"/>
                <w:lang w:val="en-US" w:eastAsia="zh-CN"/>
              </w:rPr>
            </w:pPr>
            <w:r>
              <w:rPr>
                <w:rFonts w:hint="eastAsia"/>
                <w:color w:val="auto"/>
                <w:sz w:val="24"/>
                <w:lang w:val="en-US" w:eastAsia="zh-CN"/>
              </w:rPr>
              <w:t>四、对违反本通告的行为，由有关部门依照有关法律、法规、规章的规定查处。</w:t>
            </w:r>
          </w:p>
          <w:p w14:paraId="3DF0530D">
            <w:pPr>
              <w:keepNext w:val="0"/>
              <w:keepLines w:val="0"/>
              <w:pageBreakBefore w:val="0"/>
              <w:kinsoku/>
              <w:overflowPunct/>
              <w:topLinePunct w:val="0"/>
              <w:bidi w:val="0"/>
              <w:adjustRightInd w:val="0"/>
              <w:snapToGrid w:val="0"/>
              <w:spacing w:line="360" w:lineRule="auto"/>
              <w:ind w:firstLine="480" w:firstLineChars="200"/>
              <w:rPr>
                <w:rFonts w:hint="eastAsia"/>
                <w:color w:val="auto"/>
                <w:sz w:val="24"/>
                <w:lang w:val="en-US" w:eastAsia="zh-CN"/>
              </w:rPr>
            </w:pPr>
            <w:r>
              <w:rPr>
                <w:rFonts w:hint="eastAsia"/>
                <w:color w:val="auto"/>
                <w:sz w:val="24"/>
                <w:lang w:val="en-US" w:eastAsia="zh-CN"/>
              </w:rPr>
              <w:t>五、本通告自发布之日起施行，2016年9月29日发布的《鸡西市人民政府关于划定高污染燃料禁燃区域的通告》同时废止。</w:t>
            </w:r>
          </w:p>
          <w:p w14:paraId="4C2958CB">
            <w:pPr>
              <w:keepNext w:val="0"/>
              <w:keepLines w:val="0"/>
              <w:pageBreakBefore w:val="0"/>
              <w:kinsoku/>
              <w:overflowPunct/>
              <w:topLinePunct w:val="0"/>
              <w:bidi w:val="0"/>
              <w:adjustRightInd w:val="0"/>
              <w:snapToGrid w:val="0"/>
              <w:spacing w:line="360" w:lineRule="auto"/>
              <w:ind w:firstLine="480" w:firstLineChars="200"/>
              <w:rPr>
                <w:rFonts w:hint="default"/>
                <w:color w:val="auto"/>
                <w:sz w:val="24"/>
                <w:lang w:val="en-US" w:eastAsia="zh-CN"/>
              </w:rPr>
            </w:pPr>
            <w:r>
              <w:rPr>
                <w:rFonts w:hint="eastAsia"/>
                <w:color w:val="auto"/>
                <w:sz w:val="24"/>
                <w:lang w:val="en-US" w:eastAsia="zh-CN"/>
              </w:rPr>
              <w:t>本项目</w:t>
            </w:r>
            <w:r>
              <w:rPr>
                <w:rFonts w:hint="eastAsia" w:ascii="Times New Roman" w:hAnsi="Times New Roman" w:eastAsia="宋体" w:cs="Times New Roman"/>
                <w:color w:val="auto"/>
                <w:sz w:val="24"/>
                <w:lang w:val="en-US" w:eastAsia="zh-CN"/>
              </w:rPr>
              <w:t>位于黑龙江省鸡西市城子河区南兴委，原三五一厂城砖分厂，不在鸡西市高污染燃料禁燃区范围</w:t>
            </w:r>
            <w:r>
              <w:rPr>
                <w:rFonts w:hint="eastAsia"/>
                <w:color w:val="auto"/>
                <w:sz w:val="24"/>
                <w:lang w:val="en-US" w:eastAsia="zh-CN"/>
              </w:rPr>
              <w:t>内。</w:t>
            </w:r>
          </w:p>
          <w:p w14:paraId="1D6029CB">
            <w:pPr>
              <w:keepNext w:val="0"/>
              <w:keepLines w:val="0"/>
              <w:pageBreakBefore w:val="0"/>
              <w:kinsoku/>
              <w:overflowPunct/>
              <w:topLinePunct w:val="0"/>
              <w:bidi w:val="0"/>
              <w:adjustRightInd w:val="0"/>
              <w:snapToGrid w:val="0"/>
              <w:spacing w:line="360" w:lineRule="auto"/>
              <w:ind w:firstLine="480" w:firstLineChars="200"/>
              <w:rPr>
                <w:color w:val="auto"/>
                <w:sz w:val="24"/>
              </w:rPr>
            </w:pPr>
            <w:r>
              <w:rPr>
                <w:rFonts w:hint="eastAsia" w:eastAsia="宋体"/>
                <w:color w:val="auto"/>
                <w:sz w:val="24"/>
                <w:lang w:val="en-US" w:eastAsia="zh-CN"/>
              </w:rPr>
              <w:t>8、</w:t>
            </w:r>
            <w:r>
              <w:rPr>
                <w:color w:val="auto"/>
                <w:sz w:val="24"/>
              </w:rPr>
              <w:t>选址合理性分析</w:t>
            </w:r>
          </w:p>
          <w:p w14:paraId="758EB0B1">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color w:val="auto"/>
                <w:szCs w:val="24"/>
              </w:rPr>
            </w:pPr>
            <w:r>
              <w:rPr>
                <w:color w:val="auto"/>
                <w:szCs w:val="24"/>
              </w:rPr>
              <w:t>本项目位于</w:t>
            </w:r>
            <w:r>
              <w:rPr>
                <w:rFonts w:hint="eastAsia"/>
                <w:color w:val="auto"/>
                <w:sz w:val="24"/>
                <w:szCs w:val="32"/>
                <w:lang w:val="en-US" w:eastAsia="zh-CN"/>
              </w:rPr>
              <w:t>黑龙江省鸡西市城子河区南兴委，原三五一厂城砖分厂</w:t>
            </w:r>
            <w:r>
              <w:rPr>
                <w:rFonts w:hint="eastAsia"/>
                <w:color w:val="auto"/>
                <w:spacing w:val="4"/>
                <w:sz w:val="24"/>
              </w:rPr>
              <w:t>，</w:t>
            </w:r>
            <w:r>
              <w:rPr>
                <w:color w:val="auto"/>
                <w:szCs w:val="24"/>
              </w:rPr>
              <w:t>本项目用地性质为</w:t>
            </w:r>
            <w:r>
              <w:rPr>
                <w:rFonts w:hint="eastAsia"/>
                <w:color w:val="auto"/>
                <w:szCs w:val="24"/>
                <w:lang w:val="en-US" w:eastAsia="zh-CN"/>
              </w:rPr>
              <w:t>工业用地</w:t>
            </w:r>
            <w:r>
              <w:rPr>
                <w:color w:val="auto"/>
                <w:szCs w:val="24"/>
              </w:rPr>
              <w:t>。项目用地不属于生活饮用水源地、地下水补给区、风景名胜区、温泉疗养区、水产养殖区、基本农田保护区、自然保护区等需要特殊保护区域。</w:t>
            </w:r>
            <w:r>
              <w:rPr>
                <w:color w:val="auto"/>
                <w:sz w:val="24"/>
              </w:rPr>
              <w:t>本项目本项目厂区东</w:t>
            </w:r>
            <w:r>
              <w:rPr>
                <w:color w:val="auto"/>
                <w:sz w:val="24"/>
                <w:szCs w:val="21"/>
              </w:rPr>
              <w:t>侧为</w:t>
            </w:r>
            <w:r>
              <w:rPr>
                <w:rFonts w:hint="eastAsia" w:ascii="Calibri" w:hAnsi="Calibri"/>
                <w:bCs/>
                <w:color w:val="auto"/>
                <w:sz w:val="24"/>
                <w:lang w:val="en-US" w:eastAsia="zh-CN"/>
              </w:rPr>
              <w:t>荒地</w:t>
            </w:r>
            <w:r>
              <w:rPr>
                <w:color w:val="auto"/>
                <w:sz w:val="24"/>
                <w:szCs w:val="21"/>
              </w:rPr>
              <w:t>，厂区</w:t>
            </w:r>
            <w:r>
              <w:rPr>
                <w:rFonts w:hint="eastAsia"/>
                <w:color w:val="auto"/>
                <w:sz w:val="24"/>
                <w:szCs w:val="21"/>
                <w:lang w:val="en-US" w:eastAsia="zh-CN"/>
              </w:rPr>
              <w:t>南</w:t>
            </w:r>
            <w:r>
              <w:rPr>
                <w:color w:val="auto"/>
                <w:sz w:val="24"/>
                <w:szCs w:val="21"/>
              </w:rPr>
              <w:t>侧为</w:t>
            </w:r>
            <w:r>
              <w:rPr>
                <w:rFonts w:hint="eastAsia"/>
                <w:color w:val="auto"/>
                <w:sz w:val="24"/>
                <w:szCs w:val="21"/>
                <w:lang w:val="en-US" w:eastAsia="zh-CN"/>
              </w:rPr>
              <w:t>构件加工厂，</w:t>
            </w:r>
            <w:r>
              <w:rPr>
                <w:color w:val="auto"/>
                <w:sz w:val="24"/>
                <w:szCs w:val="21"/>
              </w:rPr>
              <w:t>厂区</w:t>
            </w:r>
            <w:r>
              <w:rPr>
                <w:rFonts w:hint="eastAsia"/>
                <w:color w:val="auto"/>
                <w:sz w:val="24"/>
                <w:szCs w:val="21"/>
                <w:lang w:val="en-US" w:eastAsia="zh-CN"/>
              </w:rPr>
              <w:t>西</w:t>
            </w:r>
            <w:r>
              <w:rPr>
                <w:color w:val="auto"/>
                <w:sz w:val="24"/>
                <w:szCs w:val="21"/>
              </w:rPr>
              <w:t>侧</w:t>
            </w:r>
            <w:r>
              <w:rPr>
                <w:rFonts w:hint="eastAsia" w:ascii="Calibri" w:hAnsi="Calibri"/>
                <w:bCs/>
                <w:color w:val="auto"/>
                <w:sz w:val="24"/>
                <w:lang w:val="en-US" w:eastAsia="zh-CN"/>
              </w:rPr>
              <w:t>为</w:t>
            </w:r>
            <w:r>
              <w:rPr>
                <w:rFonts w:hint="eastAsia" w:cs="Times New Roman"/>
                <w:color w:val="auto"/>
                <w:spacing w:val="4"/>
                <w:sz w:val="24"/>
                <w:lang w:val="en-US" w:eastAsia="zh-CN"/>
              </w:rPr>
              <w:t>荒地</w:t>
            </w:r>
            <w:r>
              <w:rPr>
                <w:rFonts w:hint="eastAsia" w:ascii="Calibri" w:hAnsi="Calibri"/>
                <w:bCs/>
                <w:color w:val="auto"/>
                <w:sz w:val="24"/>
                <w:lang w:val="en-US" w:eastAsia="zh-CN"/>
              </w:rPr>
              <w:t>，</w:t>
            </w:r>
            <w:r>
              <w:rPr>
                <w:rFonts w:hint="eastAsia"/>
                <w:color w:val="auto"/>
                <w:sz w:val="24"/>
                <w:szCs w:val="21"/>
              </w:rPr>
              <w:t>厂区</w:t>
            </w:r>
            <w:r>
              <w:rPr>
                <w:rFonts w:hint="eastAsia"/>
                <w:color w:val="auto"/>
                <w:sz w:val="24"/>
              </w:rPr>
              <w:t>北侧为</w:t>
            </w:r>
            <w:r>
              <w:rPr>
                <w:rFonts w:hint="eastAsia"/>
                <w:color w:val="auto"/>
                <w:sz w:val="24"/>
                <w:lang w:val="en-US" w:eastAsia="zh-CN"/>
              </w:rPr>
              <w:t>闲置厂房</w:t>
            </w:r>
            <w:r>
              <w:rPr>
                <w:rFonts w:hint="eastAsia"/>
                <w:color w:val="auto"/>
                <w:sz w:val="24"/>
              </w:rPr>
              <w:t>。</w:t>
            </w:r>
            <w:r>
              <w:rPr>
                <w:color w:val="auto"/>
                <w:szCs w:val="24"/>
              </w:rPr>
              <w:t>项目选址地势较平坦，交通便利。</w:t>
            </w:r>
          </w:p>
          <w:p w14:paraId="6CE52E8B">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rFonts w:hint="default"/>
                <w:color w:val="auto"/>
                <w:szCs w:val="24"/>
                <w:lang w:val="en-US" w:eastAsia="zh-CN"/>
              </w:rPr>
            </w:pPr>
            <w:r>
              <w:rPr>
                <w:rFonts w:hint="eastAsia"/>
                <w:color w:val="auto"/>
                <w:szCs w:val="24"/>
              </w:rPr>
              <w:t>敏感目标位于项目</w:t>
            </w:r>
            <w:r>
              <w:rPr>
                <w:rFonts w:hint="eastAsia"/>
                <w:color w:val="auto"/>
                <w:szCs w:val="24"/>
                <w:lang w:val="en-US" w:eastAsia="zh-CN"/>
              </w:rPr>
              <w:t>西</w:t>
            </w:r>
            <w:r>
              <w:rPr>
                <w:rFonts w:hint="eastAsia"/>
                <w:color w:val="auto"/>
                <w:szCs w:val="24"/>
              </w:rPr>
              <w:t>侧</w:t>
            </w:r>
            <w:r>
              <w:rPr>
                <w:rFonts w:hint="eastAsia"/>
                <w:color w:val="auto"/>
                <w:szCs w:val="24"/>
                <w:lang w:val="en-US" w:eastAsia="zh-CN"/>
              </w:rPr>
              <w:t>94</w:t>
            </w:r>
            <w:r>
              <w:rPr>
                <w:rFonts w:hint="eastAsia"/>
                <w:color w:val="auto"/>
                <w:szCs w:val="24"/>
              </w:rPr>
              <w:t>m处</w:t>
            </w:r>
            <w:r>
              <w:rPr>
                <w:rFonts w:hint="eastAsia"/>
                <w:color w:val="auto"/>
                <w:szCs w:val="24"/>
                <w:lang w:val="en-US" w:eastAsia="zh-CN"/>
              </w:rPr>
              <w:t>，城子河区</w:t>
            </w:r>
            <w:r>
              <w:rPr>
                <w:rFonts w:hint="eastAsia"/>
                <w:color w:val="auto"/>
                <w:szCs w:val="24"/>
              </w:rPr>
              <w:t>区主导风向为</w:t>
            </w:r>
            <w:r>
              <w:rPr>
                <w:rFonts w:hint="eastAsia"/>
                <w:color w:val="auto"/>
                <w:szCs w:val="24"/>
                <w:lang w:val="en-US" w:eastAsia="zh-CN"/>
              </w:rPr>
              <w:t>西</w:t>
            </w:r>
            <w:r>
              <w:rPr>
                <w:rFonts w:hint="eastAsia"/>
                <w:color w:val="auto"/>
                <w:szCs w:val="24"/>
              </w:rPr>
              <w:t>风，本项目</w:t>
            </w:r>
            <w:r>
              <w:rPr>
                <w:rFonts w:hint="eastAsia"/>
                <w:color w:val="auto"/>
                <w:szCs w:val="24"/>
                <w:lang w:val="en-US" w:eastAsia="zh-CN"/>
              </w:rPr>
              <w:t>运输过程中</w:t>
            </w:r>
            <w:r>
              <w:rPr>
                <w:rFonts w:hint="default"/>
                <w:color w:val="auto"/>
                <w:szCs w:val="24"/>
                <w:lang w:val="en-US" w:eastAsia="zh-CN"/>
              </w:rPr>
              <w:t>采用苫布覆盖，</w:t>
            </w:r>
            <w:r>
              <w:rPr>
                <w:rFonts w:hint="eastAsia"/>
                <w:color w:val="auto"/>
                <w:szCs w:val="24"/>
                <w:lang w:val="en-US" w:eastAsia="zh-CN"/>
              </w:rPr>
              <w:t>出厂时车轮进行清洗，防止物料洒落，</w:t>
            </w:r>
            <w:r>
              <w:rPr>
                <w:rFonts w:hint="default"/>
                <w:color w:val="auto"/>
                <w:szCs w:val="24"/>
                <w:lang w:val="en-US" w:eastAsia="zh-CN"/>
              </w:rPr>
              <w:t>减少运输过程中粉尘排放量</w:t>
            </w:r>
            <w:r>
              <w:rPr>
                <w:rFonts w:hint="eastAsia"/>
                <w:color w:val="auto"/>
                <w:szCs w:val="24"/>
                <w:lang w:val="en-US" w:eastAsia="zh-CN"/>
              </w:rPr>
              <w:t>；厂区采用</w:t>
            </w:r>
            <w:r>
              <w:rPr>
                <w:rFonts w:hint="eastAsia"/>
                <w:color w:val="auto"/>
                <w:szCs w:val="24"/>
                <w:lang w:eastAsia="zh-CN"/>
              </w:rPr>
              <w:t>围挡（</w:t>
            </w:r>
            <w:r>
              <w:rPr>
                <w:rFonts w:hint="eastAsia"/>
                <w:color w:val="auto"/>
                <w:szCs w:val="24"/>
                <w:lang w:val="en-US" w:eastAsia="zh-CN"/>
              </w:rPr>
              <w:t>防风抑尘网</w:t>
            </w:r>
            <w:r>
              <w:rPr>
                <w:rFonts w:hint="eastAsia"/>
                <w:color w:val="auto"/>
                <w:szCs w:val="24"/>
                <w:lang w:eastAsia="zh-CN"/>
              </w:rPr>
              <w:t>），</w:t>
            </w:r>
            <w:r>
              <w:rPr>
                <w:rFonts w:hint="eastAsia"/>
                <w:color w:val="auto"/>
                <w:szCs w:val="24"/>
                <w:lang w:val="en-US" w:eastAsia="zh-CN"/>
              </w:rPr>
              <w:t>堆场采用</w:t>
            </w:r>
            <w:r>
              <w:rPr>
                <w:rFonts w:hint="eastAsia"/>
                <w:color w:val="auto"/>
                <w:szCs w:val="24"/>
                <w:lang w:eastAsia="zh-CN"/>
              </w:rPr>
              <w:t>编织覆盖（</w:t>
            </w:r>
            <w:r>
              <w:rPr>
                <w:rFonts w:hint="eastAsia"/>
                <w:color w:val="auto"/>
                <w:szCs w:val="24"/>
                <w:lang w:val="en-US" w:eastAsia="zh-CN"/>
              </w:rPr>
              <w:t>防尘网</w:t>
            </w:r>
            <w:r>
              <w:rPr>
                <w:rFonts w:hint="eastAsia"/>
                <w:color w:val="auto"/>
                <w:szCs w:val="24"/>
                <w:lang w:eastAsia="zh-CN"/>
              </w:rPr>
              <w:t>）方式</w:t>
            </w:r>
            <w:r>
              <w:rPr>
                <w:rFonts w:hint="eastAsia"/>
                <w:color w:val="auto"/>
                <w:szCs w:val="24"/>
                <w:lang w:val="en-US" w:eastAsia="zh-CN"/>
              </w:rPr>
              <w:t>降尘，装车和卸车过程采用车辆出入冲洗（高压水枪）方式降尘，降尘后颗粒物以无组织形式排放。</w:t>
            </w:r>
            <w:r>
              <w:rPr>
                <w:rFonts w:hint="eastAsia"/>
                <w:color w:val="auto"/>
                <w:szCs w:val="21"/>
                <w:lang w:val="en-US" w:eastAsia="zh-CN"/>
              </w:rPr>
              <w:t>本项目严禁在重污染天气期间、大风天气时生产作业。</w:t>
            </w:r>
            <w:r>
              <w:rPr>
                <w:rFonts w:hint="eastAsia"/>
                <w:color w:val="auto"/>
                <w:szCs w:val="24"/>
                <w:lang w:val="en-US" w:eastAsia="zh-CN"/>
              </w:rPr>
              <w:t>本</w:t>
            </w:r>
            <w:r>
              <w:rPr>
                <w:rFonts w:hint="eastAsia"/>
                <w:color w:val="auto"/>
                <w:szCs w:val="24"/>
              </w:rPr>
              <w:t>项目无组织颗粒物排放满足</w:t>
            </w:r>
            <w:r>
              <w:rPr>
                <w:rFonts w:hint="eastAsia"/>
                <w:color w:val="auto"/>
                <w:szCs w:val="24"/>
                <w:lang w:val="en-US" w:eastAsia="zh-CN"/>
              </w:rPr>
              <w:t>《煤炭工业污染物排放标准》（</w:t>
            </w:r>
            <w:r>
              <w:rPr>
                <w:rFonts w:hint="eastAsia"/>
                <w:color w:val="auto"/>
                <w:szCs w:val="24"/>
              </w:rPr>
              <w:t>GB20426-2006</w:t>
            </w:r>
            <w:r>
              <w:rPr>
                <w:rFonts w:hint="eastAsia"/>
                <w:color w:val="auto"/>
                <w:szCs w:val="24"/>
                <w:lang w:val="en-US" w:eastAsia="zh-CN"/>
              </w:rPr>
              <w:t>）表5煤炭工业无组织排放限值</w:t>
            </w:r>
            <w:r>
              <w:rPr>
                <w:rFonts w:hint="eastAsia"/>
                <w:color w:val="auto"/>
                <w:szCs w:val="24"/>
              </w:rPr>
              <w:t>要求。</w:t>
            </w:r>
            <w:r>
              <w:rPr>
                <w:rFonts w:hint="eastAsia"/>
                <w:color w:val="auto"/>
                <w:szCs w:val="24"/>
                <w:lang w:val="en-US" w:eastAsia="zh-CN"/>
              </w:rPr>
              <w:t>通过选用低噪声车辆及设备，加强厂区运输管理，夜间不生产，夜间不安排运输，运输车辆采取限制车速、禁鸣等措施，可有效降低运输车辆噪声对道路两侧环境的影响。</w:t>
            </w:r>
            <w:r>
              <w:rPr>
                <w:color w:val="auto"/>
                <w:szCs w:val="24"/>
              </w:rPr>
              <w:t>厂界噪声满足《工业企业厂界环境噪声排放标准》</w:t>
            </w:r>
            <w:r>
              <w:rPr>
                <w:rFonts w:hint="eastAsia"/>
                <w:color w:val="auto"/>
                <w:szCs w:val="24"/>
              </w:rPr>
              <w:t>(</w:t>
            </w:r>
            <w:r>
              <w:rPr>
                <w:color w:val="auto"/>
                <w:szCs w:val="24"/>
              </w:rPr>
              <w:t>GB12348-2008</w:t>
            </w:r>
            <w:r>
              <w:rPr>
                <w:rFonts w:hint="eastAsia"/>
                <w:color w:val="auto"/>
                <w:szCs w:val="24"/>
              </w:rPr>
              <w:t>)</w:t>
            </w:r>
            <w:r>
              <w:rPr>
                <w:color w:val="auto"/>
                <w:szCs w:val="24"/>
              </w:rPr>
              <w:t>表1中</w:t>
            </w:r>
            <w:r>
              <w:rPr>
                <w:rFonts w:hint="eastAsia"/>
                <w:color w:val="auto"/>
                <w:szCs w:val="24"/>
                <w:lang w:val="en-US" w:eastAsia="zh-CN"/>
              </w:rPr>
              <w:t>2</w:t>
            </w:r>
            <w:r>
              <w:rPr>
                <w:color w:val="auto"/>
                <w:szCs w:val="24"/>
              </w:rPr>
              <w:t>类标准要求。</w:t>
            </w:r>
            <w:r>
              <w:rPr>
                <w:rFonts w:hint="eastAsia"/>
                <w:color w:val="auto"/>
                <w:szCs w:val="24"/>
                <w:lang w:val="en-US" w:eastAsia="zh-CN"/>
              </w:rPr>
              <w:t>本项目所采取环保措施可行，污染物可达标排放，对周边居民影响较小</w:t>
            </w:r>
            <w:r>
              <w:rPr>
                <w:rFonts w:hint="eastAsia"/>
                <w:color w:val="auto"/>
                <w:szCs w:val="24"/>
              </w:rPr>
              <w:t>。</w:t>
            </w:r>
          </w:p>
          <w:p w14:paraId="4008E051">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color w:val="auto"/>
                <w:szCs w:val="24"/>
              </w:rPr>
            </w:pPr>
            <w:r>
              <w:rPr>
                <w:rFonts w:hint="default"/>
                <w:color w:val="auto"/>
                <w:kern w:val="0"/>
                <w:sz w:val="24"/>
                <w:lang w:val="en-US" w:eastAsia="zh-CN"/>
              </w:rPr>
              <w:t>本项目</w:t>
            </w:r>
            <w:r>
              <w:rPr>
                <w:rFonts w:hint="eastAsia"/>
                <w:color w:val="auto"/>
                <w:kern w:val="0"/>
                <w:sz w:val="24"/>
                <w:lang w:val="en-US" w:eastAsia="zh-CN"/>
              </w:rPr>
              <w:t>厂区初期雨水经过雨水导流槽收集至雨水收集池，沉淀后全部用于车辆冲洗、厂区路面降尘，不外排；车辆冲洗废水集中收集经沉淀池沉淀后用于厂区路面降尘，自然蒸发，不外排；降尘用水全部自然蒸发，不外排；</w:t>
            </w:r>
            <w:r>
              <w:rPr>
                <w:rFonts w:hint="default"/>
                <w:color w:val="auto"/>
                <w:kern w:val="0"/>
                <w:sz w:val="24"/>
                <w:lang w:val="en-US" w:eastAsia="zh-CN"/>
              </w:rPr>
              <w:t>生活污水排入</w:t>
            </w:r>
            <w:r>
              <w:rPr>
                <w:rFonts w:hint="eastAsia"/>
                <w:color w:val="auto"/>
                <w:kern w:val="0"/>
                <w:sz w:val="24"/>
                <w:lang w:val="en-US" w:eastAsia="zh-CN"/>
              </w:rPr>
              <w:t>防渗旱厕，定期清掏，外运堆肥，不外排。</w:t>
            </w:r>
            <w:r>
              <w:rPr>
                <w:color w:val="auto"/>
                <w:szCs w:val="24"/>
              </w:rPr>
              <w:t>本工程固体废物综合利用处置率100％。项目固废不会对项目区周边环境造成影响。因此，本项目建设对环境</w:t>
            </w:r>
            <w:r>
              <w:rPr>
                <w:rFonts w:hint="eastAsia"/>
                <w:color w:val="auto"/>
                <w:szCs w:val="24"/>
                <w:lang w:val="en-US" w:eastAsia="zh-CN"/>
              </w:rPr>
              <w:t>及敏感目标</w:t>
            </w:r>
            <w:r>
              <w:rPr>
                <w:color w:val="auto"/>
                <w:szCs w:val="24"/>
              </w:rPr>
              <w:t>影响较小。</w:t>
            </w:r>
          </w:p>
          <w:p w14:paraId="032736D0">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rFonts w:hint="default"/>
                <w:color w:val="auto"/>
                <w:szCs w:val="24"/>
                <w:lang w:val="en-US" w:eastAsia="zh-CN"/>
              </w:rPr>
            </w:pPr>
            <w:r>
              <w:rPr>
                <w:color w:val="auto"/>
                <w:szCs w:val="24"/>
              </w:rPr>
              <w:t>综上所述，项目建设符合当地</w:t>
            </w:r>
            <w:r>
              <w:rPr>
                <w:rFonts w:hint="eastAsia"/>
                <w:color w:val="auto"/>
                <w:szCs w:val="24"/>
              </w:rPr>
              <w:t>土地利用</w:t>
            </w:r>
            <w:r>
              <w:rPr>
                <w:color w:val="auto"/>
                <w:szCs w:val="24"/>
              </w:rPr>
              <w:t>规划；营运期产生的各项污染物经采取各种措施治理后均能达标排放，</w:t>
            </w:r>
            <w:r>
              <w:rPr>
                <w:rFonts w:hint="eastAsia"/>
                <w:color w:val="auto"/>
                <w:szCs w:val="24"/>
              </w:rPr>
              <w:t>对环境影响较小</w:t>
            </w:r>
            <w:r>
              <w:rPr>
                <w:color w:val="auto"/>
                <w:szCs w:val="24"/>
              </w:rPr>
              <w:t>；产生的固体废物均得到综合利用与合理处置，生产噪声经采取各种措施后，对周边居民的影响不大。该项目选址可行。</w:t>
            </w:r>
          </w:p>
          <w:p w14:paraId="32F86D39">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rFonts w:hint="default"/>
                <w:color w:val="auto"/>
                <w:szCs w:val="24"/>
                <w:lang w:val="en-US" w:eastAsia="zh-CN"/>
              </w:rPr>
            </w:pPr>
          </w:p>
          <w:p w14:paraId="3BC3DC43">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rFonts w:hint="default"/>
                <w:color w:val="auto"/>
                <w:szCs w:val="24"/>
                <w:lang w:val="en-US" w:eastAsia="zh-CN"/>
              </w:rPr>
            </w:pPr>
          </w:p>
          <w:p w14:paraId="2E066E1B">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rFonts w:hint="default"/>
                <w:color w:val="auto"/>
                <w:szCs w:val="24"/>
                <w:lang w:val="en-US" w:eastAsia="zh-CN"/>
              </w:rPr>
            </w:pPr>
          </w:p>
          <w:p w14:paraId="25D3A937">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rFonts w:hint="default"/>
                <w:color w:val="auto"/>
                <w:szCs w:val="24"/>
                <w:lang w:val="en-US" w:eastAsia="zh-CN"/>
              </w:rPr>
            </w:pPr>
          </w:p>
          <w:p w14:paraId="75C0A004">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rFonts w:hint="default"/>
                <w:color w:val="auto"/>
                <w:szCs w:val="24"/>
                <w:lang w:val="en-US" w:eastAsia="zh-CN"/>
              </w:rPr>
            </w:pPr>
          </w:p>
          <w:p w14:paraId="2193C9DB">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rFonts w:hint="default"/>
                <w:color w:val="auto"/>
                <w:szCs w:val="24"/>
                <w:lang w:val="en-US" w:eastAsia="zh-CN"/>
              </w:rPr>
            </w:pPr>
          </w:p>
          <w:p w14:paraId="321486D8">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rFonts w:hint="default"/>
                <w:color w:val="auto"/>
                <w:szCs w:val="24"/>
                <w:lang w:val="en-US" w:eastAsia="zh-CN"/>
              </w:rPr>
            </w:pPr>
          </w:p>
          <w:p w14:paraId="2A571C95">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rFonts w:hint="default"/>
                <w:color w:val="auto"/>
                <w:szCs w:val="24"/>
                <w:lang w:val="en-US" w:eastAsia="zh-CN"/>
              </w:rPr>
            </w:pPr>
          </w:p>
          <w:p w14:paraId="49840A84">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rFonts w:hint="default"/>
                <w:color w:val="auto"/>
                <w:szCs w:val="24"/>
                <w:lang w:val="en-US" w:eastAsia="zh-CN"/>
              </w:rPr>
            </w:pPr>
          </w:p>
          <w:p w14:paraId="0D1D4A7B">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rFonts w:hint="default"/>
                <w:color w:val="auto"/>
                <w:szCs w:val="24"/>
                <w:lang w:val="en-US" w:eastAsia="zh-CN"/>
              </w:rPr>
            </w:pPr>
          </w:p>
          <w:p w14:paraId="2E056FA1">
            <w:pPr>
              <w:pStyle w:val="59"/>
              <w:keepNext w:val="0"/>
              <w:keepLines w:val="0"/>
              <w:pageBreakBefore w:val="0"/>
              <w:widowControl w:val="0"/>
              <w:kinsoku/>
              <w:wordWrap w:val="0"/>
              <w:overflowPunct/>
              <w:topLinePunct w:val="0"/>
              <w:autoSpaceDE/>
              <w:autoSpaceDN/>
              <w:bidi w:val="0"/>
              <w:adjustRightInd w:val="0"/>
              <w:snapToGrid w:val="0"/>
              <w:spacing w:line="360" w:lineRule="auto"/>
              <w:ind w:firstLine="480"/>
              <w:textAlignment w:val="auto"/>
              <w:rPr>
                <w:rFonts w:hint="default"/>
                <w:color w:val="auto"/>
                <w:szCs w:val="24"/>
                <w:lang w:val="en-US" w:eastAsia="zh-CN"/>
              </w:rPr>
            </w:pPr>
          </w:p>
          <w:p w14:paraId="746E7DAA">
            <w:pPr>
              <w:pStyle w:val="59"/>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0" w:firstLineChars="0"/>
              <w:textAlignment w:val="auto"/>
              <w:rPr>
                <w:rFonts w:hint="eastAsia"/>
                <w:color w:val="auto"/>
                <w:sz w:val="24"/>
              </w:rPr>
            </w:pPr>
          </w:p>
        </w:tc>
      </w:tr>
    </w:tbl>
    <w:p w14:paraId="27E85E95">
      <w:pPr>
        <w:spacing w:line="360" w:lineRule="auto"/>
        <w:outlineLvl w:val="0"/>
        <w:rPr>
          <w:color w:val="auto"/>
          <w:sz w:val="30"/>
        </w:rPr>
        <w:sectPr>
          <w:footerReference r:id="rId5" w:type="default"/>
          <w:pgSz w:w="11906" w:h="16838"/>
          <w:pgMar w:top="1701" w:right="1531" w:bottom="1701" w:left="1531" w:header="1247" w:footer="1247" w:gutter="0"/>
          <w:pgBorders>
            <w:top w:val="none" w:sz="0" w:space="0"/>
            <w:left w:val="none" w:sz="0" w:space="0"/>
            <w:bottom w:val="none" w:sz="0" w:space="0"/>
            <w:right w:val="none" w:sz="0" w:space="0"/>
          </w:pgBorders>
          <w:pgNumType w:start="1"/>
          <w:cols w:space="720" w:num="1"/>
          <w:docGrid w:linePitch="312" w:charSpace="0"/>
        </w:sectPr>
      </w:pPr>
    </w:p>
    <w:p w14:paraId="43E57FCD">
      <w:pPr>
        <w:pStyle w:val="15"/>
        <w:outlineLvl w:val="0"/>
        <w:rPr>
          <w:rFonts w:ascii="Times New Roman" w:hAnsi="Times New Roman"/>
          <w:snapToGrid w:val="0"/>
          <w:color w:val="auto"/>
          <w:sz w:val="30"/>
          <w:szCs w:val="30"/>
        </w:rPr>
      </w:pPr>
      <w:bookmarkStart w:id="3" w:name="_Toc73523369"/>
      <w:r>
        <w:rPr>
          <w:rFonts w:hint="eastAsia" w:ascii="Times New Roman" w:hAnsi="Times New Roman"/>
          <w:snapToGrid w:val="0"/>
          <w:color w:val="auto"/>
          <w:sz w:val="30"/>
          <w:szCs w:val="30"/>
        </w:rPr>
        <w:t>二、建设项目工程分析</w:t>
      </w:r>
      <w:bookmarkEnd w:id="3"/>
    </w:p>
    <w:tbl>
      <w:tblPr>
        <w:tblStyle w:val="3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9"/>
        <w:gridCol w:w="8291"/>
      </w:tblGrid>
      <w:tr w14:paraId="4AB0BC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769" w:type="dxa"/>
            <w:vAlign w:val="center"/>
          </w:tcPr>
          <w:p w14:paraId="0319EFE5">
            <w:pPr>
              <w:pStyle w:val="35"/>
              <w:adjustRightInd w:val="0"/>
              <w:snapToGrid w:val="0"/>
              <w:spacing w:before="0" w:beforeAutospacing="0" w:after="0" w:afterAutospacing="0"/>
              <w:jc w:val="center"/>
              <w:rPr>
                <w:rFonts w:ascii="Times New Roman" w:hAnsi="Times New Roman" w:cs="宋体"/>
                <w:color w:val="auto"/>
                <w:sz w:val="21"/>
                <w:szCs w:val="18"/>
              </w:rPr>
            </w:pPr>
            <w:r>
              <w:rPr>
                <w:rFonts w:ascii="Times New Roman" w:hAnsi="Times New Roman"/>
                <w:b/>
                <w:color w:val="auto"/>
                <w:sz w:val="21"/>
                <w:szCs w:val="21"/>
              </w:rPr>
              <w:t>建设内容</w:t>
            </w:r>
          </w:p>
        </w:tc>
        <w:tc>
          <w:tcPr>
            <w:tcW w:w="8291" w:type="dxa"/>
          </w:tcPr>
          <w:p w14:paraId="71C43499">
            <w:pPr>
              <w:adjustRightInd w:val="0"/>
              <w:snapToGrid w:val="0"/>
              <w:spacing w:line="360" w:lineRule="auto"/>
              <w:ind w:firstLine="482" w:firstLineChars="200"/>
              <w:rPr>
                <w:b/>
                <w:bCs/>
                <w:color w:val="auto"/>
                <w:sz w:val="24"/>
              </w:rPr>
            </w:pPr>
            <w:r>
              <w:rPr>
                <w:b/>
                <w:bCs/>
                <w:color w:val="auto"/>
                <w:sz w:val="24"/>
              </w:rPr>
              <w:t>1、</w:t>
            </w:r>
            <w:r>
              <w:rPr>
                <w:rFonts w:hint="eastAsia"/>
                <w:b/>
                <w:bCs/>
                <w:color w:val="auto"/>
                <w:sz w:val="24"/>
              </w:rPr>
              <w:t>项目分类管理判定</w:t>
            </w:r>
          </w:p>
          <w:p w14:paraId="456B7E41">
            <w:pPr>
              <w:spacing w:line="360" w:lineRule="auto"/>
              <w:ind w:firstLine="496" w:firstLineChars="200"/>
              <w:rPr>
                <w:color w:val="auto"/>
                <w:spacing w:val="4"/>
                <w:sz w:val="24"/>
                <w:highlight w:val="red"/>
              </w:rPr>
            </w:pPr>
            <w:r>
              <w:rPr>
                <w:rFonts w:hint="eastAsia"/>
                <w:color w:val="auto"/>
                <w:spacing w:val="4"/>
                <w:sz w:val="24"/>
              </w:rPr>
              <w:t>本项目为</w:t>
            </w:r>
            <w:r>
              <w:rPr>
                <w:rFonts w:hint="eastAsia"/>
                <w:color w:val="auto"/>
                <w:spacing w:val="4"/>
                <w:sz w:val="24"/>
                <w:lang w:val="en-US" w:eastAsia="zh-CN"/>
              </w:rPr>
              <w:t>煤炭集运项目</w:t>
            </w:r>
            <w:r>
              <w:rPr>
                <w:rFonts w:hint="eastAsia"/>
                <w:color w:val="auto"/>
                <w:spacing w:val="4"/>
                <w:sz w:val="24"/>
              </w:rPr>
              <w:t>，根据《</w:t>
            </w:r>
            <w:r>
              <w:rPr>
                <w:color w:val="auto"/>
                <w:spacing w:val="4"/>
                <w:sz w:val="24"/>
              </w:rPr>
              <w:t>建设项目环境影响评价分类管理名录（2021年版）</w:t>
            </w:r>
            <w:r>
              <w:rPr>
                <w:rFonts w:hint="eastAsia"/>
                <w:color w:val="auto"/>
                <w:spacing w:val="4"/>
                <w:sz w:val="24"/>
              </w:rPr>
              <w:t>》分析，项目类别为四、煤炭开采和洗选业06，</w:t>
            </w:r>
            <w:r>
              <w:rPr>
                <w:rFonts w:hint="eastAsia"/>
                <w:color w:val="auto"/>
                <w:spacing w:val="4"/>
                <w:sz w:val="24"/>
                <w:lang w:val="en-US" w:eastAsia="zh-CN"/>
              </w:rPr>
              <w:t>6烟煤和无烟煤开采洗选061；褐煤开采洗062；其他煤炭采选069</w:t>
            </w:r>
            <w:r>
              <w:rPr>
                <w:rFonts w:hint="eastAsia"/>
                <w:color w:val="auto"/>
                <w:spacing w:val="4"/>
                <w:sz w:val="24"/>
              </w:rPr>
              <w:t>，属于“煤炭洗选、配煤</w:t>
            </w:r>
            <w:r>
              <w:rPr>
                <w:rFonts w:hint="eastAsia"/>
                <w:color w:val="auto"/>
                <w:spacing w:val="4"/>
                <w:sz w:val="24"/>
                <w:lang w:eastAsia="zh-CN"/>
              </w:rPr>
              <w:t>；</w:t>
            </w:r>
            <w:r>
              <w:rPr>
                <w:rFonts w:hint="eastAsia"/>
                <w:color w:val="auto"/>
                <w:spacing w:val="4"/>
                <w:sz w:val="24"/>
              </w:rPr>
              <w:t>煤炭储存、集运</w:t>
            </w:r>
            <w:r>
              <w:rPr>
                <w:rFonts w:hint="eastAsia"/>
                <w:color w:val="auto"/>
                <w:spacing w:val="4"/>
                <w:sz w:val="24"/>
                <w:lang w:eastAsia="zh-CN"/>
              </w:rPr>
              <w:t>；</w:t>
            </w:r>
            <w:r>
              <w:rPr>
                <w:rFonts w:hint="eastAsia"/>
                <w:color w:val="auto"/>
                <w:spacing w:val="4"/>
                <w:sz w:val="24"/>
              </w:rPr>
              <w:t>风井场地、瓦斯抽放站</w:t>
            </w:r>
            <w:r>
              <w:rPr>
                <w:rFonts w:hint="eastAsia"/>
                <w:color w:val="auto"/>
                <w:spacing w:val="4"/>
                <w:sz w:val="24"/>
                <w:lang w:eastAsia="zh-CN"/>
              </w:rPr>
              <w:t>；</w:t>
            </w:r>
            <w:r>
              <w:rPr>
                <w:rFonts w:hint="eastAsia"/>
                <w:color w:val="auto"/>
                <w:spacing w:val="4"/>
                <w:sz w:val="24"/>
              </w:rPr>
              <w:t>矿区修复治理工程</w:t>
            </w:r>
            <w:r>
              <w:rPr>
                <w:rFonts w:hint="eastAsia"/>
                <w:color w:val="auto"/>
                <w:spacing w:val="4"/>
                <w:sz w:val="24"/>
                <w:lang w:eastAsia="zh-CN"/>
              </w:rPr>
              <w:t>（</w:t>
            </w:r>
            <w:r>
              <w:rPr>
                <w:rFonts w:hint="eastAsia"/>
                <w:color w:val="auto"/>
                <w:spacing w:val="4"/>
                <w:sz w:val="24"/>
              </w:rPr>
              <w:t>含煤矿火烧区治理工程</w:t>
            </w:r>
            <w:r>
              <w:rPr>
                <w:rFonts w:hint="eastAsia"/>
                <w:color w:val="auto"/>
                <w:spacing w:val="4"/>
                <w:sz w:val="24"/>
                <w:lang w:eastAsia="zh-CN"/>
              </w:rPr>
              <w:t>）</w:t>
            </w:r>
            <w:r>
              <w:rPr>
                <w:rFonts w:hint="eastAsia"/>
                <w:color w:val="auto"/>
                <w:spacing w:val="4"/>
                <w:sz w:val="24"/>
              </w:rPr>
              <w:t>”，则环评类别为报告表。</w:t>
            </w:r>
          </w:p>
          <w:p w14:paraId="0A8D2A93">
            <w:pPr>
              <w:adjustRightInd w:val="0"/>
              <w:snapToGrid w:val="0"/>
              <w:spacing w:line="360" w:lineRule="auto"/>
              <w:ind w:firstLine="482" w:firstLineChars="200"/>
              <w:rPr>
                <w:b/>
                <w:bCs/>
                <w:color w:val="auto"/>
                <w:sz w:val="24"/>
              </w:rPr>
            </w:pPr>
            <w:r>
              <w:rPr>
                <w:rFonts w:hint="eastAsia"/>
                <w:b/>
                <w:bCs/>
                <w:color w:val="auto"/>
                <w:sz w:val="24"/>
              </w:rPr>
              <w:t>2、</w:t>
            </w:r>
            <w:r>
              <w:rPr>
                <w:b/>
                <w:bCs/>
                <w:color w:val="auto"/>
                <w:sz w:val="24"/>
              </w:rPr>
              <w:t>项目概况</w:t>
            </w:r>
          </w:p>
          <w:p w14:paraId="5EA1C2FD">
            <w:pPr>
              <w:spacing w:line="360" w:lineRule="auto"/>
              <w:ind w:firstLine="496" w:firstLineChars="200"/>
              <w:rPr>
                <w:rFonts w:hint="eastAsia" w:ascii="Times New Roman" w:hAnsi="Times New Roman" w:eastAsia="宋体" w:cs="Times New Roman"/>
                <w:color w:val="auto"/>
                <w:spacing w:val="4"/>
                <w:sz w:val="24"/>
                <w:lang w:eastAsia="zh-CN"/>
              </w:rPr>
            </w:pPr>
            <w:r>
              <w:rPr>
                <w:rFonts w:hint="eastAsia"/>
                <w:color w:val="auto"/>
                <w:spacing w:val="4"/>
                <w:sz w:val="24"/>
              </w:rPr>
              <w:t>（1）项目名称：</w:t>
            </w:r>
            <w:r>
              <w:rPr>
                <w:rFonts w:hint="eastAsia" w:cs="Times New Roman"/>
                <w:color w:val="auto"/>
                <w:spacing w:val="4"/>
                <w:sz w:val="24"/>
                <w:lang w:eastAsia="zh-CN"/>
              </w:rPr>
              <w:t>鸡西金雨煤炭销售有限公司煤炭集运建设项目</w:t>
            </w:r>
          </w:p>
          <w:p w14:paraId="1A1FF7EE">
            <w:pPr>
              <w:spacing w:line="360" w:lineRule="auto"/>
              <w:ind w:firstLine="496" w:firstLineChars="200"/>
              <w:rPr>
                <w:rFonts w:hint="eastAsia" w:ascii="Times New Roman" w:hAnsi="Times New Roman" w:eastAsia="宋体" w:cs="Times New Roman"/>
                <w:color w:val="auto"/>
                <w:spacing w:val="4"/>
                <w:sz w:val="24"/>
              </w:rPr>
            </w:pPr>
            <w:r>
              <w:rPr>
                <w:rFonts w:hint="eastAsia" w:ascii="Times New Roman" w:hAnsi="Times New Roman" w:eastAsia="宋体" w:cs="Times New Roman"/>
                <w:color w:val="auto"/>
                <w:spacing w:val="4"/>
                <w:sz w:val="24"/>
              </w:rPr>
              <w:t>（2）建设单位：鸡西金雨煤炭销售有限公司</w:t>
            </w:r>
          </w:p>
          <w:p w14:paraId="3CEB218E">
            <w:pPr>
              <w:spacing w:line="360" w:lineRule="auto"/>
              <w:ind w:firstLine="496" w:firstLineChars="200"/>
              <w:rPr>
                <w:color w:val="auto"/>
                <w:spacing w:val="4"/>
                <w:sz w:val="24"/>
              </w:rPr>
            </w:pPr>
            <w:r>
              <w:rPr>
                <w:rFonts w:hint="eastAsia"/>
                <w:color w:val="auto"/>
                <w:spacing w:val="4"/>
                <w:sz w:val="24"/>
              </w:rPr>
              <w:t>（3）建设性质：新建</w:t>
            </w:r>
          </w:p>
          <w:p w14:paraId="0820C892">
            <w:pPr>
              <w:spacing w:line="360" w:lineRule="auto"/>
              <w:ind w:firstLine="496" w:firstLineChars="200"/>
              <w:rPr>
                <w:color w:val="auto"/>
                <w:spacing w:val="4"/>
                <w:sz w:val="24"/>
              </w:rPr>
            </w:pPr>
            <w:r>
              <w:rPr>
                <w:rFonts w:hint="eastAsia"/>
                <w:color w:val="auto"/>
                <w:spacing w:val="4"/>
                <w:sz w:val="24"/>
              </w:rPr>
              <w:t>（4）建</w:t>
            </w:r>
            <w:r>
              <w:rPr>
                <w:rFonts w:hint="eastAsia" w:ascii="Times New Roman" w:hAnsi="Times New Roman" w:eastAsia="宋体" w:cs="Times New Roman"/>
                <w:color w:val="auto"/>
                <w:spacing w:val="4"/>
                <w:sz w:val="24"/>
              </w:rPr>
              <w:t>设规模：项目位于</w:t>
            </w:r>
            <w:r>
              <w:rPr>
                <w:rFonts w:hint="eastAsia" w:ascii="Times New Roman" w:hAnsi="Times New Roman" w:eastAsia="宋体" w:cs="Times New Roman"/>
                <w:color w:val="auto"/>
                <w:spacing w:val="4"/>
                <w:sz w:val="24"/>
                <w:lang w:val="en-US" w:eastAsia="zh-CN"/>
              </w:rPr>
              <w:t>黑龙江省鸡西市城子河区南兴委，原三五一厂城砖分厂</w:t>
            </w:r>
            <w:r>
              <w:rPr>
                <w:rFonts w:hint="eastAsia" w:ascii="Times New Roman" w:hAnsi="Times New Roman" w:eastAsia="宋体" w:cs="Times New Roman"/>
                <w:color w:val="auto"/>
                <w:spacing w:val="4"/>
                <w:sz w:val="24"/>
              </w:rPr>
              <w:t>，</w:t>
            </w:r>
            <w:r>
              <w:rPr>
                <w:rFonts w:hint="eastAsia" w:ascii="Times New Roman" w:hAnsi="Times New Roman" w:eastAsia="宋体" w:cs="Times New Roman"/>
                <w:color w:val="auto"/>
                <w:spacing w:val="4"/>
                <w:sz w:val="24"/>
                <w:lang w:val="en-US" w:eastAsia="zh-CN"/>
              </w:rPr>
              <w:t>租赁黑龙江龙煤鸡西矿业有限责任公司的原三五一厂城砖分厂场地</w:t>
            </w:r>
            <w:r>
              <w:rPr>
                <w:rFonts w:hint="eastAsia" w:ascii="Calibri" w:hAnsi="Calibri"/>
                <w:bCs/>
                <w:color w:val="auto"/>
                <w:sz w:val="24"/>
                <w:lang w:val="en-US" w:eastAsia="zh-CN"/>
              </w:rPr>
              <w:t>。</w:t>
            </w:r>
            <w:r>
              <w:rPr>
                <w:rFonts w:hint="eastAsia"/>
                <w:color w:val="auto"/>
                <w:sz w:val="24"/>
              </w:rPr>
              <w:t>项目</w:t>
            </w:r>
            <w:r>
              <w:rPr>
                <w:rFonts w:hint="eastAsia"/>
                <w:color w:val="auto"/>
                <w:spacing w:val="4"/>
                <w:sz w:val="24"/>
              </w:rPr>
              <w:t>占地面积</w:t>
            </w:r>
            <w:r>
              <w:rPr>
                <w:rFonts w:hint="eastAsia"/>
                <w:color w:val="auto"/>
                <w:sz w:val="24"/>
                <w:lang w:val="en-US" w:eastAsia="zh-CN"/>
              </w:rPr>
              <w:t>19855</w:t>
            </w:r>
            <w:r>
              <w:rPr>
                <w:color w:val="auto"/>
                <w:spacing w:val="4"/>
                <w:sz w:val="24"/>
              </w:rPr>
              <w:t>m</w:t>
            </w:r>
            <w:r>
              <w:rPr>
                <w:color w:val="auto"/>
                <w:spacing w:val="4"/>
                <w:sz w:val="24"/>
                <w:vertAlign w:val="superscript"/>
              </w:rPr>
              <w:t>2</w:t>
            </w:r>
            <w:r>
              <w:rPr>
                <w:rFonts w:hint="eastAsia"/>
                <w:color w:val="auto"/>
                <w:spacing w:val="4"/>
                <w:sz w:val="24"/>
              </w:rPr>
              <w:t>，总建筑面积</w:t>
            </w:r>
            <w:r>
              <w:rPr>
                <w:rFonts w:hint="eastAsia"/>
                <w:color w:val="auto"/>
                <w:spacing w:val="4"/>
                <w:sz w:val="24"/>
                <w:lang w:val="en-US" w:eastAsia="zh-CN"/>
              </w:rPr>
              <w:t>10</w:t>
            </w:r>
            <w:r>
              <w:rPr>
                <w:color w:val="auto"/>
                <w:spacing w:val="4"/>
                <w:sz w:val="24"/>
              </w:rPr>
              <w:t>m</w:t>
            </w:r>
            <w:r>
              <w:rPr>
                <w:color w:val="auto"/>
                <w:spacing w:val="4"/>
                <w:sz w:val="24"/>
                <w:vertAlign w:val="superscript"/>
              </w:rPr>
              <w:t>2</w:t>
            </w:r>
            <w:r>
              <w:rPr>
                <w:rFonts w:hint="eastAsia"/>
                <w:color w:val="auto"/>
                <w:spacing w:val="4"/>
                <w:sz w:val="24"/>
              </w:rPr>
              <w:t>。</w:t>
            </w:r>
            <w:r>
              <w:rPr>
                <w:rFonts w:hint="eastAsia"/>
                <w:color w:val="auto"/>
                <w:spacing w:val="4"/>
                <w:sz w:val="24"/>
                <w:lang w:val="en-US" w:eastAsia="zh-CN"/>
              </w:rPr>
              <w:t>本项目外购煤炭，煤炭贮存在厂区内，年运输销售煤炭5万吨。</w:t>
            </w:r>
            <w:r>
              <w:rPr>
                <w:color w:val="auto"/>
                <w:spacing w:val="4"/>
                <w:sz w:val="24"/>
              </w:rPr>
              <w:t>具体建设内容以及建设规模</w:t>
            </w:r>
            <w:r>
              <w:rPr>
                <w:rFonts w:hint="eastAsia"/>
                <w:color w:val="auto"/>
                <w:spacing w:val="4"/>
                <w:sz w:val="24"/>
              </w:rPr>
              <w:t>见</w:t>
            </w:r>
            <w:r>
              <w:rPr>
                <w:color w:val="auto"/>
                <w:spacing w:val="4"/>
                <w:sz w:val="24"/>
              </w:rPr>
              <w:t>表</w:t>
            </w:r>
            <w:r>
              <w:rPr>
                <w:rFonts w:hint="eastAsia"/>
                <w:color w:val="auto"/>
                <w:spacing w:val="4"/>
                <w:sz w:val="24"/>
              </w:rPr>
              <w:t>2</w:t>
            </w:r>
            <w:r>
              <w:rPr>
                <w:color w:val="auto"/>
                <w:spacing w:val="4"/>
                <w:sz w:val="24"/>
              </w:rPr>
              <w:t>-1</w:t>
            </w:r>
            <w:r>
              <w:rPr>
                <w:rFonts w:hint="eastAsia"/>
                <w:color w:val="auto"/>
                <w:spacing w:val="4"/>
                <w:sz w:val="24"/>
              </w:rPr>
              <w:t>。</w:t>
            </w:r>
          </w:p>
          <w:p w14:paraId="01A25CA4">
            <w:pPr>
              <w:adjustRightInd w:val="0"/>
              <w:snapToGrid w:val="0"/>
              <w:spacing w:line="360" w:lineRule="auto"/>
              <w:ind w:firstLine="496" w:firstLineChars="200"/>
              <w:rPr>
                <w:color w:val="auto"/>
                <w:sz w:val="24"/>
              </w:rPr>
            </w:pPr>
            <w:r>
              <w:rPr>
                <w:rFonts w:hint="eastAsia"/>
                <w:color w:val="auto"/>
                <w:spacing w:val="4"/>
                <w:sz w:val="24"/>
              </w:rPr>
              <w:t>（5）总投资：本项目</w:t>
            </w:r>
            <w:r>
              <w:rPr>
                <w:rFonts w:hint="eastAsia"/>
                <w:color w:val="auto"/>
                <w:spacing w:val="4"/>
                <w:sz w:val="24"/>
                <w:lang w:val="en-US" w:eastAsia="zh-CN"/>
              </w:rPr>
              <w:t>总投资400</w:t>
            </w:r>
            <w:r>
              <w:rPr>
                <w:rFonts w:hint="eastAsia"/>
                <w:color w:val="auto"/>
                <w:spacing w:val="4"/>
                <w:sz w:val="24"/>
              </w:rPr>
              <w:t>万元，</w:t>
            </w:r>
            <w:r>
              <w:rPr>
                <w:color w:val="auto"/>
                <w:sz w:val="24"/>
              </w:rPr>
              <w:t>其中环保投资</w:t>
            </w:r>
            <w:r>
              <w:rPr>
                <w:rFonts w:hint="eastAsia"/>
                <w:color w:val="auto"/>
                <w:sz w:val="24"/>
                <w:lang w:val="en-US" w:eastAsia="zh-CN"/>
              </w:rPr>
              <w:t>105.5</w:t>
            </w:r>
            <w:r>
              <w:rPr>
                <w:color w:val="auto"/>
                <w:sz w:val="24"/>
              </w:rPr>
              <w:t>万元，占总投资的</w:t>
            </w:r>
            <w:r>
              <w:rPr>
                <w:rFonts w:hint="eastAsia" w:ascii="Times New Roman" w:hAnsi="Times New Roman" w:eastAsia="宋体" w:cs="Times New Roman"/>
                <w:color w:val="auto"/>
                <w:sz w:val="24"/>
                <w:lang w:val="en-US" w:eastAsia="zh-CN"/>
              </w:rPr>
              <w:t>26.4</w:t>
            </w:r>
            <w:r>
              <w:rPr>
                <w:color w:val="auto"/>
                <w:sz w:val="24"/>
              </w:rPr>
              <w:t>%。</w:t>
            </w:r>
          </w:p>
          <w:p w14:paraId="59672E58">
            <w:pPr>
              <w:adjustRightInd w:val="0"/>
              <w:snapToGrid w:val="0"/>
              <w:spacing w:line="360" w:lineRule="auto"/>
              <w:ind w:firstLine="482" w:firstLineChars="200"/>
              <w:rPr>
                <w:b/>
                <w:bCs/>
                <w:color w:val="auto"/>
                <w:sz w:val="24"/>
              </w:rPr>
            </w:pPr>
            <w:r>
              <w:rPr>
                <w:rFonts w:hint="eastAsia"/>
                <w:b/>
                <w:bCs/>
                <w:color w:val="auto"/>
                <w:sz w:val="24"/>
              </w:rPr>
              <w:t>3</w:t>
            </w:r>
            <w:r>
              <w:rPr>
                <w:b/>
                <w:bCs/>
                <w:color w:val="auto"/>
                <w:sz w:val="24"/>
              </w:rPr>
              <w:t>、建设内容</w:t>
            </w:r>
          </w:p>
          <w:p w14:paraId="7853FE51">
            <w:pPr>
              <w:adjustRightInd w:val="0"/>
              <w:snapToGrid w:val="0"/>
              <w:spacing w:line="360" w:lineRule="auto"/>
              <w:ind w:firstLine="480" w:firstLineChars="200"/>
              <w:rPr>
                <w:color w:val="auto"/>
                <w:sz w:val="24"/>
              </w:rPr>
            </w:pPr>
            <w:r>
              <w:rPr>
                <w:color w:val="auto"/>
                <w:sz w:val="24"/>
              </w:rPr>
              <w:t>本次工程项目组成主要包括辅助工程、公用工程、储运工程及环保工程，本项目建设内容见表</w:t>
            </w:r>
            <w:r>
              <w:rPr>
                <w:rFonts w:hint="eastAsia"/>
                <w:color w:val="auto"/>
                <w:sz w:val="24"/>
              </w:rPr>
              <w:t>2-1</w:t>
            </w:r>
            <w:r>
              <w:rPr>
                <w:color w:val="auto"/>
                <w:sz w:val="24"/>
              </w:rPr>
              <w:t>。</w:t>
            </w:r>
          </w:p>
          <w:p w14:paraId="056BCC75">
            <w:pPr>
              <w:jc w:val="center"/>
              <w:rPr>
                <w:b/>
                <w:color w:val="auto"/>
                <w:szCs w:val="21"/>
              </w:rPr>
            </w:pPr>
            <w:r>
              <w:rPr>
                <w:b/>
                <w:color w:val="auto"/>
                <w:szCs w:val="21"/>
              </w:rPr>
              <w:t>表2-1</w:t>
            </w:r>
            <w:r>
              <w:rPr>
                <w:rFonts w:hint="eastAsia"/>
                <w:b/>
                <w:color w:val="auto"/>
                <w:szCs w:val="21"/>
              </w:rPr>
              <w:t xml:space="preserve">  </w:t>
            </w:r>
            <w:r>
              <w:rPr>
                <w:b/>
                <w:color w:val="auto"/>
                <w:szCs w:val="21"/>
              </w:rPr>
              <w:t>项目组成一览表</w:t>
            </w:r>
          </w:p>
          <w:tbl>
            <w:tblPr>
              <w:tblStyle w:val="3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100"/>
              <w:gridCol w:w="5579"/>
              <w:gridCol w:w="671"/>
            </w:tblGrid>
            <w:tr w14:paraId="7E373E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7" w:type="pct"/>
                  <w:vAlign w:val="center"/>
                </w:tcPr>
                <w:p w14:paraId="705B694F">
                  <w:pPr>
                    <w:adjustRightInd w:val="0"/>
                    <w:snapToGrid w:val="0"/>
                    <w:jc w:val="center"/>
                    <w:rPr>
                      <w:color w:val="auto"/>
                      <w:szCs w:val="21"/>
                    </w:rPr>
                  </w:pPr>
                  <w:r>
                    <w:rPr>
                      <w:color w:val="auto"/>
                      <w:szCs w:val="21"/>
                    </w:rPr>
                    <w:t>工程</w:t>
                  </w:r>
                </w:p>
                <w:p w14:paraId="505A860D">
                  <w:pPr>
                    <w:adjustRightInd w:val="0"/>
                    <w:snapToGrid w:val="0"/>
                    <w:jc w:val="center"/>
                    <w:rPr>
                      <w:color w:val="auto"/>
                      <w:szCs w:val="21"/>
                    </w:rPr>
                  </w:pPr>
                  <w:r>
                    <w:rPr>
                      <w:color w:val="auto"/>
                      <w:szCs w:val="21"/>
                    </w:rPr>
                    <w:t>类别</w:t>
                  </w:r>
                </w:p>
              </w:tc>
              <w:tc>
                <w:tcPr>
                  <w:tcW w:w="681" w:type="pct"/>
                  <w:vAlign w:val="center"/>
                </w:tcPr>
                <w:p w14:paraId="25B1A715">
                  <w:pPr>
                    <w:adjustRightInd w:val="0"/>
                    <w:snapToGrid w:val="0"/>
                    <w:jc w:val="center"/>
                    <w:rPr>
                      <w:rFonts w:hint="default" w:eastAsia="宋体"/>
                      <w:color w:val="auto"/>
                      <w:szCs w:val="21"/>
                      <w:lang w:val="en-US" w:eastAsia="zh-CN"/>
                    </w:rPr>
                  </w:pPr>
                  <w:r>
                    <w:rPr>
                      <w:rFonts w:hint="eastAsia"/>
                      <w:color w:val="auto"/>
                      <w:szCs w:val="21"/>
                      <w:lang w:val="en-US" w:eastAsia="zh-CN"/>
                    </w:rPr>
                    <w:t>项目名称</w:t>
                  </w:r>
                </w:p>
              </w:tc>
              <w:tc>
                <w:tcPr>
                  <w:tcW w:w="3455" w:type="pct"/>
                  <w:vAlign w:val="center"/>
                </w:tcPr>
                <w:p w14:paraId="04BA257A">
                  <w:pPr>
                    <w:adjustRightInd w:val="0"/>
                    <w:snapToGrid w:val="0"/>
                    <w:jc w:val="center"/>
                    <w:rPr>
                      <w:color w:val="auto"/>
                      <w:szCs w:val="21"/>
                    </w:rPr>
                  </w:pPr>
                  <w:r>
                    <w:rPr>
                      <w:color w:val="auto"/>
                      <w:szCs w:val="21"/>
                    </w:rPr>
                    <w:t>工程建设内容及规模</w:t>
                  </w:r>
                </w:p>
              </w:tc>
              <w:tc>
                <w:tcPr>
                  <w:tcW w:w="415" w:type="pct"/>
                  <w:vAlign w:val="center"/>
                </w:tcPr>
                <w:p w14:paraId="67612F5A">
                  <w:pPr>
                    <w:adjustRightInd w:val="0"/>
                    <w:snapToGrid w:val="0"/>
                    <w:jc w:val="center"/>
                    <w:rPr>
                      <w:color w:val="auto"/>
                      <w:szCs w:val="21"/>
                    </w:rPr>
                  </w:pPr>
                  <w:r>
                    <w:rPr>
                      <w:color w:val="auto"/>
                      <w:szCs w:val="21"/>
                    </w:rPr>
                    <w:t>备注</w:t>
                  </w:r>
                </w:p>
              </w:tc>
            </w:tr>
            <w:tr w14:paraId="6928C2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7" w:type="pct"/>
                  <w:vMerge w:val="restart"/>
                  <w:vAlign w:val="center"/>
                </w:tcPr>
                <w:p w14:paraId="7B3C8D37">
                  <w:pPr>
                    <w:adjustRightInd w:val="0"/>
                    <w:snapToGrid w:val="0"/>
                    <w:jc w:val="center"/>
                    <w:rPr>
                      <w:color w:val="auto"/>
                      <w:szCs w:val="21"/>
                    </w:rPr>
                  </w:pPr>
                  <w:r>
                    <w:rPr>
                      <w:color w:val="auto"/>
                      <w:szCs w:val="21"/>
                    </w:rPr>
                    <w:t>储运</w:t>
                  </w:r>
                </w:p>
                <w:p w14:paraId="44F393D5">
                  <w:pPr>
                    <w:adjustRightInd w:val="0"/>
                    <w:snapToGrid w:val="0"/>
                    <w:jc w:val="center"/>
                    <w:rPr>
                      <w:color w:val="auto"/>
                      <w:szCs w:val="21"/>
                    </w:rPr>
                  </w:pPr>
                  <w:r>
                    <w:rPr>
                      <w:color w:val="auto"/>
                      <w:szCs w:val="21"/>
                    </w:rPr>
                    <w:t>工程</w:t>
                  </w:r>
                </w:p>
              </w:tc>
              <w:tc>
                <w:tcPr>
                  <w:tcW w:w="681" w:type="pct"/>
                  <w:vMerge w:val="restart"/>
                  <w:vAlign w:val="center"/>
                </w:tcPr>
                <w:p w14:paraId="09B7A5FC">
                  <w:pPr>
                    <w:adjustRightInd w:val="0"/>
                    <w:snapToGrid w:val="0"/>
                    <w:jc w:val="center"/>
                    <w:rPr>
                      <w:rFonts w:hint="default"/>
                      <w:color w:val="auto"/>
                      <w:szCs w:val="21"/>
                      <w:lang w:val="en-US" w:eastAsia="zh-CN"/>
                    </w:rPr>
                  </w:pPr>
                  <w:r>
                    <w:rPr>
                      <w:rFonts w:hint="eastAsia"/>
                      <w:color w:val="auto"/>
                      <w:szCs w:val="21"/>
                      <w:lang w:val="en-US" w:eastAsia="zh-CN"/>
                    </w:rPr>
                    <w:t>煤炭堆场</w:t>
                  </w:r>
                </w:p>
              </w:tc>
              <w:tc>
                <w:tcPr>
                  <w:tcW w:w="3455" w:type="pct"/>
                  <w:vAlign w:val="center"/>
                </w:tcPr>
                <w:p w14:paraId="30ED7C38">
                  <w:pPr>
                    <w:adjustRightInd w:val="0"/>
                    <w:snapToGrid w:val="0"/>
                    <w:rPr>
                      <w:rFonts w:hint="default" w:eastAsia="宋体"/>
                      <w:color w:val="auto"/>
                      <w:szCs w:val="21"/>
                      <w:vertAlign w:val="baseline"/>
                      <w:lang w:val="en-US" w:eastAsia="zh-CN"/>
                    </w:rPr>
                  </w:pPr>
                  <w:r>
                    <w:rPr>
                      <w:rFonts w:hint="eastAsia"/>
                      <w:color w:val="auto"/>
                      <w:szCs w:val="21"/>
                      <w:lang w:val="en-US" w:eastAsia="zh-CN"/>
                    </w:rPr>
                    <w:t>位于厂区北侧，占地面积7435.8m</w:t>
                  </w:r>
                  <w:r>
                    <w:rPr>
                      <w:rFonts w:hint="eastAsia"/>
                      <w:color w:val="auto"/>
                      <w:szCs w:val="21"/>
                      <w:vertAlign w:val="superscript"/>
                      <w:lang w:val="en-US" w:eastAsia="zh-CN"/>
                    </w:rPr>
                    <w:t>2</w:t>
                  </w:r>
                  <w:r>
                    <w:rPr>
                      <w:rFonts w:hint="eastAsia"/>
                      <w:color w:val="auto"/>
                      <w:szCs w:val="21"/>
                      <w:vertAlign w:val="baseline"/>
                      <w:lang w:val="en-US" w:eastAsia="zh-CN"/>
                    </w:rPr>
                    <w:t>，最大高度2.5m，最大存储能力1万吨，</w:t>
                  </w:r>
                  <w:r>
                    <w:rPr>
                      <w:rFonts w:hint="eastAsia"/>
                      <w:color w:val="auto"/>
                      <w:szCs w:val="21"/>
                      <w:lang w:val="en-US" w:eastAsia="zh-CN"/>
                    </w:rPr>
                    <w:t>煤炭</w:t>
                  </w:r>
                  <w:r>
                    <w:rPr>
                      <w:rFonts w:hint="eastAsia"/>
                      <w:color w:val="auto"/>
                      <w:szCs w:val="21"/>
                      <w:vertAlign w:val="baseline"/>
                      <w:lang w:val="en-US" w:eastAsia="zh-CN"/>
                    </w:rPr>
                    <w:t>周转周期为3次/年，煤炭来源于周边煤矿厂，由煤矿厂派运输车辆运送至本项目煤炭堆场。</w:t>
                  </w:r>
                </w:p>
              </w:tc>
              <w:tc>
                <w:tcPr>
                  <w:tcW w:w="415" w:type="pct"/>
                  <w:vAlign w:val="center"/>
                </w:tcPr>
                <w:p w14:paraId="1B35EF02">
                  <w:pPr>
                    <w:adjustRightInd w:val="0"/>
                    <w:snapToGrid w:val="0"/>
                    <w:jc w:val="center"/>
                    <w:rPr>
                      <w:color w:val="auto"/>
                      <w:szCs w:val="21"/>
                    </w:rPr>
                  </w:pPr>
                  <w:r>
                    <w:rPr>
                      <w:rFonts w:hint="eastAsia"/>
                      <w:color w:val="auto"/>
                      <w:szCs w:val="21"/>
                      <w:lang w:val="en-US" w:eastAsia="zh-CN"/>
                    </w:rPr>
                    <w:t>/</w:t>
                  </w:r>
                </w:p>
              </w:tc>
            </w:tr>
            <w:tr w14:paraId="51E77F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7" w:type="pct"/>
                  <w:vMerge w:val="continue"/>
                  <w:vAlign w:val="center"/>
                </w:tcPr>
                <w:p w14:paraId="303A7E6D">
                  <w:pPr>
                    <w:adjustRightInd w:val="0"/>
                    <w:snapToGrid w:val="0"/>
                    <w:jc w:val="center"/>
                    <w:rPr>
                      <w:color w:val="auto"/>
                      <w:szCs w:val="21"/>
                    </w:rPr>
                  </w:pPr>
                </w:p>
              </w:tc>
              <w:tc>
                <w:tcPr>
                  <w:tcW w:w="681" w:type="pct"/>
                  <w:vMerge w:val="continue"/>
                  <w:vAlign w:val="center"/>
                </w:tcPr>
                <w:p w14:paraId="0C6EBE6D">
                  <w:pPr>
                    <w:adjustRightInd w:val="0"/>
                    <w:snapToGrid w:val="0"/>
                    <w:jc w:val="center"/>
                    <w:rPr>
                      <w:rFonts w:hint="default"/>
                      <w:color w:val="auto"/>
                      <w:szCs w:val="21"/>
                      <w:lang w:val="en-US" w:eastAsia="zh-CN"/>
                    </w:rPr>
                  </w:pPr>
                </w:p>
              </w:tc>
              <w:tc>
                <w:tcPr>
                  <w:tcW w:w="3455" w:type="pct"/>
                  <w:vAlign w:val="center"/>
                </w:tcPr>
                <w:p w14:paraId="4BACDC36">
                  <w:pPr>
                    <w:adjustRightInd w:val="0"/>
                    <w:snapToGrid w:val="0"/>
                    <w:rPr>
                      <w:rFonts w:hint="eastAsia"/>
                      <w:color w:val="auto"/>
                      <w:szCs w:val="21"/>
                      <w:lang w:val="en-US" w:eastAsia="zh-CN"/>
                    </w:rPr>
                  </w:pPr>
                  <w:r>
                    <w:rPr>
                      <w:rFonts w:hint="eastAsia"/>
                      <w:color w:val="auto"/>
                      <w:szCs w:val="21"/>
                      <w:lang w:val="en-US" w:eastAsia="zh-CN"/>
                    </w:rPr>
                    <w:t>位于厂区南侧，占地面积3916.2m</w:t>
                  </w:r>
                  <w:r>
                    <w:rPr>
                      <w:rFonts w:hint="eastAsia"/>
                      <w:color w:val="auto"/>
                      <w:szCs w:val="21"/>
                      <w:vertAlign w:val="superscript"/>
                      <w:lang w:val="en-US" w:eastAsia="zh-CN"/>
                    </w:rPr>
                    <w:t>2</w:t>
                  </w:r>
                  <w:r>
                    <w:rPr>
                      <w:rFonts w:hint="eastAsia"/>
                      <w:color w:val="auto"/>
                      <w:szCs w:val="21"/>
                      <w:vertAlign w:val="baseline"/>
                      <w:lang w:val="en-US" w:eastAsia="zh-CN"/>
                    </w:rPr>
                    <w:t>，最大高度2.5m，最大存储能力1万吨，煤炭周转周期为3次/年，煤炭来源于周边煤矿厂，由煤矿厂派运输车辆运送至本项目煤炭堆场。</w:t>
                  </w:r>
                </w:p>
              </w:tc>
              <w:tc>
                <w:tcPr>
                  <w:tcW w:w="415" w:type="pct"/>
                  <w:vAlign w:val="center"/>
                </w:tcPr>
                <w:p w14:paraId="4D255F99">
                  <w:pPr>
                    <w:adjustRightInd w:val="0"/>
                    <w:snapToGrid w:val="0"/>
                    <w:jc w:val="center"/>
                    <w:rPr>
                      <w:rFonts w:hint="eastAsia"/>
                      <w:color w:val="auto"/>
                      <w:szCs w:val="21"/>
                      <w:lang w:val="en-US" w:eastAsia="zh-CN"/>
                    </w:rPr>
                  </w:pPr>
                  <w:r>
                    <w:rPr>
                      <w:rFonts w:hint="eastAsia"/>
                      <w:color w:val="auto"/>
                      <w:szCs w:val="21"/>
                      <w:lang w:val="en-US" w:eastAsia="zh-CN"/>
                    </w:rPr>
                    <w:t>/</w:t>
                  </w:r>
                </w:p>
              </w:tc>
            </w:tr>
            <w:tr w14:paraId="48CF95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447" w:type="pct"/>
                  <w:vMerge w:val="continue"/>
                  <w:vAlign w:val="center"/>
                </w:tcPr>
                <w:p w14:paraId="0E847183">
                  <w:pPr>
                    <w:adjustRightInd w:val="0"/>
                    <w:snapToGrid w:val="0"/>
                    <w:jc w:val="center"/>
                    <w:rPr>
                      <w:color w:val="auto"/>
                      <w:szCs w:val="21"/>
                    </w:rPr>
                  </w:pPr>
                </w:p>
              </w:tc>
              <w:tc>
                <w:tcPr>
                  <w:tcW w:w="681" w:type="pct"/>
                  <w:vAlign w:val="center"/>
                </w:tcPr>
                <w:p w14:paraId="4CE8EBEF">
                  <w:pPr>
                    <w:adjustRightInd w:val="0"/>
                    <w:snapToGrid w:val="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危废贮存点</w:t>
                  </w:r>
                </w:p>
              </w:tc>
              <w:tc>
                <w:tcPr>
                  <w:tcW w:w="3455" w:type="pct"/>
                  <w:vAlign w:val="center"/>
                </w:tcPr>
                <w:p w14:paraId="32B8F803">
                  <w:pPr>
                    <w:adjustRightInd w:val="0"/>
                    <w:snapToGrid w:val="0"/>
                    <w:rPr>
                      <w:rFonts w:hint="eastAsia"/>
                      <w:color w:val="auto"/>
                      <w:szCs w:val="21"/>
                      <w:lang w:val="en-US" w:eastAsia="zh-CN"/>
                    </w:rPr>
                  </w:pPr>
                  <w:r>
                    <w:rPr>
                      <w:rFonts w:hint="eastAsia" w:cs="Times New Roman"/>
                      <w:color w:val="auto"/>
                      <w:kern w:val="2"/>
                      <w:sz w:val="21"/>
                      <w:szCs w:val="21"/>
                      <w:highlight w:val="none"/>
                      <w:lang w:val="en-US" w:eastAsia="zh-CN" w:bidi="ar-SA"/>
                    </w:rPr>
                    <w:t>位于厂区北侧，钢架结构，建筑高度3m，</w:t>
                  </w:r>
                  <w:r>
                    <w:rPr>
                      <w:rFonts w:hint="eastAsia"/>
                      <w:color w:val="auto"/>
                      <w:lang w:val="en-US" w:eastAsia="zh-CN"/>
                    </w:rPr>
                    <w:t>建筑面积10m</w:t>
                  </w:r>
                  <w:r>
                    <w:rPr>
                      <w:rFonts w:hint="eastAsia"/>
                      <w:color w:val="auto"/>
                      <w:vertAlign w:val="superscript"/>
                      <w:lang w:val="en-US" w:eastAsia="zh-CN"/>
                    </w:rPr>
                    <w:t>2</w:t>
                  </w:r>
                  <w:r>
                    <w:rPr>
                      <w:rFonts w:hint="eastAsia"/>
                      <w:color w:val="auto"/>
                      <w:lang w:val="en-US" w:eastAsia="zh-CN"/>
                    </w:rPr>
                    <w:t>，用于贮存废机油、废含油手套、废含油抹布，其中废机油最大贮存量0.1t，废含油手套、废含油抹布最大贮存量0.01t，可满足本项目1年危险废物贮存需求，本项目危废贮存点</w:t>
                  </w:r>
                  <w:r>
                    <w:rPr>
                      <w:rFonts w:ascii="Times New Roman" w:hAnsi="Times New Roman" w:eastAsia="宋体" w:cs="Times New Roman"/>
                      <w:color w:val="auto"/>
                    </w:rPr>
                    <w:t>严格按照</w:t>
                  </w:r>
                  <w:r>
                    <w:rPr>
                      <w:rFonts w:hint="eastAsia" w:ascii="Times New Roman" w:hAnsi="Times New Roman" w:eastAsia="宋体" w:cs="Times New Roman"/>
                      <w:color w:val="auto"/>
                    </w:rPr>
                    <w:t>《危险废物贮存污染控制标准》（GB18597-2023）</w:t>
                  </w:r>
                  <w:r>
                    <w:rPr>
                      <w:rFonts w:ascii="Times New Roman" w:hAnsi="Times New Roman" w:eastAsia="宋体" w:cs="Times New Roman"/>
                      <w:color w:val="auto"/>
                    </w:rPr>
                    <w:t>的要求进行建设，采用</w:t>
                  </w:r>
                  <w:r>
                    <w:rPr>
                      <w:rFonts w:hint="eastAsia" w:cs="Times New Roman"/>
                      <w:color w:val="auto"/>
                      <w:lang w:val="en-US" w:eastAsia="zh-CN"/>
                    </w:rPr>
                    <w:t>重点</w:t>
                  </w:r>
                  <w:r>
                    <w:rPr>
                      <w:rFonts w:ascii="Times New Roman" w:hAnsi="Times New Roman" w:eastAsia="宋体" w:cs="Times New Roman"/>
                      <w:color w:val="auto"/>
                    </w:rPr>
                    <w:t>防渗，地面与裙脚采用坚固防渗的材料建造，防风、防晒、防雨；基础</w:t>
                  </w:r>
                  <w:r>
                    <w:rPr>
                      <w:rFonts w:hint="eastAsia" w:ascii="Times New Roman" w:hAnsi="Times New Roman" w:eastAsia="宋体" w:cs="Times New Roman"/>
                      <w:color w:val="auto"/>
                    </w:rPr>
                    <w:t>敷设</w:t>
                  </w:r>
                  <w:r>
                    <w:rPr>
                      <w:rFonts w:ascii="Times New Roman" w:hAnsi="Times New Roman" w:eastAsia="宋体" w:cs="Times New Roman"/>
                      <w:color w:val="auto"/>
                    </w:rPr>
                    <w:t>至少2mm厚的高密度聚乙烯防水层，上部敷设10cm厚水泥层，渗透系数应≤1×10</w:t>
                  </w:r>
                  <w:r>
                    <w:rPr>
                      <w:rFonts w:ascii="Times New Roman" w:hAnsi="Times New Roman" w:eastAsia="宋体" w:cs="Times New Roman"/>
                      <w:color w:val="auto"/>
                      <w:vertAlign w:val="superscript"/>
                    </w:rPr>
                    <w:t>-10</w:t>
                  </w:r>
                  <w:r>
                    <w:rPr>
                      <w:rFonts w:ascii="Times New Roman" w:hAnsi="Times New Roman" w:eastAsia="宋体" w:cs="Times New Roman"/>
                      <w:color w:val="auto"/>
                    </w:rPr>
                    <w:t>cm/s，防渗等级满足《危险废物贮存污染控制标准》（GB18597-2023）的要求</w:t>
                  </w:r>
                  <w:r>
                    <w:rPr>
                      <w:rFonts w:hint="eastAsia" w:ascii="Times New Roman" w:hAnsi="Times New Roman" w:cs="Times New Roman"/>
                      <w:color w:val="auto"/>
                      <w:lang w:eastAsia="zh-CN"/>
                    </w:rPr>
                    <w:t>。</w:t>
                  </w:r>
                </w:p>
              </w:tc>
              <w:tc>
                <w:tcPr>
                  <w:tcW w:w="415" w:type="pct"/>
                  <w:vAlign w:val="center"/>
                </w:tcPr>
                <w:p w14:paraId="009598E0">
                  <w:pPr>
                    <w:adjustRightInd w:val="0"/>
                    <w:snapToGrid w:val="0"/>
                    <w:jc w:val="center"/>
                    <w:rPr>
                      <w:rFonts w:hint="eastAsia"/>
                      <w:color w:val="auto"/>
                      <w:szCs w:val="21"/>
                      <w:lang w:val="en-US" w:eastAsia="zh-CN"/>
                    </w:rPr>
                  </w:pPr>
                  <w:r>
                    <w:rPr>
                      <w:rFonts w:hint="eastAsia"/>
                      <w:color w:val="auto"/>
                      <w:szCs w:val="21"/>
                      <w:lang w:val="en-US" w:eastAsia="zh-CN"/>
                    </w:rPr>
                    <w:t>新建</w:t>
                  </w:r>
                </w:p>
              </w:tc>
            </w:tr>
            <w:tr w14:paraId="2EEC40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7" w:type="pct"/>
                  <w:vMerge w:val="restart"/>
                  <w:vAlign w:val="center"/>
                </w:tcPr>
                <w:p w14:paraId="5F465EE4">
                  <w:pPr>
                    <w:adjustRightInd w:val="0"/>
                    <w:snapToGrid w:val="0"/>
                    <w:jc w:val="center"/>
                    <w:rPr>
                      <w:color w:val="auto"/>
                      <w:szCs w:val="21"/>
                    </w:rPr>
                  </w:pPr>
                  <w:r>
                    <w:rPr>
                      <w:color w:val="auto"/>
                      <w:szCs w:val="21"/>
                    </w:rPr>
                    <w:t>辅助</w:t>
                  </w:r>
                </w:p>
                <w:p w14:paraId="6D800B9A">
                  <w:pPr>
                    <w:adjustRightInd w:val="0"/>
                    <w:snapToGrid w:val="0"/>
                    <w:jc w:val="center"/>
                    <w:rPr>
                      <w:color w:val="auto"/>
                      <w:szCs w:val="21"/>
                    </w:rPr>
                  </w:pPr>
                  <w:r>
                    <w:rPr>
                      <w:color w:val="auto"/>
                      <w:szCs w:val="21"/>
                    </w:rPr>
                    <w:t>工程</w:t>
                  </w:r>
                </w:p>
              </w:tc>
              <w:tc>
                <w:tcPr>
                  <w:tcW w:w="681" w:type="pct"/>
                  <w:vAlign w:val="center"/>
                </w:tcPr>
                <w:p w14:paraId="45A435CA">
                  <w:pPr>
                    <w:adjustRightInd w:val="0"/>
                    <w:snapToGrid w:val="0"/>
                    <w:jc w:val="center"/>
                    <w:rPr>
                      <w:rFonts w:hint="default"/>
                      <w:color w:val="auto"/>
                      <w:szCs w:val="21"/>
                      <w:lang w:val="en-US" w:eastAsia="zh-CN"/>
                    </w:rPr>
                  </w:pPr>
                  <w:r>
                    <w:rPr>
                      <w:rFonts w:hint="eastAsia"/>
                      <w:color w:val="auto"/>
                      <w:szCs w:val="21"/>
                      <w:lang w:val="en-US" w:eastAsia="zh-CN"/>
                    </w:rPr>
                    <w:t>车辆冲洗废水沉淀池</w:t>
                  </w:r>
                </w:p>
              </w:tc>
              <w:tc>
                <w:tcPr>
                  <w:tcW w:w="3455" w:type="pct"/>
                  <w:vAlign w:val="center"/>
                </w:tcPr>
                <w:p w14:paraId="2447270E">
                  <w:pPr>
                    <w:adjustRightInd w:val="0"/>
                    <w:snapToGrid w:val="0"/>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Cs w:val="21"/>
                      <w:lang w:val="en-US" w:eastAsia="zh-CN"/>
                    </w:rPr>
                    <w:t>位于厂区西侧（1.5m*1.5m*1m），最大容积10m</w:t>
                  </w:r>
                  <w:r>
                    <w:rPr>
                      <w:rFonts w:hint="eastAsia"/>
                      <w:color w:val="auto"/>
                      <w:szCs w:val="21"/>
                      <w:vertAlign w:val="superscript"/>
                      <w:lang w:val="en-US" w:eastAsia="zh-CN"/>
                    </w:rPr>
                    <w:t>3</w:t>
                  </w:r>
                  <w:r>
                    <w:rPr>
                      <w:rFonts w:hint="eastAsia"/>
                      <w:color w:val="auto"/>
                      <w:szCs w:val="21"/>
                      <w:vertAlign w:val="baseline"/>
                      <w:lang w:val="en-US" w:eastAsia="zh-CN"/>
                    </w:rPr>
                    <w:t>，可满足项目1天车辆冲洗废水存储需求，沉淀池上方设洗车区域，用于车辆冲洗。</w:t>
                  </w:r>
                </w:p>
              </w:tc>
              <w:tc>
                <w:tcPr>
                  <w:tcW w:w="415" w:type="pct"/>
                  <w:vAlign w:val="center"/>
                </w:tcPr>
                <w:p w14:paraId="2076F76A">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新建</w:t>
                  </w:r>
                </w:p>
              </w:tc>
            </w:tr>
            <w:tr w14:paraId="0BB35A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7" w:type="pct"/>
                  <w:vMerge w:val="continue"/>
                  <w:vAlign w:val="center"/>
                </w:tcPr>
                <w:p w14:paraId="7E5ADCE5">
                  <w:pPr>
                    <w:adjustRightInd w:val="0"/>
                    <w:snapToGrid w:val="0"/>
                    <w:jc w:val="center"/>
                    <w:rPr>
                      <w:color w:val="auto"/>
                      <w:szCs w:val="21"/>
                    </w:rPr>
                  </w:pPr>
                </w:p>
              </w:tc>
              <w:tc>
                <w:tcPr>
                  <w:tcW w:w="681" w:type="pct"/>
                  <w:vAlign w:val="center"/>
                </w:tcPr>
                <w:p w14:paraId="5F2B9874">
                  <w:pPr>
                    <w:adjustRightInd w:val="0"/>
                    <w:snapToGrid w:val="0"/>
                    <w:jc w:val="center"/>
                    <w:rPr>
                      <w:rFonts w:hint="default"/>
                      <w:color w:val="auto"/>
                      <w:szCs w:val="21"/>
                      <w:lang w:val="en-US" w:eastAsia="zh-CN"/>
                    </w:rPr>
                  </w:pPr>
                  <w:r>
                    <w:rPr>
                      <w:rFonts w:hint="eastAsia"/>
                      <w:color w:val="auto"/>
                      <w:szCs w:val="21"/>
                      <w:lang w:val="en-US" w:eastAsia="zh-CN"/>
                    </w:rPr>
                    <w:t>初期雨水收集池</w:t>
                  </w:r>
                </w:p>
              </w:tc>
              <w:tc>
                <w:tcPr>
                  <w:tcW w:w="3455" w:type="pct"/>
                  <w:vAlign w:val="center"/>
                </w:tcPr>
                <w:p w14:paraId="4B501A79">
                  <w:pPr>
                    <w:adjustRightInd w:val="0"/>
                    <w:snapToGrid w:val="0"/>
                    <w:rPr>
                      <w:rFonts w:hint="default" w:eastAsia="宋体"/>
                      <w:color w:val="auto"/>
                      <w:szCs w:val="21"/>
                      <w:lang w:val="en-US" w:eastAsia="zh-CN"/>
                    </w:rPr>
                  </w:pPr>
                  <w:r>
                    <w:rPr>
                      <w:rFonts w:hint="eastAsia"/>
                      <w:color w:val="auto"/>
                      <w:szCs w:val="21"/>
                      <w:lang w:val="en-US" w:eastAsia="zh-CN"/>
                    </w:rPr>
                    <w:t>位于位于厂区东北侧，10m*10m*2m，最大容积200m</w:t>
                  </w:r>
                  <w:r>
                    <w:rPr>
                      <w:rFonts w:hint="eastAsia"/>
                      <w:color w:val="auto"/>
                      <w:szCs w:val="21"/>
                      <w:vertAlign w:val="superscript"/>
                      <w:lang w:val="en-US" w:eastAsia="zh-CN"/>
                    </w:rPr>
                    <w:t>3</w:t>
                  </w:r>
                  <w:r>
                    <w:rPr>
                      <w:rFonts w:hint="eastAsia"/>
                      <w:color w:val="auto"/>
                      <w:szCs w:val="21"/>
                      <w:vertAlign w:val="baseline"/>
                      <w:lang w:val="en-US" w:eastAsia="zh-CN"/>
                    </w:rPr>
                    <w:t>，可满足本项目1次雨水收集需求。</w:t>
                  </w:r>
                </w:p>
              </w:tc>
              <w:tc>
                <w:tcPr>
                  <w:tcW w:w="415" w:type="pct"/>
                  <w:vAlign w:val="center"/>
                </w:tcPr>
                <w:p w14:paraId="219D3402">
                  <w:pPr>
                    <w:adjustRightInd w:val="0"/>
                    <w:snapToGrid w:val="0"/>
                    <w:jc w:val="center"/>
                    <w:rPr>
                      <w:rFonts w:hint="eastAsia"/>
                      <w:color w:val="auto"/>
                      <w:szCs w:val="21"/>
                    </w:rPr>
                  </w:pPr>
                  <w:r>
                    <w:rPr>
                      <w:rFonts w:hint="eastAsia"/>
                      <w:color w:val="auto"/>
                      <w:szCs w:val="21"/>
                    </w:rPr>
                    <w:t>新建</w:t>
                  </w:r>
                </w:p>
              </w:tc>
            </w:tr>
            <w:tr w14:paraId="674AED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7" w:type="pct"/>
                  <w:vMerge w:val="restart"/>
                  <w:vAlign w:val="center"/>
                </w:tcPr>
                <w:p w14:paraId="09D1B18F">
                  <w:pPr>
                    <w:adjustRightInd w:val="0"/>
                    <w:snapToGrid w:val="0"/>
                    <w:jc w:val="center"/>
                    <w:rPr>
                      <w:color w:val="auto"/>
                      <w:szCs w:val="21"/>
                    </w:rPr>
                  </w:pPr>
                  <w:r>
                    <w:rPr>
                      <w:color w:val="auto"/>
                      <w:szCs w:val="21"/>
                    </w:rPr>
                    <w:t>公用</w:t>
                  </w:r>
                </w:p>
                <w:p w14:paraId="4D7D1C9A">
                  <w:pPr>
                    <w:adjustRightInd w:val="0"/>
                    <w:snapToGrid w:val="0"/>
                    <w:jc w:val="center"/>
                    <w:rPr>
                      <w:color w:val="auto"/>
                      <w:szCs w:val="21"/>
                    </w:rPr>
                  </w:pPr>
                  <w:r>
                    <w:rPr>
                      <w:color w:val="auto"/>
                      <w:szCs w:val="21"/>
                    </w:rPr>
                    <w:t>工程</w:t>
                  </w:r>
                </w:p>
              </w:tc>
              <w:tc>
                <w:tcPr>
                  <w:tcW w:w="681" w:type="pct"/>
                  <w:vAlign w:val="center"/>
                </w:tcPr>
                <w:p w14:paraId="0536CA99">
                  <w:pPr>
                    <w:adjustRightInd w:val="0"/>
                    <w:snapToGrid w:val="0"/>
                    <w:jc w:val="center"/>
                    <w:rPr>
                      <w:rFonts w:hint="eastAsia" w:eastAsia="宋体"/>
                      <w:color w:val="auto"/>
                      <w:szCs w:val="21"/>
                      <w:lang w:val="en-US" w:eastAsia="zh-CN"/>
                    </w:rPr>
                  </w:pPr>
                  <w:r>
                    <w:rPr>
                      <w:rFonts w:hint="eastAsia"/>
                      <w:color w:val="auto"/>
                      <w:szCs w:val="21"/>
                      <w:lang w:val="en-US" w:eastAsia="zh-CN"/>
                    </w:rPr>
                    <w:t>供水</w:t>
                  </w:r>
                </w:p>
              </w:tc>
              <w:tc>
                <w:tcPr>
                  <w:tcW w:w="3455" w:type="pct"/>
                  <w:vAlign w:val="center"/>
                </w:tcPr>
                <w:p w14:paraId="78E044BA">
                  <w:pPr>
                    <w:adjustRightInd w:val="0"/>
                    <w:snapToGrid w:val="0"/>
                    <w:rPr>
                      <w:color w:val="auto"/>
                      <w:szCs w:val="21"/>
                    </w:rPr>
                  </w:pPr>
                  <w:r>
                    <w:rPr>
                      <w:color w:val="auto"/>
                      <w:szCs w:val="21"/>
                    </w:rPr>
                    <w:t>职工生活用水</w:t>
                  </w:r>
                  <w:r>
                    <w:rPr>
                      <w:rFonts w:hint="eastAsia"/>
                      <w:color w:val="auto"/>
                      <w:szCs w:val="21"/>
                      <w:lang w:val="en-US" w:eastAsia="zh-CN"/>
                    </w:rPr>
                    <w:t>购买桶装水使用</w:t>
                  </w:r>
                  <w:r>
                    <w:rPr>
                      <w:rFonts w:hint="eastAsia"/>
                      <w:color w:val="auto"/>
                      <w:szCs w:val="21"/>
                    </w:rPr>
                    <w:t>。</w:t>
                  </w:r>
                  <w:r>
                    <w:rPr>
                      <w:rFonts w:hint="eastAsia"/>
                      <w:color w:val="auto"/>
                      <w:szCs w:val="21"/>
                      <w:lang w:val="en-US" w:eastAsia="zh-CN"/>
                    </w:rPr>
                    <w:t>车辆冲洗用水和降尘用水优先使用收集的初期雨水，初期雨水不足时购买黑龙江龙煤鸡西矿业有限责任公司自来水使用。</w:t>
                  </w:r>
                  <w:r>
                    <w:rPr>
                      <w:rFonts w:hint="eastAsia"/>
                      <w:color w:val="auto"/>
                      <w:szCs w:val="21"/>
                    </w:rPr>
                    <w:t>本项目总用水量为</w:t>
                  </w:r>
                  <w:r>
                    <w:rPr>
                      <w:rFonts w:hint="eastAsia"/>
                      <w:color w:val="auto"/>
                      <w:lang w:val="en-US" w:eastAsia="zh-CN"/>
                    </w:rPr>
                    <w:t>5808.6t/a。</w:t>
                  </w:r>
                </w:p>
              </w:tc>
              <w:tc>
                <w:tcPr>
                  <w:tcW w:w="415" w:type="pct"/>
                  <w:vAlign w:val="center"/>
                </w:tcPr>
                <w:p w14:paraId="690C582B">
                  <w:pPr>
                    <w:adjustRightInd w:val="0"/>
                    <w:snapToGrid w:val="0"/>
                    <w:jc w:val="center"/>
                    <w:rPr>
                      <w:rFonts w:hint="eastAsia" w:eastAsia="宋体"/>
                      <w:color w:val="auto"/>
                      <w:szCs w:val="21"/>
                      <w:lang w:eastAsia="zh-CN"/>
                    </w:rPr>
                  </w:pPr>
                  <w:r>
                    <w:rPr>
                      <w:rFonts w:hint="eastAsia"/>
                      <w:color w:val="auto"/>
                      <w:szCs w:val="21"/>
                      <w:lang w:val="en-US" w:eastAsia="zh-CN"/>
                    </w:rPr>
                    <w:t>/</w:t>
                  </w:r>
                </w:p>
              </w:tc>
            </w:tr>
            <w:tr w14:paraId="2967B0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447" w:type="pct"/>
                  <w:vMerge w:val="continue"/>
                  <w:vAlign w:val="center"/>
                </w:tcPr>
                <w:p w14:paraId="2D1541C4">
                  <w:pPr>
                    <w:adjustRightInd w:val="0"/>
                    <w:snapToGrid w:val="0"/>
                    <w:jc w:val="center"/>
                    <w:rPr>
                      <w:color w:val="auto"/>
                      <w:szCs w:val="21"/>
                    </w:rPr>
                  </w:pPr>
                </w:p>
              </w:tc>
              <w:tc>
                <w:tcPr>
                  <w:tcW w:w="681" w:type="pct"/>
                  <w:vAlign w:val="center"/>
                </w:tcPr>
                <w:p w14:paraId="43DA0256">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排水</w:t>
                  </w:r>
                </w:p>
              </w:tc>
              <w:tc>
                <w:tcPr>
                  <w:tcW w:w="3455" w:type="pct"/>
                  <w:vAlign w:val="center"/>
                </w:tcPr>
                <w:p w14:paraId="6FCD9555">
                  <w:pPr>
                    <w:adjustRightInd w:val="0"/>
                    <w:snapToGrid w:val="0"/>
                    <w:rPr>
                      <w:color w:val="auto"/>
                      <w:szCs w:val="21"/>
                    </w:rPr>
                  </w:pPr>
                  <w:r>
                    <w:rPr>
                      <w:rFonts w:hint="default" w:ascii="Times New Roman" w:hAnsi="Times New Roman" w:eastAsia="宋体" w:cs="Times New Roman"/>
                      <w:color w:val="auto"/>
                      <w:szCs w:val="21"/>
                      <w:lang w:val="en-US" w:eastAsia="zh-CN"/>
                    </w:rPr>
                    <w:t>本项目</w:t>
                  </w:r>
                  <w:r>
                    <w:rPr>
                      <w:rFonts w:hint="eastAsia" w:ascii="Times New Roman" w:hAnsi="Times New Roman" w:eastAsia="宋体" w:cs="Times New Roman"/>
                      <w:color w:val="auto"/>
                      <w:szCs w:val="21"/>
                      <w:lang w:val="en-US" w:eastAsia="zh-CN"/>
                    </w:rPr>
                    <w:t>厂区初期雨水经过雨水导流槽收集至雨水收集池，沉淀后全部用于车辆冲洗、厂区路面降尘，不外排；车辆冲洗废水集中收集经沉淀池沉淀后用于厂区路面降尘，自然蒸发，不外排；降尘用水全部自然蒸发，不外排；</w:t>
                  </w:r>
                  <w:r>
                    <w:rPr>
                      <w:rFonts w:hint="default" w:ascii="Times New Roman" w:hAnsi="Times New Roman" w:eastAsia="宋体" w:cs="Times New Roman"/>
                      <w:color w:val="auto"/>
                      <w:szCs w:val="21"/>
                      <w:lang w:val="en-US" w:eastAsia="zh-CN"/>
                    </w:rPr>
                    <w:t>生活污水排入</w:t>
                  </w:r>
                  <w:r>
                    <w:rPr>
                      <w:rFonts w:hint="eastAsia" w:ascii="Times New Roman" w:hAnsi="Times New Roman" w:eastAsia="宋体" w:cs="Times New Roman"/>
                      <w:color w:val="auto"/>
                      <w:szCs w:val="21"/>
                      <w:lang w:val="en-US" w:eastAsia="zh-CN"/>
                    </w:rPr>
                    <w:t>防渗旱厕，定期清掏，外运堆肥，不外排。</w:t>
                  </w:r>
                </w:p>
              </w:tc>
              <w:tc>
                <w:tcPr>
                  <w:tcW w:w="415" w:type="pct"/>
                  <w:vAlign w:val="center"/>
                </w:tcPr>
                <w:p w14:paraId="3B78A857">
                  <w:pPr>
                    <w:adjustRightInd w:val="0"/>
                    <w:snapToGrid w:val="0"/>
                    <w:jc w:val="center"/>
                    <w:rPr>
                      <w:color w:val="auto"/>
                      <w:szCs w:val="21"/>
                    </w:rPr>
                  </w:pPr>
                  <w:r>
                    <w:rPr>
                      <w:rFonts w:hint="eastAsia"/>
                      <w:color w:val="auto"/>
                      <w:szCs w:val="21"/>
                    </w:rPr>
                    <w:t>/</w:t>
                  </w:r>
                </w:p>
              </w:tc>
            </w:tr>
            <w:tr w14:paraId="5FE3BE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7" w:type="pct"/>
                  <w:vMerge w:val="continue"/>
                  <w:vAlign w:val="center"/>
                </w:tcPr>
                <w:p w14:paraId="0AB96341">
                  <w:pPr>
                    <w:adjustRightInd w:val="0"/>
                    <w:snapToGrid w:val="0"/>
                    <w:jc w:val="center"/>
                    <w:rPr>
                      <w:color w:val="auto"/>
                      <w:szCs w:val="21"/>
                    </w:rPr>
                  </w:pPr>
                </w:p>
              </w:tc>
              <w:tc>
                <w:tcPr>
                  <w:tcW w:w="681" w:type="pct"/>
                  <w:vAlign w:val="center"/>
                </w:tcPr>
                <w:p w14:paraId="592630EF">
                  <w:pPr>
                    <w:adjustRightInd w:val="0"/>
                    <w:snapToGrid w:val="0"/>
                    <w:jc w:val="center"/>
                    <w:rPr>
                      <w:rFonts w:hint="eastAsia" w:eastAsia="宋体"/>
                      <w:color w:val="auto"/>
                      <w:szCs w:val="21"/>
                      <w:lang w:val="en-US" w:eastAsia="zh-CN"/>
                    </w:rPr>
                  </w:pPr>
                  <w:r>
                    <w:rPr>
                      <w:rFonts w:hint="eastAsia"/>
                      <w:color w:val="auto"/>
                      <w:szCs w:val="21"/>
                      <w:lang w:val="en-US" w:eastAsia="zh-CN"/>
                    </w:rPr>
                    <w:t>供暖</w:t>
                  </w:r>
                </w:p>
              </w:tc>
              <w:tc>
                <w:tcPr>
                  <w:tcW w:w="3455" w:type="pct"/>
                  <w:vAlign w:val="center"/>
                </w:tcPr>
                <w:p w14:paraId="3CD8186F">
                  <w:pPr>
                    <w:adjustRightInd w:val="0"/>
                    <w:snapToGrid w:val="0"/>
                    <w:rPr>
                      <w:color w:val="auto"/>
                      <w:szCs w:val="21"/>
                    </w:rPr>
                  </w:pPr>
                  <w:r>
                    <w:rPr>
                      <w:color w:val="auto"/>
                      <w:szCs w:val="21"/>
                    </w:rPr>
                    <w:t>本项目</w:t>
                  </w:r>
                  <w:r>
                    <w:rPr>
                      <w:rFonts w:hint="eastAsia"/>
                      <w:color w:val="auto"/>
                      <w:szCs w:val="21"/>
                    </w:rPr>
                    <w:t>冬季</w:t>
                  </w:r>
                  <w:r>
                    <w:rPr>
                      <w:rFonts w:hint="eastAsia"/>
                      <w:color w:val="auto"/>
                      <w:szCs w:val="21"/>
                      <w:lang w:val="en-US" w:eastAsia="zh-CN"/>
                    </w:rPr>
                    <w:t>不生产，无需采暖</w:t>
                  </w:r>
                  <w:r>
                    <w:rPr>
                      <w:rFonts w:hint="eastAsia"/>
                      <w:color w:val="auto"/>
                      <w:szCs w:val="21"/>
                    </w:rPr>
                    <w:t>。</w:t>
                  </w:r>
                </w:p>
              </w:tc>
              <w:tc>
                <w:tcPr>
                  <w:tcW w:w="415" w:type="pct"/>
                  <w:vAlign w:val="center"/>
                </w:tcPr>
                <w:p w14:paraId="2400F6D3">
                  <w:pPr>
                    <w:adjustRightInd w:val="0"/>
                    <w:snapToGrid w:val="0"/>
                    <w:jc w:val="center"/>
                    <w:rPr>
                      <w:color w:val="auto"/>
                      <w:szCs w:val="21"/>
                    </w:rPr>
                  </w:pPr>
                  <w:r>
                    <w:rPr>
                      <w:rFonts w:hint="eastAsia"/>
                      <w:color w:val="auto"/>
                      <w:szCs w:val="21"/>
                    </w:rPr>
                    <w:t>/</w:t>
                  </w:r>
                </w:p>
              </w:tc>
            </w:tr>
            <w:tr w14:paraId="3A924C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7" w:type="pct"/>
                  <w:vMerge w:val="continue"/>
                  <w:vAlign w:val="center"/>
                </w:tcPr>
                <w:p w14:paraId="2329FA1F">
                  <w:pPr>
                    <w:adjustRightInd w:val="0"/>
                    <w:snapToGrid w:val="0"/>
                    <w:jc w:val="center"/>
                    <w:rPr>
                      <w:color w:val="auto"/>
                      <w:szCs w:val="21"/>
                    </w:rPr>
                  </w:pPr>
                </w:p>
              </w:tc>
              <w:tc>
                <w:tcPr>
                  <w:tcW w:w="681" w:type="pct"/>
                  <w:vAlign w:val="center"/>
                </w:tcPr>
                <w:p w14:paraId="3979E083">
                  <w:pPr>
                    <w:adjustRightInd w:val="0"/>
                    <w:snapToGrid w:val="0"/>
                    <w:jc w:val="center"/>
                    <w:rPr>
                      <w:rFonts w:hint="eastAsia" w:eastAsia="宋体"/>
                      <w:color w:val="auto"/>
                      <w:szCs w:val="21"/>
                      <w:lang w:val="en-US" w:eastAsia="zh-CN"/>
                    </w:rPr>
                  </w:pPr>
                  <w:r>
                    <w:rPr>
                      <w:rFonts w:hint="eastAsia"/>
                      <w:color w:val="auto"/>
                      <w:szCs w:val="21"/>
                      <w:lang w:val="en-US" w:eastAsia="zh-CN"/>
                    </w:rPr>
                    <w:t>供电</w:t>
                  </w:r>
                </w:p>
              </w:tc>
              <w:tc>
                <w:tcPr>
                  <w:tcW w:w="3455" w:type="pct"/>
                  <w:vAlign w:val="center"/>
                </w:tcPr>
                <w:p w14:paraId="4C4E50EE">
                  <w:pPr>
                    <w:adjustRightInd w:val="0"/>
                    <w:snapToGrid w:val="0"/>
                    <w:rPr>
                      <w:color w:val="auto"/>
                      <w:szCs w:val="21"/>
                    </w:rPr>
                  </w:pPr>
                  <w:r>
                    <w:rPr>
                      <w:color w:val="auto"/>
                      <w:szCs w:val="21"/>
                    </w:rPr>
                    <w:t>项目用电由当地市政电网提供，能够满足本项目用电。</w:t>
                  </w:r>
                </w:p>
              </w:tc>
              <w:tc>
                <w:tcPr>
                  <w:tcW w:w="415" w:type="pct"/>
                  <w:vAlign w:val="center"/>
                </w:tcPr>
                <w:p w14:paraId="448F921A">
                  <w:pPr>
                    <w:adjustRightInd w:val="0"/>
                    <w:snapToGrid w:val="0"/>
                    <w:jc w:val="center"/>
                    <w:rPr>
                      <w:color w:val="auto"/>
                      <w:szCs w:val="21"/>
                    </w:rPr>
                  </w:pPr>
                  <w:r>
                    <w:rPr>
                      <w:color w:val="auto"/>
                      <w:szCs w:val="21"/>
                    </w:rPr>
                    <w:t>依托</w:t>
                  </w:r>
                  <w:r>
                    <w:rPr>
                      <w:rFonts w:hint="eastAsia"/>
                      <w:color w:val="auto"/>
                      <w:szCs w:val="21"/>
                    </w:rPr>
                    <w:t>现有</w:t>
                  </w:r>
                </w:p>
              </w:tc>
            </w:tr>
            <w:tr w14:paraId="3FD2D2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447" w:type="pct"/>
                  <w:vMerge w:val="restart"/>
                  <w:vAlign w:val="center"/>
                </w:tcPr>
                <w:p w14:paraId="4A4EEEDC">
                  <w:pPr>
                    <w:adjustRightInd w:val="0"/>
                    <w:snapToGrid w:val="0"/>
                    <w:jc w:val="center"/>
                    <w:rPr>
                      <w:color w:val="auto"/>
                      <w:szCs w:val="21"/>
                    </w:rPr>
                  </w:pPr>
                  <w:r>
                    <w:rPr>
                      <w:color w:val="auto"/>
                      <w:szCs w:val="21"/>
                    </w:rPr>
                    <w:t>环保</w:t>
                  </w:r>
                </w:p>
                <w:p w14:paraId="23F51C46">
                  <w:pPr>
                    <w:adjustRightInd w:val="0"/>
                    <w:snapToGrid w:val="0"/>
                    <w:jc w:val="center"/>
                    <w:rPr>
                      <w:color w:val="auto"/>
                      <w:szCs w:val="21"/>
                    </w:rPr>
                  </w:pPr>
                  <w:r>
                    <w:rPr>
                      <w:color w:val="auto"/>
                      <w:szCs w:val="21"/>
                    </w:rPr>
                    <w:t>工程</w:t>
                  </w:r>
                </w:p>
              </w:tc>
              <w:tc>
                <w:tcPr>
                  <w:tcW w:w="681" w:type="pct"/>
                  <w:vAlign w:val="center"/>
                </w:tcPr>
                <w:p w14:paraId="7A2B21FC">
                  <w:pPr>
                    <w:numPr>
                      <w:ilvl w:val="0"/>
                      <w:numId w:val="0"/>
                    </w:num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废气防治措施</w:t>
                  </w:r>
                </w:p>
              </w:tc>
              <w:tc>
                <w:tcPr>
                  <w:tcW w:w="3455" w:type="pct"/>
                  <w:vAlign w:val="center"/>
                </w:tcPr>
                <w:p w14:paraId="003FE94D">
                  <w:pPr>
                    <w:numPr>
                      <w:ilvl w:val="0"/>
                      <w:numId w:val="0"/>
                    </w:numPr>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1.本项目煤炭运输过程中</w:t>
                  </w:r>
                  <w:r>
                    <w:rPr>
                      <w:rFonts w:hint="default" w:ascii="Times New Roman" w:hAnsi="Times New Roman" w:eastAsia="宋体" w:cs="Times New Roman"/>
                      <w:color w:val="auto"/>
                      <w:szCs w:val="21"/>
                      <w:lang w:val="en-US" w:eastAsia="zh-CN"/>
                    </w:rPr>
                    <w:t>采用</w:t>
                  </w:r>
                  <w:r>
                    <w:rPr>
                      <w:rFonts w:hint="eastAsia" w:ascii="Times New Roman" w:hAnsi="Times New Roman" w:eastAsia="宋体" w:cs="Times New Roman"/>
                      <w:color w:val="auto"/>
                      <w:szCs w:val="21"/>
                      <w:lang w:val="en-US" w:eastAsia="zh-CN"/>
                    </w:rPr>
                    <w:t>车辆苫盖，防止物料洒落，减少运输过程中粉尘排放量，运输道路洒水降尘方式，降尘后颗粒物以无组织形式排放；</w:t>
                  </w:r>
                </w:p>
                <w:p w14:paraId="16C58CF7">
                  <w:pPr>
                    <w:numPr>
                      <w:ilvl w:val="0"/>
                      <w:numId w:val="0"/>
                    </w:numPr>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2.厂区采用围挡（防风抑尘网）</w:t>
                  </w:r>
                  <w:r>
                    <w:rPr>
                      <w:rFonts w:hint="eastAsia"/>
                      <w:color w:val="auto"/>
                      <w:lang w:val="en-US" w:eastAsia="zh-CN"/>
                    </w:rPr>
                    <w:t>项目防风抑尘网布设在厂界四周，防风抑尘网长600m，高4m，面积2400m</w:t>
                  </w:r>
                  <w:r>
                    <w:rPr>
                      <w:rFonts w:hint="eastAsia"/>
                      <w:color w:val="auto"/>
                      <w:vertAlign w:val="superscript"/>
                      <w:lang w:val="en-US" w:eastAsia="zh-CN"/>
                    </w:rPr>
                    <w:t>2</w:t>
                  </w:r>
                  <w:r>
                    <w:rPr>
                      <w:rFonts w:hint="eastAsia"/>
                      <w:color w:val="auto"/>
                      <w:lang w:val="en-US" w:eastAsia="zh-CN"/>
                    </w:rPr>
                    <w:t>。</w:t>
                  </w:r>
                  <w:r>
                    <w:rPr>
                      <w:rFonts w:hint="eastAsia" w:ascii="Times New Roman" w:hAnsi="Times New Roman" w:eastAsia="宋体" w:cs="Times New Roman"/>
                      <w:color w:val="auto"/>
                      <w:szCs w:val="21"/>
                      <w:lang w:val="en-US" w:eastAsia="zh-CN"/>
                    </w:rPr>
                    <w:t>堆场采用编织覆盖（防尘网）方式+洒水方式降尘，降尘后颗粒物以无组织形式排放；</w:t>
                  </w:r>
                </w:p>
                <w:p w14:paraId="3F67B37E">
                  <w:pPr>
                    <w:numPr>
                      <w:ilvl w:val="0"/>
                      <w:numId w:val="0"/>
                    </w:numPr>
                    <w:adjustRightInd w:val="0"/>
                    <w:snapToGrid w:val="0"/>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szCs w:val="21"/>
                      <w:lang w:val="en-US" w:eastAsia="zh-CN"/>
                    </w:rPr>
                    <w:t>3.煤炭装卸过程采用</w:t>
                  </w:r>
                  <w:r>
                    <w:rPr>
                      <w:rFonts w:hint="eastAsia" w:cs="Times New Roman"/>
                      <w:color w:val="auto"/>
                      <w:szCs w:val="21"/>
                      <w:lang w:val="en-US" w:eastAsia="zh-CN"/>
                    </w:rPr>
                    <w:t>高压水枪冲洗</w:t>
                  </w:r>
                  <w:r>
                    <w:rPr>
                      <w:rFonts w:hint="eastAsia" w:ascii="Times New Roman" w:hAnsi="Times New Roman" w:eastAsia="宋体" w:cs="Times New Roman"/>
                      <w:color w:val="auto"/>
                      <w:szCs w:val="21"/>
                      <w:lang w:val="en-US" w:eastAsia="zh-CN"/>
                    </w:rPr>
                    <w:t>方式降尘，降尘后颗粒物以无组织形式排放。</w:t>
                  </w:r>
                </w:p>
              </w:tc>
              <w:tc>
                <w:tcPr>
                  <w:tcW w:w="415" w:type="pct"/>
                  <w:vAlign w:val="center"/>
                </w:tcPr>
                <w:p w14:paraId="1925B54D">
                  <w:pPr>
                    <w:adjustRightInd w:val="0"/>
                    <w:snapToGrid w:val="0"/>
                    <w:jc w:val="center"/>
                    <w:rPr>
                      <w:rFonts w:hint="default" w:eastAsia="宋体"/>
                      <w:color w:val="auto"/>
                      <w:szCs w:val="21"/>
                      <w:lang w:val="en-US" w:eastAsia="zh-CN"/>
                    </w:rPr>
                  </w:pPr>
                  <w:r>
                    <w:rPr>
                      <w:rFonts w:hint="eastAsia"/>
                      <w:color w:val="auto"/>
                      <w:szCs w:val="21"/>
                    </w:rPr>
                    <w:t>/</w:t>
                  </w:r>
                </w:p>
              </w:tc>
            </w:tr>
            <w:tr w14:paraId="77887D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19" w:hRule="atLeast"/>
                <w:jc w:val="center"/>
              </w:trPr>
              <w:tc>
                <w:tcPr>
                  <w:tcW w:w="447" w:type="pct"/>
                  <w:vMerge w:val="continue"/>
                  <w:vAlign w:val="center"/>
                </w:tcPr>
                <w:p w14:paraId="7B50AF8A">
                  <w:pPr>
                    <w:adjustRightInd w:val="0"/>
                    <w:snapToGrid w:val="0"/>
                    <w:jc w:val="center"/>
                    <w:rPr>
                      <w:color w:val="auto"/>
                      <w:szCs w:val="21"/>
                    </w:rPr>
                  </w:pPr>
                </w:p>
              </w:tc>
              <w:tc>
                <w:tcPr>
                  <w:tcW w:w="681" w:type="pct"/>
                  <w:vAlign w:val="center"/>
                </w:tcPr>
                <w:p w14:paraId="26B8B132">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废水防治措施</w:t>
                  </w:r>
                </w:p>
              </w:tc>
              <w:tc>
                <w:tcPr>
                  <w:tcW w:w="3455" w:type="pct"/>
                  <w:vAlign w:val="center"/>
                </w:tcPr>
                <w:p w14:paraId="1C6D32AC">
                  <w:pPr>
                    <w:adjustRightInd w:val="0"/>
                    <w:snapToGrid w:val="0"/>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szCs w:val="21"/>
                      <w:lang w:val="en-US" w:eastAsia="zh-CN"/>
                    </w:rPr>
                    <w:t>本项目</w:t>
                  </w:r>
                  <w:r>
                    <w:rPr>
                      <w:rFonts w:hint="eastAsia" w:ascii="Times New Roman" w:hAnsi="Times New Roman" w:eastAsia="宋体" w:cs="Times New Roman"/>
                      <w:color w:val="auto"/>
                      <w:szCs w:val="21"/>
                      <w:lang w:val="en-US" w:eastAsia="zh-CN"/>
                    </w:rPr>
                    <w:t>厂区初期雨水经过雨水导流槽收集至雨水收集池，沉淀后全部用于车辆冲洗、厂区路面降尘，不外排；车辆冲洗废水集中收集经沉淀池沉淀后用于厂区路面降尘，自然蒸发，不外排；降尘用水全部自然蒸发，不外排；</w:t>
                  </w:r>
                  <w:r>
                    <w:rPr>
                      <w:rFonts w:hint="default" w:ascii="Times New Roman" w:hAnsi="Times New Roman" w:eastAsia="宋体" w:cs="Times New Roman"/>
                      <w:color w:val="auto"/>
                      <w:szCs w:val="21"/>
                      <w:lang w:val="en-US" w:eastAsia="zh-CN"/>
                    </w:rPr>
                    <w:t>生活污水排入</w:t>
                  </w:r>
                  <w:r>
                    <w:rPr>
                      <w:rFonts w:hint="eastAsia" w:ascii="Times New Roman" w:hAnsi="Times New Roman" w:eastAsia="宋体" w:cs="Times New Roman"/>
                      <w:color w:val="auto"/>
                      <w:szCs w:val="21"/>
                      <w:lang w:val="en-US" w:eastAsia="zh-CN"/>
                    </w:rPr>
                    <w:t>防渗旱厕，定期清掏，外运堆肥，不外排。</w:t>
                  </w:r>
                </w:p>
              </w:tc>
              <w:tc>
                <w:tcPr>
                  <w:tcW w:w="415" w:type="pct"/>
                  <w:vAlign w:val="center"/>
                </w:tcPr>
                <w:p w14:paraId="18B44092">
                  <w:pPr>
                    <w:adjustRightInd w:val="0"/>
                    <w:snapToGrid w:val="0"/>
                    <w:jc w:val="center"/>
                    <w:rPr>
                      <w:color w:val="auto"/>
                      <w:szCs w:val="21"/>
                    </w:rPr>
                  </w:pPr>
                  <w:r>
                    <w:rPr>
                      <w:rFonts w:hint="eastAsia"/>
                      <w:color w:val="auto"/>
                      <w:szCs w:val="21"/>
                    </w:rPr>
                    <w:t>/</w:t>
                  </w:r>
                </w:p>
              </w:tc>
            </w:tr>
            <w:tr w14:paraId="750923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7" w:type="pct"/>
                  <w:vMerge w:val="continue"/>
                  <w:vAlign w:val="center"/>
                </w:tcPr>
                <w:p w14:paraId="03598F06">
                  <w:pPr>
                    <w:adjustRightInd w:val="0"/>
                    <w:snapToGrid w:val="0"/>
                    <w:jc w:val="center"/>
                    <w:rPr>
                      <w:color w:val="auto"/>
                      <w:szCs w:val="21"/>
                    </w:rPr>
                  </w:pPr>
                </w:p>
              </w:tc>
              <w:tc>
                <w:tcPr>
                  <w:tcW w:w="681" w:type="pct"/>
                  <w:vAlign w:val="center"/>
                </w:tcPr>
                <w:p w14:paraId="4CBC4C15">
                  <w:pPr>
                    <w:adjustRightInd w:val="0"/>
                    <w:snapToGrid w:val="0"/>
                    <w:jc w:val="center"/>
                    <w:rPr>
                      <w:rFonts w:hint="default"/>
                      <w:color w:val="auto"/>
                      <w:szCs w:val="21"/>
                      <w:lang w:val="en-US" w:eastAsia="zh-CN"/>
                    </w:rPr>
                  </w:pPr>
                  <w:r>
                    <w:rPr>
                      <w:rFonts w:hint="eastAsia"/>
                      <w:color w:val="auto"/>
                      <w:szCs w:val="21"/>
                      <w:lang w:val="en-US" w:eastAsia="zh-CN"/>
                    </w:rPr>
                    <w:t>噪声防治措施</w:t>
                  </w:r>
                </w:p>
              </w:tc>
              <w:tc>
                <w:tcPr>
                  <w:tcW w:w="3455" w:type="pct"/>
                  <w:vAlign w:val="center"/>
                </w:tcPr>
                <w:p w14:paraId="5F4B2DB4">
                  <w:pPr>
                    <w:adjustRightInd w:val="0"/>
                    <w:snapToGrid w:val="0"/>
                    <w:rPr>
                      <w:color w:val="auto"/>
                      <w:szCs w:val="21"/>
                    </w:rPr>
                  </w:pPr>
                  <w:r>
                    <w:rPr>
                      <w:rFonts w:hint="eastAsia"/>
                      <w:color w:val="auto"/>
                      <w:szCs w:val="21"/>
                      <w:lang w:val="en-US" w:eastAsia="zh-CN"/>
                    </w:rPr>
                    <w:t>选用低噪声车辆及设备，加强厂区运输管理，夜间不生产，夜间不安排运输，运输车辆采取限制车速、禁鸣等措施。</w:t>
                  </w:r>
                </w:p>
              </w:tc>
              <w:tc>
                <w:tcPr>
                  <w:tcW w:w="415" w:type="pct"/>
                  <w:vAlign w:val="center"/>
                </w:tcPr>
                <w:p w14:paraId="74FA3788">
                  <w:pPr>
                    <w:adjustRightInd w:val="0"/>
                    <w:snapToGrid w:val="0"/>
                    <w:jc w:val="center"/>
                    <w:rPr>
                      <w:color w:val="auto"/>
                      <w:szCs w:val="21"/>
                    </w:rPr>
                  </w:pPr>
                  <w:r>
                    <w:rPr>
                      <w:rFonts w:hint="eastAsia"/>
                      <w:color w:val="auto"/>
                      <w:szCs w:val="21"/>
                    </w:rPr>
                    <w:t>/</w:t>
                  </w:r>
                </w:p>
              </w:tc>
            </w:tr>
            <w:tr w14:paraId="344D17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7" w:type="pct"/>
                  <w:vMerge w:val="continue"/>
                  <w:vAlign w:val="center"/>
                </w:tcPr>
                <w:p w14:paraId="32C2FB7E">
                  <w:pPr>
                    <w:adjustRightInd w:val="0"/>
                    <w:snapToGrid w:val="0"/>
                    <w:jc w:val="center"/>
                    <w:rPr>
                      <w:color w:val="auto"/>
                      <w:szCs w:val="21"/>
                    </w:rPr>
                  </w:pPr>
                </w:p>
              </w:tc>
              <w:tc>
                <w:tcPr>
                  <w:tcW w:w="681" w:type="pct"/>
                  <w:vAlign w:val="center"/>
                </w:tcPr>
                <w:p w14:paraId="7FCFD00C">
                  <w:pPr>
                    <w:adjustRightInd w:val="0"/>
                    <w:snapToGrid w:val="0"/>
                    <w:jc w:val="center"/>
                    <w:rPr>
                      <w:rFonts w:hint="default" w:eastAsiaTheme="minorEastAsia"/>
                      <w:color w:val="auto"/>
                      <w:lang w:val="en-US" w:eastAsia="zh-CN"/>
                    </w:rPr>
                  </w:pPr>
                  <w:r>
                    <w:rPr>
                      <w:rFonts w:hint="eastAsia" w:eastAsiaTheme="minorEastAsia"/>
                      <w:color w:val="auto"/>
                      <w:lang w:val="en-US" w:eastAsia="zh-CN"/>
                    </w:rPr>
                    <w:t>固废防治措施</w:t>
                  </w:r>
                </w:p>
              </w:tc>
              <w:tc>
                <w:tcPr>
                  <w:tcW w:w="3455" w:type="pct"/>
                  <w:vAlign w:val="center"/>
                </w:tcPr>
                <w:p w14:paraId="11450394">
                  <w:pPr>
                    <w:adjustRightInd w:val="0"/>
                    <w:snapToGrid w:val="0"/>
                    <w:rPr>
                      <w:color w:val="auto"/>
                      <w:szCs w:val="21"/>
                    </w:rPr>
                  </w:pPr>
                  <w:r>
                    <w:rPr>
                      <w:rFonts w:hint="eastAsia" w:eastAsiaTheme="minorEastAsia"/>
                      <w:color w:val="auto"/>
                      <w:lang w:val="en-US" w:eastAsia="zh-CN"/>
                    </w:rPr>
                    <w:t>沉渣集中收集全部用于铺路；</w:t>
                  </w:r>
                  <w:r>
                    <w:rPr>
                      <w:rFonts w:hint="eastAsia"/>
                      <w:color w:val="auto"/>
                      <w:lang w:val="en-US" w:eastAsia="zh-CN"/>
                    </w:rPr>
                    <w:t>废机油、废含油手套、废含油抹布集中收集暂存在危废贮存点，定期委托有资质公司处理；</w:t>
                  </w:r>
                  <w:r>
                    <w:rPr>
                      <w:rFonts w:eastAsiaTheme="minorEastAsia"/>
                      <w:color w:val="auto"/>
                    </w:rPr>
                    <w:t>生活垃圾集中收集后交由</w:t>
                  </w:r>
                  <w:r>
                    <w:rPr>
                      <w:rFonts w:hint="eastAsia" w:eastAsiaTheme="minorEastAsia"/>
                      <w:color w:val="auto"/>
                    </w:rPr>
                    <w:t>市政</w:t>
                  </w:r>
                  <w:r>
                    <w:rPr>
                      <w:rFonts w:eastAsiaTheme="minorEastAsia"/>
                      <w:color w:val="auto"/>
                    </w:rPr>
                    <w:t>部门</w:t>
                  </w:r>
                  <w:r>
                    <w:rPr>
                      <w:rFonts w:hint="eastAsia" w:eastAsiaTheme="minorEastAsia"/>
                      <w:color w:val="auto"/>
                    </w:rPr>
                    <w:t>统一</w:t>
                  </w:r>
                  <w:r>
                    <w:rPr>
                      <w:rFonts w:eastAsiaTheme="minorEastAsia"/>
                      <w:color w:val="auto"/>
                    </w:rPr>
                    <w:t>处理</w:t>
                  </w:r>
                  <w:r>
                    <w:rPr>
                      <w:rFonts w:hint="eastAsia"/>
                      <w:color w:val="auto"/>
                    </w:rPr>
                    <w:t>。</w:t>
                  </w:r>
                </w:p>
              </w:tc>
              <w:tc>
                <w:tcPr>
                  <w:tcW w:w="415" w:type="pct"/>
                  <w:vAlign w:val="center"/>
                </w:tcPr>
                <w:p w14:paraId="01A51DE1">
                  <w:pPr>
                    <w:adjustRightInd w:val="0"/>
                    <w:snapToGrid w:val="0"/>
                    <w:jc w:val="center"/>
                    <w:rPr>
                      <w:color w:val="auto"/>
                      <w:szCs w:val="21"/>
                    </w:rPr>
                  </w:pPr>
                  <w:r>
                    <w:rPr>
                      <w:rFonts w:hint="eastAsia"/>
                      <w:color w:val="auto"/>
                      <w:szCs w:val="21"/>
                    </w:rPr>
                    <w:t>/</w:t>
                  </w:r>
                </w:p>
              </w:tc>
            </w:tr>
            <w:tr w14:paraId="145DDD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7" w:type="pct"/>
                  <w:vMerge w:val="continue"/>
                  <w:vAlign w:val="center"/>
                </w:tcPr>
                <w:p w14:paraId="6B4F6393">
                  <w:pPr>
                    <w:adjustRightInd w:val="0"/>
                    <w:snapToGrid w:val="0"/>
                    <w:jc w:val="center"/>
                    <w:rPr>
                      <w:rFonts w:hint="default" w:eastAsia="宋体"/>
                      <w:color w:val="auto"/>
                      <w:szCs w:val="21"/>
                      <w:lang w:val="en-US" w:eastAsia="zh-CN"/>
                    </w:rPr>
                  </w:pPr>
                </w:p>
              </w:tc>
              <w:tc>
                <w:tcPr>
                  <w:tcW w:w="681" w:type="pct"/>
                  <w:vAlign w:val="center"/>
                </w:tcPr>
                <w:p w14:paraId="6F0FECAA">
                  <w:pPr>
                    <w:adjustRightInd w:val="0"/>
                    <w:snapToGrid w:val="0"/>
                    <w:jc w:val="center"/>
                    <w:rPr>
                      <w:rFonts w:hint="eastAsia" w:eastAsia="宋体" w:cs="Times New Roman"/>
                      <w:color w:val="auto"/>
                      <w:sz w:val="22"/>
                      <w:szCs w:val="18"/>
                      <w:highlight w:val="none"/>
                      <w:lang w:val="en-US" w:eastAsia="zh-CN"/>
                    </w:rPr>
                  </w:pPr>
                  <w:r>
                    <w:rPr>
                      <w:rFonts w:hint="eastAsia"/>
                      <w:color w:val="auto"/>
                      <w:szCs w:val="21"/>
                      <w:lang w:val="en-US" w:eastAsia="zh-CN"/>
                    </w:rPr>
                    <w:t>地下水和土壤防渗措施</w:t>
                  </w:r>
                </w:p>
              </w:tc>
              <w:tc>
                <w:tcPr>
                  <w:tcW w:w="3455" w:type="pct"/>
                  <w:vAlign w:val="center"/>
                </w:tcPr>
                <w:p w14:paraId="4B9E3F56">
                  <w:pPr>
                    <w:adjustRightInd w:val="0"/>
                    <w:snapToGrid w:val="0"/>
                    <w:rPr>
                      <w:rFonts w:hint="eastAsia" w:eastAsiaTheme="minorEastAsia"/>
                      <w:color w:val="auto"/>
                      <w:lang w:val="en-US" w:eastAsia="zh-CN"/>
                    </w:rPr>
                  </w:pPr>
                  <w:r>
                    <w:rPr>
                      <w:rFonts w:hint="eastAsia" w:eastAsia="宋体" w:cs="Times New Roman"/>
                      <w:color w:val="auto"/>
                      <w:sz w:val="22"/>
                      <w:szCs w:val="18"/>
                      <w:highlight w:val="none"/>
                      <w:lang w:val="en-US" w:eastAsia="zh-CN"/>
                    </w:rPr>
                    <w:t>项目</w:t>
                  </w:r>
                  <w:r>
                    <w:rPr>
                      <w:rFonts w:hint="eastAsia" w:cs="Times New Roman"/>
                      <w:color w:val="auto"/>
                      <w:sz w:val="21"/>
                      <w:szCs w:val="21"/>
                      <w:highlight w:val="none"/>
                      <w:lang w:val="en-US" w:eastAsia="zh-CN"/>
                    </w:rPr>
                    <w:t>危废贮存点采取</w:t>
                  </w:r>
                  <w:r>
                    <w:rPr>
                      <w:rFonts w:ascii="Times New Roman" w:hAnsi="Times New Roman" w:cs="Times New Roman"/>
                      <w:color w:val="auto"/>
                      <w:sz w:val="21"/>
                      <w:szCs w:val="21"/>
                    </w:rPr>
                    <w:t>地面与裙脚采用坚固防渗的材料建造，防风、防晒、防雨；基础</w:t>
                  </w:r>
                  <w:r>
                    <w:rPr>
                      <w:rFonts w:hint="eastAsia" w:ascii="Times New Roman" w:hAnsi="Times New Roman" w:cs="Times New Roman"/>
                      <w:color w:val="auto"/>
                      <w:sz w:val="21"/>
                      <w:szCs w:val="21"/>
                    </w:rPr>
                    <w:t>敷设</w:t>
                  </w:r>
                  <w:r>
                    <w:rPr>
                      <w:rFonts w:ascii="Times New Roman" w:hAnsi="Times New Roman" w:cs="Times New Roman"/>
                      <w:color w:val="auto"/>
                      <w:sz w:val="21"/>
                      <w:szCs w:val="21"/>
                    </w:rPr>
                    <w:t>至少2mm厚的高密度聚乙烯防水层，上部敷设10cm厚水泥层，渗透系数应≤1×10</w:t>
                  </w:r>
                  <w:r>
                    <w:rPr>
                      <w:rFonts w:ascii="Times New Roman" w:hAnsi="Times New Roman" w:cs="Times New Roman"/>
                      <w:color w:val="auto"/>
                      <w:sz w:val="21"/>
                      <w:szCs w:val="21"/>
                      <w:vertAlign w:val="superscript"/>
                    </w:rPr>
                    <w:t>-10</w:t>
                  </w:r>
                  <w:r>
                    <w:rPr>
                      <w:rFonts w:ascii="Times New Roman" w:hAnsi="Times New Roman" w:cs="Times New Roman"/>
                      <w:color w:val="auto"/>
                      <w:sz w:val="21"/>
                      <w:szCs w:val="21"/>
                    </w:rPr>
                    <w:t>cm/s</w:t>
                  </w:r>
                  <w:r>
                    <w:rPr>
                      <w:rFonts w:hint="eastAsia" w:ascii="Times New Roman" w:hAnsi="Times New Roman" w:cs="Times New Roman"/>
                      <w:color w:val="auto"/>
                      <w:sz w:val="21"/>
                      <w:szCs w:val="21"/>
                      <w:lang w:val="en-US" w:eastAsia="zh-CN"/>
                    </w:rPr>
                    <w:t>的防渗措施，满足重点防渗区要求。</w:t>
                  </w:r>
                  <w:r>
                    <w:rPr>
                      <w:rFonts w:hint="eastAsia" w:eastAsia="宋体" w:cs="Times New Roman"/>
                      <w:color w:val="auto"/>
                      <w:sz w:val="22"/>
                      <w:szCs w:val="18"/>
                      <w:highlight w:val="none"/>
                      <w:lang w:val="en-US" w:eastAsia="zh-CN"/>
                    </w:rPr>
                    <w:t>煤炭堆场、初期雨水收集池、沉淀池地面采取防渗性能不低于1.5m厚等效粘土防渗层，渗透系数K≤1×10</w:t>
                  </w:r>
                  <w:r>
                    <w:rPr>
                      <w:rFonts w:hint="eastAsia" w:eastAsia="宋体" w:cs="Times New Roman"/>
                      <w:color w:val="auto"/>
                      <w:sz w:val="22"/>
                      <w:szCs w:val="18"/>
                      <w:highlight w:val="none"/>
                      <w:vertAlign w:val="superscript"/>
                      <w:lang w:val="en-US" w:eastAsia="zh-CN"/>
                    </w:rPr>
                    <w:t>-7</w:t>
                  </w:r>
                  <w:r>
                    <w:rPr>
                      <w:rFonts w:hint="eastAsia" w:eastAsia="宋体" w:cs="Times New Roman"/>
                      <w:color w:val="auto"/>
                      <w:sz w:val="22"/>
                      <w:szCs w:val="18"/>
                      <w:highlight w:val="none"/>
                      <w:lang w:val="en-US" w:eastAsia="zh-CN"/>
                    </w:rPr>
                    <w:t>cm/s的防渗性能措施，满足一般防渗区要求。厂区道路进行水泥硬化，满足简单防渗区要求。除一般防渗区全厂区其他区域敷设水泥硬化路面，满足简单防渗区要求。</w:t>
                  </w:r>
                </w:p>
              </w:tc>
              <w:tc>
                <w:tcPr>
                  <w:tcW w:w="415" w:type="pct"/>
                  <w:vAlign w:val="center"/>
                </w:tcPr>
                <w:p w14:paraId="00934DCE">
                  <w:pPr>
                    <w:adjustRightInd w:val="0"/>
                    <w:snapToGrid w:val="0"/>
                    <w:jc w:val="center"/>
                    <w:rPr>
                      <w:rFonts w:hint="eastAsia" w:eastAsia="宋体"/>
                      <w:color w:val="auto"/>
                      <w:szCs w:val="21"/>
                      <w:lang w:val="en-US" w:eastAsia="zh-CN"/>
                    </w:rPr>
                  </w:pPr>
                  <w:r>
                    <w:rPr>
                      <w:rFonts w:hint="eastAsia"/>
                      <w:color w:val="auto"/>
                      <w:szCs w:val="21"/>
                    </w:rPr>
                    <w:t>/</w:t>
                  </w:r>
                </w:p>
              </w:tc>
            </w:tr>
            <w:tr w14:paraId="6A2642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447" w:type="pct"/>
                  <w:vAlign w:val="center"/>
                </w:tcPr>
                <w:p w14:paraId="6E36EF97">
                  <w:pPr>
                    <w:adjustRightInd w:val="0"/>
                    <w:snapToGrid w:val="0"/>
                    <w:jc w:val="center"/>
                    <w:rPr>
                      <w:rFonts w:hint="default" w:eastAsia="宋体"/>
                      <w:color w:val="auto"/>
                      <w:szCs w:val="21"/>
                      <w:lang w:val="en-US" w:eastAsia="zh-CN"/>
                    </w:rPr>
                  </w:pPr>
                  <w:r>
                    <w:rPr>
                      <w:rFonts w:hint="eastAsia"/>
                      <w:color w:val="auto"/>
                      <w:szCs w:val="21"/>
                      <w:lang w:val="en-US" w:eastAsia="zh-CN"/>
                    </w:rPr>
                    <w:t>依托工程</w:t>
                  </w:r>
                </w:p>
              </w:tc>
              <w:tc>
                <w:tcPr>
                  <w:tcW w:w="681" w:type="pct"/>
                  <w:vAlign w:val="center"/>
                </w:tcPr>
                <w:p w14:paraId="2F42AB4C">
                  <w:pPr>
                    <w:adjustRightInd w:val="0"/>
                    <w:snapToGrid w:val="0"/>
                    <w:jc w:val="center"/>
                    <w:rPr>
                      <w:rFonts w:hint="eastAsia"/>
                      <w:color w:val="auto"/>
                      <w:szCs w:val="21"/>
                      <w:lang w:val="en-US" w:eastAsia="zh-CN"/>
                    </w:rPr>
                  </w:pPr>
                  <w:r>
                    <w:rPr>
                      <w:rFonts w:hint="eastAsia"/>
                      <w:color w:val="auto"/>
                      <w:szCs w:val="21"/>
                      <w:lang w:val="en-US" w:eastAsia="zh-CN"/>
                    </w:rPr>
                    <w:t>黑龙江龙煤鸡西矿业有限责任公司</w:t>
                  </w:r>
                </w:p>
              </w:tc>
              <w:tc>
                <w:tcPr>
                  <w:tcW w:w="3455" w:type="pct"/>
                  <w:vAlign w:val="center"/>
                </w:tcPr>
                <w:p w14:paraId="1763FF6E">
                  <w:pPr>
                    <w:adjustRightInd w:val="0"/>
                    <w:snapToGrid w:val="0"/>
                    <w:rPr>
                      <w:rFonts w:hint="default" w:eastAsia="宋体" w:cs="Times New Roman"/>
                      <w:color w:val="auto"/>
                      <w:sz w:val="22"/>
                      <w:szCs w:val="18"/>
                      <w:highlight w:val="none"/>
                      <w:lang w:val="en-US" w:eastAsia="zh-CN"/>
                    </w:rPr>
                  </w:pPr>
                  <w:r>
                    <w:rPr>
                      <w:rFonts w:hint="eastAsia" w:eastAsia="宋体" w:cs="Times New Roman"/>
                      <w:color w:val="auto"/>
                      <w:sz w:val="22"/>
                      <w:szCs w:val="18"/>
                      <w:highlight w:val="none"/>
                      <w:lang w:val="en-US" w:eastAsia="zh-CN"/>
                    </w:rPr>
                    <w:t>黑龙江龙煤鸡西矿业有限责任公司</w:t>
                  </w:r>
                  <w:r>
                    <w:rPr>
                      <w:rFonts w:hint="eastAsia" w:cs="Times New Roman"/>
                      <w:color w:val="auto"/>
                      <w:sz w:val="22"/>
                      <w:szCs w:val="18"/>
                      <w:highlight w:val="none"/>
                      <w:lang w:val="en-US" w:eastAsia="zh-CN"/>
                    </w:rPr>
                    <w:t>位于本项目西侧1.7km处，</w:t>
                  </w:r>
                  <w:r>
                    <w:rPr>
                      <w:rFonts w:hint="eastAsia" w:eastAsia="宋体" w:cs="Times New Roman"/>
                      <w:color w:val="auto"/>
                      <w:sz w:val="22"/>
                      <w:szCs w:val="18"/>
                      <w:highlight w:val="none"/>
                      <w:lang w:val="en-US" w:eastAsia="zh-CN"/>
                    </w:rPr>
                    <w:t>该矿净水厂每天净化水量约4500m</w:t>
                  </w:r>
                  <w:r>
                    <w:rPr>
                      <w:rFonts w:hint="eastAsia" w:cs="Times New Roman"/>
                      <w:color w:val="auto"/>
                      <w:sz w:val="22"/>
                      <w:szCs w:val="18"/>
                      <w:highlight w:val="none"/>
                      <w:vertAlign w:val="superscript"/>
                      <w:lang w:val="en-US" w:eastAsia="zh-CN"/>
                    </w:rPr>
                    <w:t>3</w:t>
                  </w:r>
                  <w:r>
                    <w:rPr>
                      <w:rFonts w:hint="eastAsia" w:eastAsia="宋体" w:cs="Times New Roman"/>
                      <w:color w:val="auto"/>
                      <w:sz w:val="22"/>
                      <w:szCs w:val="18"/>
                      <w:highlight w:val="none"/>
                      <w:lang w:val="en-US" w:eastAsia="zh-CN"/>
                    </w:rPr>
                    <w:t>/d，水源取自团山子水库</w:t>
                  </w:r>
                  <w:r>
                    <w:rPr>
                      <w:rFonts w:hint="eastAsia" w:cs="Times New Roman"/>
                      <w:color w:val="auto"/>
                      <w:sz w:val="22"/>
                      <w:szCs w:val="18"/>
                      <w:highlight w:val="none"/>
                      <w:lang w:val="en-US" w:eastAsia="zh-CN"/>
                    </w:rPr>
                    <w:t>，</w:t>
                  </w:r>
                  <w:r>
                    <w:rPr>
                      <w:rFonts w:hint="eastAsia" w:eastAsia="宋体" w:cs="Times New Roman"/>
                      <w:color w:val="auto"/>
                      <w:sz w:val="22"/>
                      <w:szCs w:val="18"/>
                      <w:highlight w:val="none"/>
                      <w:lang w:val="en-US" w:eastAsia="zh-CN"/>
                    </w:rPr>
                    <w:t>采用“混凝沉淀+过滤+消毒”常规净水工艺，同时配套矿井净化水处理站实现矿井水资源化补充供给，整体设施完备、工艺成熟、水质稳定达标，具备可靠的供水依托基础。</w:t>
                  </w:r>
                  <w:r>
                    <w:rPr>
                      <w:rFonts w:hint="eastAsia" w:cs="Times New Roman"/>
                      <w:color w:val="auto"/>
                      <w:sz w:val="22"/>
                      <w:szCs w:val="18"/>
                      <w:highlight w:val="none"/>
                      <w:lang w:val="en-US" w:eastAsia="zh-CN"/>
                    </w:rPr>
                    <w:t>本项目采用水车拉运方式。</w:t>
                  </w:r>
                </w:p>
              </w:tc>
              <w:tc>
                <w:tcPr>
                  <w:tcW w:w="415" w:type="pct"/>
                  <w:vAlign w:val="center"/>
                </w:tcPr>
                <w:p w14:paraId="5C202C9B">
                  <w:pPr>
                    <w:adjustRightInd w:val="0"/>
                    <w:snapToGrid w:val="0"/>
                    <w:jc w:val="center"/>
                    <w:rPr>
                      <w:rFonts w:hint="eastAsia" w:eastAsia="宋体"/>
                      <w:color w:val="auto"/>
                      <w:szCs w:val="21"/>
                      <w:lang w:val="en-US" w:eastAsia="zh-CN"/>
                    </w:rPr>
                  </w:pPr>
                  <w:r>
                    <w:rPr>
                      <w:rFonts w:hint="eastAsia"/>
                      <w:color w:val="auto"/>
                      <w:szCs w:val="21"/>
                      <w:lang w:val="en-US" w:eastAsia="zh-CN"/>
                    </w:rPr>
                    <w:t>依托</w:t>
                  </w:r>
                </w:p>
              </w:tc>
            </w:tr>
          </w:tbl>
          <w:p w14:paraId="371DA88B">
            <w:pPr>
              <w:adjustRightInd w:val="0"/>
              <w:snapToGrid w:val="0"/>
              <w:spacing w:line="360" w:lineRule="auto"/>
              <w:ind w:firstLine="482" w:firstLineChars="200"/>
              <w:rPr>
                <w:b/>
                <w:color w:val="auto"/>
                <w:sz w:val="24"/>
              </w:rPr>
            </w:pPr>
            <w:r>
              <w:rPr>
                <w:rFonts w:hint="eastAsia"/>
                <w:b/>
                <w:color w:val="auto"/>
                <w:sz w:val="24"/>
              </w:rPr>
              <w:t>4</w:t>
            </w:r>
            <w:r>
              <w:rPr>
                <w:b/>
                <w:color w:val="auto"/>
                <w:sz w:val="24"/>
              </w:rPr>
              <w:t>、主要原辅材料</w:t>
            </w:r>
          </w:p>
          <w:p w14:paraId="2CD3DFDE">
            <w:pPr>
              <w:adjustRightInd w:val="0"/>
              <w:snapToGrid w:val="0"/>
              <w:spacing w:line="360" w:lineRule="auto"/>
              <w:ind w:firstLine="480" w:firstLineChars="200"/>
              <w:rPr>
                <w:b/>
                <w:color w:val="auto"/>
                <w:sz w:val="24"/>
              </w:rPr>
            </w:pPr>
            <w:r>
              <w:rPr>
                <w:color w:val="auto"/>
                <w:sz w:val="24"/>
              </w:rPr>
              <w:t>本项目主要原辅材料</w:t>
            </w:r>
            <w:r>
              <w:rPr>
                <w:rFonts w:hint="eastAsia"/>
                <w:color w:val="auto"/>
                <w:sz w:val="24"/>
              </w:rPr>
              <w:t>有：</w:t>
            </w:r>
            <w:r>
              <w:rPr>
                <w:rFonts w:hint="eastAsia"/>
                <w:color w:val="auto"/>
                <w:sz w:val="24"/>
                <w:lang w:val="en-US" w:eastAsia="zh-CN"/>
              </w:rPr>
              <w:t>煤炭</w:t>
            </w:r>
            <w:r>
              <w:rPr>
                <w:rFonts w:hint="eastAsia"/>
                <w:color w:val="auto"/>
                <w:sz w:val="24"/>
              </w:rPr>
              <w:t>等，消耗量详见</w:t>
            </w:r>
            <w:r>
              <w:rPr>
                <w:color w:val="auto"/>
                <w:sz w:val="24"/>
              </w:rPr>
              <w:t>一览表2-2</w:t>
            </w:r>
            <w:r>
              <w:rPr>
                <w:snapToGrid w:val="0"/>
                <w:color w:val="auto"/>
                <w:kern w:val="0"/>
                <w:sz w:val="24"/>
              </w:rPr>
              <w:t>。</w:t>
            </w:r>
          </w:p>
          <w:p w14:paraId="35B2ED83">
            <w:pPr>
              <w:jc w:val="center"/>
              <w:rPr>
                <w:b/>
                <w:color w:val="auto"/>
                <w:szCs w:val="21"/>
              </w:rPr>
            </w:pPr>
            <w:r>
              <w:rPr>
                <w:b/>
                <w:color w:val="auto"/>
                <w:szCs w:val="21"/>
              </w:rPr>
              <w:t>表2-2</w:t>
            </w:r>
            <w:r>
              <w:rPr>
                <w:rFonts w:hint="eastAsia"/>
                <w:b/>
                <w:color w:val="auto"/>
                <w:szCs w:val="21"/>
              </w:rPr>
              <w:t xml:space="preserve">  </w:t>
            </w:r>
            <w:r>
              <w:rPr>
                <w:b/>
                <w:color w:val="auto"/>
                <w:szCs w:val="21"/>
              </w:rPr>
              <w:t>主要原辅材料一览表</w:t>
            </w:r>
          </w:p>
          <w:tbl>
            <w:tblPr>
              <w:tblStyle w:val="38"/>
              <w:tblW w:w="8187"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30" w:type="dxa"/>
                <w:bottom w:w="0" w:type="dxa"/>
                <w:right w:w="30" w:type="dxa"/>
              </w:tblCellMar>
            </w:tblPr>
            <w:tblGrid>
              <w:gridCol w:w="480"/>
              <w:gridCol w:w="490"/>
              <w:gridCol w:w="578"/>
              <w:gridCol w:w="1056"/>
              <w:gridCol w:w="1098"/>
              <w:gridCol w:w="4485"/>
            </w:tblGrid>
            <w:tr w14:paraId="070A85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51" w:hRule="atLeast"/>
                <w:jc w:val="center"/>
              </w:trPr>
              <w:tc>
                <w:tcPr>
                  <w:tcW w:w="480" w:type="dxa"/>
                  <w:vAlign w:val="center"/>
                </w:tcPr>
                <w:p w14:paraId="74A8F002">
                  <w:pPr>
                    <w:adjustRightInd w:val="0"/>
                    <w:snapToGrid w:val="0"/>
                    <w:jc w:val="center"/>
                    <w:rPr>
                      <w:bCs/>
                      <w:snapToGrid w:val="0"/>
                      <w:color w:val="auto"/>
                      <w:szCs w:val="21"/>
                    </w:rPr>
                  </w:pPr>
                  <w:r>
                    <w:rPr>
                      <w:bCs/>
                      <w:snapToGrid w:val="0"/>
                      <w:color w:val="auto"/>
                      <w:szCs w:val="21"/>
                    </w:rPr>
                    <w:t>序号</w:t>
                  </w:r>
                </w:p>
              </w:tc>
              <w:tc>
                <w:tcPr>
                  <w:tcW w:w="490" w:type="dxa"/>
                  <w:vAlign w:val="center"/>
                </w:tcPr>
                <w:p w14:paraId="5A94D769">
                  <w:pPr>
                    <w:jc w:val="center"/>
                    <w:rPr>
                      <w:bCs/>
                      <w:color w:val="auto"/>
                      <w:szCs w:val="21"/>
                    </w:rPr>
                  </w:pPr>
                  <w:r>
                    <w:rPr>
                      <w:bCs/>
                      <w:color w:val="auto"/>
                      <w:szCs w:val="21"/>
                    </w:rPr>
                    <w:t>名称</w:t>
                  </w:r>
                </w:p>
              </w:tc>
              <w:tc>
                <w:tcPr>
                  <w:tcW w:w="578" w:type="dxa"/>
                  <w:vAlign w:val="center"/>
                </w:tcPr>
                <w:p w14:paraId="6B436895">
                  <w:pPr>
                    <w:jc w:val="center"/>
                    <w:rPr>
                      <w:rFonts w:hint="eastAsia" w:ascii="Times New Roman" w:hAnsi="Times New Roman" w:eastAsia="宋体" w:cs="Times New Roman"/>
                      <w:bCs/>
                      <w:color w:val="auto"/>
                      <w:kern w:val="2"/>
                      <w:sz w:val="21"/>
                      <w:szCs w:val="21"/>
                      <w:lang w:val="en-US" w:eastAsia="zh-CN" w:bidi="ar-SA"/>
                    </w:rPr>
                  </w:pPr>
                  <w:r>
                    <w:rPr>
                      <w:bCs/>
                      <w:color w:val="auto"/>
                      <w:szCs w:val="21"/>
                    </w:rPr>
                    <w:t>年用量</w:t>
                  </w:r>
                </w:p>
              </w:tc>
              <w:tc>
                <w:tcPr>
                  <w:tcW w:w="1056" w:type="dxa"/>
                  <w:vAlign w:val="center"/>
                </w:tcPr>
                <w:p w14:paraId="3D9785A7">
                  <w:pPr>
                    <w:jc w:val="center"/>
                    <w:rPr>
                      <w:rFonts w:hint="default" w:eastAsia="宋体"/>
                      <w:bCs/>
                      <w:color w:val="auto"/>
                      <w:szCs w:val="21"/>
                      <w:lang w:val="en-US" w:eastAsia="zh-CN"/>
                    </w:rPr>
                  </w:pPr>
                  <w:r>
                    <w:rPr>
                      <w:rFonts w:hint="eastAsia"/>
                      <w:bCs/>
                      <w:color w:val="auto"/>
                      <w:szCs w:val="21"/>
                      <w:lang w:val="en-US" w:eastAsia="zh-CN"/>
                    </w:rPr>
                    <w:t>最大存储量</w:t>
                  </w:r>
                </w:p>
              </w:tc>
              <w:tc>
                <w:tcPr>
                  <w:tcW w:w="1098" w:type="dxa"/>
                  <w:vAlign w:val="center"/>
                </w:tcPr>
                <w:p w14:paraId="462F62B2">
                  <w:pPr>
                    <w:jc w:val="center"/>
                    <w:rPr>
                      <w:rFonts w:hint="default" w:eastAsia="宋体"/>
                      <w:bCs/>
                      <w:color w:val="auto"/>
                      <w:szCs w:val="21"/>
                      <w:lang w:val="en-US" w:eastAsia="zh-CN"/>
                    </w:rPr>
                  </w:pPr>
                  <w:r>
                    <w:rPr>
                      <w:rFonts w:hint="eastAsia"/>
                      <w:bCs/>
                      <w:color w:val="auto"/>
                      <w:szCs w:val="21"/>
                      <w:lang w:val="en-US" w:eastAsia="zh-CN"/>
                    </w:rPr>
                    <w:t>最大堆存高度</w:t>
                  </w:r>
                </w:p>
              </w:tc>
              <w:tc>
                <w:tcPr>
                  <w:tcW w:w="4485" w:type="dxa"/>
                  <w:vAlign w:val="center"/>
                </w:tcPr>
                <w:p w14:paraId="0A254952">
                  <w:pPr>
                    <w:jc w:val="center"/>
                    <w:rPr>
                      <w:bCs/>
                      <w:color w:val="auto"/>
                      <w:szCs w:val="21"/>
                    </w:rPr>
                  </w:pPr>
                  <w:r>
                    <w:rPr>
                      <w:rFonts w:hint="eastAsia"/>
                      <w:bCs/>
                      <w:color w:val="auto"/>
                      <w:szCs w:val="21"/>
                    </w:rPr>
                    <w:t>来源</w:t>
                  </w:r>
                </w:p>
              </w:tc>
            </w:tr>
            <w:tr w14:paraId="67C1BAD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01" w:hRule="atLeast"/>
                <w:jc w:val="center"/>
              </w:trPr>
              <w:tc>
                <w:tcPr>
                  <w:tcW w:w="480" w:type="dxa"/>
                  <w:vAlign w:val="center"/>
                </w:tcPr>
                <w:p w14:paraId="3F2C7111">
                  <w:pPr>
                    <w:jc w:val="center"/>
                    <w:rPr>
                      <w:color w:val="auto"/>
                      <w:szCs w:val="21"/>
                    </w:rPr>
                  </w:pPr>
                  <w:r>
                    <w:rPr>
                      <w:color w:val="auto"/>
                      <w:szCs w:val="21"/>
                    </w:rPr>
                    <w:t>1</w:t>
                  </w:r>
                </w:p>
              </w:tc>
              <w:tc>
                <w:tcPr>
                  <w:tcW w:w="490" w:type="dxa"/>
                  <w:vAlign w:val="center"/>
                </w:tcPr>
                <w:p w14:paraId="62049589">
                  <w:pPr>
                    <w:jc w:val="center"/>
                    <w:rPr>
                      <w:rFonts w:hint="eastAsia" w:eastAsia="宋体"/>
                      <w:color w:val="auto"/>
                      <w:lang w:val="en-US" w:eastAsia="zh-CN"/>
                    </w:rPr>
                  </w:pPr>
                  <w:r>
                    <w:rPr>
                      <w:rFonts w:hint="eastAsia"/>
                      <w:color w:val="auto"/>
                      <w:spacing w:val="4"/>
                      <w:sz w:val="24"/>
                      <w:lang w:val="en-US" w:eastAsia="zh-CN"/>
                    </w:rPr>
                    <w:t>煤炭</w:t>
                  </w:r>
                </w:p>
              </w:tc>
              <w:tc>
                <w:tcPr>
                  <w:tcW w:w="578" w:type="dxa"/>
                  <w:vAlign w:val="center"/>
                </w:tcPr>
                <w:p w14:paraId="1BC861E5">
                  <w:pPr>
                    <w:jc w:val="center"/>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5万</w:t>
                  </w:r>
                </w:p>
              </w:tc>
              <w:tc>
                <w:tcPr>
                  <w:tcW w:w="1056" w:type="dxa"/>
                  <w:vAlign w:val="center"/>
                </w:tcPr>
                <w:p w14:paraId="1868C82A">
                  <w:pPr>
                    <w:jc w:val="center"/>
                    <w:rPr>
                      <w:rFonts w:hint="default"/>
                      <w:color w:val="auto"/>
                      <w:lang w:val="en-US" w:eastAsia="zh-CN"/>
                    </w:rPr>
                  </w:pPr>
                  <w:r>
                    <w:rPr>
                      <w:rFonts w:hint="eastAsia" w:cs="Times New Roman"/>
                      <w:color w:val="auto"/>
                      <w:kern w:val="2"/>
                      <w:sz w:val="21"/>
                      <w:szCs w:val="24"/>
                      <w:lang w:val="en-US" w:eastAsia="zh-CN" w:bidi="ar-SA"/>
                    </w:rPr>
                    <w:t>20000t</w:t>
                  </w:r>
                </w:p>
              </w:tc>
              <w:tc>
                <w:tcPr>
                  <w:tcW w:w="1098" w:type="dxa"/>
                  <w:vAlign w:val="center"/>
                </w:tcPr>
                <w:p w14:paraId="078BD205">
                  <w:pPr>
                    <w:jc w:val="center"/>
                    <w:rPr>
                      <w:rFonts w:hint="default" w:eastAsia="宋体"/>
                      <w:color w:val="auto"/>
                      <w:lang w:val="en-US" w:eastAsia="zh-CN"/>
                    </w:rPr>
                  </w:pPr>
                  <w:r>
                    <w:rPr>
                      <w:rFonts w:hint="eastAsia"/>
                      <w:color w:val="auto"/>
                      <w:lang w:val="en-US" w:eastAsia="zh-CN"/>
                    </w:rPr>
                    <w:t>2.5m</w:t>
                  </w:r>
                </w:p>
              </w:tc>
              <w:tc>
                <w:tcPr>
                  <w:tcW w:w="4485" w:type="dxa"/>
                  <w:vAlign w:val="center"/>
                </w:tcPr>
                <w:p w14:paraId="22DB8078">
                  <w:pPr>
                    <w:jc w:val="center"/>
                    <w:rPr>
                      <w:rFonts w:hint="eastAsia" w:eastAsia="宋体"/>
                      <w:color w:val="auto"/>
                      <w:lang w:val="en-US" w:eastAsia="zh-CN"/>
                    </w:rPr>
                  </w:pPr>
                  <w:r>
                    <w:rPr>
                      <w:rFonts w:hint="eastAsia"/>
                      <w:color w:val="auto"/>
                      <w:lang w:val="en-US" w:eastAsia="zh-CN"/>
                    </w:rPr>
                    <w:t>外购于周边煤矿厂，</w:t>
                  </w:r>
                  <w:r>
                    <w:rPr>
                      <w:rFonts w:hint="eastAsia"/>
                      <w:color w:val="auto"/>
                      <w:szCs w:val="21"/>
                      <w:vertAlign w:val="baseline"/>
                      <w:lang w:val="en-US" w:eastAsia="zh-CN"/>
                    </w:rPr>
                    <w:t>由煤矿厂派运输车辆运送至本项目煤炭堆场</w:t>
                  </w:r>
                </w:p>
              </w:tc>
            </w:tr>
            <w:tr w14:paraId="420CAA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01" w:hRule="atLeast"/>
                <w:jc w:val="center"/>
              </w:trPr>
              <w:tc>
                <w:tcPr>
                  <w:tcW w:w="480" w:type="dxa"/>
                  <w:vAlign w:val="center"/>
                </w:tcPr>
                <w:p w14:paraId="56AF477D">
                  <w:pPr>
                    <w:jc w:val="center"/>
                    <w:rPr>
                      <w:rFonts w:hint="default" w:eastAsia="宋体"/>
                      <w:color w:val="auto"/>
                      <w:szCs w:val="21"/>
                      <w:lang w:val="en-US" w:eastAsia="zh-CN"/>
                    </w:rPr>
                  </w:pPr>
                  <w:r>
                    <w:rPr>
                      <w:rFonts w:hint="eastAsia"/>
                      <w:color w:val="auto"/>
                      <w:szCs w:val="21"/>
                      <w:lang w:val="en-US" w:eastAsia="zh-CN"/>
                    </w:rPr>
                    <w:t>3</w:t>
                  </w:r>
                </w:p>
              </w:tc>
              <w:tc>
                <w:tcPr>
                  <w:tcW w:w="490" w:type="dxa"/>
                  <w:vAlign w:val="center"/>
                </w:tcPr>
                <w:p w14:paraId="28570C4F">
                  <w:pPr>
                    <w:jc w:val="center"/>
                    <w:rPr>
                      <w:rFonts w:hint="eastAsia"/>
                      <w:color w:val="auto"/>
                      <w:spacing w:val="4"/>
                      <w:sz w:val="24"/>
                      <w:lang w:val="en-US" w:eastAsia="zh-CN"/>
                    </w:rPr>
                  </w:pPr>
                  <w:r>
                    <w:rPr>
                      <w:rFonts w:hint="eastAsia"/>
                      <w:color w:val="auto"/>
                      <w:lang w:val="en-US" w:eastAsia="zh-CN"/>
                    </w:rPr>
                    <w:t>机油</w:t>
                  </w:r>
                </w:p>
              </w:tc>
              <w:tc>
                <w:tcPr>
                  <w:tcW w:w="578" w:type="dxa"/>
                  <w:vAlign w:val="center"/>
                </w:tcPr>
                <w:p w14:paraId="4348A792">
                  <w:pPr>
                    <w:jc w:val="center"/>
                    <w:rPr>
                      <w:rFonts w:hint="eastAsia" w:cs="Times New Roman"/>
                      <w:color w:val="auto"/>
                      <w:kern w:val="2"/>
                      <w:sz w:val="21"/>
                      <w:szCs w:val="24"/>
                      <w:lang w:val="en-US" w:eastAsia="zh-CN" w:bidi="ar-SA"/>
                    </w:rPr>
                  </w:pPr>
                  <w:r>
                    <w:rPr>
                      <w:rFonts w:hint="eastAsia" w:cs="Times New Roman"/>
                      <w:color w:val="auto"/>
                      <w:kern w:val="2"/>
                      <w:sz w:val="22"/>
                      <w:szCs w:val="22"/>
                      <w:lang w:val="en-US" w:eastAsia="zh-CN"/>
                    </w:rPr>
                    <w:t>0.1t</w:t>
                  </w:r>
                </w:p>
              </w:tc>
              <w:tc>
                <w:tcPr>
                  <w:tcW w:w="1056" w:type="dxa"/>
                  <w:vAlign w:val="center"/>
                </w:tcPr>
                <w:p w14:paraId="1E8C3C4C">
                  <w:pPr>
                    <w:jc w:val="center"/>
                    <w:rPr>
                      <w:rFonts w:hint="eastAsia" w:cs="Times New Roman"/>
                      <w:color w:val="auto"/>
                      <w:kern w:val="2"/>
                      <w:sz w:val="21"/>
                      <w:szCs w:val="24"/>
                      <w:lang w:val="en-US" w:eastAsia="zh-CN" w:bidi="ar-SA"/>
                    </w:rPr>
                  </w:pPr>
                  <w:r>
                    <w:rPr>
                      <w:rFonts w:hint="eastAsia"/>
                      <w:color w:val="auto"/>
                      <w:lang w:val="en-US" w:eastAsia="zh-CN"/>
                    </w:rPr>
                    <w:t>/</w:t>
                  </w:r>
                </w:p>
              </w:tc>
              <w:tc>
                <w:tcPr>
                  <w:tcW w:w="1098" w:type="dxa"/>
                  <w:vAlign w:val="center"/>
                </w:tcPr>
                <w:p w14:paraId="4C0ACB07">
                  <w:pPr>
                    <w:jc w:val="center"/>
                    <w:rPr>
                      <w:rFonts w:hint="eastAsia"/>
                      <w:color w:val="auto"/>
                      <w:lang w:val="en-US" w:eastAsia="zh-CN"/>
                    </w:rPr>
                  </w:pPr>
                  <w:r>
                    <w:rPr>
                      <w:rFonts w:hint="eastAsia"/>
                      <w:color w:val="auto"/>
                      <w:lang w:val="en-US" w:eastAsia="zh-CN"/>
                    </w:rPr>
                    <w:t>/</w:t>
                  </w:r>
                </w:p>
              </w:tc>
              <w:tc>
                <w:tcPr>
                  <w:tcW w:w="4485" w:type="dxa"/>
                  <w:vAlign w:val="center"/>
                </w:tcPr>
                <w:p w14:paraId="3C629E7A">
                  <w:pPr>
                    <w:jc w:val="center"/>
                    <w:rPr>
                      <w:rFonts w:hint="eastAsia"/>
                      <w:color w:val="auto"/>
                      <w:lang w:val="en-US" w:eastAsia="zh-CN"/>
                    </w:rPr>
                  </w:pPr>
                  <w:r>
                    <w:rPr>
                      <w:rFonts w:hint="eastAsia"/>
                      <w:color w:val="auto"/>
                      <w:lang w:val="en-US" w:eastAsia="zh-CN"/>
                    </w:rPr>
                    <w:t>外购</w:t>
                  </w:r>
                </w:p>
              </w:tc>
            </w:tr>
          </w:tbl>
          <w:p w14:paraId="033FEB1D">
            <w:pPr>
              <w:adjustRightInd w:val="0"/>
              <w:snapToGrid w:val="0"/>
              <w:spacing w:line="360" w:lineRule="auto"/>
              <w:ind w:firstLine="482" w:firstLineChars="200"/>
              <w:rPr>
                <w:color w:val="auto"/>
                <w:sz w:val="24"/>
              </w:rPr>
            </w:pPr>
            <w:r>
              <w:rPr>
                <w:rFonts w:hint="eastAsia"/>
                <w:b/>
                <w:color w:val="auto"/>
                <w:sz w:val="24"/>
              </w:rPr>
              <w:t>5</w:t>
            </w:r>
            <w:r>
              <w:rPr>
                <w:b/>
                <w:color w:val="auto"/>
                <w:sz w:val="24"/>
              </w:rPr>
              <w:t>、主要产品方案</w:t>
            </w:r>
          </w:p>
          <w:p w14:paraId="7F3AE127">
            <w:pPr>
              <w:adjustRightInd w:val="0"/>
              <w:snapToGrid w:val="0"/>
              <w:spacing w:line="360" w:lineRule="auto"/>
              <w:ind w:firstLine="480" w:firstLineChars="200"/>
              <w:rPr>
                <w:color w:val="auto"/>
                <w:sz w:val="24"/>
              </w:rPr>
            </w:pPr>
            <w:r>
              <w:rPr>
                <w:rFonts w:hint="eastAsia"/>
                <w:color w:val="auto"/>
                <w:sz w:val="24"/>
              </w:rPr>
              <w:t>本项目</w:t>
            </w:r>
            <w:r>
              <w:rPr>
                <w:rFonts w:hint="eastAsia"/>
                <w:color w:val="auto"/>
                <w:spacing w:val="4"/>
                <w:sz w:val="24"/>
                <w:lang w:val="en-US" w:eastAsia="zh-CN"/>
              </w:rPr>
              <w:t>年运输销售煤炭5万吨</w:t>
            </w:r>
            <w:r>
              <w:rPr>
                <w:rFonts w:hint="eastAsia"/>
                <w:color w:val="auto"/>
                <w:sz w:val="24"/>
                <w:lang w:val="en-US" w:eastAsia="zh-CN"/>
              </w:rPr>
              <w:t>。本项目煤质V</w:t>
            </w:r>
            <w:r>
              <w:rPr>
                <w:rFonts w:hint="eastAsia"/>
                <w:color w:val="auto"/>
                <w:sz w:val="24"/>
                <w:vertAlign w:val="subscript"/>
                <w:lang w:val="en-US" w:eastAsia="zh-CN"/>
              </w:rPr>
              <w:t>d</w:t>
            </w:r>
            <w:r>
              <w:rPr>
                <w:rFonts w:hint="eastAsia"/>
                <w:color w:val="auto"/>
                <w:sz w:val="24"/>
                <w:vertAlign w:val="baseline"/>
                <w:lang w:val="en-US" w:eastAsia="zh-CN"/>
              </w:rPr>
              <w:t>=39.75，</w:t>
            </w:r>
            <w:r>
              <w:rPr>
                <w:rFonts w:hint="eastAsia"/>
                <w:color w:val="auto"/>
                <w:sz w:val="24"/>
                <w:lang w:val="en-US" w:eastAsia="zh-CN"/>
              </w:rPr>
              <w:t>根据</w:t>
            </w: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HYPERLINK "https://www.ndrc.gov.cn/xxgk/zcfb/fzggwl/201409/W020190905494951345070.pdf" </w:instrText>
            </w:r>
            <w:r>
              <w:rPr>
                <w:rFonts w:hint="eastAsia" w:ascii="Times New Roman" w:hAnsi="Times New Roman" w:eastAsia="宋体" w:cs="Times New Roman"/>
                <w:color w:val="auto"/>
                <w:sz w:val="24"/>
                <w:lang w:val="en-US" w:eastAsia="zh-CN"/>
              </w:rPr>
              <w:fldChar w:fldCharType="separate"/>
            </w:r>
            <w:r>
              <w:rPr>
                <w:rFonts w:hint="default" w:ascii="Times New Roman" w:hAnsi="Times New Roman" w:eastAsia="宋体" w:cs="Times New Roman"/>
                <w:color w:val="auto"/>
                <w:sz w:val="24"/>
                <w:lang w:val="en-US" w:eastAsia="zh-CN"/>
              </w:rPr>
              <w:t>《商品煤质量管理暂行办法》</w:t>
            </w:r>
            <w:r>
              <w:rPr>
                <w:rFonts w:hint="default" w:ascii="Times New Roman" w:hAnsi="Times New Roman" w:eastAsia="宋体" w:cs="Times New Roman"/>
                <w:color w:val="auto"/>
                <w:sz w:val="24"/>
                <w:lang w:val="en-US" w:eastAsia="zh-CN"/>
              </w:rPr>
              <w:fldChar w:fldCharType="end"/>
            </w:r>
            <w:r>
              <w:rPr>
                <w:rFonts w:hint="eastAsia"/>
                <w:color w:val="auto"/>
                <w:sz w:val="24"/>
                <w:lang w:val="en-US" w:eastAsia="zh-CN"/>
              </w:rPr>
              <w:t>“第六条”，本项目煤炭种类为其他煤种。</w:t>
            </w:r>
            <w:r>
              <w:rPr>
                <w:rFonts w:hint="eastAsia"/>
                <w:color w:val="auto"/>
                <w:sz w:val="24"/>
              </w:rPr>
              <w:t>主要产品</w:t>
            </w:r>
            <w:r>
              <w:rPr>
                <w:color w:val="auto"/>
                <w:sz w:val="24"/>
              </w:rPr>
              <w:t>见表2-</w:t>
            </w:r>
            <w:r>
              <w:rPr>
                <w:rFonts w:hint="eastAsia"/>
                <w:color w:val="auto"/>
                <w:sz w:val="24"/>
              </w:rPr>
              <w:t>3</w:t>
            </w:r>
            <w:r>
              <w:rPr>
                <w:color w:val="auto"/>
                <w:sz w:val="24"/>
              </w:rPr>
              <w:t>。</w:t>
            </w:r>
          </w:p>
          <w:p w14:paraId="687C69BF">
            <w:pPr>
              <w:jc w:val="center"/>
              <w:rPr>
                <w:b/>
                <w:color w:val="auto"/>
                <w:szCs w:val="21"/>
              </w:rPr>
            </w:pPr>
            <w:r>
              <w:rPr>
                <w:b/>
                <w:color w:val="auto"/>
                <w:szCs w:val="21"/>
              </w:rPr>
              <w:t>表2-</w:t>
            </w:r>
            <w:r>
              <w:rPr>
                <w:rFonts w:hint="eastAsia"/>
                <w:b/>
                <w:color w:val="auto"/>
                <w:szCs w:val="21"/>
              </w:rPr>
              <w:t xml:space="preserve">3  </w:t>
            </w:r>
            <w:r>
              <w:rPr>
                <w:b/>
                <w:color w:val="auto"/>
                <w:szCs w:val="21"/>
              </w:rPr>
              <w:t>主要产品方案表</w:t>
            </w:r>
          </w:p>
          <w:tbl>
            <w:tblPr>
              <w:tblStyle w:val="3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0" w:type="dxa"/>
                <w:bottom w:w="0" w:type="dxa"/>
                <w:right w:w="0" w:type="dxa"/>
              </w:tblCellMar>
            </w:tblPr>
            <w:tblGrid>
              <w:gridCol w:w="5472"/>
              <w:gridCol w:w="1300"/>
              <w:gridCol w:w="1300"/>
            </w:tblGrid>
            <w:tr w14:paraId="2548FDBA">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0" w:type="dxa"/>
                  <w:bottom w:w="0" w:type="dxa"/>
                  <w:right w:w="0" w:type="dxa"/>
                </w:tblCellMar>
              </w:tblPrEx>
              <w:trPr>
                <w:cantSplit/>
                <w:trHeight w:val="204" w:hRule="atLeast"/>
                <w:jc w:val="center"/>
              </w:trPr>
              <w:tc>
                <w:tcPr>
                  <w:tcW w:w="3389" w:type="pct"/>
                  <w:tcBorders>
                    <w:tl2br w:val="nil"/>
                    <w:tr2bl w:val="nil"/>
                  </w:tcBorders>
                  <w:vAlign w:val="center"/>
                </w:tcPr>
                <w:p w14:paraId="614FF2FA">
                  <w:pPr>
                    <w:jc w:val="center"/>
                    <w:rPr>
                      <w:rFonts w:hint="default"/>
                      <w:color w:val="auto"/>
                      <w:szCs w:val="21"/>
                      <w:lang w:val="en-US" w:eastAsia="zh-CN" w:bidi="ar"/>
                    </w:rPr>
                  </w:pPr>
                  <w:r>
                    <w:rPr>
                      <w:color w:val="auto"/>
                      <w:szCs w:val="21"/>
                      <w:lang w:bidi="ar"/>
                    </w:rPr>
                    <w:t>产品名称</w:t>
                  </w:r>
                </w:p>
              </w:tc>
              <w:tc>
                <w:tcPr>
                  <w:tcW w:w="805" w:type="pct"/>
                  <w:tcBorders>
                    <w:tl2br w:val="nil"/>
                    <w:tr2bl w:val="nil"/>
                  </w:tcBorders>
                </w:tcPr>
                <w:p w14:paraId="38705051">
                  <w:pPr>
                    <w:jc w:val="center"/>
                    <w:rPr>
                      <w:rFonts w:hint="default" w:eastAsia="宋体"/>
                      <w:color w:val="auto"/>
                      <w:szCs w:val="21"/>
                      <w:lang w:val="en-US" w:eastAsia="zh-CN" w:bidi="ar"/>
                    </w:rPr>
                  </w:pPr>
                  <w:r>
                    <w:rPr>
                      <w:rFonts w:hint="eastAsia"/>
                      <w:color w:val="auto"/>
                      <w:szCs w:val="21"/>
                      <w:lang w:val="en-US" w:eastAsia="zh-CN" w:bidi="ar"/>
                    </w:rPr>
                    <w:t>含水率</w:t>
                  </w:r>
                </w:p>
              </w:tc>
              <w:tc>
                <w:tcPr>
                  <w:tcW w:w="805" w:type="pct"/>
                  <w:tcBorders>
                    <w:tl2br w:val="nil"/>
                    <w:tr2bl w:val="nil"/>
                  </w:tcBorders>
                </w:tcPr>
                <w:p w14:paraId="37014D7B">
                  <w:pPr>
                    <w:jc w:val="center"/>
                    <w:rPr>
                      <w:rFonts w:hint="eastAsia" w:eastAsia="宋体"/>
                      <w:color w:val="auto"/>
                      <w:szCs w:val="21"/>
                      <w:lang w:val="en-US" w:eastAsia="zh-CN" w:bidi="ar"/>
                    </w:rPr>
                  </w:pPr>
                  <w:r>
                    <w:rPr>
                      <w:rFonts w:hint="eastAsia"/>
                      <w:color w:val="auto"/>
                      <w:szCs w:val="21"/>
                      <w:lang w:val="en-US" w:eastAsia="zh-CN" w:bidi="ar"/>
                    </w:rPr>
                    <w:t>年产量（t/a）</w:t>
                  </w:r>
                </w:p>
              </w:tc>
            </w:tr>
            <w:tr w14:paraId="12FA8BF0">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0" w:type="dxa"/>
                  <w:bottom w:w="0" w:type="dxa"/>
                  <w:right w:w="0" w:type="dxa"/>
                </w:tblCellMar>
              </w:tblPrEx>
              <w:trPr>
                <w:cantSplit/>
                <w:trHeight w:val="204" w:hRule="atLeast"/>
                <w:jc w:val="center"/>
              </w:trPr>
              <w:tc>
                <w:tcPr>
                  <w:tcW w:w="3389" w:type="pct"/>
                  <w:tcBorders>
                    <w:tl2br w:val="nil"/>
                    <w:tr2bl w:val="nil"/>
                  </w:tcBorders>
                  <w:vAlign w:val="center"/>
                </w:tcPr>
                <w:p w14:paraId="16F3448F">
                  <w:pPr>
                    <w:jc w:val="center"/>
                    <w:rPr>
                      <w:rFonts w:hint="eastAsia"/>
                      <w:color w:val="auto"/>
                      <w:szCs w:val="21"/>
                      <w:lang w:val="en-US" w:eastAsia="zh-CN" w:bidi="ar"/>
                    </w:rPr>
                  </w:pPr>
                  <w:r>
                    <w:rPr>
                      <w:rFonts w:hint="eastAsia"/>
                      <w:color w:val="auto"/>
                      <w:szCs w:val="21"/>
                      <w:lang w:val="en-US" w:eastAsia="zh-CN" w:bidi="ar"/>
                    </w:rPr>
                    <w:t>煤炭</w:t>
                  </w:r>
                </w:p>
              </w:tc>
              <w:tc>
                <w:tcPr>
                  <w:tcW w:w="805" w:type="pct"/>
                  <w:tcBorders>
                    <w:tl2br w:val="nil"/>
                    <w:tr2bl w:val="nil"/>
                  </w:tcBorders>
                </w:tcPr>
                <w:p w14:paraId="14C101D7">
                  <w:pPr>
                    <w:jc w:val="center"/>
                    <w:rPr>
                      <w:rFonts w:hint="default"/>
                      <w:color w:val="auto"/>
                      <w:szCs w:val="21"/>
                      <w:lang w:val="en-US" w:eastAsia="zh-CN" w:bidi="ar"/>
                    </w:rPr>
                  </w:pPr>
                  <w:r>
                    <w:rPr>
                      <w:rFonts w:hint="eastAsia"/>
                      <w:color w:val="auto"/>
                      <w:szCs w:val="21"/>
                      <w:lang w:val="en-US" w:eastAsia="zh-CN" w:bidi="ar"/>
                    </w:rPr>
                    <w:t>4.8%</w:t>
                  </w:r>
                </w:p>
              </w:tc>
              <w:tc>
                <w:tcPr>
                  <w:tcW w:w="805" w:type="pct"/>
                  <w:tcBorders>
                    <w:tl2br w:val="nil"/>
                    <w:tr2bl w:val="nil"/>
                  </w:tcBorders>
                </w:tcPr>
                <w:p w14:paraId="798A8D0F">
                  <w:pPr>
                    <w:jc w:val="center"/>
                    <w:rPr>
                      <w:rFonts w:hint="default" w:eastAsia="宋体"/>
                      <w:color w:val="auto"/>
                      <w:szCs w:val="21"/>
                      <w:lang w:val="en-US" w:eastAsia="zh-CN" w:bidi="ar"/>
                    </w:rPr>
                  </w:pPr>
                  <w:r>
                    <w:rPr>
                      <w:rFonts w:hint="eastAsia"/>
                      <w:color w:val="auto"/>
                      <w:szCs w:val="21"/>
                      <w:lang w:val="en-US" w:eastAsia="zh-CN" w:bidi="ar"/>
                    </w:rPr>
                    <w:t>5万</w:t>
                  </w:r>
                </w:p>
              </w:tc>
            </w:tr>
          </w:tbl>
          <w:p w14:paraId="54695AF8">
            <w:pPr>
              <w:jc w:val="center"/>
              <w:rPr>
                <w:b/>
                <w:color w:val="auto"/>
                <w:szCs w:val="21"/>
              </w:rPr>
            </w:pPr>
            <w:r>
              <w:rPr>
                <w:b/>
                <w:color w:val="auto"/>
                <w:szCs w:val="21"/>
              </w:rPr>
              <w:t>表2-</w:t>
            </w:r>
            <w:r>
              <w:rPr>
                <w:rFonts w:hint="eastAsia"/>
                <w:b/>
                <w:color w:val="auto"/>
                <w:szCs w:val="21"/>
                <w:lang w:val="en-US" w:eastAsia="zh-CN"/>
              </w:rPr>
              <w:t>4</w:t>
            </w:r>
            <w:r>
              <w:rPr>
                <w:rFonts w:hint="eastAsia"/>
                <w:b/>
                <w:color w:val="auto"/>
                <w:szCs w:val="21"/>
              </w:rPr>
              <w:t xml:space="preserve">  </w:t>
            </w:r>
            <w:r>
              <w:rPr>
                <w:rFonts w:hint="eastAsia"/>
                <w:b/>
                <w:color w:val="auto"/>
                <w:szCs w:val="21"/>
                <w:lang w:val="en-US" w:eastAsia="zh-CN"/>
              </w:rPr>
              <w:t>物料平衡一览</w:t>
            </w:r>
            <w:r>
              <w:rPr>
                <w:b/>
                <w:color w:val="auto"/>
                <w:szCs w:val="21"/>
              </w:rPr>
              <w:t>表</w:t>
            </w:r>
          </w:p>
          <w:tbl>
            <w:tblPr>
              <w:tblStyle w:val="39"/>
              <w:tblW w:w="8114"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27"/>
              <w:gridCol w:w="1950"/>
              <w:gridCol w:w="2550"/>
              <w:gridCol w:w="1687"/>
            </w:tblGrid>
            <w:tr w14:paraId="47C02F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927" w:type="dxa"/>
                  <w:tcBorders>
                    <w:tl2br w:val="nil"/>
                    <w:tr2bl w:val="nil"/>
                  </w:tcBorders>
                  <w:vAlign w:val="center"/>
                </w:tcPr>
                <w:p w14:paraId="7F98846D">
                  <w:pPr>
                    <w:jc w:val="center"/>
                    <w:rPr>
                      <w:rFonts w:hint="eastAsia" w:ascii="Times New Roman" w:hAnsi="Times New Roman" w:eastAsia="宋体" w:cs="Times New Roman"/>
                      <w:color w:val="auto"/>
                      <w:szCs w:val="21"/>
                      <w:lang w:val="en-US" w:eastAsia="zh-CN" w:bidi="ar"/>
                    </w:rPr>
                  </w:pPr>
                  <w:r>
                    <w:rPr>
                      <w:rFonts w:hint="eastAsia" w:ascii="Times New Roman" w:hAnsi="Times New Roman" w:eastAsia="宋体" w:cs="Times New Roman"/>
                      <w:color w:val="auto"/>
                      <w:szCs w:val="21"/>
                      <w:lang w:val="en-US" w:eastAsia="zh-CN" w:bidi="ar"/>
                    </w:rPr>
                    <w:t>原料</w:t>
                  </w:r>
                </w:p>
              </w:tc>
              <w:tc>
                <w:tcPr>
                  <w:tcW w:w="1950" w:type="dxa"/>
                  <w:tcBorders>
                    <w:tl2br w:val="nil"/>
                    <w:tr2bl w:val="nil"/>
                  </w:tcBorders>
                  <w:vAlign w:val="center"/>
                </w:tcPr>
                <w:p w14:paraId="75081B78">
                  <w:pPr>
                    <w:jc w:val="center"/>
                    <w:rPr>
                      <w:rFonts w:hint="default" w:ascii="Times New Roman" w:hAnsi="Times New Roman" w:eastAsia="宋体" w:cs="Times New Roman"/>
                      <w:color w:val="auto"/>
                      <w:szCs w:val="21"/>
                      <w:lang w:val="en-US" w:eastAsia="zh-CN" w:bidi="ar"/>
                    </w:rPr>
                  </w:pPr>
                  <w:r>
                    <w:rPr>
                      <w:rFonts w:hint="eastAsia" w:ascii="Times New Roman" w:hAnsi="Times New Roman" w:eastAsia="宋体" w:cs="Times New Roman"/>
                      <w:color w:val="auto"/>
                      <w:szCs w:val="21"/>
                      <w:lang w:val="en-US" w:eastAsia="zh-CN" w:bidi="ar"/>
                    </w:rPr>
                    <w:t>年用量</w:t>
                  </w:r>
                </w:p>
              </w:tc>
              <w:tc>
                <w:tcPr>
                  <w:tcW w:w="2550" w:type="dxa"/>
                  <w:tcBorders>
                    <w:tl2br w:val="nil"/>
                    <w:tr2bl w:val="nil"/>
                  </w:tcBorders>
                  <w:vAlign w:val="center"/>
                </w:tcPr>
                <w:p w14:paraId="34EB2E02">
                  <w:pPr>
                    <w:jc w:val="center"/>
                    <w:rPr>
                      <w:rFonts w:hint="eastAsia" w:ascii="Times New Roman" w:hAnsi="Times New Roman" w:eastAsia="宋体" w:cs="Times New Roman"/>
                      <w:color w:val="auto"/>
                      <w:szCs w:val="21"/>
                      <w:lang w:val="en-US" w:eastAsia="zh-CN" w:bidi="ar"/>
                    </w:rPr>
                  </w:pPr>
                  <w:r>
                    <w:rPr>
                      <w:rFonts w:hint="eastAsia" w:ascii="Times New Roman" w:hAnsi="Times New Roman" w:eastAsia="宋体" w:cs="Times New Roman"/>
                      <w:color w:val="auto"/>
                      <w:szCs w:val="21"/>
                      <w:lang w:val="en-US" w:eastAsia="zh-CN" w:bidi="ar"/>
                    </w:rPr>
                    <w:t>产生</w:t>
                  </w:r>
                </w:p>
              </w:tc>
              <w:tc>
                <w:tcPr>
                  <w:tcW w:w="1687" w:type="dxa"/>
                  <w:tcBorders>
                    <w:tl2br w:val="nil"/>
                    <w:tr2bl w:val="nil"/>
                  </w:tcBorders>
                  <w:vAlign w:val="center"/>
                </w:tcPr>
                <w:p w14:paraId="160B7E9D">
                  <w:pPr>
                    <w:jc w:val="center"/>
                    <w:rPr>
                      <w:rFonts w:hint="eastAsia" w:ascii="Times New Roman" w:hAnsi="Times New Roman" w:eastAsia="宋体" w:cs="Times New Roman"/>
                      <w:color w:val="auto"/>
                      <w:szCs w:val="21"/>
                      <w:lang w:val="en-US" w:eastAsia="zh-CN" w:bidi="ar"/>
                    </w:rPr>
                  </w:pPr>
                  <w:r>
                    <w:rPr>
                      <w:rFonts w:hint="eastAsia" w:ascii="Times New Roman" w:hAnsi="Times New Roman" w:eastAsia="宋体" w:cs="Times New Roman"/>
                      <w:color w:val="auto"/>
                      <w:szCs w:val="21"/>
                      <w:lang w:val="en-US" w:eastAsia="zh-CN" w:bidi="ar"/>
                    </w:rPr>
                    <w:t>产生量</w:t>
                  </w:r>
                </w:p>
              </w:tc>
            </w:tr>
            <w:tr w14:paraId="25A577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927" w:type="dxa"/>
                  <w:tcBorders>
                    <w:tl2br w:val="nil"/>
                    <w:tr2bl w:val="nil"/>
                  </w:tcBorders>
                  <w:vAlign w:val="center"/>
                </w:tcPr>
                <w:p w14:paraId="1C18DB31">
                  <w:pPr>
                    <w:jc w:val="center"/>
                    <w:rPr>
                      <w:rFonts w:hint="default" w:ascii="Times New Roman" w:hAnsi="Times New Roman" w:eastAsia="宋体" w:cs="Times New Roman"/>
                      <w:color w:val="auto"/>
                      <w:szCs w:val="21"/>
                      <w:lang w:val="en-US" w:eastAsia="zh-CN" w:bidi="ar"/>
                    </w:rPr>
                  </w:pPr>
                  <w:r>
                    <w:rPr>
                      <w:rFonts w:hint="eastAsia" w:cs="Times New Roman"/>
                      <w:color w:val="auto"/>
                      <w:szCs w:val="21"/>
                      <w:lang w:val="en-US" w:eastAsia="zh-CN" w:bidi="ar"/>
                    </w:rPr>
                    <w:t>煤炭</w:t>
                  </w:r>
                </w:p>
              </w:tc>
              <w:tc>
                <w:tcPr>
                  <w:tcW w:w="1950" w:type="dxa"/>
                  <w:tcBorders>
                    <w:tl2br w:val="nil"/>
                    <w:tr2bl w:val="nil"/>
                  </w:tcBorders>
                  <w:vAlign w:val="center"/>
                </w:tcPr>
                <w:p w14:paraId="12E7E7AE">
                  <w:pPr>
                    <w:jc w:val="center"/>
                    <w:rPr>
                      <w:rFonts w:hint="default" w:ascii="Times New Roman" w:hAnsi="Times New Roman" w:eastAsia="宋体" w:cs="Times New Roman"/>
                      <w:color w:val="auto"/>
                      <w:szCs w:val="21"/>
                      <w:lang w:val="en-US" w:eastAsia="zh-CN" w:bidi="ar"/>
                    </w:rPr>
                  </w:pPr>
                  <w:r>
                    <w:rPr>
                      <w:rFonts w:hint="default" w:ascii="Times New Roman" w:hAnsi="Times New Roman" w:eastAsia="宋体" w:cs="Times New Roman"/>
                      <w:color w:val="auto"/>
                      <w:szCs w:val="21"/>
                      <w:lang w:val="en-US" w:eastAsia="zh-CN" w:bidi="ar"/>
                    </w:rPr>
                    <w:t>5</w:t>
                  </w:r>
                  <w:r>
                    <w:rPr>
                      <w:rFonts w:hint="eastAsia" w:cs="Times New Roman"/>
                      <w:color w:val="auto"/>
                      <w:szCs w:val="21"/>
                      <w:lang w:val="en-US" w:eastAsia="zh-CN" w:bidi="ar"/>
                    </w:rPr>
                    <w:t>00</w:t>
                  </w:r>
                  <w:r>
                    <w:rPr>
                      <w:rFonts w:hint="default" w:ascii="Times New Roman" w:hAnsi="Times New Roman" w:eastAsia="宋体" w:cs="Times New Roman"/>
                      <w:color w:val="auto"/>
                      <w:szCs w:val="21"/>
                      <w:lang w:val="en-US" w:eastAsia="zh-CN" w:bidi="ar"/>
                    </w:rPr>
                    <w:t>0</w:t>
                  </w:r>
                  <w:r>
                    <w:rPr>
                      <w:rFonts w:hint="eastAsia"/>
                      <w:color w:val="auto"/>
                      <w:spacing w:val="-10"/>
                      <w:szCs w:val="21"/>
                      <w:lang w:val="en-US" w:eastAsia="zh-CN"/>
                    </w:rPr>
                    <w:t>9.059</w:t>
                  </w:r>
                  <w:r>
                    <w:rPr>
                      <w:rFonts w:hint="eastAsia" w:cs="Times New Roman"/>
                      <w:color w:val="auto"/>
                      <w:szCs w:val="21"/>
                      <w:lang w:val="en-US" w:eastAsia="zh-CN" w:bidi="ar"/>
                    </w:rPr>
                    <w:t>t/a</w:t>
                  </w:r>
                </w:p>
              </w:tc>
              <w:tc>
                <w:tcPr>
                  <w:tcW w:w="2550" w:type="dxa"/>
                  <w:tcBorders>
                    <w:tl2br w:val="nil"/>
                    <w:tr2bl w:val="nil"/>
                  </w:tcBorders>
                  <w:vAlign w:val="center"/>
                </w:tcPr>
                <w:p w14:paraId="7E679A67">
                  <w:pPr>
                    <w:jc w:val="center"/>
                    <w:rPr>
                      <w:rFonts w:hint="default" w:ascii="Times New Roman" w:hAnsi="Times New Roman" w:eastAsia="宋体" w:cs="Times New Roman"/>
                      <w:color w:val="auto"/>
                      <w:szCs w:val="21"/>
                      <w:lang w:val="en-US" w:eastAsia="zh-CN" w:bidi="ar"/>
                    </w:rPr>
                  </w:pPr>
                  <w:r>
                    <w:rPr>
                      <w:rFonts w:hint="eastAsia" w:ascii="Times New Roman" w:hAnsi="Times New Roman" w:eastAsia="宋体" w:cs="Times New Roman"/>
                      <w:color w:val="auto"/>
                      <w:szCs w:val="21"/>
                      <w:lang w:val="en-US" w:eastAsia="zh-CN" w:bidi="ar"/>
                    </w:rPr>
                    <w:t>煤炭</w:t>
                  </w:r>
                </w:p>
              </w:tc>
              <w:tc>
                <w:tcPr>
                  <w:tcW w:w="1687" w:type="dxa"/>
                  <w:tcBorders>
                    <w:tl2br w:val="nil"/>
                    <w:tr2bl w:val="nil"/>
                  </w:tcBorders>
                  <w:vAlign w:val="center"/>
                </w:tcPr>
                <w:p w14:paraId="51B16A86">
                  <w:pPr>
                    <w:jc w:val="center"/>
                    <w:rPr>
                      <w:rFonts w:hint="default" w:ascii="Times New Roman" w:hAnsi="Times New Roman" w:eastAsia="宋体" w:cs="Times New Roman"/>
                      <w:color w:val="auto"/>
                      <w:szCs w:val="21"/>
                      <w:lang w:val="en-US" w:eastAsia="zh-CN" w:bidi="ar"/>
                    </w:rPr>
                  </w:pPr>
                  <w:r>
                    <w:rPr>
                      <w:rFonts w:hint="eastAsia" w:cs="Times New Roman"/>
                      <w:color w:val="auto"/>
                      <w:szCs w:val="21"/>
                      <w:lang w:val="en-US" w:eastAsia="zh-CN" w:bidi="ar"/>
                    </w:rPr>
                    <w:t>50000</w:t>
                  </w:r>
                  <w:r>
                    <w:rPr>
                      <w:rFonts w:hint="eastAsia" w:ascii="Times New Roman" w:hAnsi="Times New Roman" w:eastAsia="宋体" w:cs="Times New Roman"/>
                      <w:color w:val="auto"/>
                      <w:szCs w:val="21"/>
                      <w:lang w:val="en-US" w:eastAsia="zh-CN" w:bidi="ar"/>
                    </w:rPr>
                    <w:t>t/a</w:t>
                  </w:r>
                </w:p>
              </w:tc>
            </w:tr>
            <w:tr w14:paraId="199CD8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927" w:type="dxa"/>
                  <w:tcBorders>
                    <w:tl2br w:val="nil"/>
                    <w:tr2bl w:val="nil"/>
                  </w:tcBorders>
                  <w:vAlign w:val="center"/>
                </w:tcPr>
                <w:p w14:paraId="7616EF3B">
                  <w:pPr>
                    <w:jc w:val="center"/>
                    <w:rPr>
                      <w:rFonts w:hint="default" w:ascii="Times New Roman" w:hAnsi="Times New Roman" w:eastAsia="宋体" w:cs="Times New Roman"/>
                      <w:color w:val="auto"/>
                      <w:szCs w:val="21"/>
                      <w:lang w:val="en-US" w:eastAsia="zh-CN" w:bidi="ar"/>
                    </w:rPr>
                  </w:pPr>
                  <w:r>
                    <w:rPr>
                      <w:rFonts w:hint="eastAsia" w:cs="Times New Roman"/>
                      <w:color w:val="auto"/>
                      <w:szCs w:val="21"/>
                      <w:lang w:val="en-US" w:eastAsia="zh-CN" w:bidi="ar"/>
                    </w:rPr>
                    <w:t>/</w:t>
                  </w:r>
                </w:p>
              </w:tc>
              <w:tc>
                <w:tcPr>
                  <w:tcW w:w="1950" w:type="dxa"/>
                  <w:tcBorders>
                    <w:tl2br w:val="nil"/>
                    <w:tr2bl w:val="nil"/>
                  </w:tcBorders>
                  <w:vAlign w:val="center"/>
                </w:tcPr>
                <w:p w14:paraId="165E3E8E">
                  <w:pPr>
                    <w:jc w:val="center"/>
                    <w:rPr>
                      <w:rFonts w:hint="default" w:ascii="Times New Roman" w:hAnsi="Times New Roman" w:eastAsia="宋体" w:cs="Times New Roman"/>
                      <w:color w:val="auto"/>
                      <w:szCs w:val="21"/>
                      <w:lang w:val="en-US" w:eastAsia="zh-CN" w:bidi="ar"/>
                    </w:rPr>
                  </w:pPr>
                  <w:r>
                    <w:rPr>
                      <w:rFonts w:hint="eastAsia" w:cs="Times New Roman"/>
                      <w:color w:val="auto"/>
                      <w:szCs w:val="21"/>
                      <w:lang w:val="en-US" w:eastAsia="zh-CN" w:bidi="ar"/>
                    </w:rPr>
                    <w:t>/</w:t>
                  </w:r>
                </w:p>
              </w:tc>
              <w:tc>
                <w:tcPr>
                  <w:tcW w:w="2550" w:type="dxa"/>
                  <w:tcBorders>
                    <w:tl2br w:val="nil"/>
                    <w:tr2bl w:val="nil"/>
                  </w:tcBorders>
                  <w:vAlign w:val="center"/>
                </w:tcPr>
                <w:p w14:paraId="31641008">
                  <w:pPr>
                    <w:jc w:val="center"/>
                    <w:rPr>
                      <w:rFonts w:hint="default" w:ascii="Times New Roman" w:hAnsi="Times New Roman" w:eastAsia="宋体" w:cs="Times New Roman"/>
                      <w:color w:val="auto"/>
                      <w:szCs w:val="21"/>
                      <w:lang w:val="en-US" w:eastAsia="zh-CN" w:bidi="ar"/>
                    </w:rPr>
                  </w:pPr>
                  <w:r>
                    <w:rPr>
                      <w:rFonts w:hint="eastAsia" w:ascii="Times New Roman" w:hAnsi="Times New Roman" w:eastAsia="宋体" w:cs="Times New Roman"/>
                      <w:color w:val="auto"/>
                      <w:szCs w:val="21"/>
                      <w:lang w:val="en-US" w:eastAsia="zh-CN" w:bidi="ar"/>
                    </w:rPr>
                    <w:t>工业粉尘</w:t>
                  </w:r>
                </w:p>
              </w:tc>
              <w:tc>
                <w:tcPr>
                  <w:tcW w:w="1687" w:type="dxa"/>
                  <w:tcBorders>
                    <w:tl2br w:val="nil"/>
                    <w:tr2bl w:val="nil"/>
                  </w:tcBorders>
                  <w:vAlign w:val="center"/>
                </w:tcPr>
                <w:p w14:paraId="03F7F2A5">
                  <w:pPr>
                    <w:jc w:val="center"/>
                    <w:rPr>
                      <w:rFonts w:hint="default" w:ascii="Times New Roman" w:hAnsi="Times New Roman" w:eastAsia="宋体" w:cs="Times New Roman"/>
                      <w:color w:val="auto"/>
                      <w:szCs w:val="21"/>
                      <w:lang w:val="en-US" w:eastAsia="zh-CN" w:bidi="ar"/>
                    </w:rPr>
                  </w:pPr>
                  <w:r>
                    <w:rPr>
                      <w:rFonts w:hint="eastAsia"/>
                      <w:color w:val="auto"/>
                      <w:spacing w:val="-10"/>
                      <w:szCs w:val="21"/>
                      <w:lang w:val="en-US" w:eastAsia="zh-CN"/>
                    </w:rPr>
                    <w:t>9.059t/a</w:t>
                  </w:r>
                </w:p>
              </w:tc>
            </w:tr>
            <w:tr w14:paraId="2F7730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927" w:type="dxa"/>
                  <w:tcBorders>
                    <w:tl2br w:val="nil"/>
                    <w:tr2bl w:val="nil"/>
                  </w:tcBorders>
                  <w:vAlign w:val="center"/>
                </w:tcPr>
                <w:p w14:paraId="3B266BB0">
                  <w:pPr>
                    <w:jc w:val="center"/>
                    <w:rPr>
                      <w:rFonts w:hint="eastAsia" w:ascii="Times New Roman" w:hAnsi="Times New Roman" w:eastAsia="宋体" w:cs="Times New Roman"/>
                      <w:color w:val="auto"/>
                      <w:szCs w:val="21"/>
                      <w:lang w:val="en-US" w:eastAsia="zh-CN" w:bidi="ar"/>
                    </w:rPr>
                  </w:pPr>
                  <w:r>
                    <w:rPr>
                      <w:rFonts w:hint="eastAsia" w:ascii="Times New Roman" w:hAnsi="Times New Roman" w:eastAsia="宋体" w:cs="Times New Roman"/>
                      <w:color w:val="auto"/>
                      <w:szCs w:val="21"/>
                      <w:lang w:val="en-US" w:eastAsia="zh-CN" w:bidi="ar"/>
                    </w:rPr>
                    <w:t>合计</w:t>
                  </w:r>
                </w:p>
              </w:tc>
              <w:tc>
                <w:tcPr>
                  <w:tcW w:w="1950" w:type="dxa"/>
                  <w:tcBorders>
                    <w:tl2br w:val="nil"/>
                    <w:tr2bl w:val="nil"/>
                  </w:tcBorders>
                  <w:vAlign w:val="center"/>
                </w:tcPr>
                <w:p w14:paraId="72CDEA47">
                  <w:pPr>
                    <w:jc w:val="center"/>
                    <w:rPr>
                      <w:rFonts w:hint="eastAsia" w:ascii="Times New Roman" w:hAnsi="Times New Roman" w:eastAsia="宋体" w:cs="Times New Roman"/>
                      <w:color w:val="auto"/>
                      <w:szCs w:val="21"/>
                      <w:lang w:val="en-US" w:eastAsia="zh-CN" w:bidi="ar"/>
                    </w:rPr>
                  </w:pPr>
                  <w:r>
                    <w:rPr>
                      <w:rFonts w:hint="default" w:ascii="Times New Roman" w:hAnsi="Times New Roman" w:eastAsia="宋体" w:cs="Times New Roman"/>
                      <w:color w:val="auto"/>
                      <w:szCs w:val="21"/>
                      <w:lang w:val="en-US" w:eastAsia="zh-CN" w:bidi="ar"/>
                    </w:rPr>
                    <w:t>5</w:t>
                  </w:r>
                  <w:r>
                    <w:rPr>
                      <w:rFonts w:hint="eastAsia" w:cs="Times New Roman"/>
                      <w:color w:val="auto"/>
                      <w:szCs w:val="21"/>
                      <w:lang w:val="en-US" w:eastAsia="zh-CN" w:bidi="ar"/>
                    </w:rPr>
                    <w:t>00</w:t>
                  </w:r>
                  <w:r>
                    <w:rPr>
                      <w:rFonts w:hint="default" w:ascii="Times New Roman" w:hAnsi="Times New Roman" w:eastAsia="宋体" w:cs="Times New Roman"/>
                      <w:color w:val="auto"/>
                      <w:szCs w:val="21"/>
                      <w:lang w:val="en-US" w:eastAsia="zh-CN" w:bidi="ar"/>
                    </w:rPr>
                    <w:t>0</w:t>
                  </w:r>
                  <w:r>
                    <w:rPr>
                      <w:rFonts w:hint="eastAsia"/>
                      <w:color w:val="auto"/>
                      <w:spacing w:val="-10"/>
                      <w:szCs w:val="21"/>
                      <w:lang w:val="en-US" w:eastAsia="zh-CN"/>
                    </w:rPr>
                    <w:t>9.059</w:t>
                  </w:r>
                  <w:r>
                    <w:rPr>
                      <w:rFonts w:hint="eastAsia" w:cs="Times New Roman"/>
                      <w:color w:val="auto"/>
                      <w:szCs w:val="21"/>
                      <w:lang w:val="en-US" w:eastAsia="zh-CN" w:bidi="ar"/>
                    </w:rPr>
                    <w:t>t/a</w:t>
                  </w:r>
                </w:p>
              </w:tc>
              <w:tc>
                <w:tcPr>
                  <w:tcW w:w="2550" w:type="dxa"/>
                  <w:tcBorders>
                    <w:tl2br w:val="nil"/>
                    <w:tr2bl w:val="nil"/>
                  </w:tcBorders>
                  <w:vAlign w:val="center"/>
                </w:tcPr>
                <w:p w14:paraId="3448794C">
                  <w:pPr>
                    <w:jc w:val="center"/>
                    <w:rPr>
                      <w:rFonts w:hint="default" w:ascii="Times New Roman" w:hAnsi="Times New Roman" w:eastAsia="宋体" w:cs="Times New Roman"/>
                      <w:color w:val="auto"/>
                      <w:szCs w:val="21"/>
                      <w:lang w:val="en-US" w:eastAsia="zh-CN" w:bidi="ar"/>
                    </w:rPr>
                  </w:pPr>
                  <w:r>
                    <w:rPr>
                      <w:rFonts w:hint="eastAsia" w:ascii="Times New Roman" w:hAnsi="Times New Roman" w:eastAsia="宋体" w:cs="Times New Roman"/>
                      <w:color w:val="auto"/>
                      <w:szCs w:val="21"/>
                      <w:lang w:val="en-US" w:eastAsia="zh-CN" w:bidi="ar"/>
                    </w:rPr>
                    <w:t>/</w:t>
                  </w:r>
                </w:p>
              </w:tc>
              <w:tc>
                <w:tcPr>
                  <w:tcW w:w="1687" w:type="dxa"/>
                  <w:tcBorders>
                    <w:tl2br w:val="nil"/>
                    <w:tr2bl w:val="nil"/>
                  </w:tcBorders>
                  <w:vAlign w:val="center"/>
                </w:tcPr>
                <w:p w14:paraId="09529D16">
                  <w:pPr>
                    <w:jc w:val="center"/>
                    <w:rPr>
                      <w:rFonts w:hint="default" w:ascii="Times New Roman" w:hAnsi="Times New Roman" w:eastAsia="宋体" w:cs="Times New Roman"/>
                      <w:color w:val="auto"/>
                      <w:szCs w:val="21"/>
                      <w:lang w:val="en-US" w:eastAsia="zh-CN" w:bidi="ar"/>
                    </w:rPr>
                  </w:pPr>
                  <w:r>
                    <w:rPr>
                      <w:rFonts w:hint="default" w:ascii="Times New Roman" w:hAnsi="Times New Roman" w:eastAsia="宋体" w:cs="Times New Roman"/>
                      <w:color w:val="auto"/>
                      <w:szCs w:val="21"/>
                      <w:lang w:val="en-US" w:eastAsia="zh-CN" w:bidi="ar"/>
                    </w:rPr>
                    <w:t>5</w:t>
                  </w:r>
                  <w:r>
                    <w:rPr>
                      <w:rFonts w:hint="eastAsia" w:cs="Times New Roman"/>
                      <w:color w:val="auto"/>
                      <w:szCs w:val="21"/>
                      <w:lang w:val="en-US" w:eastAsia="zh-CN" w:bidi="ar"/>
                    </w:rPr>
                    <w:t>00</w:t>
                  </w:r>
                  <w:r>
                    <w:rPr>
                      <w:rFonts w:hint="default" w:ascii="Times New Roman" w:hAnsi="Times New Roman" w:eastAsia="宋体" w:cs="Times New Roman"/>
                      <w:color w:val="auto"/>
                      <w:szCs w:val="21"/>
                      <w:lang w:val="en-US" w:eastAsia="zh-CN" w:bidi="ar"/>
                    </w:rPr>
                    <w:t>0</w:t>
                  </w:r>
                  <w:r>
                    <w:rPr>
                      <w:rFonts w:hint="eastAsia"/>
                      <w:color w:val="auto"/>
                      <w:spacing w:val="-10"/>
                      <w:szCs w:val="21"/>
                      <w:lang w:val="en-US" w:eastAsia="zh-CN"/>
                    </w:rPr>
                    <w:t>9.059</w:t>
                  </w:r>
                  <w:r>
                    <w:rPr>
                      <w:rFonts w:hint="eastAsia" w:cs="Times New Roman"/>
                      <w:color w:val="auto"/>
                      <w:szCs w:val="21"/>
                      <w:lang w:val="en-US" w:eastAsia="zh-CN" w:bidi="ar"/>
                    </w:rPr>
                    <w:t>t/a</w:t>
                  </w:r>
                </w:p>
              </w:tc>
            </w:tr>
          </w:tbl>
          <w:p w14:paraId="7854D5D8">
            <w:pPr>
              <w:adjustRightInd w:val="0"/>
              <w:snapToGrid w:val="0"/>
              <w:spacing w:line="360" w:lineRule="auto"/>
              <w:ind w:firstLine="482" w:firstLineChars="200"/>
              <w:rPr>
                <w:b/>
                <w:color w:val="auto"/>
                <w:sz w:val="24"/>
              </w:rPr>
            </w:pPr>
            <w:r>
              <w:rPr>
                <w:rFonts w:hint="eastAsia"/>
                <w:b/>
                <w:color w:val="auto"/>
                <w:sz w:val="24"/>
              </w:rPr>
              <w:t>6、</w:t>
            </w:r>
            <w:r>
              <w:rPr>
                <w:b/>
                <w:color w:val="auto"/>
                <w:sz w:val="24"/>
              </w:rPr>
              <w:t>主要设备</w:t>
            </w:r>
          </w:p>
          <w:p w14:paraId="2A20CF8B">
            <w:pPr>
              <w:adjustRightInd w:val="0"/>
              <w:snapToGrid w:val="0"/>
              <w:spacing w:line="360" w:lineRule="auto"/>
              <w:ind w:firstLine="480" w:firstLineChars="200"/>
              <w:rPr>
                <w:color w:val="auto"/>
                <w:sz w:val="24"/>
              </w:rPr>
            </w:pPr>
            <w:r>
              <w:rPr>
                <w:color w:val="auto"/>
                <w:sz w:val="24"/>
              </w:rPr>
              <w:t>本项目主要生产设备见表2-</w:t>
            </w:r>
            <w:r>
              <w:rPr>
                <w:rFonts w:hint="eastAsia"/>
                <w:color w:val="auto"/>
                <w:sz w:val="24"/>
                <w:lang w:val="en-US" w:eastAsia="zh-CN"/>
              </w:rPr>
              <w:t>5</w:t>
            </w:r>
            <w:r>
              <w:rPr>
                <w:color w:val="auto"/>
                <w:sz w:val="24"/>
              </w:rPr>
              <w:t>。</w:t>
            </w:r>
          </w:p>
          <w:p w14:paraId="0B1041EE">
            <w:pPr>
              <w:jc w:val="center"/>
              <w:rPr>
                <w:b/>
                <w:color w:val="auto"/>
                <w:szCs w:val="21"/>
              </w:rPr>
            </w:pPr>
            <w:r>
              <w:rPr>
                <w:b/>
                <w:color w:val="auto"/>
                <w:szCs w:val="21"/>
              </w:rPr>
              <w:t>表2-</w:t>
            </w:r>
            <w:r>
              <w:rPr>
                <w:rFonts w:hint="eastAsia"/>
                <w:b/>
                <w:color w:val="auto"/>
                <w:szCs w:val="21"/>
                <w:lang w:val="en-US" w:eastAsia="zh-CN"/>
              </w:rPr>
              <w:t>5</w:t>
            </w:r>
            <w:r>
              <w:rPr>
                <w:rFonts w:hint="eastAsia"/>
                <w:b/>
                <w:color w:val="auto"/>
                <w:szCs w:val="21"/>
              </w:rPr>
              <w:t xml:space="preserve">  </w:t>
            </w:r>
            <w:r>
              <w:rPr>
                <w:b/>
                <w:color w:val="auto"/>
                <w:szCs w:val="21"/>
              </w:rPr>
              <w:t>主要生产设备一览表</w:t>
            </w:r>
          </w:p>
          <w:tbl>
            <w:tblPr>
              <w:tblStyle w:val="38"/>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119"/>
              <w:gridCol w:w="3713"/>
              <w:gridCol w:w="1553"/>
              <w:gridCol w:w="1687"/>
            </w:tblGrid>
            <w:tr w14:paraId="340ADBF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blHeader/>
                <w:jc w:val="center"/>
              </w:trPr>
              <w:tc>
                <w:tcPr>
                  <w:tcW w:w="693" w:type="pct"/>
                  <w:vAlign w:val="center"/>
                </w:tcPr>
                <w:p w14:paraId="0F518F90">
                  <w:pPr>
                    <w:jc w:val="center"/>
                    <w:rPr>
                      <w:bCs/>
                      <w:color w:val="auto"/>
                      <w:szCs w:val="21"/>
                    </w:rPr>
                  </w:pPr>
                  <w:r>
                    <w:rPr>
                      <w:bCs/>
                      <w:color w:val="auto"/>
                      <w:szCs w:val="21"/>
                    </w:rPr>
                    <w:t>序号</w:t>
                  </w:r>
                </w:p>
              </w:tc>
              <w:tc>
                <w:tcPr>
                  <w:tcW w:w="2299" w:type="pct"/>
                  <w:vAlign w:val="center"/>
                </w:tcPr>
                <w:p w14:paraId="716309DA">
                  <w:pPr>
                    <w:jc w:val="center"/>
                    <w:rPr>
                      <w:bCs/>
                      <w:color w:val="auto"/>
                      <w:szCs w:val="21"/>
                    </w:rPr>
                  </w:pPr>
                  <w:r>
                    <w:rPr>
                      <w:bCs/>
                      <w:color w:val="auto"/>
                      <w:szCs w:val="21"/>
                    </w:rPr>
                    <w:t>名称</w:t>
                  </w:r>
                </w:p>
              </w:tc>
              <w:tc>
                <w:tcPr>
                  <w:tcW w:w="962" w:type="pct"/>
                  <w:vAlign w:val="center"/>
                </w:tcPr>
                <w:p w14:paraId="7F9AE57F">
                  <w:pPr>
                    <w:jc w:val="center"/>
                    <w:rPr>
                      <w:bCs/>
                      <w:color w:val="auto"/>
                      <w:szCs w:val="21"/>
                    </w:rPr>
                  </w:pPr>
                  <w:r>
                    <w:rPr>
                      <w:bCs/>
                      <w:color w:val="auto"/>
                      <w:szCs w:val="21"/>
                    </w:rPr>
                    <w:t>单位</w:t>
                  </w:r>
                </w:p>
              </w:tc>
              <w:tc>
                <w:tcPr>
                  <w:tcW w:w="1044" w:type="pct"/>
                  <w:vAlign w:val="center"/>
                </w:tcPr>
                <w:p w14:paraId="14EEA386">
                  <w:pPr>
                    <w:jc w:val="center"/>
                    <w:rPr>
                      <w:bCs/>
                      <w:color w:val="auto"/>
                      <w:szCs w:val="21"/>
                    </w:rPr>
                  </w:pPr>
                  <w:r>
                    <w:rPr>
                      <w:bCs/>
                      <w:color w:val="auto"/>
                      <w:szCs w:val="21"/>
                    </w:rPr>
                    <w:t>数量</w:t>
                  </w:r>
                </w:p>
              </w:tc>
            </w:tr>
            <w:tr w14:paraId="689B897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3" w:type="pct"/>
                  <w:vAlign w:val="center"/>
                </w:tcPr>
                <w:p w14:paraId="3E737677">
                  <w:pPr>
                    <w:jc w:val="center"/>
                    <w:rPr>
                      <w:color w:val="auto"/>
                      <w:szCs w:val="21"/>
                    </w:rPr>
                  </w:pPr>
                  <w:r>
                    <w:rPr>
                      <w:color w:val="auto"/>
                      <w:szCs w:val="21"/>
                    </w:rPr>
                    <w:t>1</w:t>
                  </w:r>
                </w:p>
              </w:tc>
              <w:tc>
                <w:tcPr>
                  <w:tcW w:w="2299" w:type="pct"/>
                  <w:vAlign w:val="center"/>
                </w:tcPr>
                <w:p w14:paraId="0B75FCF4">
                  <w:pPr>
                    <w:jc w:val="center"/>
                    <w:rPr>
                      <w:rFonts w:hint="eastAsia" w:eastAsia="宋体"/>
                      <w:color w:val="auto"/>
                      <w:kern w:val="0"/>
                      <w:szCs w:val="18"/>
                      <w:lang w:val="en-US" w:eastAsia="zh-CN"/>
                    </w:rPr>
                  </w:pPr>
                  <w:r>
                    <w:rPr>
                      <w:rFonts w:hint="eastAsia"/>
                      <w:color w:val="auto"/>
                      <w:kern w:val="0"/>
                      <w:szCs w:val="18"/>
                      <w:lang w:val="en-US" w:eastAsia="zh-CN"/>
                    </w:rPr>
                    <w:t>铲车</w:t>
                  </w:r>
                </w:p>
              </w:tc>
              <w:tc>
                <w:tcPr>
                  <w:tcW w:w="962" w:type="pct"/>
                  <w:vAlign w:val="center"/>
                </w:tcPr>
                <w:p w14:paraId="28958135">
                  <w:pPr>
                    <w:jc w:val="center"/>
                    <w:rPr>
                      <w:rFonts w:hint="eastAsia" w:eastAsia="宋体"/>
                      <w:color w:val="auto"/>
                      <w:kern w:val="0"/>
                      <w:szCs w:val="18"/>
                      <w:lang w:val="en-US" w:eastAsia="zh-CN"/>
                    </w:rPr>
                  </w:pPr>
                  <w:r>
                    <w:rPr>
                      <w:rFonts w:hint="eastAsia"/>
                      <w:color w:val="auto"/>
                      <w:kern w:val="0"/>
                      <w:szCs w:val="18"/>
                      <w:lang w:val="en-US" w:eastAsia="zh-CN"/>
                    </w:rPr>
                    <w:t>辆</w:t>
                  </w:r>
                </w:p>
              </w:tc>
              <w:tc>
                <w:tcPr>
                  <w:tcW w:w="1044" w:type="pct"/>
                  <w:vAlign w:val="center"/>
                </w:tcPr>
                <w:p w14:paraId="183F67A3">
                  <w:pPr>
                    <w:jc w:val="center"/>
                    <w:rPr>
                      <w:rFonts w:hint="eastAsia" w:eastAsia="宋体"/>
                      <w:color w:val="auto"/>
                      <w:kern w:val="0"/>
                      <w:szCs w:val="18"/>
                      <w:lang w:val="en-US" w:eastAsia="zh-CN"/>
                    </w:rPr>
                  </w:pPr>
                  <w:r>
                    <w:rPr>
                      <w:rFonts w:hint="eastAsia"/>
                      <w:color w:val="auto"/>
                      <w:kern w:val="0"/>
                      <w:szCs w:val="18"/>
                      <w:lang w:val="en-US" w:eastAsia="zh-CN"/>
                    </w:rPr>
                    <w:t>1</w:t>
                  </w:r>
                </w:p>
              </w:tc>
            </w:tr>
            <w:tr w14:paraId="1AA5410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3" w:type="pct"/>
                  <w:vAlign w:val="center"/>
                </w:tcPr>
                <w:p w14:paraId="0C06BDDD">
                  <w:pPr>
                    <w:jc w:val="center"/>
                    <w:rPr>
                      <w:color w:val="auto"/>
                      <w:szCs w:val="21"/>
                    </w:rPr>
                  </w:pPr>
                  <w:r>
                    <w:rPr>
                      <w:color w:val="auto"/>
                      <w:szCs w:val="21"/>
                    </w:rPr>
                    <w:t>3</w:t>
                  </w:r>
                </w:p>
              </w:tc>
              <w:tc>
                <w:tcPr>
                  <w:tcW w:w="2299" w:type="pct"/>
                  <w:vAlign w:val="center"/>
                </w:tcPr>
                <w:p w14:paraId="1CA293B3">
                  <w:pPr>
                    <w:jc w:val="center"/>
                    <w:rPr>
                      <w:rFonts w:hint="eastAsia" w:eastAsia="宋体"/>
                      <w:color w:val="auto"/>
                      <w:kern w:val="0"/>
                      <w:szCs w:val="18"/>
                      <w:lang w:val="en-US" w:eastAsia="zh-CN"/>
                    </w:rPr>
                  </w:pPr>
                  <w:r>
                    <w:rPr>
                      <w:rFonts w:hint="eastAsia"/>
                      <w:color w:val="auto"/>
                      <w:kern w:val="0"/>
                      <w:szCs w:val="18"/>
                      <w:lang w:val="en-US" w:eastAsia="zh-CN"/>
                    </w:rPr>
                    <w:t>炮雾机</w:t>
                  </w:r>
                </w:p>
              </w:tc>
              <w:tc>
                <w:tcPr>
                  <w:tcW w:w="962" w:type="pct"/>
                  <w:vAlign w:val="center"/>
                </w:tcPr>
                <w:p w14:paraId="321DDB88">
                  <w:pPr>
                    <w:jc w:val="center"/>
                    <w:rPr>
                      <w:rFonts w:hint="eastAsia" w:eastAsia="宋体"/>
                      <w:color w:val="auto"/>
                      <w:kern w:val="0"/>
                      <w:szCs w:val="18"/>
                      <w:lang w:val="en-US" w:eastAsia="zh-CN"/>
                    </w:rPr>
                  </w:pPr>
                  <w:r>
                    <w:rPr>
                      <w:rFonts w:hint="eastAsia"/>
                      <w:color w:val="auto"/>
                      <w:kern w:val="0"/>
                      <w:szCs w:val="18"/>
                      <w:lang w:val="en-US" w:eastAsia="zh-CN"/>
                    </w:rPr>
                    <w:t>台</w:t>
                  </w:r>
                </w:p>
              </w:tc>
              <w:tc>
                <w:tcPr>
                  <w:tcW w:w="1044" w:type="pct"/>
                  <w:vAlign w:val="center"/>
                </w:tcPr>
                <w:p w14:paraId="48D03CF1">
                  <w:pPr>
                    <w:jc w:val="center"/>
                    <w:rPr>
                      <w:rFonts w:hint="eastAsia" w:eastAsia="宋体"/>
                      <w:color w:val="auto"/>
                      <w:kern w:val="0"/>
                      <w:szCs w:val="18"/>
                      <w:lang w:val="en-US" w:eastAsia="zh-CN"/>
                    </w:rPr>
                  </w:pPr>
                  <w:r>
                    <w:rPr>
                      <w:rFonts w:hint="eastAsia"/>
                      <w:color w:val="auto"/>
                      <w:kern w:val="0"/>
                      <w:szCs w:val="18"/>
                      <w:lang w:val="en-US" w:eastAsia="zh-CN"/>
                    </w:rPr>
                    <w:t>1</w:t>
                  </w:r>
                </w:p>
              </w:tc>
            </w:tr>
            <w:tr w14:paraId="17812A6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3" w:type="pct"/>
                  <w:vAlign w:val="center"/>
                </w:tcPr>
                <w:p w14:paraId="5C63D769">
                  <w:pPr>
                    <w:jc w:val="center"/>
                    <w:rPr>
                      <w:rFonts w:hint="eastAsia" w:eastAsia="宋体"/>
                      <w:color w:val="auto"/>
                      <w:szCs w:val="21"/>
                      <w:lang w:val="en-US" w:eastAsia="zh-CN"/>
                    </w:rPr>
                  </w:pPr>
                  <w:r>
                    <w:rPr>
                      <w:rFonts w:hint="eastAsia"/>
                      <w:color w:val="auto"/>
                      <w:szCs w:val="21"/>
                      <w:lang w:val="en-US" w:eastAsia="zh-CN"/>
                    </w:rPr>
                    <w:t>4</w:t>
                  </w:r>
                </w:p>
              </w:tc>
              <w:tc>
                <w:tcPr>
                  <w:tcW w:w="2299" w:type="pct"/>
                  <w:vAlign w:val="center"/>
                </w:tcPr>
                <w:p w14:paraId="6A467DD4">
                  <w:pPr>
                    <w:jc w:val="center"/>
                    <w:rPr>
                      <w:rFonts w:hint="default"/>
                      <w:color w:val="auto"/>
                      <w:kern w:val="0"/>
                      <w:szCs w:val="18"/>
                      <w:lang w:val="en-US" w:eastAsia="zh-CN"/>
                    </w:rPr>
                  </w:pPr>
                  <w:r>
                    <w:rPr>
                      <w:rFonts w:hint="eastAsia"/>
                      <w:color w:val="auto"/>
                      <w:kern w:val="0"/>
                      <w:szCs w:val="18"/>
                      <w:lang w:val="en-US" w:eastAsia="zh-CN"/>
                    </w:rPr>
                    <w:t>高压水枪</w:t>
                  </w:r>
                </w:p>
              </w:tc>
              <w:tc>
                <w:tcPr>
                  <w:tcW w:w="962" w:type="pct"/>
                  <w:vAlign w:val="center"/>
                </w:tcPr>
                <w:p w14:paraId="22093154">
                  <w:pPr>
                    <w:jc w:val="center"/>
                    <w:rPr>
                      <w:rFonts w:hint="default"/>
                      <w:color w:val="auto"/>
                      <w:kern w:val="0"/>
                      <w:szCs w:val="18"/>
                      <w:lang w:val="en-US" w:eastAsia="zh-CN"/>
                    </w:rPr>
                  </w:pPr>
                  <w:r>
                    <w:rPr>
                      <w:rFonts w:hint="eastAsia"/>
                      <w:color w:val="auto"/>
                      <w:kern w:val="0"/>
                      <w:szCs w:val="18"/>
                      <w:lang w:val="en-US" w:eastAsia="zh-CN"/>
                    </w:rPr>
                    <w:t>把</w:t>
                  </w:r>
                </w:p>
              </w:tc>
              <w:tc>
                <w:tcPr>
                  <w:tcW w:w="1044" w:type="pct"/>
                  <w:vAlign w:val="center"/>
                </w:tcPr>
                <w:p w14:paraId="2A32E031">
                  <w:pPr>
                    <w:jc w:val="center"/>
                    <w:rPr>
                      <w:rFonts w:hint="default"/>
                      <w:color w:val="auto"/>
                      <w:kern w:val="0"/>
                      <w:szCs w:val="18"/>
                      <w:lang w:val="en-US" w:eastAsia="zh-CN"/>
                    </w:rPr>
                  </w:pPr>
                  <w:r>
                    <w:rPr>
                      <w:rFonts w:hint="eastAsia"/>
                      <w:color w:val="auto"/>
                      <w:kern w:val="0"/>
                      <w:szCs w:val="18"/>
                      <w:lang w:val="en-US" w:eastAsia="zh-CN"/>
                    </w:rPr>
                    <w:t>1</w:t>
                  </w:r>
                </w:p>
              </w:tc>
            </w:tr>
            <w:tr w14:paraId="7F9BE96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3" w:type="pct"/>
                  <w:vAlign w:val="center"/>
                </w:tcPr>
                <w:p w14:paraId="3DEDF277">
                  <w:pPr>
                    <w:jc w:val="center"/>
                    <w:rPr>
                      <w:rFonts w:hint="default"/>
                      <w:color w:val="auto"/>
                      <w:szCs w:val="21"/>
                      <w:lang w:val="en-US" w:eastAsia="zh-CN"/>
                    </w:rPr>
                  </w:pPr>
                  <w:r>
                    <w:rPr>
                      <w:rFonts w:hint="eastAsia"/>
                      <w:color w:val="auto"/>
                      <w:szCs w:val="21"/>
                      <w:lang w:val="en-US" w:eastAsia="zh-CN"/>
                    </w:rPr>
                    <w:t>5</w:t>
                  </w:r>
                </w:p>
              </w:tc>
              <w:tc>
                <w:tcPr>
                  <w:tcW w:w="2299" w:type="pct"/>
                  <w:vAlign w:val="center"/>
                </w:tcPr>
                <w:p w14:paraId="33B5DC62">
                  <w:pPr>
                    <w:jc w:val="center"/>
                    <w:rPr>
                      <w:rFonts w:hint="default"/>
                      <w:color w:val="auto"/>
                      <w:kern w:val="0"/>
                      <w:szCs w:val="18"/>
                      <w:lang w:val="en-US" w:eastAsia="zh-CN"/>
                    </w:rPr>
                  </w:pPr>
                  <w:r>
                    <w:rPr>
                      <w:rFonts w:hint="eastAsia"/>
                      <w:color w:val="auto"/>
                      <w:kern w:val="0"/>
                      <w:szCs w:val="18"/>
                      <w:lang w:val="en-US" w:eastAsia="zh-CN"/>
                    </w:rPr>
                    <w:t>运输车</w:t>
                  </w:r>
                </w:p>
              </w:tc>
              <w:tc>
                <w:tcPr>
                  <w:tcW w:w="962" w:type="pct"/>
                  <w:vAlign w:val="center"/>
                </w:tcPr>
                <w:p w14:paraId="5E3601CD">
                  <w:pPr>
                    <w:jc w:val="center"/>
                    <w:rPr>
                      <w:rFonts w:hint="default"/>
                      <w:color w:val="auto"/>
                      <w:kern w:val="0"/>
                      <w:szCs w:val="18"/>
                      <w:lang w:val="en-US" w:eastAsia="zh-CN"/>
                    </w:rPr>
                  </w:pPr>
                  <w:r>
                    <w:rPr>
                      <w:rFonts w:hint="eastAsia"/>
                      <w:color w:val="auto"/>
                      <w:kern w:val="0"/>
                      <w:szCs w:val="18"/>
                      <w:lang w:val="en-US" w:eastAsia="zh-CN"/>
                    </w:rPr>
                    <w:t>辆</w:t>
                  </w:r>
                </w:p>
              </w:tc>
              <w:tc>
                <w:tcPr>
                  <w:tcW w:w="1044" w:type="pct"/>
                  <w:vAlign w:val="center"/>
                </w:tcPr>
                <w:p w14:paraId="4E56577D">
                  <w:pPr>
                    <w:jc w:val="center"/>
                    <w:rPr>
                      <w:rFonts w:hint="default"/>
                      <w:color w:val="auto"/>
                      <w:kern w:val="0"/>
                      <w:szCs w:val="18"/>
                      <w:lang w:val="en-US" w:eastAsia="zh-CN"/>
                    </w:rPr>
                  </w:pPr>
                  <w:r>
                    <w:rPr>
                      <w:rFonts w:hint="eastAsia"/>
                      <w:color w:val="auto"/>
                      <w:kern w:val="0"/>
                      <w:szCs w:val="18"/>
                      <w:lang w:val="en-US" w:eastAsia="zh-CN"/>
                    </w:rPr>
                    <w:t>2</w:t>
                  </w:r>
                </w:p>
              </w:tc>
            </w:tr>
            <w:tr w14:paraId="0D2C276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3" w:type="pct"/>
                  <w:vAlign w:val="center"/>
                </w:tcPr>
                <w:p w14:paraId="1067D556">
                  <w:pPr>
                    <w:jc w:val="center"/>
                    <w:rPr>
                      <w:rFonts w:hint="default"/>
                      <w:color w:val="auto"/>
                      <w:szCs w:val="21"/>
                      <w:lang w:val="en-US" w:eastAsia="zh-CN"/>
                    </w:rPr>
                  </w:pPr>
                  <w:r>
                    <w:rPr>
                      <w:rFonts w:hint="eastAsia"/>
                      <w:color w:val="auto"/>
                      <w:szCs w:val="21"/>
                      <w:lang w:val="en-US" w:eastAsia="zh-CN"/>
                    </w:rPr>
                    <w:t>6</w:t>
                  </w:r>
                </w:p>
              </w:tc>
              <w:tc>
                <w:tcPr>
                  <w:tcW w:w="2299" w:type="pct"/>
                  <w:vAlign w:val="center"/>
                </w:tcPr>
                <w:p w14:paraId="08819A00">
                  <w:pPr>
                    <w:jc w:val="center"/>
                    <w:rPr>
                      <w:rFonts w:hint="default"/>
                      <w:color w:val="auto"/>
                      <w:kern w:val="0"/>
                      <w:szCs w:val="18"/>
                      <w:lang w:val="en-US" w:eastAsia="zh-CN"/>
                    </w:rPr>
                  </w:pPr>
                  <w:r>
                    <w:rPr>
                      <w:rFonts w:hint="eastAsia"/>
                      <w:color w:val="auto"/>
                      <w:kern w:val="0"/>
                      <w:szCs w:val="18"/>
                      <w:lang w:val="en-US" w:eastAsia="zh-CN"/>
                    </w:rPr>
                    <w:t>四轮车</w:t>
                  </w:r>
                </w:p>
              </w:tc>
              <w:tc>
                <w:tcPr>
                  <w:tcW w:w="962" w:type="pct"/>
                  <w:vAlign w:val="center"/>
                </w:tcPr>
                <w:p w14:paraId="21CD0DD7">
                  <w:pPr>
                    <w:jc w:val="center"/>
                    <w:rPr>
                      <w:rFonts w:hint="default" w:ascii="Times New Roman" w:hAnsi="Times New Roman" w:eastAsia="宋体" w:cs="Times New Roman"/>
                      <w:color w:val="auto"/>
                      <w:kern w:val="0"/>
                      <w:sz w:val="21"/>
                      <w:szCs w:val="18"/>
                      <w:lang w:val="en-US" w:eastAsia="zh-CN" w:bidi="ar-SA"/>
                    </w:rPr>
                  </w:pPr>
                  <w:r>
                    <w:rPr>
                      <w:rFonts w:hint="eastAsia"/>
                      <w:color w:val="auto"/>
                      <w:kern w:val="0"/>
                      <w:szCs w:val="18"/>
                      <w:lang w:val="en-US" w:eastAsia="zh-CN"/>
                    </w:rPr>
                    <w:t>辆</w:t>
                  </w:r>
                </w:p>
              </w:tc>
              <w:tc>
                <w:tcPr>
                  <w:tcW w:w="1044" w:type="pct"/>
                  <w:vAlign w:val="center"/>
                </w:tcPr>
                <w:p w14:paraId="233A9F98">
                  <w:pPr>
                    <w:jc w:val="center"/>
                    <w:rPr>
                      <w:rFonts w:hint="eastAsia" w:ascii="Times New Roman" w:hAnsi="Times New Roman" w:eastAsia="宋体" w:cs="Times New Roman"/>
                      <w:color w:val="auto"/>
                      <w:kern w:val="0"/>
                      <w:sz w:val="21"/>
                      <w:szCs w:val="18"/>
                      <w:lang w:val="en-US" w:eastAsia="zh-CN" w:bidi="ar-SA"/>
                    </w:rPr>
                  </w:pPr>
                  <w:r>
                    <w:rPr>
                      <w:rFonts w:hint="eastAsia"/>
                      <w:color w:val="auto"/>
                      <w:kern w:val="0"/>
                      <w:szCs w:val="18"/>
                      <w:lang w:val="en-US" w:eastAsia="zh-CN"/>
                    </w:rPr>
                    <w:t>1</w:t>
                  </w:r>
                </w:p>
              </w:tc>
            </w:tr>
          </w:tbl>
          <w:p w14:paraId="4E3C22C6">
            <w:pPr>
              <w:spacing w:line="360" w:lineRule="auto"/>
              <w:ind w:firstLine="482" w:firstLineChars="200"/>
              <w:rPr>
                <w:b/>
                <w:color w:val="auto"/>
                <w:sz w:val="24"/>
              </w:rPr>
            </w:pPr>
            <w:r>
              <w:rPr>
                <w:rFonts w:hint="eastAsia"/>
                <w:b/>
                <w:color w:val="auto"/>
                <w:sz w:val="24"/>
              </w:rPr>
              <w:t>7</w:t>
            </w:r>
            <w:r>
              <w:rPr>
                <w:b/>
                <w:color w:val="auto"/>
                <w:sz w:val="24"/>
              </w:rPr>
              <w:t>、公用工程</w:t>
            </w:r>
          </w:p>
          <w:p w14:paraId="06B0C6A5">
            <w:pPr>
              <w:spacing w:line="360" w:lineRule="auto"/>
              <w:ind w:firstLine="480" w:firstLineChars="200"/>
              <w:jc w:val="left"/>
              <w:rPr>
                <w:color w:val="auto"/>
                <w:sz w:val="24"/>
              </w:rPr>
            </w:pPr>
            <w:r>
              <w:rPr>
                <w:color w:val="auto"/>
                <w:sz w:val="24"/>
              </w:rPr>
              <w:t>（1）给水</w:t>
            </w:r>
          </w:p>
          <w:p w14:paraId="4986C5FD">
            <w:pPr>
              <w:spacing w:line="360" w:lineRule="auto"/>
              <w:ind w:firstLine="480" w:firstLineChars="200"/>
              <w:rPr>
                <w:color w:val="auto"/>
                <w:sz w:val="24"/>
              </w:rPr>
            </w:pPr>
            <w:r>
              <w:rPr>
                <w:rFonts w:hint="eastAsia"/>
                <w:color w:val="auto"/>
                <w:sz w:val="24"/>
              </w:rPr>
              <w:t>a.生活用水</w:t>
            </w:r>
          </w:p>
          <w:p w14:paraId="0BAA6AD9">
            <w:pPr>
              <w:spacing w:line="360" w:lineRule="auto"/>
              <w:ind w:firstLine="480" w:firstLineChars="200"/>
              <w:rPr>
                <w:color w:val="auto"/>
                <w:kern w:val="0"/>
                <w:sz w:val="24"/>
                <w:lang w:val="zh-CN"/>
              </w:rPr>
            </w:pPr>
            <w:r>
              <w:rPr>
                <w:color w:val="auto"/>
                <w:sz w:val="24"/>
              </w:rPr>
              <w:t>本项目建设完成后职工生活用水</w:t>
            </w:r>
            <w:r>
              <w:rPr>
                <w:rFonts w:hint="eastAsia"/>
                <w:color w:val="auto"/>
                <w:sz w:val="24"/>
                <w:lang w:val="en-US" w:eastAsia="zh-CN"/>
              </w:rPr>
              <w:t>购买桶装水使用</w:t>
            </w:r>
            <w:r>
              <w:rPr>
                <w:color w:val="auto"/>
                <w:sz w:val="24"/>
              </w:rPr>
              <w:t>。</w:t>
            </w:r>
            <w:r>
              <w:rPr>
                <w:bCs/>
                <w:color w:val="auto"/>
                <w:sz w:val="24"/>
                <w:szCs w:val="21"/>
              </w:rPr>
              <w:t>厂区劳动定员共计</w:t>
            </w:r>
            <w:r>
              <w:rPr>
                <w:rFonts w:hint="eastAsia"/>
                <w:bCs/>
                <w:color w:val="auto"/>
                <w:sz w:val="24"/>
                <w:szCs w:val="21"/>
                <w:lang w:val="en-US" w:eastAsia="zh-CN"/>
              </w:rPr>
              <w:t>7</w:t>
            </w:r>
            <w:r>
              <w:rPr>
                <w:bCs/>
                <w:color w:val="auto"/>
                <w:sz w:val="24"/>
                <w:szCs w:val="21"/>
              </w:rPr>
              <w:t>人，年工作</w:t>
            </w:r>
            <w:r>
              <w:rPr>
                <w:rFonts w:hint="eastAsia"/>
                <w:bCs/>
                <w:color w:val="auto"/>
                <w:sz w:val="24"/>
                <w:szCs w:val="21"/>
                <w:lang w:val="en-US" w:eastAsia="zh-CN"/>
              </w:rPr>
              <w:t>210</w:t>
            </w:r>
            <w:r>
              <w:rPr>
                <w:bCs/>
                <w:color w:val="auto"/>
                <w:sz w:val="24"/>
                <w:szCs w:val="21"/>
              </w:rPr>
              <w:t>天，</w:t>
            </w:r>
            <w:r>
              <w:rPr>
                <w:color w:val="auto"/>
                <w:sz w:val="24"/>
              </w:rPr>
              <w:t>根据黑龙江省地方标准《用水定额》（</w:t>
            </w:r>
            <w:r>
              <w:rPr>
                <w:rFonts w:hint="eastAsia"/>
                <w:color w:val="auto"/>
                <w:sz w:val="24"/>
              </w:rPr>
              <w:t>DB23/T727-2025</w:t>
            </w:r>
            <w:r>
              <w:rPr>
                <w:color w:val="auto"/>
                <w:sz w:val="24"/>
              </w:rPr>
              <w:t>），生活用水按每人80L/</w:t>
            </w:r>
            <w:r>
              <w:rPr>
                <w:rFonts w:hint="eastAsia"/>
                <w:color w:val="auto"/>
                <w:sz w:val="24"/>
              </w:rPr>
              <w:t>人·</w:t>
            </w:r>
            <w:r>
              <w:rPr>
                <w:color w:val="auto"/>
                <w:sz w:val="24"/>
              </w:rPr>
              <w:t>d计，</w:t>
            </w:r>
            <w:r>
              <w:rPr>
                <w:color w:val="auto"/>
                <w:kern w:val="0"/>
                <w:sz w:val="24"/>
                <w:lang w:val="zh-CN"/>
              </w:rPr>
              <w:t>厂区生活用水总量为</w:t>
            </w:r>
            <w:r>
              <w:rPr>
                <w:rFonts w:hint="eastAsia"/>
                <w:color w:val="auto"/>
                <w:kern w:val="0"/>
                <w:sz w:val="24"/>
                <w:lang w:val="en-US" w:eastAsia="zh-CN"/>
              </w:rPr>
              <w:t>0.56t</w:t>
            </w:r>
            <w:r>
              <w:rPr>
                <w:color w:val="auto"/>
                <w:kern w:val="0"/>
                <w:sz w:val="24"/>
              </w:rPr>
              <w:t>/d、</w:t>
            </w:r>
            <w:r>
              <w:rPr>
                <w:rFonts w:hint="eastAsia"/>
                <w:color w:val="auto"/>
                <w:kern w:val="0"/>
                <w:sz w:val="24"/>
                <w:lang w:val="en-US" w:eastAsia="zh-CN"/>
              </w:rPr>
              <w:t>117.6t</w:t>
            </w:r>
            <w:r>
              <w:rPr>
                <w:color w:val="auto"/>
                <w:kern w:val="0"/>
                <w:sz w:val="24"/>
              </w:rPr>
              <w:t>/a</w:t>
            </w:r>
            <w:r>
              <w:rPr>
                <w:color w:val="auto"/>
                <w:kern w:val="0"/>
                <w:sz w:val="24"/>
                <w:lang w:val="zh-CN"/>
              </w:rPr>
              <w:t>。</w:t>
            </w:r>
          </w:p>
          <w:p w14:paraId="5C66439A">
            <w:pPr>
              <w:keepNext w:val="0"/>
              <w:keepLines w:val="0"/>
              <w:suppressLineNumbers w:val="0"/>
              <w:adjustRightInd w:val="0"/>
              <w:snapToGrid w:val="0"/>
              <w:spacing w:before="0" w:beforeAutospacing="0" w:after="0" w:afterAutospacing="0" w:line="360" w:lineRule="auto"/>
              <w:ind w:left="0" w:right="0" w:firstLine="480" w:firstLineChars="200"/>
              <w:rPr>
                <w:rFonts w:hint="default"/>
                <w:color w:val="auto"/>
                <w:sz w:val="24"/>
                <w:szCs w:val="24"/>
              </w:rPr>
            </w:pPr>
            <w:r>
              <w:rPr>
                <w:rFonts w:hint="eastAsia"/>
                <w:color w:val="auto"/>
                <w:sz w:val="24"/>
                <w:szCs w:val="24"/>
                <w:lang w:val="en-US" w:eastAsia="zh-CN"/>
              </w:rPr>
              <w:t>b</w:t>
            </w:r>
            <w:r>
              <w:rPr>
                <w:rFonts w:hint="default"/>
                <w:color w:val="auto"/>
                <w:sz w:val="24"/>
                <w:szCs w:val="24"/>
              </w:rPr>
              <w:t>.</w:t>
            </w:r>
            <w:r>
              <w:rPr>
                <w:rFonts w:hint="eastAsia"/>
                <w:color w:val="auto"/>
                <w:sz w:val="24"/>
                <w:szCs w:val="24"/>
                <w:lang w:val="en-US" w:eastAsia="zh-CN"/>
              </w:rPr>
              <w:t>车辆</w:t>
            </w:r>
            <w:r>
              <w:rPr>
                <w:rFonts w:hint="default"/>
                <w:color w:val="auto"/>
                <w:sz w:val="24"/>
                <w:szCs w:val="24"/>
              </w:rPr>
              <w:t>冲洗用水</w:t>
            </w:r>
          </w:p>
          <w:p w14:paraId="17EED5E9">
            <w:pPr>
              <w:keepNext w:val="0"/>
              <w:keepLines w:val="0"/>
              <w:suppressLineNumbers w:val="0"/>
              <w:spacing w:before="0" w:beforeAutospacing="0" w:after="0" w:afterAutospacing="0" w:line="360" w:lineRule="auto"/>
              <w:ind w:left="0" w:right="0" w:firstLine="480" w:firstLineChars="200"/>
              <w:rPr>
                <w:rFonts w:hint="default" w:hAnsi="宋体"/>
                <w:color w:val="auto"/>
                <w:sz w:val="24"/>
                <w:szCs w:val="24"/>
                <w:highlight w:val="none"/>
              </w:rPr>
            </w:pPr>
            <w:r>
              <w:rPr>
                <w:rFonts w:hint="eastAsia" w:hAnsi="宋体"/>
                <w:color w:val="auto"/>
                <w:sz w:val="24"/>
                <w:szCs w:val="24"/>
                <w:lang w:val="en-US" w:eastAsia="zh-CN"/>
              </w:rPr>
              <w:t>本项目车辆冲洗用水优先使用收集雨水，收集雨水不足时购买黑龙江龙煤鸡西矿业有限责任公司自来水使用。</w:t>
            </w:r>
            <w:r>
              <w:rPr>
                <w:rFonts w:hint="default" w:hAnsi="宋体"/>
                <w:color w:val="auto"/>
                <w:sz w:val="24"/>
                <w:szCs w:val="24"/>
              </w:rPr>
              <w:t>项目洗车区域</w:t>
            </w:r>
            <w:r>
              <w:rPr>
                <w:rFonts w:hint="default" w:hAnsi="宋体"/>
                <w:color w:val="auto"/>
                <w:sz w:val="24"/>
                <w:szCs w:val="24"/>
                <w:shd w:val="clear"/>
              </w:rPr>
              <w:t>约</w:t>
            </w:r>
            <w:r>
              <w:rPr>
                <w:rFonts w:hint="default" w:hAnsi="宋体"/>
                <w:color w:val="auto"/>
                <w:sz w:val="24"/>
                <w:szCs w:val="24"/>
                <w:highlight w:val="none"/>
                <w:shd w:val="clear"/>
              </w:rPr>
              <w:t>为50m</w:t>
            </w:r>
            <w:r>
              <w:rPr>
                <w:rFonts w:hint="default" w:hAnsi="宋体"/>
                <w:color w:val="auto"/>
                <w:sz w:val="24"/>
                <w:szCs w:val="24"/>
                <w:highlight w:val="none"/>
                <w:shd w:val="clear"/>
                <w:vertAlign w:val="superscript"/>
              </w:rPr>
              <w:t>2</w:t>
            </w:r>
            <w:r>
              <w:rPr>
                <w:rFonts w:hint="default" w:hAnsi="宋体"/>
                <w:color w:val="auto"/>
                <w:sz w:val="24"/>
                <w:szCs w:val="24"/>
                <w:highlight w:val="none"/>
                <w:shd w:val="clear"/>
              </w:rPr>
              <w:t>，</w:t>
            </w:r>
            <w:r>
              <w:rPr>
                <w:rFonts w:hint="default" w:hAnsi="宋体"/>
                <w:color w:val="auto"/>
                <w:sz w:val="24"/>
                <w:szCs w:val="24"/>
                <w:shd w:val="clear"/>
              </w:rPr>
              <w:t>紧</w:t>
            </w:r>
            <w:r>
              <w:rPr>
                <w:rFonts w:hint="default" w:hAnsi="宋体"/>
                <w:color w:val="auto"/>
                <w:sz w:val="24"/>
                <w:szCs w:val="24"/>
              </w:rPr>
              <w:t>邻沉淀池，</w:t>
            </w:r>
            <w:r>
              <w:rPr>
                <w:rFonts w:hint="eastAsia" w:hAnsi="宋体"/>
                <w:color w:val="auto"/>
                <w:sz w:val="24"/>
                <w:szCs w:val="24"/>
                <w:lang w:val="en-US" w:eastAsia="zh-CN"/>
              </w:rPr>
              <w:t>煤炭</w:t>
            </w:r>
            <w:r>
              <w:rPr>
                <w:rFonts w:hint="default" w:hAnsi="宋体"/>
                <w:color w:val="auto"/>
                <w:sz w:val="24"/>
                <w:szCs w:val="24"/>
              </w:rPr>
              <w:t>每天的运输量为</w:t>
            </w:r>
            <w:r>
              <w:rPr>
                <w:rFonts w:hint="eastAsia" w:hAnsi="宋体"/>
                <w:color w:val="auto"/>
                <w:sz w:val="24"/>
                <w:szCs w:val="24"/>
                <w:lang w:val="en-US" w:eastAsia="zh-CN"/>
              </w:rPr>
              <w:t>238.1t</w:t>
            </w:r>
            <w:r>
              <w:rPr>
                <w:rFonts w:hint="default" w:hAnsi="宋体"/>
                <w:color w:val="auto"/>
                <w:sz w:val="24"/>
                <w:szCs w:val="24"/>
              </w:rPr>
              <w:t>，单车每次运输量</w:t>
            </w:r>
            <w:r>
              <w:rPr>
                <w:rFonts w:hint="eastAsia" w:hAnsi="宋体"/>
                <w:color w:val="auto"/>
                <w:sz w:val="24"/>
                <w:szCs w:val="24"/>
                <w:lang w:val="en-US" w:eastAsia="zh-CN"/>
              </w:rPr>
              <w:t>15t</w:t>
            </w:r>
            <w:r>
              <w:rPr>
                <w:rFonts w:hint="default" w:hAnsi="宋体"/>
                <w:color w:val="auto"/>
                <w:sz w:val="24"/>
                <w:szCs w:val="24"/>
              </w:rPr>
              <w:t>按</w:t>
            </w:r>
            <w:r>
              <w:rPr>
                <w:rFonts w:hint="default"/>
                <w:color w:val="auto"/>
                <w:sz w:val="24"/>
                <w:szCs w:val="24"/>
              </w:rPr>
              <w:t>计算</w:t>
            </w:r>
            <w:r>
              <w:rPr>
                <w:rFonts w:hint="default" w:hAnsi="宋体"/>
                <w:color w:val="auto"/>
                <w:sz w:val="24"/>
                <w:szCs w:val="24"/>
              </w:rPr>
              <w:t>，项目配</w:t>
            </w:r>
            <w:r>
              <w:rPr>
                <w:rFonts w:hint="default" w:ascii="Times New Roman" w:hAnsi="宋体" w:cs="Times New Roman"/>
                <w:color w:val="auto"/>
                <w:sz w:val="24"/>
                <w:szCs w:val="24"/>
              </w:rPr>
              <w:t>备</w:t>
            </w:r>
            <w:r>
              <w:rPr>
                <w:rFonts w:hint="eastAsia" w:hAnsi="宋体" w:cs="Times New Roman"/>
                <w:color w:val="auto"/>
                <w:sz w:val="24"/>
                <w:szCs w:val="24"/>
                <w:lang w:val="en-US" w:eastAsia="zh-CN"/>
              </w:rPr>
              <w:t>2</w:t>
            </w:r>
            <w:r>
              <w:rPr>
                <w:rFonts w:hint="default" w:hAnsi="宋体"/>
                <w:color w:val="auto"/>
                <w:sz w:val="24"/>
                <w:szCs w:val="24"/>
              </w:rPr>
              <w:t>辆运输车，每辆车每天运</w:t>
            </w:r>
            <w:r>
              <w:rPr>
                <w:rFonts w:hint="default" w:ascii="Times New Roman" w:hAnsi="宋体" w:cs="Times New Roman"/>
                <w:color w:val="auto"/>
                <w:sz w:val="24"/>
                <w:szCs w:val="24"/>
              </w:rPr>
              <w:t>输</w:t>
            </w:r>
            <w:r>
              <w:rPr>
                <w:rFonts w:hint="eastAsia" w:hAnsi="宋体" w:cs="Times New Roman"/>
                <w:color w:val="auto"/>
                <w:sz w:val="24"/>
                <w:szCs w:val="24"/>
                <w:lang w:val="en-US" w:eastAsia="zh-CN"/>
              </w:rPr>
              <w:t>8</w:t>
            </w:r>
            <w:r>
              <w:rPr>
                <w:rFonts w:hint="default" w:ascii="Times New Roman" w:hAnsi="宋体" w:cs="Times New Roman"/>
                <w:color w:val="auto"/>
                <w:sz w:val="24"/>
                <w:szCs w:val="24"/>
              </w:rPr>
              <w:t>车次，</w:t>
            </w:r>
            <w:r>
              <w:rPr>
                <w:rFonts w:hint="eastAsia" w:hAnsi="宋体" w:cs="Times New Roman"/>
                <w:color w:val="auto"/>
                <w:sz w:val="24"/>
                <w:szCs w:val="24"/>
                <w:lang w:val="en-US" w:eastAsia="zh-CN"/>
              </w:rPr>
              <w:t>原料用量为</w:t>
            </w:r>
            <w:r>
              <w:rPr>
                <w:rFonts w:hint="eastAsia" w:cs="Times New Roman"/>
                <w:color w:val="auto"/>
                <w:kern w:val="0"/>
                <w:sz w:val="24"/>
                <w:szCs w:val="20"/>
                <w:lang w:val="en-US" w:eastAsia="zh-CN" w:bidi="ar-SA"/>
              </w:rPr>
              <w:t>50009.059t/a</w:t>
            </w:r>
            <w:r>
              <w:rPr>
                <w:rFonts w:hint="eastAsia" w:hAnsi="宋体" w:cs="Times New Roman"/>
                <w:color w:val="auto"/>
                <w:sz w:val="24"/>
                <w:szCs w:val="24"/>
                <w:lang w:val="en-US" w:eastAsia="zh-CN"/>
              </w:rPr>
              <w:t>，每天的运输量为238.123t/d，单车运输量以30t计，则每天运输车次为8车次，项目年运输210天，</w:t>
            </w:r>
            <w:r>
              <w:rPr>
                <w:rFonts w:hint="default" w:hAnsi="宋体"/>
                <w:color w:val="auto"/>
                <w:sz w:val="24"/>
                <w:szCs w:val="24"/>
              </w:rPr>
              <w:t>运输完一次需要进行表层冲洗（含车轮冲洗），</w:t>
            </w:r>
            <w:r>
              <w:rPr>
                <w:rFonts w:hint="eastAsia" w:hAnsi="宋体"/>
                <w:color w:val="auto"/>
                <w:sz w:val="24"/>
                <w:szCs w:val="24"/>
                <w:lang w:val="en-US" w:eastAsia="zh-CN"/>
              </w:rPr>
              <w:t>本项目采用高压水枪对运输车进行冲洗，高压水枪流量为30L/min，每辆车冲洗约20min，</w:t>
            </w:r>
            <w:r>
              <w:rPr>
                <w:rFonts w:hint="default" w:hAnsi="宋体"/>
                <w:color w:val="auto"/>
                <w:sz w:val="24"/>
                <w:szCs w:val="24"/>
              </w:rPr>
              <w:t>则日用水量</w:t>
            </w:r>
            <w:r>
              <w:rPr>
                <w:rFonts w:hint="default" w:hAnsi="宋体"/>
                <w:color w:val="auto"/>
                <w:sz w:val="24"/>
                <w:szCs w:val="24"/>
                <w:highlight w:val="none"/>
              </w:rPr>
              <w:t>为</w:t>
            </w:r>
            <w:r>
              <w:rPr>
                <w:rFonts w:hint="eastAsia"/>
                <w:color w:val="auto"/>
                <w:sz w:val="24"/>
                <w:szCs w:val="24"/>
                <w:highlight w:val="none"/>
                <w:lang w:val="en-US" w:eastAsia="zh-CN"/>
              </w:rPr>
              <w:t>9.6t</w:t>
            </w:r>
            <w:r>
              <w:rPr>
                <w:rFonts w:hint="default"/>
                <w:color w:val="auto"/>
                <w:sz w:val="24"/>
                <w:szCs w:val="24"/>
                <w:highlight w:val="none"/>
              </w:rPr>
              <w:t>/d</w:t>
            </w:r>
            <w:r>
              <w:rPr>
                <w:rFonts w:hint="default" w:hAnsi="宋体"/>
                <w:color w:val="auto"/>
                <w:sz w:val="24"/>
                <w:szCs w:val="24"/>
                <w:highlight w:val="none"/>
              </w:rPr>
              <w:t>，年用水量</w:t>
            </w:r>
            <w:r>
              <w:rPr>
                <w:rFonts w:hint="eastAsia"/>
                <w:color w:val="auto"/>
                <w:sz w:val="24"/>
                <w:szCs w:val="24"/>
                <w:highlight w:val="none"/>
                <w:lang w:val="en-US" w:eastAsia="zh-CN"/>
              </w:rPr>
              <w:t>2016t</w:t>
            </w:r>
            <w:r>
              <w:rPr>
                <w:rFonts w:hint="default"/>
                <w:color w:val="auto"/>
                <w:sz w:val="24"/>
                <w:szCs w:val="24"/>
                <w:highlight w:val="none"/>
              </w:rPr>
              <w:t>/a</w:t>
            </w:r>
            <w:r>
              <w:rPr>
                <w:rFonts w:hint="default" w:hAnsi="宋体"/>
                <w:color w:val="auto"/>
                <w:sz w:val="24"/>
                <w:szCs w:val="24"/>
                <w:highlight w:val="none"/>
              </w:rPr>
              <w:t>。</w:t>
            </w:r>
          </w:p>
          <w:p w14:paraId="0185A256">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ahoma"/>
                <w:color w:val="auto"/>
                <w:highlight w:val="none"/>
              </w:rPr>
            </w:pPr>
            <w:r>
              <w:rPr>
                <w:rFonts w:hint="eastAsia"/>
                <w:color w:val="auto"/>
                <w:sz w:val="24"/>
                <w:szCs w:val="24"/>
                <w:highlight w:val="none"/>
                <w:lang w:val="en-US" w:eastAsia="zh-CN"/>
              </w:rPr>
              <w:t>c</w:t>
            </w:r>
            <w:r>
              <w:rPr>
                <w:rFonts w:hint="default"/>
                <w:color w:val="auto"/>
                <w:sz w:val="24"/>
                <w:szCs w:val="24"/>
                <w:highlight w:val="none"/>
              </w:rPr>
              <w:t>.降尘用水</w:t>
            </w:r>
          </w:p>
          <w:p w14:paraId="7C45336E">
            <w:pPr>
              <w:pStyle w:val="14"/>
              <w:keepNext w:val="0"/>
              <w:keepLines w:val="0"/>
              <w:suppressLineNumbers w:val="0"/>
              <w:spacing w:before="0" w:beforeAutospacing="0" w:after="0" w:afterAutospacing="0" w:line="360" w:lineRule="auto"/>
              <w:ind w:left="0" w:right="0"/>
              <w:rPr>
                <w:rFonts w:hint="default" w:eastAsia="宋体"/>
                <w:color w:val="auto"/>
                <w:sz w:val="24"/>
                <w:lang w:val="en-US" w:eastAsia="zh-CN"/>
              </w:rPr>
            </w:pPr>
            <w:r>
              <w:rPr>
                <w:rFonts w:hint="eastAsia" w:hAnsi="宋体"/>
                <w:color w:val="auto"/>
                <w:sz w:val="24"/>
                <w:szCs w:val="24"/>
                <w:lang w:val="en-US" w:eastAsia="zh-CN"/>
              </w:rPr>
              <w:t>本项目降尘用水优先使用收集雨水，收集雨水不足时购买黑龙江龙煤鸡西矿业有限责任公司自来水使用。</w:t>
            </w:r>
            <w:r>
              <w:rPr>
                <w:rFonts w:hint="default"/>
                <w:color w:val="auto"/>
                <w:sz w:val="24"/>
              </w:rPr>
              <w:t>项目场内道路不清洗，运输道路区域</w:t>
            </w:r>
            <w:r>
              <w:rPr>
                <w:rFonts w:hint="eastAsia"/>
                <w:color w:val="auto"/>
                <w:sz w:val="24"/>
                <w:lang w:val="en-US" w:eastAsia="zh-CN"/>
              </w:rPr>
              <w:t>采用炮雾机进行降尘</w:t>
            </w:r>
            <w:r>
              <w:rPr>
                <w:rFonts w:hint="default"/>
                <w:color w:val="auto"/>
                <w:sz w:val="24"/>
              </w:rPr>
              <w:t>，</w:t>
            </w:r>
            <w:r>
              <w:rPr>
                <w:rFonts w:hint="eastAsia"/>
                <w:color w:val="auto"/>
                <w:sz w:val="24"/>
                <w:lang w:val="en-US" w:eastAsia="zh-CN"/>
              </w:rPr>
              <w:t>炮雾机流量为4.5t/h，每天工作6h，年工作210天，</w:t>
            </w:r>
            <w:r>
              <w:rPr>
                <w:rFonts w:hint="eastAsia"/>
                <w:color w:val="auto"/>
                <w:sz w:val="24"/>
                <w:lang w:eastAsia="zh-CN"/>
              </w:rPr>
              <w:t>则</w:t>
            </w:r>
            <w:r>
              <w:rPr>
                <w:rFonts w:hint="eastAsia"/>
                <w:color w:val="auto"/>
                <w:sz w:val="24"/>
                <w:lang w:val="en-US" w:eastAsia="zh-CN"/>
              </w:rPr>
              <w:t>降尘用水</w:t>
            </w:r>
            <w:r>
              <w:rPr>
                <w:rFonts w:hint="default"/>
                <w:color w:val="auto"/>
                <w:sz w:val="24"/>
              </w:rPr>
              <w:t>量约为</w:t>
            </w:r>
            <w:r>
              <w:rPr>
                <w:rFonts w:hint="eastAsia"/>
                <w:color w:val="auto"/>
                <w:sz w:val="24"/>
                <w:lang w:val="en-US" w:eastAsia="zh-CN"/>
              </w:rPr>
              <w:t>27t</w:t>
            </w:r>
            <w:r>
              <w:rPr>
                <w:rFonts w:hint="default"/>
                <w:color w:val="auto"/>
                <w:sz w:val="24"/>
              </w:rPr>
              <w:t>/d，</w:t>
            </w:r>
            <w:r>
              <w:rPr>
                <w:rFonts w:hint="eastAsia"/>
                <w:color w:val="auto"/>
                <w:sz w:val="24"/>
                <w:lang w:val="en-US" w:eastAsia="zh-CN"/>
              </w:rPr>
              <w:t>5670t</w:t>
            </w:r>
            <w:r>
              <w:rPr>
                <w:rFonts w:hint="default"/>
                <w:color w:val="auto"/>
                <w:sz w:val="24"/>
              </w:rPr>
              <w:t>/a。</w:t>
            </w:r>
            <w:r>
              <w:rPr>
                <w:rFonts w:hint="eastAsia"/>
                <w:color w:val="auto"/>
                <w:sz w:val="24"/>
                <w:lang w:val="en-US" w:eastAsia="zh-CN"/>
              </w:rPr>
              <w:t>厂区道路降尘用水全部自然蒸发，不外排。</w:t>
            </w:r>
          </w:p>
          <w:p w14:paraId="54D762A1">
            <w:pPr>
              <w:spacing w:line="360" w:lineRule="auto"/>
              <w:ind w:firstLine="480" w:firstLineChars="200"/>
              <w:jc w:val="left"/>
              <w:rPr>
                <w:bCs/>
                <w:color w:val="auto"/>
                <w:sz w:val="24"/>
                <w:szCs w:val="21"/>
              </w:rPr>
            </w:pPr>
            <w:r>
              <w:rPr>
                <w:rFonts w:hint="eastAsia"/>
                <w:bCs/>
                <w:color w:val="auto"/>
                <w:sz w:val="24"/>
                <w:szCs w:val="21"/>
              </w:rPr>
              <w:t>本项目总用水量</w:t>
            </w:r>
            <w:r>
              <w:rPr>
                <w:rFonts w:hint="eastAsia"/>
                <w:bCs/>
                <w:color w:val="auto"/>
                <w:sz w:val="24"/>
                <w:szCs w:val="21"/>
                <w:lang w:val="en-US" w:eastAsia="zh-CN"/>
              </w:rPr>
              <w:t>为7803.6t</w:t>
            </w:r>
            <w:r>
              <w:rPr>
                <w:rFonts w:hint="eastAsia"/>
                <w:bCs/>
                <w:color w:val="auto"/>
                <w:sz w:val="24"/>
                <w:szCs w:val="21"/>
              </w:rPr>
              <w:t>/a</w:t>
            </w:r>
            <w:r>
              <w:rPr>
                <w:rFonts w:hint="eastAsia"/>
                <w:bCs/>
                <w:color w:val="auto"/>
                <w:sz w:val="24"/>
                <w:szCs w:val="21"/>
                <w:lang w:eastAsia="zh-CN"/>
              </w:rPr>
              <w:t>，</w:t>
            </w:r>
            <w:r>
              <w:rPr>
                <w:rFonts w:hint="eastAsia"/>
                <w:bCs/>
                <w:color w:val="auto"/>
                <w:sz w:val="24"/>
                <w:szCs w:val="21"/>
                <w:lang w:val="en-US" w:eastAsia="zh-CN"/>
              </w:rPr>
              <w:t>37.16t/d</w:t>
            </w:r>
            <w:r>
              <w:rPr>
                <w:rFonts w:hint="eastAsia"/>
                <w:bCs/>
                <w:color w:val="auto"/>
                <w:sz w:val="24"/>
                <w:szCs w:val="21"/>
              </w:rPr>
              <w:t>。</w:t>
            </w:r>
          </w:p>
          <w:p w14:paraId="0530AE9B">
            <w:pPr>
              <w:spacing w:line="360" w:lineRule="auto"/>
              <w:ind w:firstLine="480" w:firstLineChars="200"/>
              <w:jc w:val="left"/>
              <w:rPr>
                <w:color w:val="auto"/>
                <w:sz w:val="24"/>
              </w:rPr>
            </w:pPr>
            <w:r>
              <w:rPr>
                <w:color w:val="auto"/>
                <w:sz w:val="24"/>
              </w:rPr>
              <w:t>（2）排水</w:t>
            </w:r>
          </w:p>
          <w:p w14:paraId="5999D780">
            <w:pPr>
              <w:spacing w:line="360" w:lineRule="auto"/>
              <w:ind w:firstLine="480" w:firstLineChars="200"/>
              <w:jc w:val="left"/>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a.</w:t>
            </w:r>
            <w:r>
              <w:rPr>
                <w:rFonts w:hint="default" w:ascii="Times New Roman" w:hAnsi="Times New Roman" w:eastAsia="宋体" w:cs="Times New Roman"/>
                <w:color w:val="auto"/>
                <w:sz w:val="24"/>
              </w:rPr>
              <w:t>生活污水</w:t>
            </w:r>
          </w:p>
          <w:p w14:paraId="26848720">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员工生活污水的排水量按产生量的80%计，则生活污水排放量为</w:t>
            </w:r>
            <w:r>
              <w:rPr>
                <w:rFonts w:hint="eastAsia"/>
                <w:color w:val="auto"/>
                <w:kern w:val="0"/>
                <w:sz w:val="24"/>
                <w:lang w:val="en-US" w:eastAsia="zh-CN"/>
              </w:rPr>
              <w:t>0.448t</w:t>
            </w:r>
            <w:r>
              <w:rPr>
                <w:color w:val="auto"/>
                <w:kern w:val="0"/>
                <w:sz w:val="24"/>
              </w:rPr>
              <w:t>/d、</w:t>
            </w:r>
            <w:r>
              <w:rPr>
                <w:rFonts w:hint="eastAsia"/>
                <w:color w:val="auto"/>
                <w:kern w:val="0"/>
                <w:sz w:val="24"/>
                <w:lang w:val="en-US" w:eastAsia="zh-CN"/>
              </w:rPr>
              <w:t>94.08t</w:t>
            </w:r>
            <w:r>
              <w:rPr>
                <w:color w:val="auto"/>
                <w:kern w:val="0"/>
                <w:sz w:val="24"/>
              </w:rPr>
              <w:t>/a</w:t>
            </w:r>
            <w:r>
              <w:rPr>
                <w:rFonts w:hint="default" w:ascii="Times New Roman" w:hAnsi="Times New Roman" w:eastAsia="宋体" w:cs="Times New Roman"/>
                <w:color w:val="auto"/>
                <w:sz w:val="24"/>
              </w:rPr>
              <w:t>，排入防渗</w:t>
            </w:r>
            <w:r>
              <w:rPr>
                <w:rFonts w:hint="eastAsia" w:ascii="Times New Roman" w:hAnsi="Times New Roman" w:eastAsia="宋体" w:cs="Times New Roman"/>
                <w:color w:val="auto"/>
                <w:sz w:val="24"/>
                <w:lang w:eastAsia="zh-CN"/>
              </w:rPr>
              <w:t>旱厕</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eastAsia="zh-CN"/>
              </w:rPr>
              <w:t>定期清掏堆肥处理，不外排</w:t>
            </w:r>
            <w:r>
              <w:rPr>
                <w:rFonts w:hint="default" w:ascii="Times New Roman" w:hAnsi="Times New Roman" w:eastAsia="宋体" w:cs="Times New Roman"/>
                <w:color w:val="auto"/>
                <w:sz w:val="24"/>
              </w:rPr>
              <w:t>。</w:t>
            </w:r>
          </w:p>
          <w:p w14:paraId="56E4493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b</w:t>
            </w:r>
            <w:r>
              <w:rPr>
                <w:rFonts w:hint="default" w:ascii="Times New Roman" w:hAnsi="Times New Roman" w:eastAsia="宋体" w:cs="Times New Roman"/>
                <w:color w:val="auto"/>
                <w:sz w:val="24"/>
              </w:rPr>
              <w:t>.运输车冲洗</w:t>
            </w:r>
            <w:r>
              <w:rPr>
                <w:rFonts w:hint="eastAsia" w:ascii="Times New Roman" w:hAnsi="Times New Roman" w:eastAsia="宋体" w:cs="Times New Roman"/>
                <w:color w:val="auto"/>
                <w:sz w:val="24"/>
                <w:lang w:val="en-US" w:eastAsia="zh-CN"/>
              </w:rPr>
              <w:t>废</w:t>
            </w:r>
            <w:r>
              <w:rPr>
                <w:rFonts w:hint="default" w:ascii="Times New Roman" w:hAnsi="Times New Roman" w:eastAsia="宋体" w:cs="Times New Roman"/>
                <w:color w:val="auto"/>
                <w:sz w:val="24"/>
              </w:rPr>
              <w:t>水</w:t>
            </w:r>
          </w:p>
          <w:p w14:paraId="0A510ADE">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eastAsia="宋体"/>
                <w:color w:val="auto"/>
                <w:sz w:val="24"/>
                <w:lang w:eastAsia="zh-CN"/>
              </w:rPr>
            </w:pPr>
            <w:r>
              <w:rPr>
                <w:rFonts w:hint="default" w:ascii="Times New Roman" w:hAnsi="Times New Roman" w:eastAsia="宋体" w:cs="Times New Roman"/>
                <w:color w:val="auto"/>
                <w:sz w:val="24"/>
              </w:rPr>
              <w:t>运输车辆冲洗废水产生量按用水量的</w:t>
            </w:r>
            <w:r>
              <w:rPr>
                <w:rFonts w:hint="eastAsia" w:cs="Times New Roman"/>
                <w:color w:val="auto"/>
                <w:sz w:val="24"/>
                <w:lang w:val="en-US" w:eastAsia="zh-CN"/>
              </w:rPr>
              <w:t>7</w:t>
            </w:r>
            <w:r>
              <w:rPr>
                <w:rFonts w:hint="default" w:ascii="Times New Roman" w:hAnsi="Times New Roman" w:eastAsia="宋体" w:cs="Times New Roman"/>
                <w:color w:val="auto"/>
                <w:sz w:val="24"/>
              </w:rPr>
              <w:t>0%计，则运输车辆冲洗废水量为</w:t>
            </w:r>
            <w:r>
              <w:rPr>
                <w:rFonts w:hint="eastAsia" w:cs="Times New Roman"/>
                <w:color w:val="auto"/>
                <w:sz w:val="24"/>
                <w:lang w:val="en-US" w:eastAsia="zh-CN"/>
              </w:rPr>
              <w:t>6.72t</w:t>
            </w:r>
            <w:r>
              <w:rPr>
                <w:rFonts w:hint="default" w:ascii="Times New Roman" w:hAnsi="Times New Roman" w:eastAsia="宋体" w:cs="Times New Roman"/>
                <w:color w:val="auto"/>
                <w:sz w:val="24"/>
              </w:rPr>
              <w:t>/d，</w:t>
            </w:r>
            <w:r>
              <w:rPr>
                <w:rFonts w:hint="eastAsia" w:ascii="Times New Roman" w:hAnsi="Times New Roman" w:eastAsia="宋体" w:cs="Times New Roman"/>
                <w:color w:val="auto"/>
                <w:sz w:val="24"/>
                <w:lang w:val="en-US" w:eastAsia="zh-CN"/>
              </w:rPr>
              <w:t>1411.2</w:t>
            </w:r>
            <w:r>
              <w:rPr>
                <w:rFonts w:hint="eastAsia" w:cs="Times New Roman"/>
                <w:color w:val="auto"/>
                <w:sz w:val="24"/>
                <w:lang w:val="en-US" w:eastAsia="zh-CN"/>
              </w:rPr>
              <w:t>t</w:t>
            </w:r>
            <w:r>
              <w:rPr>
                <w:rFonts w:hint="default" w:ascii="Times New Roman" w:hAnsi="Times New Roman" w:eastAsia="宋体" w:cs="Times New Roman"/>
                <w:color w:val="auto"/>
                <w:sz w:val="24"/>
              </w:rPr>
              <w:t>/a</w:t>
            </w:r>
            <w:r>
              <w:rPr>
                <w:rFonts w:hint="eastAsia" w:cs="Times New Roman"/>
                <w:color w:val="auto"/>
                <w:sz w:val="24"/>
                <w:lang w:eastAsia="zh-CN"/>
              </w:rPr>
              <w:t>。</w:t>
            </w:r>
          </w:p>
          <w:p w14:paraId="0A7E8B82">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c.</w:t>
            </w:r>
            <w:r>
              <w:rPr>
                <w:rFonts w:hint="eastAsia" w:ascii="Times New Roman" w:hAnsi="Times New Roman" w:eastAsia="宋体" w:cs="Times New Roman"/>
                <w:color w:val="auto"/>
                <w:sz w:val="24"/>
              </w:rPr>
              <w:t>初期雨水</w:t>
            </w:r>
          </w:p>
          <w:p w14:paraId="08A100F9">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Times New Roman"/>
                <w:color w:val="auto"/>
                <w:kern w:val="2"/>
                <w:sz w:val="24"/>
                <w:szCs w:val="20"/>
                <w:lang w:val="en-US" w:eastAsia="zh-CN" w:bidi="ar-SA"/>
              </w:rPr>
            </w:pPr>
            <w:r>
              <w:rPr>
                <w:rFonts w:ascii="Times New Roman" w:hAnsi="Times New Roman" w:eastAsia="宋体" w:cs="Times New Roman"/>
                <w:color w:val="auto"/>
                <w:kern w:val="2"/>
                <w:sz w:val="24"/>
                <w:szCs w:val="20"/>
                <w:lang w:val="en-US" w:eastAsia="zh-CN" w:bidi="ar-SA"/>
              </w:rPr>
              <w:t>由于运输及装卸车辆从储煤场内出来后，轮胎及车身沾黏煤粉，在厂区运输时，经摩擦易将煤粉洒落于厂区地面，可能经雨水冲刷形成地表径流后，流入地表水造成水体污染，故在厂区低洼处建设一座初期雨水收集池；池出水管上设置切断阀，正常情况下阀门关闭，防止受污染的水外排；池内设有提升设施，能定期将池底的沉渣收集</w:t>
            </w:r>
            <w:r>
              <w:rPr>
                <w:rFonts w:hint="eastAsia" w:ascii="Times New Roman" w:hAnsi="Times New Roman" w:eastAsia="宋体" w:cs="Times New Roman"/>
                <w:color w:val="auto"/>
                <w:kern w:val="2"/>
                <w:sz w:val="24"/>
                <w:szCs w:val="20"/>
                <w:lang w:val="en-US" w:eastAsia="zh-CN" w:bidi="ar-SA"/>
              </w:rPr>
              <w:t>，</w:t>
            </w:r>
            <w:r>
              <w:rPr>
                <w:rFonts w:hint="eastAsia" w:cs="Times New Roman"/>
                <w:color w:val="auto"/>
                <w:kern w:val="2"/>
                <w:sz w:val="24"/>
                <w:szCs w:val="20"/>
                <w:lang w:val="en-US" w:eastAsia="zh-CN" w:bidi="ar-SA"/>
              </w:rPr>
              <w:t>自然晾晒脱水后暂存于危废贮存点，定期交有资质公司处理</w:t>
            </w:r>
            <w:r>
              <w:rPr>
                <w:rFonts w:ascii="Times New Roman" w:hAnsi="Times New Roman" w:eastAsia="宋体" w:cs="Times New Roman"/>
                <w:color w:val="auto"/>
                <w:kern w:val="2"/>
                <w:sz w:val="24"/>
                <w:szCs w:val="20"/>
                <w:lang w:val="en-US" w:eastAsia="zh-CN" w:bidi="ar-SA"/>
              </w:rPr>
              <w:t>。</w:t>
            </w:r>
          </w:p>
          <w:p w14:paraId="3B2B99B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kern w:val="2"/>
                <w:sz w:val="24"/>
                <w:szCs w:val="20"/>
                <w:lang w:val="en-US" w:eastAsia="zh-CN" w:bidi="ar-SA"/>
              </w:rPr>
            </w:pPr>
            <w:r>
              <w:rPr>
                <w:rFonts w:hint="eastAsia" w:ascii="Times New Roman" w:hAnsi="Times New Roman" w:eastAsia="宋体" w:cs="Times New Roman"/>
                <w:color w:val="auto"/>
                <w:kern w:val="2"/>
                <w:sz w:val="24"/>
                <w:szCs w:val="20"/>
                <w:lang w:val="en-US" w:eastAsia="zh-CN" w:bidi="ar-SA"/>
              </w:rPr>
              <w:t>本项目合计汇水面积为总占地面积=</w:t>
            </w:r>
            <w:r>
              <w:rPr>
                <w:rFonts w:hint="eastAsia"/>
                <w:color w:val="auto"/>
                <w:sz w:val="24"/>
                <w:lang w:val="en-US" w:eastAsia="zh-CN"/>
              </w:rPr>
              <w:t>19855</w:t>
            </w:r>
            <w:r>
              <w:rPr>
                <w:color w:val="auto"/>
              </w:rPr>
              <w:t>m</w:t>
            </w:r>
            <w:r>
              <w:rPr>
                <w:color w:val="auto"/>
                <w:vertAlign w:val="superscript"/>
              </w:rPr>
              <w:t>2</w:t>
            </w:r>
            <w:r>
              <w:rPr>
                <w:rFonts w:hint="eastAsia" w:ascii="Times New Roman" w:hAnsi="Times New Roman" w:eastAsia="宋体" w:cs="Times New Roman"/>
                <w:color w:val="auto"/>
                <w:kern w:val="2"/>
                <w:sz w:val="24"/>
                <w:szCs w:val="20"/>
                <w:lang w:val="en-US" w:eastAsia="zh-CN" w:bidi="ar-SA"/>
              </w:rPr>
              <w:t>，初期雨水量按照重现期</w:t>
            </w:r>
            <w:r>
              <w:rPr>
                <w:rFonts w:ascii="Times New Roman" w:hAnsi="Times New Roman" w:eastAsia="宋体" w:cs="Times New Roman"/>
                <w:color w:val="auto"/>
                <w:kern w:val="2"/>
                <w:sz w:val="24"/>
                <w:szCs w:val="20"/>
                <w:lang w:val="en-US" w:eastAsia="zh-CN" w:bidi="ar-SA"/>
              </w:rPr>
              <w:t>2</w:t>
            </w:r>
            <w:r>
              <w:rPr>
                <w:rFonts w:hint="eastAsia" w:ascii="Times New Roman" w:hAnsi="Times New Roman" w:eastAsia="宋体" w:cs="Times New Roman"/>
                <w:color w:val="auto"/>
                <w:kern w:val="2"/>
                <w:sz w:val="24"/>
                <w:szCs w:val="20"/>
                <w:lang w:val="en-US" w:eastAsia="zh-CN" w:bidi="ar-SA"/>
              </w:rPr>
              <w:t>年，径流系数为</w:t>
            </w:r>
            <w:r>
              <w:rPr>
                <w:rFonts w:ascii="Times New Roman" w:hAnsi="Times New Roman" w:eastAsia="宋体" w:cs="Times New Roman"/>
                <w:color w:val="auto"/>
                <w:kern w:val="2"/>
                <w:sz w:val="24"/>
                <w:szCs w:val="20"/>
                <w:lang w:val="en-US" w:eastAsia="zh-CN" w:bidi="ar-SA"/>
              </w:rPr>
              <w:t>0.9</w:t>
            </w:r>
            <w:r>
              <w:rPr>
                <w:rFonts w:hint="eastAsia" w:ascii="Times New Roman" w:hAnsi="Times New Roman" w:eastAsia="宋体" w:cs="Times New Roman"/>
                <w:color w:val="auto"/>
                <w:kern w:val="2"/>
                <w:sz w:val="24"/>
                <w:szCs w:val="20"/>
                <w:lang w:val="en-US" w:eastAsia="zh-CN" w:bidi="ar-SA"/>
              </w:rPr>
              <w:t>，降雨历时</w:t>
            </w:r>
            <w:r>
              <w:rPr>
                <w:rFonts w:ascii="Times New Roman" w:hAnsi="Times New Roman" w:eastAsia="宋体" w:cs="Times New Roman"/>
                <w:color w:val="auto"/>
                <w:kern w:val="2"/>
                <w:sz w:val="24"/>
                <w:szCs w:val="20"/>
                <w:lang w:val="en-US" w:eastAsia="zh-CN" w:bidi="ar-SA"/>
              </w:rPr>
              <w:t>15</w:t>
            </w:r>
            <w:r>
              <w:rPr>
                <w:rFonts w:hint="eastAsia" w:ascii="Times New Roman" w:hAnsi="Times New Roman" w:eastAsia="宋体" w:cs="Times New Roman"/>
                <w:color w:val="auto"/>
                <w:kern w:val="2"/>
                <w:sz w:val="24"/>
                <w:szCs w:val="20"/>
                <w:lang w:val="en-US" w:eastAsia="zh-CN" w:bidi="ar-SA"/>
              </w:rPr>
              <w:t>分钟计算，则暴雨强度为171.46</w:t>
            </w:r>
            <w:r>
              <w:rPr>
                <w:rFonts w:ascii="Times New Roman" w:hAnsi="Times New Roman" w:eastAsia="宋体" w:cs="Times New Roman"/>
                <w:color w:val="auto"/>
                <w:kern w:val="2"/>
                <w:sz w:val="24"/>
                <w:szCs w:val="20"/>
                <w:lang w:val="en-US" w:eastAsia="zh-CN" w:bidi="ar-SA"/>
              </w:rPr>
              <w:t>L/</w:t>
            </w:r>
            <w:r>
              <w:rPr>
                <w:rFonts w:hint="eastAsia" w:ascii="Times New Roman" w:hAnsi="Times New Roman" w:eastAsia="宋体" w:cs="Times New Roman"/>
                <w:color w:val="auto"/>
                <w:kern w:val="2"/>
                <w:sz w:val="24"/>
                <w:szCs w:val="20"/>
                <w:lang w:val="en-US" w:eastAsia="zh-CN" w:bidi="ar-SA"/>
              </w:rPr>
              <w:t>（</w:t>
            </w:r>
            <w:r>
              <w:rPr>
                <w:rFonts w:ascii="Times New Roman" w:hAnsi="Times New Roman" w:eastAsia="宋体" w:cs="Times New Roman"/>
                <w:color w:val="auto"/>
                <w:kern w:val="2"/>
                <w:sz w:val="24"/>
                <w:szCs w:val="20"/>
                <w:lang w:val="en-US" w:eastAsia="zh-CN" w:bidi="ar-SA"/>
              </w:rPr>
              <w:t>s·</w:t>
            </w:r>
            <w:r>
              <w:rPr>
                <w:rFonts w:hint="eastAsia" w:ascii="Times New Roman" w:hAnsi="Times New Roman" w:eastAsia="宋体" w:cs="Times New Roman"/>
                <w:color w:val="auto"/>
                <w:kern w:val="2"/>
                <w:sz w:val="24"/>
                <w:szCs w:val="20"/>
                <w:lang w:val="en-US" w:eastAsia="zh-CN" w:bidi="ar-SA"/>
              </w:rPr>
              <w:t>公顷），</w:t>
            </w:r>
            <w:r>
              <w:rPr>
                <w:rFonts w:ascii="Times New Roman" w:hAnsi="Times New Roman" w:eastAsia="宋体" w:cs="Times New Roman"/>
                <w:color w:val="auto"/>
                <w:kern w:val="2"/>
                <w:sz w:val="24"/>
                <w:szCs w:val="20"/>
                <w:lang w:val="en-US" w:eastAsia="zh-CN" w:bidi="ar-SA"/>
              </w:rPr>
              <w:t>雨水流量为</w:t>
            </w:r>
            <w:r>
              <w:rPr>
                <w:rFonts w:hint="eastAsia" w:cs="Times New Roman"/>
                <w:color w:val="auto"/>
                <w:kern w:val="2"/>
                <w:sz w:val="24"/>
                <w:szCs w:val="20"/>
                <w:lang w:val="en-US" w:eastAsia="zh-CN" w:bidi="ar-SA"/>
              </w:rPr>
              <w:t>306.39</w:t>
            </w:r>
            <w:r>
              <w:rPr>
                <w:rFonts w:ascii="Times New Roman" w:hAnsi="Times New Roman" w:eastAsia="宋体" w:cs="Times New Roman"/>
                <w:color w:val="auto"/>
                <w:kern w:val="2"/>
                <w:sz w:val="24"/>
                <w:szCs w:val="20"/>
                <w:lang w:val="en-US" w:eastAsia="zh-CN" w:bidi="ar-SA"/>
              </w:rPr>
              <w:t>L/s，</w:t>
            </w:r>
            <w:r>
              <w:rPr>
                <w:rFonts w:hint="eastAsia" w:ascii="Times New Roman" w:hAnsi="Times New Roman" w:eastAsia="宋体" w:cs="Times New Roman"/>
                <w:color w:val="auto"/>
                <w:kern w:val="2"/>
                <w:sz w:val="24"/>
                <w:szCs w:val="20"/>
                <w:lang w:val="en-US" w:eastAsia="zh-CN" w:bidi="ar-SA"/>
              </w:rPr>
              <w:t>初期雨水产生量为275.751</w:t>
            </w:r>
            <w:r>
              <w:rPr>
                <w:rFonts w:ascii="Times New Roman" w:hAnsi="Times New Roman" w:eastAsia="宋体" w:cs="Times New Roman"/>
                <w:color w:val="auto"/>
                <w:kern w:val="2"/>
                <w:sz w:val="24"/>
                <w:szCs w:val="20"/>
                <w:lang w:val="en-US" w:eastAsia="zh-CN" w:bidi="ar-SA"/>
              </w:rPr>
              <w:t>m</w:t>
            </w:r>
            <w:r>
              <w:rPr>
                <w:rFonts w:ascii="Times New Roman" w:hAnsi="Times New Roman" w:eastAsia="宋体" w:cs="Times New Roman"/>
                <w:color w:val="auto"/>
                <w:kern w:val="2"/>
                <w:sz w:val="24"/>
                <w:szCs w:val="20"/>
                <w:vertAlign w:val="superscript"/>
                <w:lang w:val="en-US" w:eastAsia="zh-CN" w:bidi="ar-SA"/>
              </w:rPr>
              <w:t>3</w:t>
            </w:r>
            <w:r>
              <w:rPr>
                <w:rFonts w:ascii="Times New Roman" w:hAnsi="Times New Roman" w:eastAsia="宋体" w:cs="Times New Roman"/>
                <w:color w:val="auto"/>
                <w:kern w:val="2"/>
                <w:sz w:val="24"/>
                <w:szCs w:val="20"/>
                <w:lang w:val="en-US" w:eastAsia="zh-CN" w:bidi="ar-SA"/>
              </w:rPr>
              <w:t>/</w:t>
            </w:r>
            <w:r>
              <w:rPr>
                <w:rFonts w:hint="eastAsia" w:ascii="Times New Roman" w:hAnsi="Times New Roman" w:eastAsia="宋体" w:cs="Times New Roman"/>
                <w:color w:val="auto"/>
                <w:kern w:val="2"/>
                <w:sz w:val="24"/>
                <w:szCs w:val="20"/>
                <w:lang w:val="en-US" w:eastAsia="zh-CN" w:bidi="ar-SA"/>
              </w:rPr>
              <w:t>次，间歇降雨频次按</w:t>
            </w:r>
            <w:r>
              <w:rPr>
                <w:rFonts w:ascii="Times New Roman" w:hAnsi="Times New Roman" w:eastAsia="宋体" w:cs="Times New Roman"/>
                <w:color w:val="auto"/>
                <w:kern w:val="2"/>
                <w:sz w:val="24"/>
                <w:szCs w:val="20"/>
                <w:lang w:val="en-US" w:eastAsia="zh-CN" w:bidi="ar-SA"/>
              </w:rPr>
              <w:t>20</w:t>
            </w:r>
            <w:r>
              <w:rPr>
                <w:rFonts w:hint="eastAsia" w:ascii="Times New Roman" w:hAnsi="Times New Roman" w:eastAsia="宋体" w:cs="Times New Roman"/>
                <w:color w:val="auto"/>
                <w:kern w:val="2"/>
                <w:sz w:val="24"/>
                <w:szCs w:val="20"/>
                <w:lang w:val="en-US" w:eastAsia="zh-CN" w:bidi="ar-SA"/>
              </w:rPr>
              <w:t>次</w:t>
            </w:r>
            <w:r>
              <w:rPr>
                <w:rFonts w:ascii="Times New Roman" w:hAnsi="Times New Roman" w:eastAsia="宋体" w:cs="Times New Roman"/>
                <w:color w:val="auto"/>
                <w:kern w:val="2"/>
                <w:sz w:val="24"/>
                <w:szCs w:val="20"/>
                <w:lang w:val="en-US" w:eastAsia="zh-CN" w:bidi="ar-SA"/>
              </w:rPr>
              <w:t>/</w:t>
            </w:r>
            <w:r>
              <w:rPr>
                <w:rFonts w:hint="eastAsia" w:ascii="Times New Roman" w:hAnsi="Times New Roman" w:eastAsia="宋体" w:cs="Times New Roman"/>
                <w:color w:val="auto"/>
                <w:kern w:val="2"/>
                <w:sz w:val="24"/>
                <w:szCs w:val="20"/>
                <w:lang w:val="en-US" w:eastAsia="zh-CN" w:bidi="ar-SA"/>
              </w:rPr>
              <w:t>年计，排放量约为5515.02</w:t>
            </w:r>
            <w:r>
              <w:rPr>
                <w:rFonts w:ascii="Times New Roman" w:hAnsi="Times New Roman" w:eastAsia="宋体" w:cs="Times New Roman"/>
                <w:color w:val="auto"/>
                <w:kern w:val="2"/>
                <w:sz w:val="24"/>
                <w:szCs w:val="20"/>
                <w:lang w:val="en-US" w:eastAsia="zh-CN" w:bidi="ar-SA"/>
              </w:rPr>
              <w:t>m</w:t>
            </w:r>
            <w:r>
              <w:rPr>
                <w:rFonts w:ascii="Times New Roman" w:hAnsi="Times New Roman" w:eastAsia="宋体" w:cs="Times New Roman"/>
                <w:color w:val="auto"/>
                <w:kern w:val="2"/>
                <w:sz w:val="24"/>
                <w:szCs w:val="20"/>
                <w:vertAlign w:val="superscript"/>
                <w:lang w:val="en-US" w:eastAsia="zh-CN" w:bidi="ar-SA"/>
              </w:rPr>
              <w:t>3</w:t>
            </w:r>
            <w:r>
              <w:rPr>
                <w:rFonts w:ascii="Times New Roman" w:hAnsi="Times New Roman" w:eastAsia="宋体" w:cs="Times New Roman"/>
                <w:color w:val="auto"/>
                <w:kern w:val="2"/>
                <w:sz w:val="24"/>
                <w:szCs w:val="20"/>
                <w:lang w:val="en-US" w:eastAsia="zh-CN" w:bidi="ar-SA"/>
              </w:rPr>
              <w:t>/a</w:t>
            </w:r>
            <w:r>
              <w:rPr>
                <w:rFonts w:hint="eastAsia" w:ascii="Times New Roman" w:hAnsi="Times New Roman" w:eastAsia="宋体" w:cs="Times New Roman"/>
                <w:color w:val="auto"/>
                <w:kern w:val="2"/>
                <w:sz w:val="24"/>
                <w:szCs w:val="20"/>
                <w:lang w:val="en-US" w:eastAsia="zh-CN" w:bidi="ar-SA"/>
              </w:rPr>
              <w:t>。</w:t>
            </w:r>
          </w:p>
          <w:p w14:paraId="46B20E90">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center"/>
              <w:textAlignment w:val="auto"/>
              <w:rPr>
                <w:rFonts w:hint="eastAsia" w:ascii="Times New Roman" w:hAnsi="Times New Roman" w:eastAsia="宋体" w:cs="Times New Roman"/>
                <w:color w:val="auto"/>
                <w:kern w:val="2"/>
                <w:sz w:val="24"/>
                <w:szCs w:val="20"/>
                <w:lang w:val="en-US" w:eastAsia="zh-CN" w:bidi="ar-SA"/>
              </w:rPr>
            </w:pPr>
            <w:r>
              <w:rPr>
                <w:color w:val="auto"/>
              </w:rPr>
              <w:drawing>
                <wp:inline distT="0" distB="0" distL="114300" distR="114300">
                  <wp:extent cx="3880485" cy="3757295"/>
                  <wp:effectExtent l="0" t="0" r="5715" b="14605"/>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pic:cNvPicPr>
                            <a:picLocks noChangeAspect="1"/>
                          </pic:cNvPicPr>
                        </pic:nvPicPr>
                        <pic:blipFill>
                          <a:blip r:embed="rId11"/>
                          <a:stretch>
                            <a:fillRect/>
                          </a:stretch>
                        </pic:blipFill>
                        <pic:spPr>
                          <a:xfrm>
                            <a:off x="0" y="0"/>
                            <a:ext cx="3880485" cy="3757295"/>
                          </a:xfrm>
                          <a:prstGeom prst="rect">
                            <a:avLst/>
                          </a:prstGeom>
                          <a:noFill/>
                          <a:ln>
                            <a:noFill/>
                          </a:ln>
                        </pic:spPr>
                      </pic:pic>
                    </a:graphicData>
                  </a:graphic>
                </wp:inline>
              </w:drawing>
            </w:r>
          </w:p>
          <w:p w14:paraId="56790D7C">
            <w:pPr>
              <w:pStyle w:val="182"/>
              <w:ind w:firstLine="480"/>
              <w:rPr>
                <w:rFonts w:hint="eastAsia"/>
                <w:color w:val="auto"/>
                <w:sz w:val="24"/>
              </w:rPr>
            </w:pPr>
            <w:r>
              <w:rPr>
                <w:rFonts w:hint="eastAsia" w:ascii="Times New Roman" w:hAnsi="Times New Roman" w:eastAsia="宋体" w:cs="Times New Roman"/>
                <w:color w:val="auto"/>
                <w:kern w:val="2"/>
                <w:sz w:val="24"/>
                <w:szCs w:val="20"/>
                <w:lang w:val="en-US" w:eastAsia="zh-CN" w:bidi="ar-SA"/>
              </w:rPr>
              <w:t>本项目拟在厂区东南侧厂区地势最低处1座200m</w:t>
            </w:r>
            <w:r>
              <w:rPr>
                <w:rFonts w:hint="eastAsia" w:ascii="Times New Roman" w:hAnsi="Times New Roman" w:eastAsia="宋体" w:cs="Times New Roman"/>
                <w:color w:val="auto"/>
                <w:kern w:val="2"/>
                <w:sz w:val="24"/>
                <w:szCs w:val="20"/>
                <w:vertAlign w:val="superscript"/>
                <w:lang w:val="en-US" w:eastAsia="zh-CN" w:bidi="ar-SA"/>
              </w:rPr>
              <w:t>3</w:t>
            </w:r>
            <w:r>
              <w:rPr>
                <w:rFonts w:hint="eastAsia" w:ascii="Times New Roman" w:hAnsi="Times New Roman" w:eastAsia="宋体" w:cs="Times New Roman"/>
                <w:color w:val="auto"/>
                <w:kern w:val="2"/>
                <w:sz w:val="24"/>
                <w:szCs w:val="20"/>
                <w:lang w:val="en-US" w:eastAsia="zh-CN" w:bidi="ar-SA"/>
              </w:rPr>
              <w:t>的雨水收集池，混凝土结构。厂区四周应设置环厂区雨水渠，同时设置后期雨水截断装置，以确保初期雨水收集池仅收集前15min产生的初期雨水；收集的雨水经沉淀后回用于厂区洒水降尘，不外排。若发生连续降雨临时采用雨水收集桶进行收集。</w:t>
            </w:r>
          </w:p>
          <w:p w14:paraId="33C6A0F7">
            <w:pPr>
              <w:adjustRightInd w:val="0"/>
              <w:snapToGrid w:val="0"/>
              <w:jc w:val="center"/>
              <w:rPr>
                <w:rFonts w:hint="eastAsia" w:eastAsia="宋体"/>
                <w:color w:val="auto"/>
                <w:lang w:eastAsia="zh-CN"/>
              </w:rPr>
            </w:pPr>
            <w:r>
              <w:rPr>
                <w:color w:val="auto"/>
              </w:rPr>
              <w:drawing>
                <wp:inline distT="0" distB="0" distL="114300" distR="114300">
                  <wp:extent cx="4759960" cy="3153410"/>
                  <wp:effectExtent l="0" t="0" r="2540" b="8890"/>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pic:cNvPicPr>
                            <a:picLocks noChangeAspect="1"/>
                          </pic:cNvPicPr>
                        </pic:nvPicPr>
                        <pic:blipFill>
                          <a:blip r:embed="rId12"/>
                          <a:stretch>
                            <a:fillRect/>
                          </a:stretch>
                        </pic:blipFill>
                        <pic:spPr>
                          <a:xfrm>
                            <a:off x="0" y="0"/>
                            <a:ext cx="4759960" cy="3153410"/>
                          </a:xfrm>
                          <a:prstGeom prst="rect">
                            <a:avLst/>
                          </a:prstGeom>
                          <a:noFill/>
                          <a:ln>
                            <a:noFill/>
                          </a:ln>
                        </pic:spPr>
                      </pic:pic>
                    </a:graphicData>
                  </a:graphic>
                </wp:inline>
              </w:drawing>
            </w:r>
          </w:p>
          <w:p w14:paraId="663C3461">
            <w:pPr>
              <w:jc w:val="center"/>
              <w:rPr>
                <w:b/>
                <w:color w:val="auto"/>
                <w:szCs w:val="21"/>
              </w:rPr>
            </w:pPr>
            <w:r>
              <w:rPr>
                <w:b/>
                <w:color w:val="auto"/>
                <w:szCs w:val="21"/>
              </w:rPr>
              <w:t>图2-1</w:t>
            </w:r>
            <w:r>
              <w:rPr>
                <w:rFonts w:hint="eastAsia"/>
                <w:b/>
                <w:color w:val="auto"/>
                <w:szCs w:val="21"/>
              </w:rPr>
              <w:t xml:space="preserve">  </w:t>
            </w:r>
            <w:r>
              <w:rPr>
                <w:b/>
                <w:color w:val="auto"/>
                <w:szCs w:val="21"/>
              </w:rPr>
              <w:t>水量平衡图（单位：</w:t>
            </w:r>
            <w:r>
              <w:rPr>
                <w:rFonts w:hint="eastAsia"/>
                <w:b/>
                <w:color w:val="auto"/>
                <w:szCs w:val="21"/>
                <w:lang w:val="en-US" w:eastAsia="zh-CN"/>
              </w:rPr>
              <w:t>t/a</w:t>
            </w:r>
            <w:r>
              <w:rPr>
                <w:b/>
                <w:color w:val="auto"/>
                <w:szCs w:val="21"/>
              </w:rPr>
              <w:t>）</w:t>
            </w:r>
          </w:p>
          <w:p w14:paraId="6B984208">
            <w:pPr>
              <w:adjustRightInd w:val="0"/>
              <w:snapToGrid w:val="0"/>
              <w:spacing w:line="360" w:lineRule="auto"/>
              <w:ind w:firstLine="480" w:firstLineChars="200"/>
              <w:rPr>
                <w:color w:val="auto"/>
                <w:sz w:val="24"/>
              </w:rPr>
            </w:pPr>
            <w:r>
              <w:rPr>
                <w:color w:val="auto"/>
                <w:sz w:val="24"/>
              </w:rPr>
              <w:t>（3）</w:t>
            </w:r>
            <w:r>
              <w:rPr>
                <w:rFonts w:hint="eastAsia"/>
                <w:color w:val="auto"/>
                <w:sz w:val="24"/>
              </w:rPr>
              <w:t>供暖</w:t>
            </w:r>
          </w:p>
          <w:p w14:paraId="30B8551C">
            <w:pPr>
              <w:adjustRightInd w:val="0"/>
              <w:snapToGrid w:val="0"/>
              <w:spacing w:line="360" w:lineRule="auto"/>
              <w:ind w:firstLine="480" w:firstLineChars="200"/>
              <w:rPr>
                <w:color w:val="auto"/>
                <w:sz w:val="24"/>
              </w:rPr>
            </w:pPr>
            <w:r>
              <w:rPr>
                <w:color w:val="auto"/>
                <w:sz w:val="24"/>
              </w:rPr>
              <w:t>本项目</w:t>
            </w:r>
            <w:r>
              <w:rPr>
                <w:rFonts w:hint="eastAsia"/>
                <w:color w:val="auto"/>
                <w:sz w:val="24"/>
                <w:lang w:val="en-US" w:eastAsia="zh-CN"/>
              </w:rPr>
              <w:t>冬季不生产，无需供暖</w:t>
            </w:r>
            <w:r>
              <w:rPr>
                <w:rFonts w:hint="eastAsia"/>
                <w:color w:val="auto"/>
                <w:sz w:val="24"/>
              </w:rPr>
              <w:t>。</w:t>
            </w:r>
          </w:p>
          <w:p w14:paraId="56ED7EAA">
            <w:pPr>
              <w:adjustRightInd w:val="0"/>
              <w:snapToGrid w:val="0"/>
              <w:spacing w:line="360" w:lineRule="auto"/>
              <w:ind w:firstLine="480" w:firstLineChars="200"/>
              <w:rPr>
                <w:color w:val="auto"/>
                <w:sz w:val="24"/>
              </w:rPr>
            </w:pPr>
            <w:r>
              <w:rPr>
                <w:color w:val="auto"/>
                <w:sz w:val="24"/>
              </w:rPr>
              <w:t>（4）供电</w:t>
            </w:r>
          </w:p>
          <w:p w14:paraId="2C2E1C30">
            <w:pPr>
              <w:adjustRightInd w:val="0"/>
              <w:snapToGrid w:val="0"/>
              <w:spacing w:line="360" w:lineRule="auto"/>
              <w:ind w:firstLine="480" w:firstLineChars="200"/>
              <w:rPr>
                <w:color w:val="auto"/>
                <w:sz w:val="24"/>
              </w:rPr>
            </w:pPr>
            <w:r>
              <w:rPr>
                <w:color w:val="auto"/>
                <w:sz w:val="24"/>
              </w:rPr>
              <w:t>项目用电由当地市政电网提供，能够满足本项目用电。</w:t>
            </w:r>
          </w:p>
          <w:p w14:paraId="0EF7B2F4">
            <w:pPr>
              <w:spacing w:line="360" w:lineRule="auto"/>
              <w:ind w:left="420" w:leftChars="200"/>
              <w:jc w:val="left"/>
              <w:rPr>
                <w:b/>
                <w:color w:val="auto"/>
                <w:sz w:val="24"/>
              </w:rPr>
            </w:pPr>
            <w:r>
              <w:rPr>
                <w:rFonts w:hint="eastAsia"/>
                <w:b/>
                <w:color w:val="auto"/>
                <w:sz w:val="24"/>
              </w:rPr>
              <w:t>8、</w:t>
            </w:r>
            <w:r>
              <w:rPr>
                <w:b/>
                <w:color w:val="auto"/>
                <w:sz w:val="24"/>
              </w:rPr>
              <w:t>环保投资</w:t>
            </w:r>
          </w:p>
          <w:p w14:paraId="2E074A68">
            <w:pPr>
              <w:adjustRightInd w:val="0"/>
              <w:snapToGrid w:val="0"/>
              <w:spacing w:line="360" w:lineRule="auto"/>
              <w:ind w:firstLine="480" w:firstLineChars="200"/>
              <w:rPr>
                <w:color w:val="auto"/>
              </w:rPr>
            </w:pPr>
            <w:r>
              <w:rPr>
                <w:rFonts w:hint="eastAsia"/>
                <w:color w:val="auto"/>
                <w:sz w:val="24"/>
              </w:rPr>
              <w:t>本</w:t>
            </w:r>
            <w:r>
              <w:rPr>
                <w:color w:val="auto"/>
                <w:sz w:val="24"/>
              </w:rPr>
              <w:t>项目</w:t>
            </w:r>
            <w:r>
              <w:rPr>
                <w:rFonts w:hint="eastAsia"/>
                <w:color w:val="auto"/>
                <w:sz w:val="24"/>
              </w:rPr>
              <w:t>总投资</w:t>
            </w:r>
            <w:r>
              <w:rPr>
                <w:rFonts w:hint="eastAsia"/>
                <w:color w:val="auto"/>
                <w:sz w:val="24"/>
                <w:lang w:val="en-US" w:eastAsia="zh-CN"/>
              </w:rPr>
              <w:t>400</w:t>
            </w:r>
            <w:r>
              <w:rPr>
                <w:rFonts w:hint="eastAsia"/>
                <w:color w:val="auto"/>
                <w:sz w:val="24"/>
              </w:rPr>
              <w:t>万元。环保投资</w:t>
            </w:r>
            <w:r>
              <w:rPr>
                <w:rFonts w:hint="eastAsia"/>
                <w:color w:val="auto"/>
                <w:sz w:val="24"/>
                <w:lang w:val="en-US" w:eastAsia="zh-CN"/>
              </w:rPr>
              <w:t>105.5</w:t>
            </w:r>
            <w:r>
              <w:rPr>
                <w:rFonts w:hint="eastAsia"/>
                <w:color w:val="auto"/>
                <w:sz w:val="24"/>
              </w:rPr>
              <w:t>万元，环保投资占总投资</w:t>
            </w:r>
            <w:r>
              <w:rPr>
                <w:rFonts w:hint="eastAsia" w:ascii="Times New Roman" w:hAnsi="Times New Roman" w:eastAsia="宋体" w:cs="Times New Roman"/>
                <w:color w:val="auto"/>
                <w:sz w:val="24"/>
                <w:lang w:val="en-US" w:eastAsia="zh-CN"/>
              </w:rPr>
              <w:t>26.4</w:t>
            </w:r>
            <w:r>
              <w:rPr>
                <w:rFonts w:hint="eastAsia" w:ascii="Times New Roman" w:hAnsi="Times New Roman" w:eastAsia="宋体" w:cs="Times New Roman"/>
                <w:color w:val="auto"/>
                <w:sz w:val="24"/>
              </w:rPr>
              <w:t>%，</w:t>
            </w:r>
            <w:r>
              <w:rPr>
                <w:rFonts w:hint="eastAsia"/>
                <w:color w:val="auto"/>
                <w:sz w:val="24"/>
              </w:rPr>
              <w:t>环保投资具体情况参见表2-</w:t>
            </w:r>
            <w:r>
              <w:rPr>
                <w:rFonts w:hint="eastAsia"/>
                <w:color w:val="auto"/>
                <w:sz w:val="24"/>
                <w:lang w:val="en-US" w:eastAsia="zh-CN"/>
              </w:rPr>
              <w:t>6</w:t>
            </w:r>
            <w:r>
              <w:rPr>
                <w:color w:val="auto"/>
                <w:sz w:val="24"/>
              </w:rPr>
              <w:t>。</w:t>
            </w:r>
          </w:p>
          <w:p w14:paraId="1CA18707">
            <w:pPr>
              <w:jc w:val="center"/>
              <w:rPr>
                <w:b/>
                <w:color w:val="auto"/>
                <w:szCs w:val="21"/>
              </w:rPr>
            </w:pPr>
            <w:r>
              <w:rPr>
                <w:b/>
                <w:color w:val="auto"/>
                <w:szCs w:val="21"/>
              </w:rPr>
              <w:t>表2-</w:t>
            </w:r>
            <w:r>
              <w:rPr>
                <w:rFonts w:hint="eastAsia"/>
                <w:b/>
                <w:color w:val="auto"/>
                <w:szCs w:val="21"/>
                <w:lang w:val="en-US" w:eastAsia="zh-CN"/>
              </w:rPr>
              <w:t>6</w:t>
            </w:r>
            <w:r>
              <w:rPr>
                <w:rFonts w:hint="eastAsia"/>
                <w:b/>
                <w:color w:val="auto"/>
                <w:szCs w:val="21"/>
              </w:rPr>
              <w:t xml:space="preserve">  </w:t>
            </w:r>
            <w:r>
              <w:rPr>
                <w:b/>
                <w:color w:val="auto"/>
                <w:szCs w:val="21"/>
              </w:rPr>
              <w:t>环保投资一览表</w:t>
            </w:r>
          </w:p>
          <w:tbl>
            <w:tblPr>
              <w:tblStyle w:val="38"/>
              <w:tblW w:w="4995"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65"/>
              <w:gridCol w:w="1423"/>
              <w:gridCol w:w="4978"/>
              <w:gridCol w:w="1101"/>
            </w:tblGrid>
            <w:tr w14:paraId="12DC15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0" w:type="pct"/>
                  <w:vAlign w:val="center"/>
                </w:tcPr>
                <w:p w14:paraId="3CDEEACC">
                  <w:pPr>
                    <w:pStyle w:val="74"/>
                    <w:rPr>
                      <w:color w:val="auto"/>
                      <w:szCs w:val="21"/>
                    </w:rPr>
                  </w:pPr>
                  <w:r>
                    <w:rPr>
                      <w:color w:val="auto"/>
                      <w:szCs w:val="21"/>
                    </w:rPr>
                    <w:t>阶段</w:t>
                  </w:r>
                </w:p>
              </w:tc>
              <w:tc>
                <w:tcPr>
                  <w:tcW w:w="881" w:type="pct"/>
                  <w:vAlign w:val="center"/>
                </w:tcPr>
                <w:p w14:paraId="0CD243EE">
                  <w:pPr>
                    <w:pStyle w:val="74"/>
                    <w:rPr>
                      <w:color w:val="auto"/>
                      <w:szCs w:val="21"/>
                    </w:rPr>
                  </w:pPr>
                  <w:r>
                    <w:rPr>
                      <w:color w:val="auto"/>
                      <w:szCs w:val="21"/>
                    </w:rPr>
                    <w:t>污染源</w:t>
                  </w:r>
                </w:p>
              </w:tc>
              <w:tc>
                <w:tcPr>
                  <w:tcW w:w="3085" w:type="pct"/>
                  <w:vAlign w:val="center"/>
                </w:tcPr>
                <w:p w14:paraId="0BA88BF6">
                  <w:pPr>
                    <w:pStyle w:val="74"/>
                    <w:rPr>
                      <w:color w:val="auto"/>
                      <w:szCs w:val="21"/>
                    </w:rPr>
                  </w:pPr>
                  <w:r>
                    <w:rPr>
                      <w:color w:val="auto"/>
                      <w:szCs w:val="21"/>
                    </w:rPr>
                    <w:t>本项目环保措施</w:t>
                  </w:r>
                </w:p>
              </w:tc>
              <w:tc>
                <w:tcPr>
                  <w:tcW w:w="682" w:type="pct"/>
                  <w:vAlign w:val="center"/>
                </w:tcPr>
                <w:p w14:paraId="0CFFBBF6">
                  <w:pPr>
                    <w:pStyle w:val="74"/>
                    <w:rPr>
                      <w:color w:val="auto"/>
                      <w:szCs w:val="21"/>
                    </w:rPr>
                  </w:pPr>
                  <w:r>
                    <w:rPr>
                      <w:color w:val="auto"/>
                      <w:szCs w:val="21"/>
                    </w:rPr>
                    <w:t>金额</w:t>
                  </w:r>
                </w:p>
                <w:p w14:paraId="55EF7F82">
                  <w:pPr>
                    <w:pStyle w:val="74"/>
                    <w:rPr>
                      <w:color w:val="auto"/>
                      <w:szCs w:val="21"/>
                    </w:rPr>
                  </w:pPr>
                  <w:r>
                    <w:rPr>
                      <w:color w:val="auto"/>
                      <w:szCs w:val="21"/>
                    </w:rPr>
                    <w:t>（万元）</w:t>
                  </w:r>
                </w:p>
              </w:tc>
            </w:tr>
            <w:tr w14:paraId="410D142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0" w:type="pct"/>
                  <w:vMerge w:val="restart"/>
                  <w:tcBorders>
                    <w:right w:val="single" w:color="auto" w:sz="4" w:space="0"/>
                  </w:tcBorders>
                  <w:vAlign w:val="center"/>
                </w:tcPr>
                <w:p w14:paraId="567D1C2B">
                  <w:pPr>
                    <w:pStyle w:val="74"/>
                    <w:rPr>
                      <w:color w:val="auto"/>
                      <w:szCs w:val="21"/>
                    </w:rPr>
                  </w:pPr>
                  <w:r>
                    <w:rPr>
                      <w:color w:val="auto"/>
                      <w:szCs w:val="21"/>
                    </w:rPr>
                    <w:t>运</w:t>
                  </w:r>
                </w:p>
                <w:p w14:paraId="42BAC5EB">
                  <w:pPr>
                    <w:pStyle w:val="74"/>
                    <w:rPr>
                      <w:color w:val="auto"/>
                      <w:szCs w:val="21"/>
                    </w:rPr>
                  </w:pPr>
                  <w:r>
                    <w:rPr>
                      <w:color w:val="auto"/>
                      <w:szCs w:val="21"/>
                    </w:rPr>
                    <w:t>营</w:t>
                  </w:r>
                </w:p>
                <w:p w14:paraId="261B3747">
                  <w:pPr>
                    <w:pStyle w:val="74"/>
                    <w:rPr>
                      <w:color w:val="auto"/>
                      <w:szCs w:val="21"/>
                    </w:rPr>
                  </w:pPr>
                  <w:r>
                    <w:rPr>
                      <w:color w:val="auto"/>
                      <w:szCs w:val="21"/>
                    </w:rPr>
                    <w:t>期</w:t>
                  </w:r>
                </w:p>
              </w:tc>
              <w:tc>
                <w:tcPr>
                  <w:tcW w:w="881" w:type="pct"/>
                  <w:vMerge w:val="restart"/>
                  <w:tcBorders>
                    <w:left w:val="single" w:color="auto" w:sz="4" w:space="0"/>
                  </w:tcBorders>
                  <w:vAlign w:val="center"/>
                </w:tcPr>
                <w:p w14:paraId="79E227EC">
                  <w:pPr>
                    <w:pStyle w:val="74"/>
                    <w:rPr>
                      <w:color w:val="auto"/>
                      <w:szCs w:val="21"/>
                    </w:rPr>
                  </w:pPr>
                  <w:r>
                    <w:rPr>
                      <w:color w:val="auto"/>
                      <w:szCs w:val="21"/>
                    </w:rPr>
                    <w:t>废气治理</w:t>
                  </w:r>
                </w:p>
              </w:tc>
              <w:tc>
                <w:tcPr>
                  <w:tcW w:w="3085" w:type="pct"/>
                  <w:vAlign w:val="center"/>
                </w:tcPr>
                <w:p w14:paraId="291717A4">
                  <w:pPr>
                    <w:pStyle w:val="74"/>
                    <w:rPr>
                      <w:rFonts w:hint="default" w:eastAsia="宋体"/>
                      <w:color w:val="auto"/>
                      <w:szCs w:val="21"/>
                      <w:lang w:val="en-US" w:eastAsia="zh-CN"/>
                    </w:rPr>
                  </w:pPr>
                  <w:r>
                    <w:rPr>
                      <w:rFonts w:hint="eastAsia"/>
                      <w:color w:val="auto"/>
                      <w:lang w:val="en-US" w:eastAsia="zh-CN"/>
                    </w:rPr>
                    <w:t>1台炮雾机、1把高压水枪</w:t>
                  </w:r>
                </w:p>
              </w:tc>
              <w:tc>
                <w:tcPr>
                  <w:tcW w:w="682" w:type="pct"/>
                  <w:vAlign w:val="center"/>
                </w:tcPr>
                <w:p w14:paraId="058A8582">
                  <w:pPr>
                    <w:pStyle w:val="74"/>
                    <w:rPr>
                      <w:rFonts w:hint="eastAsia" w:eastAsia="宋体"/>
                      <w:color w:val="auto"/>
                      <w:szCs w:val="21"/>
                      <w:lang w:eastAsia="zh-CN"/>
                    </w:rPr>
                  </w:pPr>
                  <w:r>
                    <w:rPr>
                      <w:rFonts w:hint="eastAsia"/>
                      <w:color w:val="auto"/>
                      <w:szCs w:val="21"/>
                      <w:lang w:val="en-US" w:eastAsia="zh-CN"/>
                    </w:rPr>
                    <w:t>2</w:t>
                  </w:r>
                </w:p>
              </w:tc>
            </w:tr>
            <w:tr w14:paraId="059D95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0" w:type="pct"/>
                  <w:vMerge w:val="continue"/>
                  <w:tcBorders>
                    <w:right w:val="single" w:color="auto" w:sz="4" w:space="0"/>
                  </w:tcBorders>
                  <w:vAlign w:val="center"/>
                </w:tcPr>
                <w:p w14:paraId="67B771D1">
                  <w:pPr>
                    <w:pStyle w:val="74"/>
                    <w:rPr>
                      <w:color w:val="auto"/>
                      <w:szCs w:val="21"/>
                    </w:rPr>
                  </w:pPr>
                </w:p>
              </w:tc>
              <w:tc>
                <w:tcPr>
                  <w:tcW w:w="881" w:type="pct"/>
                  <w:vMerge w:val="continue"/>
                  <w:tcBorders>
                    <w:left w:val="single" w:color="auto" w:sz="4" w:space="0"/>
                  </w:tcBorders>
                  <w:vAlign w:val="center"/>
                </w:tcPr>
                <w:p w14:paraId="273146E8">
                  <w:pPr>
                    <w:pStyle w:val="74"/>
                    <w:rPr>
                      <w:color w:val="auto"/>
                      <w:szCs w:val="21"/>
                    </w:rPr>
                  </w:pPr>
                </w:p>
              </w:tc>
              <w:tc>
                <w:tcPr>
                  <w:tcW w:w="3085" w:type="pct"/>
                  <w:vAlign w:val="center"/>
                </w:tcPr>
                <w:p w14:paraId="0A70CFB4">
                  <w:pPr>
                    <w:pStyle w:val="74"/>
                    <w:rPr>
                      <w:rFonts w:hint="default" w:eastAsia="宋体"/>
                      <w:color w:val="auto"/>
                      <w:szCs w:val="21"/>
                      <w:lang w:val="en-US" w:eastAsia="zh-CN"/>
                    </w:rPr>
                  </w:pPr>
                  <w:r>
                    <w:rPr>
                      <w:rFonts w:hint="eastAsia"/>
                      <w:color w:val="auto"/>
                      <w:lang w:val="en-US" w:eastAsia="zh-CN"/>
                    </w:rPr>
                    <w:t>防风抑尘网（长600m，高4m，面积2400m</w:t>
                  </w:r>
                  <w:r>
                    <w:rPr>
                      <w:rFonts w:hint="eastAsia"/>
                      <w:color w:val="auto"/>
                      <w:vertAlign w:val="superscript"/>
                      <w:lang w:val="en-US" w:eastAsia="zh-CN"/>
                    </w:rPr>
                    <w:t>2</w:t>
                  </w:r>
                  <w:r>
                    <w:rPr>
                      <w:rFonts w:hint="eastAsia"/>
                      <w:color w:val="auto"/>
                      <w:lang w:val="en-US" w:eastAsia="zh-CN"/>
                    </w:rPr>
                    <w:t>）、防尘网</w:t>
                  </w:r>
                </w:p>
              </w:tc>
              <w:tc>
                <w:tcPr>
                  <w:tcW w:w="682" w:type="pct"/>
                  <w:vAlign w:val="center"/>
                </w:tcPr>
                <w:p w14:paraId="55A008F3">
                  <w:pPr>
                    <w:pStyle w:val="74"/>
                    <w:rPr>
                      <w:rFonts w:hint="default" w:eastAsia="宋体"/>
                      <w:color w:val="auto"/>
                      <w:szCs w:val="21"/>
                      <w:lang w:val="en-US" w:eastAsia="zh-CN"/>
                    </w:rPr>
                  </w:pPr>
                  <w:r>
                    <w:rPr>
                      <w:rFonts w:hint="eastAsia"/>
                      <w:color w:val="auto"/>
                      <w:szCs w:val="21"/>
                      <w:lang w:val="en-US" w:eastAsia="zh-CN"/>
                    </w:rPr>
                    <w:t>45</w:t>
                  </w:r>
                </w:p>
              </w:tc>
            </w:tr>
            <w:tr w14:paraId="2ABC30E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0" w:type="pct"/>
                  <w:vMerge w:val="continue"/>
                  <w:tcBorders>
                    <w:right w:val="single" w:color="auto" w:sz="4" w:space="0"/>
                  </w:tcBorders>
                  <w:vAlign w:val="center"/>
                </w:tcPr>
                <w:p w14:paraId="751FCEA2">
                  <w:pPr>
                    <w:pStyle w:val="74"/>
                    <w:rPr>
                      <w:color w:val="auto"/>
                      <w:szCs w:val="21"/>
                    </w:rPr>
                  </w:pPr>
                </w:p>
              </w:tc>
              <w:tc>
                <w:tcPr>
                  <w:tcW w:w="881" w:type="pct"/>
                  <w:vMerge w:val="restart"/>
                  <w:tcBorders>
                    <w:left w:val="single" w:color="auto" w:sz="4" w:space="0"/>
                  </w:tcBorders>
                  <w:vAlign w:val="center"/>
                </w:tcPr>
                <w:p w14:paraId="2EDB5F8E">
                  <w:pPr>
                    <w:pStyle w:val="74"/>
                    <w:rPr>
                      <w:rFonts w:hint="default" w:eastAsia="宋体"/>
                      <w:color w:val="auto"/>
                      <w:szCs w:val="21"/>
                      <w:lang w:val="en-US" w:eastAsia="zh-CN"/>
                    </w:rPr>
                  </w:pPr>
                  <w:r>
                    <w:rPr>
                      <w:rFonts w:hint="eastAsia"/>
                      <w:color w:val="auto"/>
                      <w:szCs w:val="21"/>
                      <w:lang w:val="en-US" w:eastAsia="zh-CN"/>
                    </w:rPr>
                    <w:t>废水治理</w:t>
                  </w:r>
                </w:p>
              </w:tc>
              <w:tc>
                <w:tcPr>
                  <w:tcW w:w="3085" w:type="pct"/>
                  <w:vAlign w:val="center"/>
                </w:tcPr>
                <w:p w14:paraId="244D84B8">
                  <w:pPr>
                    <w:pStyle w:val="74"/>
                    <w:rPr>
                      <w:rFonts w:hint="default" w:eastAsia="宋体"/>
                      <w:color w:val="auto"/>
                      <w:szCs w:val="21"/>
                      <w:lang w:val="en-US" w:eastAsia="zh-CN"/>
                    </w:rPr>
                  </w:pPr>
                  <w:r>
                    <w:rPr>
                      <w:rFonts w:hint="eastAsia"/>
                      <w:color w:val="auto"/>
                      <w:szCs w:val="21"/>
                      <w:lang w:val="en-US" w:eastAsia="zh-CN"/>
                    </w:rPr>
                    <w:t>初期雨水收集池（最大容积200m</w:t>
                  </w:r>
                  <w:r>
                    <w:rPr>
                      <w:rFonts w:hint="eastAsia"/>
                      <w:color w:val="auto"/>
                      <w:szCs w:val="21"/>
                      <w:vertAlign w:val="superscript"/>
                      <w:lang w:val="en-US" w:eastAsia="zh-CN"/>
                    </w:rPr>
                    <w:t>3</w:t>
                  </w:r>
                  <w:r>
                    <w:rPr>
                      <w:rFonts w:hint="eastAsia"/>
                      <w:color w:val="auto"/>
                      <w:szCs w:val="21"/>
                      <w:lang w:val="en-US" w:eastAsia="zh-CN"/>
                    </w:rPr>
                    <w:t>）、600m雨水导流槽</w:t>
                  </w:r>
                </w:p>
              </w:tc>
              <w:tc>
                <w:tcPr>
                  <w:tcW w:w="682" w:type="pct"/>
                  <w:vAlign w:val="center"/>
                </w:tcPr>
                <w:p w14:paraId="27EBE3DA">
                  <w:pPr>
                    <w:pStyle w:val="74"/>
                    <w:rPr>
                      <w:rFonts w:hint="default" w:eastAsia="宋体"/>
                      <w:color w:val="auto"/>
                      <w:szCs w:val="21"/>
                      <w:lang w:val="en-US" w:eastAsia="zh-CN"/>
                    </w:rPr>
                  </w:pPr>
                  <w:r>
                    <w:rPr>
                      <w:rFonts w:hint="eastAsia"/>
                      <w:color w:val="auto"/>
                      <w:szCs w:val="21"/>
                      <w:lang w:val="en-US" w:eastAsia="zh-CN"/>
                    </w:rPr>
                    <w:t>12</w:t>
                  </w:r>
                </w:p>
              </w:tc>
            </w:tr>
            <w:tr w14:paraId="2FD3026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0" w:type="pct"/>
                  <w:vMerge w:val="continue"/>
                  <w:tcBorders>
                    <w:right w:val="single" w:color="auto" w:sz="4" w:space="0"/>
                  </w:tcBorders>
                  <w:vAlign w:val="center"/>
                </w:tcPr>
                <w:p w14:paraId="3CBC1C0C">
                  <w:pPr>
                    <w:pStyle w:val="74"/>
                    <w:rPr>
                      <w:color w:val="auto"/>
                      <w:szCs w:val="21"/>
                    </w:rPr>
                  </w:pPr>
                </w:p>
              </w:tc>
              <w:tc>
                <w:tcPr>
                  <w:tcW w:w="881" w:type="pct"/>
                  <w:vMerge w:val="continue"/>
                  <w:tcBorders>
                    <w:left w:val="single" w:color="auto" w:sz="4" w:space="0"/>
                  </w:tcBorders>
                  <w:vAlign w:val="center"/>
                </w:tcPr>
                <w:p w14:paraId="72247E55">
                  <w:pPr>
                    <w:pStyle w:val="74"/>
                    <w:rPr>
                      <w:color w:val="auto"/>
                      <w:szCs w:val="21"/>
                    </w:rPr>
                  </w:pPr>
                </w:p>
              </w:tc>
              <w:tc>
                <w:tcPr>
                  <w:tcW w:w="3085" w:type="pct"/>
                  <w:vAlign w:val="center"/>
                </w:tcPr>
                <w:p w14:paraId="71960DD4">
                  <w:pPr>
                    <w:pStyle w:val="74"/>
                    <w:rPr>
                      <w:rFonts w:hint="eastAsia" w:eastAsia="宋体"/>
                      <w:color w:val="auto"/>
                      <w:szCs w:val="21"/>
                      <w:lang w:val="en-US" w:eastAsia="zh-CN"/>
                    </w:rPr>
                  </w:pPr>
                  <w:r>
                    <w:rPr>
                      <w:rFonts w:hint="eastAsia"/>
                      <w:color w:val="auto"/>
                      <w:szCs w:val="21"/>
                      <w:lang w:val="en-US" w:eastAsia="zh-CN"/>
                    </w:rPr>
                    <w:t>沉淀池（最大容积10m</w:t>
                  </w:r>
                  <w:r>
                    <w:rPr>
                      <w:rFonts w:hint="eastAsia"/>
                      <w:color w:val="auto"/>
                      <w:szCs w:val="21"/>
                      <w:vertAlign w:val="superscript"/>
                      <w:lang w:val="en-US" w:eastAsia="zh-CN"/>
                    </w:rPr>
                    <w:t>3</w:t>
                  </w:r>
                  <w:r>
                    <w:rPr>
                      <w:rFonts w:hint="eastAsia"/>
                      <w:color w:val="auto"/>
                      <w:szCs w:val="21"/>
                      <w:lang w:val="en-US" w:eastAsia="zh-CN"/>
                    </w:rPr>
                    <w:t>）</w:t>
                  </w:r>
                </w:p>
              </w:tc>
              <w:tc>
                <w:tcPr>
                  <w:tcW w:w="682" w:type="pct"/>
                  <w:vAlign w:val="center"/>
                </w:tcPr>
                <w:p w14:paraId="45ECCF47">
                  <w:pPr>
                    <w:pStyle w:val="74"/>
                    <w:rPr>
                      <w:rFonts w:hint="default" w:eastAsia="宋体"/>
                      <w:color w:val="auto"/>
                      <w:szCs w:val="21"/>
                      <w:lang w:val="en-US" w:eastAsia="zh-CN"/>
                    </w:rPr>
                  </w:pPr>
                  <w:r>
                    <w:rPr>
                      <w:rFonts w:hint="eastAsia"/>
                      <w:color w:val="auto"/>
                      <w:szCs w:val="21"/>
                      <w:lang w:val="en-US" w:eastAsia="zh-CN"/>
                    </w:rPr>
                    <w:t>1.5</w:t>
                  </w:r>
                </w:p>
              </w:tc>
            </w:tr>
            <w:tr w14:paraId="402FAE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0" w:type="pct"/>
                  <w:vMerge w:val="continue"/>
                  <w:tcBorders>
                    <w:right w:val="single" w:color="auto" w:sz="4" w:space="0"/>
                  </w:tcBorders>
                  <w:vAlign w:val="center"/>
                </w:tcPr>
                <w:p w14:paraId="12941BE0">
                  <w:pPr>
                    <w:pStyle w:val="74"/>
                    <w:rPr>
                      <w:color w:val="auto"/>
                      <w:szCs w:val="21"/>
                    </w:rPr>
                  </w:pPr>
                </w:p>
              </w:tc>
              <w:tc>
                <w:tcPr>
                  <w:tcW w:w="881" w:type="pct"/>
                  <w:vMerge w:val="continue"/>
                  <w:tcBorders>
                    <w:left w:val="single" w:color="auto" w:sz="4" w:space="0"/>
                  </w:tcBorders>
                  <w:vAlign w:val="center"/>
                </w:tcPr>
                <w:p w14:paraId="3BB4160E">
                  <w:pPr>
                    <w:pStyle w:val="74"/>
                    <w:rPr>
                      <w:color w:val="auto"/>
                      <w:szCs w:val="21"/>
                    </w:rPr>
                  </w:pPr>
                </w:p>
              </w:tc>
              <w:tc>
                <w:tcPr>
                  <w:tcW w:w="3085" w:type="pct"/>
                  <w:vAlign w:val="center"/>
                </w:tcPr>
                <w:p w14:paraId="5E0DE1CF">
                  <w:pPr>
                    <w:pStyle w:val="74"/>
                    <w:rPr>
                      <w:rFonts w:hint="default" w:eastAsia="宋体"/>
                      <w:color w:val="auto"/>
                      <w:szCs w:val="21"/>
                      <w:lang w:val="en-US" w:eastAsia="zh-CN"/>
                    </w:rPr>
                  </w:pPr>
                  <w:r>
                    <w:rPr>
                      <w:rFonts w:hint="eastAsia"/>
                      <w:color w:val="auto"/>
                      <w:szCs w:val="21"/>
                      <w:lang w:val="en-US" w:eastAsia="zh-CN"/>
                    </w:rPr>
                    <w:t>防渗旱厕</w:t>
                  </w:r>
                </w:p>
              </w:tc>
              <w:tc>
                <w:tcPr>
                  <w:tcW w:w="682" w:type="pct"/>
                  <w:vAlign w:val="center"/>
                </w:tcPr>
                <w:p w14:paraId="1E54D074">
                  <w:pPr>
                    <w:pStyle w:val="74"/>
                    <w:rPr>
                      <w:rFonts w:hint="eastAsia" w:eastAsia="宋体"/>
                      <w:color w:val="auto"/>
                      <w:szCs w:val="21"/>
                      <w:lang w:val="en-US" w:eastAsia="zh-CN"/>
                    </w:rPr>
                  </w:pPr>
                  <w:r>
                    <w:rPr>
                      <w:rFonts w:hint="eastAsia"/>
                      <w:color w:val="auto"/>
                      <w:szCs w:val="21"/>
                      <w:lang w:val="en-US" w:eastAsia="zh-CN"/>
                    </w:rPr>
                    <w:t>1</w:t>
                  </w:r>
                </w:p>
              </w:tc>
            </w:tr>
            <w:tr w14:paraId="674F85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0" w:type="pct"/>
                  <w:vMerge w:val="continue"/>
                  <w:tcBorders>
                    <w:right w:val="single" w:color="auto" w:sz="4" w:space="0"/>
                  </w:tcBorders>
                  <w:vAlign w:val="center"/>
                </w:tcPr>
                <w:p w14:paraId="568ED0D5">
                  <w:pPr>
                    <w:pStyle w:val="74"/>
                    <w:rPr>
                      <w:color w:val="auto"/>
                      <w:szCs w:val="21"/>
                    </w:rPr>
                  </w:pPr>
                </w:p>
              </w:tc>
              <w:tc>
                <w:tcPr>
                  <w:tcW w:w="881" w:type="pct"/>
                  <w:tcBorders>
                    <w:left w:val="single" w:color="auto" w:sz="4" w:space="0"/>
                  </w:tcBorders>
                  <w:vAlign w:val="center"/>
                </w:tcPr>
                <w:p w14:paraId="41165653">
                  <w:pPr>
                    <w:pStyle w:val="74"/>
                    <w:rPr>
                      <w:color w:val="auto"/>
                      <w:szCs w:val="21"/>
                    </w:rPr>
                  </w:pPr>
                  <w:r>
                    <w:rPr>
                      <w:color w:val="auto"/>
                      <w:szCs w:val="21"/>
                    </w:rPr>
                    <w:t>噪声治理</w:t>
                  </w:r>
                </w:p>
              </w:tc>
              <w:tc>
                <w:tcPr>
                  <w:tcW w:w="3085" w:type="pct"/>
                  <w:vAlign w:val="center"/>
                </w:tcPr>
                <w:p w14:paraId="1DB33DAA">
                  <w:pPr>
                    <w:pStyle w:val="74"/>
                    <w:rPr>
                      <w:color w:val="auto"/>
                      <w:szCs w:val="21"/>
                    </w:rPr>
                  </w:pPr>
                  <w:r>
                    <w:rPr>
                      <w:color w:val="auto"/>
                      <w:szCs w:val="21"/>
                    </w:rPr>
                    <w:t>选用低噪声设备，</w:t>
                  </w:r>
                  <w:r>
                    <w:rPr>
                      <w:rFonts w:hint="eastAsia" w:ascii="Times New Roman" w:hAnsi="Times New Roman" w:eastAsia="宋体" w:cs="Times New Roman"/>
                      <w:color w:val="auto"/>
                      <w:szCs w:val="21"/>
                      <w:lang w:val="en-US" w:eastAsia="zh-CN"/>
                    </w:rPr>
                    <w:t>加强厂区运输管理，夜间不生产，车辆减速慢行，降低运输噪声等措施</w:t>
                  </w:r>
                </w:p>
              </w:tc>
              <w:tc>
                <w:tcPr>
                  <w:tcW w:w="682" w:type="pct"/>
                  <w:vAlign w:val="center"/>
                </w:tcPr>
                <w:p w14:paraId="51655DC9">
                  <w:pPr>
                    <w:pStyle w:val="74"/>
                    <w:rPr>
                      <w:rFonts w:hint="eastAsia" w:eastAsia="宋体"/>
                      <w:color w:val="auto"/>
                      <w:szCs w:val="21"/>
                      <w:lang w:eastAsia="zh-CN"/>
                    </w:rPr>
                  </w:pPr>
                  <w:r>
                    <w:rPr>
                      <w:rFonts w:hint="eastAsia"/>
                      <w:color w:val="auto"/>
                      <w:szCs w:val="21"/>
                      <w:lang w:val="en-US" w:eastAsia="zh-CN"/>
                    </w:rPr>
                    <w:t>2</w:t>
                  </w:r>
                </w:p>
              </w:tc>
            </w:tr>
            <w:tr w14:paraId="371D41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350" w:type="pct"/>
                  <w:vMerge w:val="continue"/>
                  <w:tcBorders>
                    <w:right w:val="single" w:color="auto" w:sz="4" w:space="0"/>
                  </w:tcBorders>
                  <w:vAlign w:val="center"/>
                </w:tcPr>
                <w:p w14:paraId="538A1D48">
                  <w:pPr>
                    <w:pStyle w:val="74"/>
                    <w:rPr>
                      <w:color w:val="auto"/>
                      <w:szCs w:val="21"/>
                    </w:rPr>
                  </w:pPr>
                </w:p>
              </w:tc>
              <w:tc>
                <w:tcPr>
                  <w:tcW w:w="881" w:type="pct"/>
                  <w:tcBorders>
                    <w:left w:val="single" w:color="auto" w:sz="4" w:space="0"/>
                  </w:tcBorders>
                  <w:vAlign w:val="center"/>
                </w:tcPr>
                <w:p w14:paraId="1DD98B95">
                  <w:pPr>
                    <w:pStyle w:val="74"/>
                    <w:rPr>
                      <w:color w:val="auto"/>
                      <w:szCs w:val="21"/>
                    </w:rPr>
                  </w:pPr>
                  <w:r>
                    <w:rPr>
                      <w:color w:val="auto"/>
                      <w:szCs w:val="21"/>
                    </w:rPr>
                    <w:t>固废治理</w:t>
                  </w:r>
                </w:p>
              </w:tc>
              <w:tc>
                <w:tcPr>
                  <w:tcW w:w="3085" w:type="pct"/>
                  <w:vAlign w:val="center"/>
                </w:tcPr>
                <w:p w14:paraId="584527F4">
                  <w:pPr>
                    <w:pStyle w:val="74"/>
                    <w:rPr>
                      <w:color w:val="auto"/>
                      <w:szCs w:val="21"/>
                    </w:rPr>
                  </w:pPr>
                  <w:r>
                    <w:rPr>
                      <w:rFonts w:hint="eastAsia" w:eastAsiaTheme="minorEastAsia"/>
                      <w:color w:val="auto"/>
                      <w:lang w:val="en-US" w:eastAsia="zh-CN"/>
                    </w:rPr>
                    <w:t>沉渣集中收集全部用于铺路；</w:t>
                  </w:r>
                  <w:r>
                    <w:rPr>
                      <w:rFonts w:hint="eastAsia"/>
                      <w:color w:val="auto"/>
                      <w:lang w:val="en-US" w:eastAsia="zh-CN"/>
                    </w:rPr>
                    <w:t>废机油、废含油手套、废含油抹布集中收集暂存在危废贮存点，定期委托有资质公司处理；</w:t>
                  </w:r>
                  <w:r>
                    <w:rPr>
                      <w:rFonts w:hint="eastAsia" w:eastAsiaTheme="minorEastAsia"/>
                      <w:color w:val="auto"/>
                      <w:sz w:val="22"/>
                      <w:szCs w:val="18"/>
                    </w:rPr>
                    <w:t>生活垃圾集中收集由市政部门统一处理。</w:t>
                  </w:r>
                </w:p>
              </w:tc>
              <w:tc>
                <w:tcPr>
                  <w:tcW w:w="682" w:type="pct"/>
                  <w:vAlign w:val="center"/>
                </w:tcPr>
                <w:p w14:paraId="00E16921">
                  <w:pPr>
                    <w:pStyle w:val="74"/>
                    <w:rPr>
                      <w:rFonts w:hint="eastAsia" w:eastAsia="宋体"/>
                      <w:color w:val="auto"/>
                      <w:szCs w:val="21"/>
                      <w:lang w:eastAsia="zh-CN"/>
                    </w:rPr>
                  </w:pPr>
                  <w:r>
                    <w:rPr>
                      <w:rFonts w:hint="eastAsia"/>
                      <w:color w:val="auto"/>
                      <w:szCs w:val="21"/>
                      <w:lang w:val="en-US" w:eastAsia="zh-CN"/>
                    </w:rPr>
                    <w:t>2</w:t>
                  </w:r>
                </w:p>
              </w:tc>
            </w:tr>
            <w:tr w14:paraId="25C2F7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350" w:type="pct"/>
                  <w:vMerge w:val="continue"/>
                  <w:tcBorders>
                    <w:right w:val="single" w:color="auto" w:sz="4" w:space="0"/>
                  </w:tcBorders>
                  <w:vAlign w:val="center"/>
                </w:tcPr>
                <w:p w14:paraId="46B1FBC3">
                  <w:pPr>
                    <w:pStyle w:val="74"/>
                    <w:rPr>
                      <w:color w:val="auto"/>
                      <w:szCs w:val="21"/>
                    </w:rPr>
                  </w:pPr>
                </w:p>
              </w:tc>
              <w:tc>
                <w:tcPr>
                  <w:tcW w:w="881" w:type="pct"/>
                  <w:tcBorders>
                    <w:left w:val="single" w:color="auto" w:sz="4" w:space="0"/>
                  </w:tcBorders>
                  <w:vAlign w:val="center"/>
                </w:tcPr>
                <w:p w14:paraId="58329478">
                  <w:pPr>
                    <w:pStyle w:val="74"/>
                    <w:rPr>
                      <w:rFonts w:hint="default" w:eastAsia="宋体"/>
                      <w:color w:val="auto"/>
                      <w:szCs w:val="21"/>
                      <w:lang w:val="en-US" w:eastAsia="zh-CN"/>
                    </w:rPr>
                  </w:pPr>
                  <w:r>
                    <w:rPr>
                      <w:rFonts w:hint="eastAsia"/>
                      <w:color w:val="auto"/>
                      <w:szCs w:val="21"/>
                      <w:lang w:val="en-US" w:eastAsia="zh-CN"/>
                    </w:rPr>
                    <w:t>防渗措施</w:t>
                  </w:r>
                </w:p>
              </w:tc>
              <w:tc>
                <w:tcPr>
                  <w:tcW w:w="3085" w:type="pct"/>
                  <w:vAlign w:val="center"/>
                </w:tcPr>
                <w:p w14:paraId="49406F48">
                  <w:pPr>
                    <w:pStyle w:val="74"/>
                    <w:rPr>
                      <w:rFonts w:hint="default" w:eastAsiaTheme="minorEastAsia"/>
                      <w:color w:val="auto"/>
                      <w:lang w:val="en-US" w:eastAsia="zh-CN"/>
                    </w:rPr>
                  </w:pPr>
                  <w:r>
                    <w:rPr>
                      <w:rFonts w:hint="eastAsia" w:eastAsia="宋体" w:cs="Times New Roman"/>
                      <w:color w:val="auto"/>
                      <w:sz w:val="22"/>
                      <w:szCs w:val="18"/>
                      <w:highlight w:val="none"/>
                      <w:lang w:val="en-US" w:eastAsia="zh-CN"/>
                    </w:rPr>
                    <w:t>项目</w:t>
                  </w:r>
                  <w:r>
                    <w:rPr>
                      <w:rFonts w:hint="eastAsia" w:cs="Times New Roman"/>
                      <w:color w:val="auto"/>
                      <w:sz w:val="21"/>
                      <w:szCs w:val="21"/>
                      <w:highlight w:val="none"/>
                      <w:lang w:val="en-US" w:eastAsia="zh-CN"/>
                    </w:rPr>
                    <w:t>危废贮存点采取</w:t>
                  </w:r>
                  <w:r>
                    <w:rPr>
                      <w:rFonts w:ascii="Times New Roman" w:hAnsi="Times New Roman" w:cs="Times New Roman"/>
                      <w:color w:val="auto"/>
                      <w:sz w:val="21"/>
                      <w:szCs w:val="21"/>
                    </w:rPr>
                    <w:t>地面与裙脚采用坚固防渗的材料建造，防风、防晒、防雨；基础</w:t>
                  </w:r>
                  <w:r>
                    <w:rPr>
                      <w:rFonts w:hint="eastAsia" w:ascii="Times New Roman" w:hAnsi="Times New Roman" w:cs="Times New Roman"/>
                      <w:color w:val="auto"/>
                      <w:sz w:val="21"/>
                      <w:szCs w:val="21"/>
                    </w:rPr>
                    <w:t>敷设</w:t>
                  </w:r>
                  <w:r>
                    <w:rPr>
                      <w:rFonts w:ascii="Times New Roman" w:hAnsi="Times New Roman" w:cs="Times New Roman"/>
                      <w:color w:val="auto"/>
                      <w:sz w:val="21"/>
                      <w:szCs w:val="21"/>
                    </w:rPr>
                    <w:t>至少2mm厚的高密度聚乙烯防水层，上部敷设10cm厚水泥层，渗透系数应≤1×10</w:t>
                  </w:r>
                  <w:r>
                    <w:rPr>
                      <w:rFonts w:ascii="Times New Roman" w:hAnsi="Times New Roman" w:cs="Times New Roman"/>
                      <w:color w:val="auto"/>
                      <w:sz w:val="21"/>
                      <w:szCs w:val="21"/>
                      <w:vertAlign w:val="superscript"/>
                    </w:rPr>
                    <w:t>-10</w:t>
                  </w:r>
                  <w:r>
                    <w:rPr>
                      <w:rFonts w:ascii="Times New Roman" w:hAnsi="Times New Roman" w:cs="Times New Roman"/>
                      <w:color w:val="auto"/>
                      <w:sz w:val="21"/>
                      <w:szCs w:val="21"/>
                    </w:rPr>
                    <w:t>cm/s</w:t>
                  </w:r>
                  <w:r>
                    <w:rPr>
                      <w:rFonts w:hint="eastAsia" w:ascii="Times New Roman" w:hAnsi="Times New Roman" w:cs="Times New Roman"/>
                      <w:color w:val="auto"/>
                      <w:sz w:val="21"/>
                      <w:szCs w:val="21"/>
                      <w:lang w:val="en-US" w:eastAsia="zh-CN"/>
                    </w:rPr>
                    <w:t>的防渗措施，满足重点防渗区要求。</w:t>
                  </w:r>
                  <w:r>
                    <w:rPr>
                      <w:rFonts w:hint="eastAsia" w:eastAsia="宋体" w:cs="Times New Roman"/>
                      <w:color w:val="auto"/>
                      <w:sz w:val="22"/>
                      <w:szCs w:val="18"/>
                      <w:highlight w:val="none"/>
                      <w:lang w:val="en-US" w:eastAsia="zh-CN"/>
                    </w:rPr>
                    <w:t>煤炭堆场、初期雨水收集池、沉淀池地面采取防渗性能不低于1.5m厚等效粘土防渗层，渗透系数K≤1×10</w:t>
                  </w:r>
                  <w:r>
                    <w:rPr>
                      <w:rFonts w:hint="eastAsia" w:eastAsia="宋体" w:cs="Times New Roman"/>
                      <w:color w:val="auto"/>
                      <w:sz w:val="22"/>
                      <w:szCs w:val="18"/>
                      <w:highlight w:val="none"/>
                      <w:vertAlign w:val="superscript"/>
                      <w:lang w:val="en-US" w:eastAsia="zh-CN"/>
                    </w:rPr>
                    <w:t>-7</w:t>
                  </w:r>
                  <w:r>
                    <w:rPr>
                      <w:rFonts w:hint="eastAsia" w:eastAsia="宋体" w:cs="Times New Roman"/>
                      <w:color w:val="auto"/>
                      <w:sz w:val="22"/>
                      <w:szCs w:val="18"/>
                      <w:highlight w:val="none"/>
                      <w:lang w:val="en-US" w:eastAsia="zh-CN"/>
                    </w:rPr>
                    <w:t>cm/s的防渗性能措施，满足一般防渗区要求。厂区道路进行水泥硬化，满足简单防渗区要求。除一般防渗区全厂区其他区域敷设水泥硬化路面，满足简单防渗区要求。</w:t>
                  </w:r>
                </w:p>
              </w:tc>
              <w:tc>
                <w:tcPr>
                  <w:tcW w:w="682" w:type="pct"/>
                  <w:vAlign w:val="center"/>
                </w:tcPr>
                <w:p w14:paraId="47652887">
                  <w:pPr>
                    <w:pStyle w:val="74"/>
                    <w:rPr>
                      <w:rFonts w:hint="default"/>
                      <w:color w:val="auto"/>
                      <w:szCs w:val="21"/>
                      <w:lang w:val="en-US" w:eastAsia="zh-CN"/>
                    </w:rPr>
                  </w:pPr>
                  <w:r>
                    <w:rPr>
                      <w:rFonts w:hint="eastAsia"/>
                      <w:color w:val="auto"/>
                      <w:szCs w:val="21"/>
                      <w:lang w:val="en-US" w:eastAsia="zh-CN"/>
                    </w:rPr>
                    <w:t>30</w:t>
                  </w:r>
                </w:p>
              </w:tc>
            </w:tr>
            <w:tr w14:paraId="2D85FEA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0" w:type="pct"/>
                  <w:vMerge w:val="continue"/>
                  <w:tcBorders>
                    <w:right w:val="single" w:color="auto" w:sz="4" w:space="0"/>
                  </w:tcBorders>
                  <w:vAlign w:val="center"/>
                </w:tcPr>
                <w:p w14:paraId="2D3A6E53">
                  <w:pPr>
                    <w:pStyle w:val="74"/>
                    <w:rPr>
                      <w:color w:val="auto"/>
                      <w:szCs w:val="21"/>
                    </w:rPr>
                  </w:pPr>
                </w:p>
              </w:tc>
              <w:tc>
                <w:tcPr>
                  <w:tcW w:w="881" w:type="pct"/>
                  <w:tcBorders>
                    <w:left w:val="single" w:color="auto" w:sz="4" w:space="0"/>
                  </w:tcBorders>
                  <w:vAlign w:val="center"/>
                </w:tcPr>
                <w:p w14:paraId="7263BBE3">
                  <w:pPr>
                    <w:pStyle w:val="74"/>
                    <w:rPr>
                      <w:color w:val="auto"/>
                      <w:szCs w:val="21"/>
                    </w:rPr>
                  </w:pPr>
                  <w:r>
                    <w:rPr>
                      <w:color w:val="auto"/>
                      <w:szCs w:val="21"/>
                    </w:rPr>
                    <w:t>监测、运行维护费用</w:t>
                  </w:r>
                </w:p>
              </w:tc>
              <w:tc>
                <w:tcPr>
                  <w:tcW w:w="3085" w:type="pct"/>
                  <w:vAlign w:val="center"/>
                </w:tcPr>
                <w:p w14:paraId="7CDE507D">
                  <w:pPr>
                    <w:pStyle w:val="74"/>
                    <w:rPr>
                      <w:color w:val="auto"/>
                      <w:szCs w:val="21"/>
                    </w:rPr>
                  </w:pPr>
                  <w:r>
                    <w:rPr>
                      <w:color w:val="auto"/>
                      <w:szCs w:val="21"/>
                    </w:rPr>
                    <w:t>环境保护措施和设施的运行维护费用、</w:t>
                  </w:r>
                  <w:r>
                    <w:rPr>
                      <w:rFonts w:hint="eastAsia"/>
                      <w:color w:val="auto"/>
                      <w:szCs w:val="21"/>
                    </w:rPr>
                    <w:t>例行监测</w:t>
                  </w:r>
                </w:p>
              </w:tc>
              <w:tc>
                <w:tcPr>
                  <w:tcW w:w="682" w:type="pct"/>
                  <w:vAlign w:val="center"/>
                </w:tcPr>
                <w:p w14:paraId="376CCD72">
                  <w:pPr>
                    <w:pStyle w:val="74"/>
                    <w:rPr>
                      <w:color w:val="auto"/>
                      <w:szCs w:val="21"/>
                    </w:rPr>
                  </w:pPr>
                  <w:r>
                    <w:rPr>
                      <w:rFonts w:hint="eastAsia"/>
                      <w:color w:val="auto"/>
                      <w:szCs w:val="21"/>
                    </w:rPr>
                    <w:t>10</w:t>
                  </w:r>
                </w:p>
              </w:tc>
            </w:tr>
            <w:tr w14:paraId="773FEFE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317" w:type="pct"/>
                  <w:gridSpan w:val="3"/>
                  <w:vAlign w:val="center"/>
                </w:tcPr>
                <w:p w14:paraId="4957E404">
                  <w:pPr>
                    <w:pStyle w:val="74"/>
                    <w:rPr>
                      <w:color w:val="auto"/>
                      <w:szCs w:val="21"/>
                    </w:rPr>
                  </w:pPr>
                  <w:r>
                    <w:rPr>
                      <w:color w:val="auto"/>
                      <w:szCs w:val="21"/>
                    </w:rPr>
                    <w:t>合计</w:t>
                  </w:r>
                </w:p>
              </w:tc>
              <w:tc>
                <w:tcPr>
                  <w:tcW w:w="682" w:type="pct"/>
                  <w:vAlign w:val="center"/>
                </w:tcPr>
                <w:p w14:paraId="28CCE827">
                  <w:pPr>
                    <w:widowControl/>
                    <w:jc w:val="center"/>
                    <w:rPr>
                      <w:rFonts w:hint="default" w:eastAsia="宋体"/>
                      <w:color w:val="auto"/>
                      <w:kern w:val="0"/>
                      <w:szCs w:val="21"/>
                      <w:lang w:val="en-US" w:eastAsia="zh-CN"/>
                    </w:rPr>
                  </w:pPr>
                  <w:r>
                    <w:rPr>
                      <w:rFonts w:hint="eastAsia"/>
                      <w:color w:val="auto"/>
                      <w:kern w:val="0"/>
                      <w:szCs w:val="21"/>
                      <w:lang w:val="en-US" w:eastAsia="zh-CN"/>
                    </w:rPr>
                    <w:t>105.5</w:t>
                  </w:r>
                </w:p>
              </w:tc>
            </w:tr>
            <w:tr w14:paraId="0DB878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317" w:type="pct"/>
                  <w:gridSpan w:val="3"/>
                  <w:vAlign w:val="center"/>
                </w:tcPr>
                <w:p w14:paraId="154A09FC">
                  <w:pPr>
                    <w:pStyle w:val="74"/>
                    <w:rPr>
                      <w:color w:val="auto"/>
                      <w:szCs w:val="21"/>
                    </w:rPr>
                  </w:pPr>
                  <w:r>
                    <w:rPr>
                      <w:color w:val="auto"/>
                      <w:szCs w:val="21"/>
                    </w:rPr>
                    <w:t>总投资</w:t>
                  </w:r>
                </w:p>
              </w:tc>
              <w:tc>
                <w:tcPr>
                  <w:tcW w:w="682" w:type="pct"/>
                  <w:vAlign w:val="center"/>
                </w:tcPr>
                <w:p w14:paraId="1E303365">
                  <w:pPr>
                    <w:jc w:val="center"/>
                    <w:rPr>
                      <w:rFonts w:hint="default" w:eastAsia="宋体"/>
                      <w:color w:val="auto"/>
                      <w:szCs w:val="21"/>
                      <w:lang w:val="en-US" w:eastAsia="zh-CN"/>
                    </w:rPr>
                  </w:pPr>
                  <w:r>
                    <w:rPr>
                      <w:rFonts w:hint="eastAsia"/>
                      <w:color w:val="auto"/>
                      <w:szCs w:val="21"/>
                      <w:lang w:val="en-US" w:eastAsia="zh-CN"/>
                    </w:rPr>
                    <w:t>400</w:t>
                  </w:r>
                </w:p>
              </w:tc>
            </w:tr>
            <w:tr w14:paraId="183334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317" w:type="pct"/>
                  <w:gridSpan w:val="3"/>
                  <w:vAlign w:val="center"/>
                </w:tcPr>
                <w:p w14:paraId="58D6B8C0">
                  <w:pPr>
                    <w:pStyle w:val="74"/>
                    <w:rPr>
                      <w:color w:val="auto"/>
                      <w:szCs w:val="21"/>
                    </w:rPr>
                  </w:pPr>
                  <w:r>
                    <w:rPr>
                      <w:color w:val="auto"/>
                      <w:szCs w:val="21"/>
                    </w:rPr>
                    <w:t>环保投资比</w:t>
                  </w:r>
                </w:p>
              </w:tc>
              <w:tc>
                <w:tcPr>
                  <w:tcW w:w="682" w:type="pct"/>
                  <w:vAlign w:val="center"/>
                </w:tcPr>
                <w:p w14:paraId="738B1D7E">
                  <w:pPr>
                    <w:pStyle w:val="74"/>
                    <w:rPr>
                      <w:rFonts w:hint="default" w:eastAsia="宋体"/>
                      <w:color w:val="auto"/>
                      <w:szCs w:val="21"/>
                      <w:lang w:val="en-US" w:eastAsia="zh-CN"/>
                    </w:rPr>
                  </w:pPr>
                  <w:r>
                    <w:rPr>
                      <w:rFonts w:hint="eastAsia"/>
                      <w:color w:val="auto"/>
                      <w:szCs w:val="21"/>
                      <w:lang w:val="en-US" w:eastAsia="zh-CN"/>
                    </w:rPr>
                    <w:t>26.4</w:t>
                  </w:r>
                </w:p>
              </w:tc>
            </w:tr>
          </w:tbl>
          <w:p w14:paraId="6C1BC8FE">
            <w:pPr>
              <w:pStyle w:val="9"/>
              <w:adjustRightInd w:val="0"/>
              <w:snapToGrid w:val="0"/>
              <w:spacing w:after="0" w:line="360" w:lineRule="auto"/>
              <w:ind w:firstLine="482" w:firstLineChars="200"/>
              <w:rPr>
                <w:b/>
                <w:bCs/>
                <w:color w:val="auto"/>
                <w:sz w:val="24"/>
              </w:rPr>
            </w:pPr>
            <w:r>
              <w:rPr>
                <w:rFonts w:hint="eastAsia"/>
                <w:b/>
                <w:bCs/>
                <w:color w:val="auto"/>
                <w:sz w:val="24"/>
              </w:rPr>
              <w:t>9、</w:t>
            </w:r>
            <w:r>
              <w:rPr>
                <w:b/>
                <w:bCs/>
                <w:color w:val="auto"/>
                <w:sz w:val="24"/>
              </w:rPr>
              <w:t>劳动定员与工作制</w:t>
            </w:r>
          </w:p>
          <w:p w14:paraId="08777737">
            <w:pPr>
              <w:tabs>
                <w:tab w:val="left" w:pos="2940"/>
              </w:tabs>
              <w:adjustRightInd w:val="0"/>
              <w:snapToGrid w:val="0"/>
              <w:spacing w:line="360" w:lineRule="auto"/>
              <w:ind w:firstLine="480" w:firstLineChars="200"/>
              <w:rPr>
                <w:color w:val="auto"/>
                <w:sz w:val="24"/>
              </w:rPr>
            </w:pPr>
            <w:r>
              <w:rPr>
                <w:color w:val="auto"/>
                <w:sz w:val="24"/>
              </w:rPr>
              <w:t>本项目员工人数</w:t>
            </w:r>
            <w:r>
              <w:rPr>
                <w:rFonts w:hint="eastAsia"/>
                <w:color w:val="auto"/>
                <w:sz w:val="24"/>
                <w:lang w:val="en-US" w:eastAsia="zh-CN"/>
              </w:rPr>
              <w:t>7</w:t>
            </w:r>
            <w:r>
              <w:rPr>
                <w:color w:val="auto"/>
                <w:sz w:val="24"/>
              </w:rPr>
              <w:t>人，</w:t>
            </w:r>
            <w:r>
              <w:rPr>
                <w:rFonts w:hint="eastAsia"/>
                <w:color w:val="auto"/>
                <w:sz w:val="24"/>
              </w:rPr>
              <w:t>一</w:t>
            </w:r>
            <w:r>
              <w:rPr>
                <w:color w:val="auto"/>
                <w:sz w:val="24"/>
              </w:rPr>
              <w:t>班制，每班</w:t>
            </w:r>
            <w:r>
              <w:rPr>
                <w:rFonts w:hint="eastAsia"/>
                <w:color w:val="auto"/>
                <w:sz w:val="24"/>
                <w:lang w:val="en-US" w:eastAsia="zh-CN"/>
              </w:rPr>
              <w:t>8</w:t>
            </w:r>
            <w:r>
              <w:rPr>
                <w:color w:val="auto"/>
                <w:sz w:val="24"/>
              </w:rPr>
              <w:t>小时，年工作</w:t>
            </w:r>
            <w:r>
              <w:rPr>
                <w:rFonts w:hint="eastAsia"/>
                <w:color w:val="auto"/>
                <w:sz w:val="24"/>
                <w:lang w:val="en-US" w:eastAsia="zh-CN"/>
              </w:rPr>
              <w:t>210</w:t>
            </w:r>
            <w:r>
              <w:rPr>
                <w:color w:val="auto"/>
                <w:sz w:val="24"/>
              </w:rPr>
              <w:t>天</w:t>
            </w:r>
            <w:r>
              <w:rPr>
                <w:rFonts w:hint="eastAsia"/>
                <w:color w:val="auto"/>
                <w:sz w:val="24"/>
                <w:lang w:eastAsia="zh-CN"/>
              </w:rPr>
              <w:t>（</w:t>
            </w:r>
            <w:r>
              <w:rPr>
                <w:rFonts w:hint="eastAsia"/>
                <w:color w:val="auto"/>
                <w:sz w:val="24"/>
                <w:lang w:val="en-US" w:eastAsia="zh-CN"/>
              </w:rPr>
              <w:t>5月至11月</w:t>
            </w:r>
            <w:r>
              <w:rPr>
                <w:rFonts w:hint="eastAsia"/>
                <w:color w:val="auto"/>
                <w:sz w:val="24"/>
                <w:lang w:eastAsia="zh-CN"/>
              </w:rPr>
              <w:t>），</w:t>
            </w:r>
            <w:r>
              <w:rPr>
                <w:rFonts w:hint="eastAsia"/>
                <w:color w:val="auto"/>
                <w:sz w:val="24"/>
                <w:lang w:val="en-US" w:eastAsia="zh-CN"/>
              </w:rPr>
              <w:t>本项目不设食堂和宿舍</w:t>
            </w:r>
            <w:r>
              <w:rPr>
                <w:color w:val="auto"/>
                <w:sz w:val="24"/>
              </w:rPr>
              <w:t>。</w:t>
            </w:r>
          </w:p>
          <w:p w14:paraId="3520183C">
            <w:pPr>
              <w:pStyle w:val="9"/>
              <w:adjustRightInd w:val="0"/>
              <w:snapToGrid w:val="0"/>
              <w:spacing w:after="0" w:line="360" w:lineRule="auto"/>
              <w:ind w:firstLine="482" w:firstLineChars="200"/>
              <w:rPr>
                <w:b/>
                <w:bCs/>
                <w:color w:val="auto"/>
                <w:sz w:val="24"/>
              </w:rPr>
            </w:pPr>
            <w:r>
              <w:rPr>
                <w:rFonts w:hint="eastAsia"/>
                <w:b/>
                <w:bCs/>
                <w:color w:val="auto"/>
                <w:sz w:val="24"/>
              </w:rPr>
              <w:t>10、</w:t>
            </w:r>
            <w:r>
              <w:rPr>
                <w:b/>
                <w:bCs/>
                <w:color w:val="auto"/>
                <w:sz w:val="24"/>
              </w:rPr>
              <w:t>总平面布置</w:t>
            </w:r>
          </w:p>
          <w:p w14:paraId="5EF6FB4B">
            <w:pPr>
              <w:pStyle w:val="9"/>
              <w:adjustRightInd w:val="0"/>
              <w:snapToGrid w:val="0"/>
              <w:spacing w:after="0" w:line="360" w:lineRule="auto"/>
              <w:ind w:firstLine="480" w:firstLineChars="200"/>
              <w:rPr>
                <w:color w:val="auto"/>
                <w:sz w:val="24"/>
              </w:rPr>
            </w:pPr>
            <w:r>
              <w:rPr>
                <w:color w:val="auto"/>
                <w:sz w:val="24"/>
              </w:rPr>
              <w:t>本项目</w:t>
            </w:r>
            <w:r>
              <w:rPr>
                <w:rFonts w:hint="eastAsia"/>
                <w:color w:val="auto"/>
                <w:spacing w:val="4"/>
                <w:sz w:val="24"/>
              </w:rPr>
              <w:t>占地面</w:t>
            </w:r>
            <w:r>
              <w:rPr>
                <w:rFonts w:hint="eastAsia"/>
                <w:color w:val="auto"/>
                <w:sz w:val="24"/>
              </w:rPr>
              <w:t>积</w:t>
            </w:r>
            <w:r>
              <w:rPr>
                <w:rFonts w:hint="eastAsia"/>
                <w:color w:val="auto"/>
                <w:sz w:val="24"/>
                <w:lang w:val="en-US" w:eastAsia="zh-CN"/>
              </w:rPr>
              <w:t>19855</w:t>
            </w:r>
            <w:r>
              <w:rPr>
                <w:color w:val="auto"/>
                <w:spacing w:val="4"/>
                <w:sz w:val="24"/>
              </w:rPr>
              <w:t>m</w:t>
            </w:r>
            <w:r>
              <w:rPr>
                <w:color w:val="auto"/>
                <w:spacing w:val="4"/>
                <w:sz w:val="24"/>
                <w:vertAlign w:val="superscript"/>
              </w:rPr>
              <w:t>2</w:t>
            </w:r>
            <w:r>
              <w:rPr>
                <w:rFonts w:hint="eastAsia"/>
                <w:color w:val="auto"/>
                <w:spacing w:val="4"/>
                <w:sz w:val="24"/>
              </w:rPr>
              <w:t>，总建筑面积</w:t>
            </w:r>
            <w:r>
              <w:rPr>
                <w:rFonts w:hint="eastAsia"/>
                <w:color w:val="auto"/>
                <w:spacing w:val="4"/>
                <w:sz w:val="24"/>
                <w:lang w:val="en-US" w:eastAsia="zh-CN"/>
              </w:rPr>
              <w:t>10</w:t>
            </w:r>
            <w:r>
              <w:rPr>
                <w:color w:val="auto"/>
                <w:spacing w:val="4"/>
                <w:sz w:val="24"/>
              </w:rPr>
              <w:t>m</w:t>
            </w:r>
            <w:r>
              <w:rPr>
                <w:color w:val="auto"/>
                <w:spacing w:val="4"/>
                <w:sz w:val="24"/>
                <w:vertAlign w:val="superscript"/>
              </w:rPr>
              <w:t>2</w:t>
            </w:r>
            <w:r>
              <w:rPr>
                <w:color w:val="auto"/>
                <w:sz w:val="24"/>
              </w:rPr>
              <w:t>。</w:t>
            </w:r>
            <w:r>
              <w:rPr>
                <w:rFonts w:hint="eastAsia"/>
                <w:color w:val="auto"/>
                <w:sz w:val="24"/>
                <w:lang w:val="en-US" w:eastAsia="zh-CN"/>
              </w:rPr>
              <w:t>本项目煤炭堆场有两处，一处位于厂区北侧，一处位于厂区南侧，危废贮存点位于厂区北侧，沉淀池位于厂区西侧，初期雨水收集池位于厂区东北侧。</w:t>
            </w:r>
            <w:r>
              <w:rPr>
                <w:color w:val="auto"/>
                <w:sz w:val="24"/>
              </w:rPr>
              <w:t>本项目平面布置图见附图3。</w:t>
            </w:r>
          </w:p>
          <w:p w14:paraId="6F1737E4">
            <w:pPr>
              <w:pStyle w:val="9"/>
              <w:adjustRightInd w:val="0"/>
              <w:snapToGrid w:val="0"/>
              <w:spacing w:after="0" w:line="360" w:lineRule="auto"/>
              <w:ind w:firstLine="480" w:firstLineChars="200"/>
              <w:rPr>
                <w:color w:val="auto"/>
                <w:sz w:val="24"/>
              </w:rPr>
            </w:pPr>
            <w:r>
              <w:rPr>
                <w:color w:val="auto"/>
                <w:sz w:val="24"/>
              </w:rPr>
              <w:t>项目平面布置功能分区合理、布局紧凑，各个建筑物的布置均满足工艺需要。</w:t>
            </w:r>
          </w:p>
          <w:p w14:paraId="4FA36F87">
            <w:pPr>
              <w:pStyle w:val="9"/>
              <w:adjustRightInd w:val="0"/>
              <w:snapToGrid w:val="0"/>
              <w:spacing w:after="0" w:line="360" w:lineRule="auto"/>
              <w:ind w:firstLine="480" w:firstLineChars="200"/>
              <w:rPr>
                <w:rFonts w:cs="宋体"/>
                <w:bCs/>
                <w:color w:val="auto"/>
                <w:szCs w:val="21"/>
              </w:rPr>
            </w:pPr>
            <w:r>
              <w:rPr>
                <w:color w:val="auto"/>
                <w:sz w:val="24"/>
              </w:rPr>
              <w:t>项目所在地道路系统完善，有利于原料及产品的运输。因此，本项目平面布置合理。</w:t>
            </w:r>
          </w:p>
        </w:tc>
      </w:tr>
      <w:tr w14:paraId="147B21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1" w:hRule="atLeast"/>
          <w:jc w:val="center"/>
        </w:trPr>
        <w:tc>
          <w:tcPr>
            <w:tcW w:w="769" w:type="dxa"/>
            <w:vAlign w:val="center"/>
          </w:tcPr>
          <w:p w14:paraId="45A34792">
            <w:pPr>
              <w:pStyle w:val="15"/>
              <w:adjustRightInd w:val="0"/>
              <w:snapToGrid w:val="0"/>
              <w:rPr>
                <w:rFonts w:ascii="Times New Roman" w:hAnsi="Times New Roman" w:cs="宋体"/>
                <w:color w:val="auto"/>
                <w:szCs w:val="24"/>
              </w:rPr>
            </w:pPr>
            <w:r>
              <w:rPr>
                <w:rFonts w:hint="eastAsia" w:ascii="Times New Roman" w:hAnsi="Times New Roman" w:cs="宋体"/>
                <w:bCs/>
                <w:color w:val="auto"/>
                <w:kern w:val="2"/>
                <w:szCs w:val="21"/>
              </w:rPr>
              <w:t>工艺流程和产排污环节</w:t>
            </w:r>
          </w:p>
        </w:tc>
        <w:tc>
          <w:tcPr>
            <w:tcW w:w="8291" w:type="dxa"/>
          </w:tcPr>
          <w:p w14:paraId="7C9B4161">
            <w:pPr>
              <w:pStyle w:val="3"/>
              <w:spacing w:after="0" w:line="360" w:lineRule="auto"/>
              <w:ind w:left="0" w:leftChars="0"/>
              <w:rPr>
                <w:b/>
                <w:bCs/>
                <w:color w:val="auto"/>
                <w:sz w:val="24"/>
                <w:szCs w:val="20"/>
              </w:rPr>
            </w:pPr>
            <w:bookmarkStart w:id="4" w:name="_Toc404437502"/>
            <w:bookmarkStart w:id="5" w:name="_Toc414816027"/>
            <w:bookmarkStart w:id="6" w:name="_Toc404437928"/>
            <w:bookmarkStart w:id="7" w:name="_Toc388882371"/>
            <w:bookmarkStart w:id="8" w:name="_Toc407620579"/>
            <w:r>
              <w:rPr>
                <w:b/>
                <w:bCs/>
                <w:color w:val="auto"/>
                <w:sz w:val="24"/>
                <w:szCs w:val="20"/>
              </w:rPr>
              <w:t>工艺流程简述：</w:t>
            </w:r>
          </w:p>
          <w:bookmarkEnd w:id="4"/>
          <w:bookmarkEnd w:id="5"/>
          <w:bookmarkEnd w:id="6"/>
          <w:bookmarkEnd w:id="7"/>
          <w:bookmarkEnd w:id="8"/>
          <w:p w14:paraId="42C2EE08">
            <w:pPr>
              <w:pStyle w:val="9"/>
              <w:adjustRightInd w:val="0"/>
              <w:snapToGrid w:val="0"/>
              <w:spacing w:after="0" w:line="360" w:lineRule="auto"/>
              <w:ind w:firstLine="480" w:firstLineChars="200"/>
              <w:rPr>
                <w:color w:val="auto"/>
                <w:sz w:val="24"/>
              </w:rPr>
            </w:pPr>
            <w:bookmarkStart w:id="9" w:name="_Hlk84352697"/>
            <w:r>
              <w:rPr>
                <w:rFonts w:hint="eastAsia"/>
                <w:color w:val="auto"/>
                <w:sz w:val="24"/>
              </w:rPr>
              <w:t>本项目主要工艺有：</w:t>
            </w:r>
            <w:r>
              <w:rPr>
                <w:rFonts w:hint="eastAsia"/>
                <w:color w:val="auto"/>
                <w:sz w:val="24"/>
                <w:lang w:val="en-US" w:eastAsia="zh-CN"/>
              </w:rPr>
              <w:t>卸煤、储煤、外运</w:t>
            </w:r>
            <w:r>
              <w:rPr>
                <w:rFonts w:hint="eastAsia"/>
                <w:color w:val="auto"/>
                <w:sz w:val="24"/>
              </w:rPr>
              <w:t>等。</w:t>
            </w:r>
          </w:p>
          <w:p w14:paraId="5AD8AC05">
            <w:pPr>
              <w:pStyle w:val="9"/>
              <w:adjustRightInd w:val="0"/>
              <w:snapToGrid w:val="0"/>
              <w:spacing w:after="0" w:line="360" w:lineRule="auto"/>
              <w:ind w:firstLine="480" w:firstLineChars="200"/>
              <w:rPr>
                <w:rFonts w:hint="default" w:eastAsia="宋体"/>
                <w:color w:val="auto"/>
                <w:sz w:val="24"/>
                <w:lang w:val="en-US" w:eastAsia="zh-CN"/>
              </w:rPr>
            </w:pPr>
            <w:r>
              <w:rPr>
                <w:rFonts w:hint="eastAsia"/>
                <w:color w:val="auto"/>
                <w:sz w:val="24"/>
              </w:rPr>
              <w:t>1、</w:t>
            </w:r>
            <w:r>
              <w:rPr>
                <w:rFonts w:hint="eastAsia"/>
                <w:color w:val="auto"/>
                <w:sz w:val="24"/>
                <w:lang w:val="en-US" w:eastAsia="zh-CN"/>
              </w:rPr>
              <w:t>卸煤</w:t>
            </w:r>
          </w:p>
          <w:p w14:paraId="522E40EA">
            <w:pPr>
              <w:pStyle w:val="9"/>
              <w:adjustRightInd w:val="0"/>
              <w:snapToGrid w:val="0"/>
              <w:spacing w:after="0" w:line="360" w:lineRule="auto"/>
              <w:ind w:firstLine="480" w:firstLineChars="200"/>
              <w:rPr>
                <w:rFonts w:hint="eastAsia"/>
                <w:color w:val="auto"/>
                <w:sz w:val="24"/>
              </w:rPr>
            </w:pPr>
            <w:r>
              <w:rPr>
                <w:rFonts w:hint="eastAsia"/>
                <w:color w:val="auto"/>
                <w:sz w:val="24"/>
              </w:rPr>
              <w:t>项目</w:t>
            </w:r>
            <w:r>
              <w:rPr>
                <w:rFonts w:hint="eastAsia"/>
                <w:color w:val="auto"/>
                <w:sz w:val="24"/>
                <w:lang w:val="en-US" w:eastAsia="zh-CN"/>
              </w:rPr>
              <w:t>煤炭</w:t>
            </w:r>
            <w:r>
              <w:rPr>
                <w:rFonts w:hint="eastAsia"/>
                <w:color w:val="auto"/>
                <w:sz w:val="24"/>
              </w:rPr>
              <w:t>由</w:t>
            </w:r>
            <w:r>
              <w:rPr>
                <w:rFonts w:hint="eastAsia"/>
                <w:color w:val="auto"/>
                <w:sz w:val="24"/>
                <w:lang w:val="en-US" w:eastAsia="zh-CN"/>
              </w:rPr>
              <w:t>周边煤矿厂派运输车辆运送至本项目厂区</w:t>
            </w:r>
            <w:r>
              <w:rPr>
                <w:rFonts w:hint="eastAsia"/>
                <w:color w:val="auto"/>
                <w:sz w:val="24"/>
              </w:rPr>
              <w:t>，直接</w:t>
            </w:r>
            <w:r>
              <w:rPr>
                <w:rFonts w:hint="eastAsia"/>
                <w:color w:val="auto"/>
                <w:sz w:val="24"/>
                <w:lang w:val="en-US" w:eastAsia="zh-CN"/>
              </w:rPr>
              <w:t>卸在煤炭堆场堆存</w:t>
            </w:r>
            <w:r>
              <w:rPr>
                <w:rFonts w:hint="eastAsia"/>
                <w:color w:val="auto"/>
                <w:sz w:val="24"/>
              </w:rPr>
              <w:t>。</w:t>
            </w:r>
          </w:p>
          <w:p w14:paraId="650D6206">
            <w:pPr>
              <w:pStyle w:val="9"/>
              <w:adjustRightInd w:val="0"/>
              <w:snapToGrid w:val="0"/>
              <w:spacing w:after="0" w:line="360" w:lineRule="auto"/>
              <w:ind w:firstLine="480" w:firstLineChars="200"/>
              <w:rPr>
                <w:rFonts w:hint="default" w:eastAsia="宋体"/>
                <w:color w:val="auto"/>
                <w:sz w:val="24"/>
                <w:lang w:val="en-US" w:eastAsia="zh-CN"/>
              </w:rPr>
            </w:pPr>
            <w:r>
              <w:rPr>
                <w:rFonts w:hint="eastAsia"/>
                <w:color w:val="auto"/>
                <w:sz w:val="24"/>
              </w:rPr>
              <w:t>2、</w:t>
            </w:r>
            <w:r>
              <w:rPr>
                <w:rFonts w:hint="eastAsia"/>
                <w:color w:val="auto"/>
                <w:sz w:val="24"/>
                <w:lang w:val="en-US" w:eastAsia="zh-CN"/>
              </w:rPr>
              <w:t>储煤</w:t>
            </w:r>
          </w:p>
          <w:p w14:paraId="25051E13">
            <w:pPr>
              <w:pStyle w:val="9"/>
              <w:adjustRightInd w:val="0"/>
              <w:snapToGrid w:val="0"/>
              <w:spacing w:after="0" w:line="360" w:lineRule="auto"/>
              <w:ind w:firstLine="480" w:firstLineChars="200"/>
              <w:rPr>
                <w:rFonts w:hint="default" w:eastAsia="宋体"/>
                <w:color w:val="auto"/>
                <w:sz w:val="24"/>
                <w:lang w:val="en-US" w:eastAsia="zh-CN"/>
              </w:rPr>
            </w:pPr>
            <w:r>
              <w:rPr>
                <w:rFonts w:hint="eastAsia"/>
                <w:color w:val="auto"/>
                <w:sz w:val="24"/>
                <w:lang w:val="en-US" w:eastAsia="zh-CN"/>
              </w:rPr>
              <w:t>卸货的煤炭</w:t>
            </w:r>
            <w:r>
              <w:rPr>
                <w:rFonts w:hint="eastAsia"/>
                <w:color w:val="auto"/>
                <w:sz w:val="24"/>
              </w:rPr>
              <w:t>，由</w:t>
            </w:r>
            <w:r>
              <w:rPr>
                <w:rFonts w:hint="eastAsia"/>
                <w:color w:val="auto"/>
                <w:sz w:val="24"/>
                <w:lang w:val="en-US" w:eastAsia="zh-CN"/>
              </w:rPr>
              <w:t>铲车运输至煤炭堆场。</w:t>
            </w:r>
          </w:p>
          <w:p w14:paraId="11AA25EF">
            <w:pPr>
              <w:pStyle w:val="9"/>
              <w:adjustRightInd w:val="0"/>
              <w:snapToGrid w:val="0"/>
              <w:spacing w:after="0" w:line="360" w:lineRule="auto"/>
              <w:ind w:firstLine="480" w:firstLineChars="200"/>
              <w:rPr>
                <w:rFonts w:hint="eastAsia" w:eastAsia="宋体"/>
                <w:color w:val="auto"/>
                <w:sz w:val="24"/>
                <w:lang w:eastAsia="zh-CN"/>
              </w:rPr>
            </w:pPr>
            <w:r>
              <w:rPr>
                <w:rFonts w:hint="eastAsia"/>
                <w:color w:val="auto"/>
                <w:sz w:val="24"/>
                <w:lang w:val="en-US" w:eastAsia="zh-CN"/>
              </w:rPr>
              <w:t>3、外运</w:t>
            </w:r>
          </w:p>
          <w:p w14:paraId="5AF472A6">
            <w:pPr>
              <w:pStyle w:val="9"/>
              <w:adjustRightInd w:val="0"/>
              <w:snapToGrid w:val="0"/>
              <w:spacing w:after="0" w:line="360" w:lineRule="auto"/>
              <w:ind w:firstLine="480" w:firstLineChars="200"/>
              <w:rPr>
                <w:color w:val="auto"/>
                <w:sz w:val="24"/>
              </w:rPr>
            </w:pPr>
            <w:r>
              <w:rPr>
                <w:rFonts w:hint="eastAsia"/>
                <w:color w:val="auto"/>
                <w:sz w:val="24"/>
                <w:lang w:val="en-US" w:eastAsia="zh-CN"/>
              </w:rPr>
              <w:t>由铲车将煤炭装车，装车完毕后对车辆外表面使用炮雾机降尘，降尘后车辆出厂运输至买家。</w:t>
            </w:r>
          </w:p>
          <w:p w14:paraId="224272DD">
            <w:pPr>
              <w:adjustRightInd w:val="0"/>
              <w:snapToGrid w:val="0"/>
              <w:spacing w:line="360" w:lineRule="auto"/>
              <w:ind w:firstLine="480" w:firstLineChars="200"/>
              <w:textAlignment w:val="baseline"/>
              <w:rPr>
                <w:color w:val="auto"/>
                <w:sz w:val="24"/>
              </w:rPr>
            </w:pPr>
            <w:r>
              <w:rPr>
                <w:color w:val="auto"/>
                <w:sz w:val="24"/>
              </w:rPr>
              <w:t>工艺流程及产污节点图见图2-</w:t>
            </w:r>
            <w:r>
              <w:rPr>
                <w:rFonts w:hint="eastAsia"/>
                <w:color w:val="auto"/>
                <w:sz w:val="24"/>
                <w:lang w:val="en-US" w:eastAsia="zh-CN"/>
              </w:rPr>
              <w:t>7</w:t>
            </w:r>
            <w:r>
              <w:rPr>
                <w:color w:val="auto"/>
                <w:sz w:val="24"/>
              </w:rPr>
              <w:t>。</w:t>
            </w:r>
          </w:p>
          <w:p w14:paraId="4936C148">
            <w:pPr>
              <w:adjustRightInd w:val="0"/>
              <w:snapToGrid w:val="0"/>
              <w:jc w:val="center"/>
              <w:rPr>
                <w:rFonts w:hint="eastAsia" w:eastAsia="宋体"/>
                <w:color w:val="auto"/>
                <w:lang w:eastAsia="zh-CN"/>
              </w:rPr>
            </w:pPr>
            <w:r>
              <w:rPr>
                <w:rFonts w:hint="eastAsia" w:eastAsia="宋体"/>
                <w:color w:val="auto"/>
                <w:lang w:eastAsia="zh-CN"/>
              </w:rPr>
              <w:drawing>
                <wp:inline distT="0" distB="0" distL="114300" distR="114300">
                  <wp:extent cx="3220085" cy="1189355"/>
                  <wp:effectExtent l="0" t="0" r="18415" b="10795"/>
                  <wp:docPr id="46" name="图片 46" descr="工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工艺"/>
                          <pic:cNvPicPr>
                            <a:picLocks noChangeAspect="1"/>
                          </pic:cNvPicPr>
                        </pic:nvPicPr>
                        <pic:blipFill>
                          <a:blip r:embed="rId13"/>
                          <a:stretch>
                            <a:fillRect/>
                          </a:stretch>
                        </pic:blipFill>
                        <pic:spPr>
                          <a:xfrm>
                            <a:off x="0" y="0"/>
                            <a:ext cx="3220085" cy="1189355"/>
                          </a:xfrm>
                          <a:prstGeom prst="rect">
                            <a:avLst/>
                          </a:prstGeom>
                        </pic:spPr>
                      </pic:pic>
                    </a:graphicData>
                  </a:graphic>
                </wp:inline>
              </w:drawing>
            </w:r>
          </w:p>
          <w:p w14:paraId="7E1CE064">
            <w:pPr>
              <w:pStyle w:val="33"/>
              <w:spacing w:line="240" w:lineRule="auto"/>
              <w:ind w:firstLine="422"/>
              <w:jc w:val="center"/>
              <w:rPr>
                <w:b/>
                <w:bCs/>
                <w:color w:val="auto"/>
                <w:kern w:val="0"/>
                <w:szCs w:val="21"/>
              </w:rPr>
            </w:pPr>
            <w:r>
              <w:rPr>
                <w:b/>
                <w:bCs/>
                <w:color w:val="auto"/>
                <w:kern w:val="0"/>
                <w:szCs w:val="21"/>
              </w:rPr>
              <w:t>图2-2</w:t>
            </w:r>
            <w:r>
              <w:rPr>
                <w:rFonts w:hint="eastAsia"/>
                <w:b/>
                <w:bCs/>
                <w:color w:val="auto"/>
                <w:kern w:val="0"/>
                <w:szCs w:val="21"/>
              </w:rPr>
              <w:t xml:space="preserve">  </w:t>
            </w:r>
            <w:r>
              <w:rPr>
                <w:b/>
                <w:bCs/>
                <w:color w:val="auto"/>
                <w:kern w:val="0"/>
                <w:szCs w:val="21"/>
              </w:rPr>
              <w:t>工艺流程及产排污节点图</w:t>
            </w:r>
          </w:p>
          <w:bookmarkEnd w:id="9"/>
          <w:p w14:paraId="09F18846">
            <w:pPr>
              <w:pStyle w:val="82"/>
              <w:adjustRightInd w:val="0"/>
              <w:spacing w:line="360" w:lineRule="exact"/>
              <w:rPr>
                <w:rFonts w:ascii="Times New Roman"/>
                <w:bCs/>
                <w:iCs/>
                <w:color w:val="auto"/>
                <w:sz w:val="21"/>
                <w:szCs w:val="21"/>
              </w:rPr>
            </w:pPr>
            <w:r>
              <w:rPr>
                <w:rFonts w:ascii="Times New Roman"/>
                <w:bCs/>
                <w:iCs/>
                <w:color w:val="auto"/>
                <w:sz w:val="21"/>
                <w:szCs w:val="21"/>
              </w:rPr>
              <w:t>表2-</w:t>
            </w:r>
            <w:r>
              <w:rPr>
                <w:rFonts w:hint="eastAsia" w:ascii="Times New Roman"/>
                <w:bCs/>
                <w:iCs/>
                <w:color w:val="auto"/>
                <w:sz w:val="21"/>
                <w:szCs w:val="21"/>
                <w:lang w:val="en-US" w:eastAsia="zh-CN"/>
              </w:rPr>
              <w:t>7</w:t>
            </w:r>
            <w:r>
              <w:rPr>
                <w:rFonts w:ascii="Times New Roman"/>
                <w:bCs/>
                <w:iCs/>
                <w:color w:val="auto"/>
                <w:sz w:val="21"/>
                <w:szCs w:val="21"/>
              </w:rPr>
              <w:t xml:space="preserve">  营运期主要污染工序一览表</w:t>
            </w:r>
          </w:p>
          <w:tbl>
            <w:tblPr>
              <w:tblStyle w:val="38"/>
              <w:tblW w:w="497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314"/>
              <w:gridCol w:w="2619"/>
              <w:gridCol w:w="2583"/>
            </w:tblGrid>
            <w:tr w14:paraId="66ABCB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5" w:type="dxa"/>
                  <w:vAlign w:val="center"/>
                </w:tcPr>
                <w:p w14:paraId="61A3BF1B">
                  <w:pPr>
                    <w:adjustRightInd w:val="0"/>
                    <w:snapToGrid w:val="0"/>
                    <w:spacing w:line="360" w:lineRule="exact"/>
                    <w:jc w:val="center"/>
                    <w:rPr>
                      <w:b/>
                      <w:bCs/>
                      <w:color w:val="auto"/>
                      <w:szCs w:val="21"/>
                    </w:rPr>
                  </w:pPr>
                  <w:r>
                    <w:rPr>
                      <w:b/>
                      <w:bCs/>
                      <w:color w:val="auto"/>
                      <w:szCs w:val="21"/>
                    </w:rPr>
                    <w:t>污染类别</w:t>
                  </w:r>
                </w:p>
              </w:tc>
              <w:tc>
                <w:tcPr>
                  <w:tcW w:w="1323" w:type="dxa"/>
                  <w:vAlign w:val="center"/>
                </w:tcPr>
                <w:p w14:paraId="5B550B1D">
                  <w:pPr>
                    <w:adjustRightInd w:val="0"/>
                    <w:snapToGrid w:val="0"/>
                    <w:spacing w:line="360" w:lineRule="exact"/>
                    <w:jc w:val="center"/>
                    <w:rPr>
                      <w:b/>
                      <w:bCs/>
                      <w:color w:val="auto"/>
                      <w:szCs w:val="21"/>
                    </w:rPr>
                  </w:pPr>
                  <w:r>
                    <w:rPr>
                      <w:b/>
                      <w:bCs/>
                      <w:color w:val="auto"/>
                      <w:szCs w:val="21"/>
                    </w:rPr>
                    <w:t>主要污染源</w:t>
                  </w:r>
                </w:p>
              </w:tc>
              <w:tc>
                <w:tcPr>
                  <w:tcW w:w="2637" w:type="dxa"/>
                  <w:vAlign w:val="center"/>
                </w:tcPr>
                <w:p w14:paraId="13F3E554">
                  <w:pPr>
                    <w:adjustRightInd w:val="0"/>
                    <w:snapToGrid w:val="0"/>
                    <w:spacing w:line="360" w:lineRule="exact"/>
                    <w:jc w:val="center"/>
                    <w:rPr>
                      <w:b/>
                      <w:bCs/>
                      <w:color w:val="auto"/>
                      <w:szCs w:val="21"/>
                    </w:rPr>
                  </w:pPr>
                  <w:r>
                    <w:rPr>
                      <w:b/>
                      <w:bCs/>
                      <w:color w:val="auto"/>
                      <w:szCs w:val="21"/>
                    </w:rPr>
                    <w:t>产生工序</w:t>
                  </w:r>
                </w:p>
              </w:tc>
              <w:tc>
                <w:tcPr>
                  <w:tcW w:w="2601" w:type="dxa"/>
                  <w:vAlign w:val="center"/>
                </w:tcPr>
                <w:p w14:paraId="665282A7">
                  <w:pPr>
                    <w:adjustRightInd w:val="0"/>
                    <w:snapToGrid w:val="0"/>
                    <w:spacing w:line="360" w:lineRule="exact"/>
                    <w:jc w:val="center"/>
                    <w:rPr>
                      <w:b/>
                      <w:bCs/>
                      <w:color w:val="auto"/>
                      <w:szCs w:val="21"/>
                    </w:rPr>
                  </w:pPr>
                  <w:r>
                    <w:rPr>
                      <w:b/>
                      <w:bCs/>
                      <w:color w:val="auto"/>
                      <w:szCs w:val="21"/>
                    </w:rPr>
                    <w:t>主要污染因子</w:t>
                  </w:r>
                </w:p>
              </w:tc>
            </w:tr>
            <w:tr w14:paraId="26BF19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535" w:type="dxa"/>
                  <w:vMerge w:val="restart"/>
                  <w:vAlign w:val="center"/>
                </w:tcPr>
                <w:p w14:paraId="41655651">
                  <w:pPr>
                    <w:adjustRightInd w:val="0"/>
                    <w:snapToGrid w:val="0"/>
                    <w:spacing w:line="360" w:lineRule="exact"/>
                    <w:jc w:val="center"/>
                    <w:rPr>
                      <w:color w:val="auto"/>
                      <w:szCs w:val="21"/>
                    </w:rPr>
                  </w:pPr>
                  <w:r>
                    <w:rPr>
                      <w:color w:val="auto"/>
                      <w:szCs w:val="21"/>
                    </w:rPr>
                    <w:t>废气</w:t>
                  </w:r>
                </w:p>
              </w:tc>
              <w:tc>
                <w:tcPr>
                  <w:tcW w:w="1323" w:type="dxa"/>
                  <w:vMerge w:val="restart"/>
                  <w:vAlign w:val="center"/>
                </w:tcPr>
                <w:p w14:paraId="4760E571">
                  <w:pPr>
                    <w:adjustRightInd w:val="0"/>
                    <w:snapToGrid w:val="0"/>
                    <w:spacing w:line="360" w:lineRule="exact"/>
                    <w:jc w:val="center"/>
                    <w:rPr>
                      <w:color w:val="auto"/>
                      <w:szCs w:val="21"/>
                    </w:rPr>
                  </w:pPr>
                  <w:r>
                    <w:rPr>
                      <w:color w:val="auto"/>
                      <w:szCs w:val="21"/>
                    </w:rPr>
                    <w:t>生产区</w:t>
                  </w:r>
                </w:p>
              </w:tc>
              <w:tc>
                <w:tcPr>
                  <w:tcW w:w="2637" w:type="dxa"/>
                  <w:vAlign w:val="center"/>
                </w:tcPr>
                <w:p w14:paraId="398B33CE">
                  <w:pPr>
                    <w:adjustRightInd w:val="0"/>
                    <w:snapToGrid w:val="0"/>
                    <w:spacing w:line="36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卸煤</w:t>
                  </w:r>
                </w:p>
              </w:tc>
              <w:tc>
                <w:tcPr>
                  <w:tcW w:w="2601" w:type="dxa"/>
                  <w:vAlign w:val="center"/>
                </w:tcPr>
                <w:p w14:paraId="20B969C9">
                  <w:pPr>
                    <w:adjustRightInd w:val="0"/>
                    <w:snapToGrid w:val="0"/>
                    <w:spacing w:line="36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颗粒物</w:t>
                  </w:r>
                </w:p>
              </w:tc>
            </w:tr>
            <w:tr w14:paraId="791506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535" w:type="dxa"/>
                  <w:vMerge w:val="continue"/>
                  <w:vAlign w:val="center"/>
                </w:tcPr>
                <w:p w14:paraId="640537D9">
                  <w:pPr>
                    <w:adjustRightInd w:val="0"/>
                    <w:snapToGrid w:val="0"/>
                    <w:spacing w:line="360" w:lineRule="exact"/>
                    <w:jc w:val="center"/>
                    <w:rPr>
                      <w:color w:val="auto"/>
                      <w:szCs w:val="21"/>
                    </w:rPr>
                  </w:pPr>
                </w:p>
              </w:tc>
              <w:tc>
                <w:tcPr>
                  <w:tcW w:w="1323" w:type="dxa"/>
                  <w:vMerge w:val="continue"/>
                  <w:vAlign w:val="center"/>
                </w:tcPr>
                <w:p w14:paraId="75F7ABE9">
                  <w:pPr>
                    <w:adjustRightInd w:val="0"/>
                    <w:snapToGrid w:val="0"/>
                    <w:spacing w:line="360" w:lineRule="exact"/>
                    <w:jc w:val="center"/>
                    <w:rPr>
                      <w:color w:val="auto"/>
                      <w:szCs w:val="21"/>
                    </w:rPr>
                  </w:pPr>
                </w:p>
              </w:tc>
              <w:tc>
                <w:tcPr>
                  <w:tcW w:w="2637" w:type="dxa"/>
                  <w:vAlign w:val="center"/>
                </w:tcPr>
                <w:p w14:paraId="2F768AA8">
                  <w:pPr>
                    <w:adjustRightInd w:val="0"/>
                    <w:snapToGrid w:val="0"/>
                    <w:spacing w:line="360" w:lineRule="exact"/>
                    <w:jc w:val="center"/>
                    <w:rPr>
                      <w:rFonts w:hint="eastAsia"/>
                      <w:color w:val="auto"/>
                      <w:szCs w:val="21"/>
                      <w:lang w:val="en-US" w:eastAsia="zh-CN"/>
                    </w:rPr>
                  </w:pPr>
                  <w:r>
                    <w:rPr>
                      <w:rFonts w:hint="eastAsia"/>
                      <w:color w:val="auto"/>
                      <w:szCs w:val="21"/>
                      <w:lang w:val="en-US" w:eastAsia="zh-CN"/>
                    </w:rPr>
                    <w:t>储煤</w:t>
                  </w:r>
                </w:p>
              </w:tc>
              <w:tc>
                <w:tcPr>
                  <w:tcW w:w="2601" w:type="dxa"/>
                  <w:vAlign w:val="center"/>
                </w:tcPr>
                <w:p w14:paraId="59567256">
                  <w:pPr>
                    <w:adjustRightInd w:val="0"/>
                    <w:snapToGrid w:val="0"/>
                    <w:spacing w:line="360" w:lineRule="exact"/>
                    <w:jc w:val="center"/>
                    <w:rPr>
                      <w:rFonts w:hint="eastAsia"/>
                      <w:color w:val="auto"/>
                      <w:szCs w:val="21"/>
                      <w:lang w:val="en-US" w:eastAsia="zh-CN"/>
                    </w:rPr>
                  </w:pPr>
                  <w:r>
                    <w:rPr>
                      <w:rFonts w:hint="eastAsia"/>
                      <w:color w:val="auto"/>
                      <w:szCs w:val="21"/>
                      <w:lang w:val="en-US" w:eastAsia="zh-CN"/>
                    </w:rPr>
                    <w:t>颗粒物</w:t>
                  </w:r>
                </w:p>
              </w:tc>
            </w:tr>
            <w:tr w14:paraId="610E73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535" w:type="dxa"/>
                  <w:vMerge w:val="continue"/>
                  <w:vAlign w:val="center"/>
                </w:tcPr>
                <w:p w14:paraId="6B45BCA8">
                  <w:pPr>
                    <w:adjustRightInd w:val="0"/>
                    <w:snapToGrid w:val="0"/>
                    <w:spacing w:line="360" w:lineRule="exact"/>
                    <w:jc w:val="center"/>
                    <w:rPr>
                      <w:color w:val="auto"/>
                      <w:szCs w:val="21"/>
                    </w:rPr>
                  </w:pPr>
                </w:p>
              </w:tc>
              <w:tc>
                <w:tcPr>
                  <w:tcW w:w="1323" w:type="dxa"/>
                  <w:vMerge w:val="continue"/>
                  <w:vAlign w:val="center"/>
                </w:tcPr>
                <w:p w14:paraId="20EF2C4B">
                  <w:pPr>
                    <w:adjustRightInd w:val="0"/>
                    <w:snapToGrid w:val="0"/>
                    <w:spacing w:line="360" w:lineRule="exact"/>
                    <w:jc w:val="center"/>
                    <w:rPr>
                      <w:color w:val="auto"/>
                      <w:szCs w:val="21"/>
                    </w:rPr>
                  </w:pPr>
                </w:p>
              </w:tc>
              <w:tc>
                <w:tcPr>
                  <w:tcW w:w="2637" w:type="dxa"/>
                  <w:vAlign w:val="center"/>
                </w:tcPr>
                <w:p w14:paraId="3D13B5D4">
                  <w:pPr>
                    <w:adjustRightInd w:val="0"/>
                    <w:snapToGrid w:val="0"/>
                    <w:spacing w:line="360" w:lineRule="exact"/>
                    <w:jc w:val="center"/>
                    <w:rPr>
                      <w:rFonts w:hint="default" w:eastAsia="宋体"/>
                      <w:color w:val="auto"/>
                      <w:szCs w:val="21"/>
                      <w:lang w:val="en-US" w:eastAsia="zh-CN"/>
                    </w:rPr>
                  </w:pPr>
                  <w:r>
                    <w:rPr>
                      <w:rFonts w:hint="eastAsia"/>
                      <w:color w:val="auto"/>
                      <w:szCs w:val="21"/>
                      <w:lang w:val="en-US" w:eastAsia="zh-CN"/>
                    </w:rPr>
                    <w:t>外运</w:t>
                  </w:r>
                </w:p>
              </w:tc>
              <w:tc>
                <w:tcPr>
                  <w:tcW w:w="2601" w:type="dxa"/>
                  <w:vAlign w:val="center"/>
                </w:tcPr>
                <w:p w14:paraId="2E5259FE">
                  <w:pPr>
                    <w:adjustRightInd w:val="0"/>
                    <w:snapToGrid w:val="0"/>
                    <w:spacing w:line="360" w:lineRule="exact"/>
                    <w:jc w:val="center"/>
                    <w:rPr>
                      <w:color w:val="auto"/>
                      <w:szCs w:val="21"/>
                    </w:rPr>
                  </w:pPr>
                  <w:r>
                    <w:rPr>
                      <w:rFonts w:hint="eastAsia"/>
                      <w:color w:val="auto"/>
                      <w:szCs w:val="21"/>
                      <w:lang w:val="en-US" w:eastAsia="zh-CN"/>
                    </w:rPr>
                    <w:t>颗粒物</w:t>
                  </w:r>
                </w:p>
              </w:tc>
            </w:tr>
            <w:tr w14:paraId="280AD7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1535" w:type="dxa"/>
                  <w:vMerge w:val="restart"/>
                  <w:vAlign w:val="center"/>
                </w:tcPr>
                <w:p w14:paraId="2F77C0B1">
                  <w:pPr>
                    <w:adjustRightInd w:val="0"/>
                    <w:snapToGrid w:val="0"/>
                    <w:spacing w:line="360" w:lineRule="exact"/>
                    <w:jc w:val="center"/>
                    <w:rPr>
                      <w:color w:val="auto"/>
                      <w:szCs w:val="21"/>
                    </w:rPr>
                  </w:pPr>
                  <w:r>
                    <w:rPr>
                      <w:color w:val="auto"/>
                      <w:szCs w:val="21"/>
                    </w:rPr>
                    <w:t>废水</w:t>
                  </w:r>
                </w:p>
              </w:tc>
              <w:tc>
                <w:tcPr>
                  <w:tcW w:w="1323" w:type="dxa"/>
                  <w:vAlign w:val="center"/>
                </w:tcPr>
                <w:p w14:paraId="32206DE0">
                  <w:pPr>
                    <w:adjustRightInd w:val="0"/>
                    <w:snapToGrid w:val="0"/>
                    <w:spacing w:line="360" w:lineRule="exact"/>
                    <w:jc w:val="center"/>
                    <w:rPr>
                      <w:color w:val="auto"/>
                      <w:szCs w:val="21"/>
                    </w:rPr>
                  </w:pPr>
                  <w:r>
                    <w:rPr>
                      <w:rFonts w:hint="eastAsia"/>
                      <w:color w:val="auto"/>
                      <w:szCs w:val="21"/>
                    </w:rPr>
                    <w:t>生活污水</w:t>
                  </w:r>
                </w:p>
              </w:tc>
              <w:tc>
                <w:tcPr>
                  <w:tcW w:w="2637" w:type="dxa"/>
                  <w:vAlign w:val="center"/>
                </w:tcPr>
                <w:p w14:paraId="5D0D8266">
                  <w:pPr>
                    <w:adjustRightInd w:val="0"/>
                    <w:snapToGrid w:val="0"/>
                    <w:spacing w:line="360" w:lineRule="exact"/>
                    <w:jc w:val="center"/>
                    <w:rPr>
                      <w:color w:val="auto"/>
                      <w:szCs w:val="21"/>
                    </w:rPr>
                  </w:pPr>
                  <w:r>
                    <w:rPr>
                      <w:rFonts w:hint="eastAsia"/>
                      <w:color w:val="auto"/>
                      <w:szCs w:val="21"/>
                    </w:rPr>
                    <w:t>职工生活</w:t>
                  </w:r>
                </w:p>
              </w:tc>
              <w:tc>
                <w:tcPr>
                  <w:tcW w:w="2601" w:type="dxa"/>
                  <w:vAlign w:val="center"/>
                </w:tcPr>
                <w:p w14:paraId="5B3E21AA">
                  <w:pPr>
                    <w:adjustRightInd w:val="0"/>
                    <w:snapToGrid w:val="0"/>
                    <w:spacing w:line="360" w:lineRule="exact"/>
                    <w:jc w:val="center"/>
                    <w:rPr>
                      <w:color w:val="auto"/>
                      <w:szCs w:val="21"/>
                    </w:rPr>
                  </w:pPr>
                  <w:r>
                    <w:rPr>
                      <w:color w:val="auto"/>
                      <w:kern w:val="0"/>
                      <w:szCs w:val="21"/>
                    </w:rPr>
                    <w:t>COD</w:t>
                  </w:r>
                  <w:r>
                    <w:rPr>
                      <w:rFonts w:hint="eastAsia"/>
                      <w:color w:val="auto"/>
                      <w:kern w:val="0"/>
                      <w:szCs w:val="21"/>
                    </w:rPr>
                    <w:t>、</w:t>
                  </w:r>
                  <w:r>
                    <w:rPr>
                      <w:color w:val="auto"/>
                      <w:kern w:val="0"/>
                      <w:szCs w:val="21"/>
                    </w:rPr>
                    <w:t>NH</w:t>
                  </w:r>
                  <w:r>
                    <w:rPr>
                      <w:color w:val="auto"/>
                      <w:kern w:val="0"/>
                      <w:szCs w:val="21"/>
                      <w:vertAlign w:val="subscript"/>
                    </w:rPr>
                    <w:t>3</w:t>
                  </w:r>
                  <w:r>
                    <w:rPr>
                      <w:color w:val="auto"/>
                      <w:kern w:val="0"/>
                      <w:szCs w:val="21"/>
                    </w:rPr>
                    <w:t>-N</w:t>
                  </w:r>
                </w:p>
              </w:tc>
            </w:tr>
            <w:tr w14:paraId="23F653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1535" w:type="dxa"/>
                  <w:vMerge w:val="continue"/>
                  <w:vAlign w:val="center"/>
                </w:tcPr>
                <w:p w14:paraId="162E0873">
                  <w:pPr>
                    <w:adjustRightInd w:val="0"/>
                    <w:snapToGrid w:val="0"/>
                    <w:spacing w:line="360" w:lineRule="exact"/>
                    <w:jc w:val="center"/>
                    <w:rPr>
                      <w:color w:val="auto"/>
                      <w:szCs w:val="21"/>
                    </w:rPr>
                  </w:pPr>
                </w:p>
              </w:tc>
              <w:tc>
                <w:tcPr>
                  <w:tcW w:w="1323" w:type="dxa"/>
                  <w:vAlign w:val="center"/>
                </w:tcPr>
                <w:p w14:paraId="2C538CCD">
                  <w:pPr>
                    <w:adjustRightInd w:val="0"/>
                    <w:snapToGrid w:val="0"/>
                    <w:spacing w:line="360" w:lineRule="exact"/>
                    <w:jc w:val="center"/>
                    <w:rPr>
                      <w:rFonts w:hint="eastAsia"/>
                      <w:color w:val="auto"/>
                      <w:szCs w:val="21"/>
                      <w:lang w:val="en-US" w:eastAsia="zh-CN"/>
                    </w:rPr>
                  </w:pPr>
                  <w:r>
                    <w:rPr>
                      <w:rFonts w:hint="eastAsia"/>
                      <w:color w:val="auto"/>
                      <w:szCs w:val="21"/>
                      <w:lang w:val="en-US" w:eastAsia="zh-CN"/>
                    </w:rPr>
                    <w:t>生产过程</w:t>
                  </w:r>
                </w:p>
              </w:tc>
              <w:tc>
                <w:tcPr>
                  <w:tcW w:w="2637" w:type="dxa"/>
                  <w:vAlign w:val="center"/>
                </w:tcPr>
                <w:p w14:paraId="5F2C76A6">
                  <w:pPr>
                    <w:adjustRightInd w:val="0"/>
                    <w:snapToGrid w:val="0"/>
                    <w:spacing w:line="360" w:lineRule="exact"/>
                    <w:jc w:val="center"/>
                    <w:rPr>
                      <w:rFonts w:hint="eastAsia"/>
                      <w:color w:val="auto"/>
                      <w:szCs w:val="21"/>
                      <w:lang w:val="en-US" w:eastAsia="zh-CN"/>
                    </w:rPr>
                  </w:pPr>
                  <w:r>
                    <w:rPr>
                      <w:rFonts w:hint="eastAsia"/>
                      <w:color w:val="auto"/>
                      <w:szCs w:val="21"/>
                      <w:lang w:val="en-US" w:eastAsia="zh-CN"/>
                    </w:rPr>
                    <w:t>车辆冲洗</w:t>
                  </w:r>
                </w:p>
              </w:tc>
              <w:tc>
                <w:tcPr>
                  <w:tcW w:w="2601" w:type="dxa"/>
                  <w:vAlign w:val="center"/>
                </w:tcPr>
                <w:p w14:paraId="705F2A50">
                  <w:pPr>
                    <w:adjustRightInd w:val="0"/>
                    <w:snapToGrid w:val="0"/>
                    <w:spacing w:line="360" w:lineRule="exact"/>
                    <w:jc w:val="center"/>
                    <w:rPr>
                      <w:rFonts w:hint="eastAsia"/>
                      <w:color w:val="auto"/>
                      <w:kern w:val="0"/>
                      <w:szCs w:val="21"/>
                      <w:lang w:val="en-US" w:eastAsia="zh-CN"/>
                    </w:rPr>
                  </w:pPr>
                  <w:r>
                    <w:rPr>
                      <w:rFonts w:hint="eastAsia"/>
                      <w:color w:val="auto"/>
                      <w:kern w:val="0"/>
                      <w:szCs w:val="21"/>
                      <w:lang w:val="en-US" w:eastAsia="zh-CN"/>
                    </w:rPr>
                    <w:t>SS</w:t>
                  </w:r>
                </w:p>
              </w:tc>
            </w:tr>
            <w:tr w14:paraId="7838BA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1535" w:type="dxa"/>
                  <w:vMerge w:val="continue"/>
                  <w:vAlign w:val="center"/>
                </w:tcPr>
                <w:p w14:paraId="3AD69E88">
                  <w:pPr>
                    <w:adjustRightInd w:val="0"/>
                    <w:snapToGrid w:val="0"/>
                    <w:spacing w:line="360" w:lineRule="exact"/>
                    <w:jc w:val="center"/>
                    <w:rPr>
                      <w:color w:val="auto"/>
                      <w:szCs w:val="21"/>
                    </w:rPr>
                  </w:pPr>
                </w:p>
              </w:tc>
              <w:tc>
                <w:tcPr>
                  <w:tcW w:w="1323" w:type="dxa"/>
                  <w:vAlign w:val="center"/>
                </w:tcPr>
                <w:p w14:paraId="1BBD6E25">
                  <w:pPr>
                    <w:adjustRightInd w:val="0"/>
                    <w:snapToGrid w:val="0"/>
                    <w:spacing w:line="360" w:lineRule="exact"/>
                    <w:jc w:val="center"/>
                    <w:rPr>
                      <w:rFonts w:hint="default" w:eastAsia="宋体"/>
                      <w:color w:val="auto"/>
                      <w:szCs w:val="21"/>
                      <w:lang w:val="en-US" w:eastAsia="zh-CN"/>
                    </w:rPr>
                  </w:pPr>
                  <w:r>
                    <w:rPr>
                      <w:rFonts w:hint="eastAsia"/>
                      <w:color w:val="auto"/>
                      <w:szCs w:val="21"/>
                      <w:lang w:val="en-US" w:eastAsia="zh-CN"/>
                    </w:rPr>
                    <w:t>初期雨水</w:t>
                  </w:r>
                </w:p>
              </w:tc>
              <w:tc>
                <w:tcPr>
                  <w:tcW w:w="2637" w:type="dxa"/>
                  <w:vAlign w:val="center"/>
                </w:tcPr>
                <w:p w14:paraId="08FB6788">
                  <w:pPr>
                    <w:adjustRightInd w:val="0"/>
                    <w:snapToGrid w:val="0"/>
                    <w:spacing w:line="360" w:lineRule="exact"/>
                    <w:jc w:val="center"/>
                    <w:rPr>
                      <w:rFonts w:hint="default" w:eastAsia="宋体"/>
                      <w:color w:val="auto"/>
                      <w:szCs w:val="21"/>
                      <w:lang w:val="en-US" w:eastAsia="zh-CN"/>
                    </w:rPr>
                  </w:pPr>
                  <w:r>
                    <w:rPr>
                      <w:rFonts w:hint="eastAsia"/>
                      <w:color w:val="auto"/>
                      <w:szCs w:val="21"/>
                      <w:lang w:val="en-US" w:eastAsia="zh-CN"/>
                    </w:rPr>
                    <w:t>收集雨水</w:t>
                  </w:r>
                </w:p>
              </w:tc>
              <w:tc>
                <w:tcPr>
                  <w:tcW w:w="2601" w:type="dxa"/>
                  <w:vAlign w:val="center"/>
                </w:tcPr>
                <w:p w14:paraId="056570B2">
                  <w:pPr>
                    <w:adjustRightInd w:val="0"/>
                    <w:snapToGrid w:val="0"/>
                    <w:spacing w:line="360" w:lineRule="exact"/>
                    <w:jc w:val="center"/>
                    <w:rPr>
                      <w:rFonts w:hint="default" w:eastAsia="宋体"/>
                      <w:color w:val="auto"/>
                      <w:kern w:val="0"/>
                      <w:szCs w:val="21"/>
                      <w:lang w:val="en-US" w:eastAsia="zh-CN"/>
                    </w:rPr>
                  </w:pPr>
                  <w:r>
                    <w:rPr>
                      <w:rFonts w:hint="eastAsia"/>
                      <w:color w:val="auto"/>
                      <w:kern w:val="0"/>
                      <w:szCs w:val="21"/>
                      <w:lang w:val="en-US" w:eastAsia="zh-CN"/>
                    </w:rPr>
                    <w:t>SS</w:t>
                  </w:r>
                </w:p>
              </w:tc>
            </w:tr>
            <w:tr w14:paraId="137F8D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535" w:type="dxa"/>
                  <w:vAlign w:val="center"/>
                </w:tcPr>
                <w:p w14:paraId="00DBD46D">
                  <w:pPr>
                    <w:adjustRightInd w:val="0"/>
                    <w:snapToGrid w:val="0"/>
                    <w:spacing w:line="360" w:lineRule="exact"/>
                    <w:jc w:val="center"/>
                    <w:rPr>
                      <w:color w:val="auto"/>
                      <w:szCs w:val="21"/>
                    </w:rPr>
                  </w:pPr>
                  <w:r>
                    <w:rPr>
                      <w:color w:val="auto"/>
                      <w:szCs w:val="21"/>
                    </w:rPr>
                    <w:t>噪声</w:t>
                  </w:r>
                </w:p>
              </w:tc>
              <w:tc>
                <w:tcPr>
                  <w:tcW w:w="1323" w:type="dxa"/>
                  <w:vAlign w:val="center"/>
                </w:tcPr>
                <w:p w14:paraId="6BDD6272">
                  <w:pPr>
                    <w:autoSpaceDE w:val="0"/>
                    <w:autoSpaceDN w:val="0"/>
                    <w:adjustRightInd w:val="0"/>
                    <w:snapToGrid w:val="0"/>
                    <w:spacing w:line="360" w:lineRule="exact"/>
                    <w:jc w:val="center"/>
                    <w:rPr>
                      <w:color w:val="auto"/>
                      <w:kern w:val="0"/>
                      <w:szCs w:val="21"/>
                    </w:rPr>
                  </w:pPr>
                  <w:r>
                    <w:rPr>
                      <w:rFonts w:hint="eastAsia"/>
                      <w:color w:val="auto"/>
                      <w:kern w:val="0"/>
                      <w:szCs w:val="21"/>
                    </w:rPr>
                    <w:t>生产区</w:t>
                  </w:r>
                </w:p>
              </w:tc>
              <w:tc>
                <w:tcPr>
                  <w:tcW w:w="2637" w:type="dxa"/>
                  <w:vAlign w:val="center"/>
                </w:tcPr>
                <w:p w14:paraId="3F5DD6A1">
                  <w:pPr>
                    <w:adjustRightInd w:val="0"/>
                    <w:snapToGrid w:val="0"/>
                    <w:spacing w:line="360" w:lineRule="exact"/>
                    <w:jc w:val="center"/>
                    <w:rPr>
                      <w:rFonts w:hint="default" w:eastAsia="宋体"/>
                      <w:color w:val="auto"/>
                      <w:kern w:val="0"/>
                      <w:szCs w:val="21"/>
                      <w:lang w:val="en-US" w:eastAsia="zh-CN"/>
                    </w:rPr>
                  </w:pPr>
                  <w:r>
                    <w:rPr>
                      <w:rFonts w:hint="eastAsia"/>
                      <w:color w:val="auto"/>
                      <w:szCs w:val="21"/>
                      <w:lang w:val="en-US" w:eastAsia="zh-CN"/>
                    </w:rPr>
                    <w:t>铲车、炮雾机、运输车</w:t>
                  </w:r>
                </w:p>
              </w:tc>
              <w:tc>
                <w:tcPr>
                  <w:tcW w:w="2601" w:type="dxa"/>
                  <w:vAlign w:val="center"/>
                </w:tcPr>
                <w:p w14:paraId="199FFB7B">
                  <w:pPr>
                    <w:adjustRightInd w:val="0"/>
                    <w:snapToGrid w:val="0"/>
                    <w:spacing w:line="360" w:lineRule="exact"/>
                    <w:jc w:val="center"/>
                    <w:rPr>
                      <w:color w:val="auto"/>
                      <w:szCs w:val="21"/>
                    </w:rPr>
                  </w:pPr>
                  <w:r>
                    <w:rPr>
                      <w:color w:val="auto"/>
                      <w:szCs w:val="21"/>
                    </w:rPr>
                    <w:t>噪声</w:t>
                  </w:r>
                </w:p>
              </w:tc>
            </w:tr>
            <w:tr w14:paraId="72C06A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535" w:type="dxa"/>
                  <w:vMerge w:val="restart"/>
                  <w:vAlign w:val="center"/>
                </w:tcPr>
                <w:p w14:paraId="51E7FDB6">
                  <w:pPr>
                    <w:adjustRightInd w:val="0"/>
                    <w:snapToGrid w:val="0"/>
                    <w:spacing w:line="360" w:lineRule="exact"/>
                    <w:jc w:val="center"/>
                    <w:rPr>
                      <w:rFonts w:hint="eastAsia" w:eastAsia="宋体"/>
                      <w:color w:val="auto"/>
                      <w:szCs w:val="21"/>
                      <w:lang w:val="en-US" w:eastAsia="zh-CN"/>
                    </w:rPr>
                  </w:pPr>
                  <w:r>
                    <w:rPr>
                      <w:rFonts w:hint="eastAsia"/>
                      <w:color w:val="auto"/>
                      <w:szCs w:val="21"/>
                      <w:lang w:val="en-US" w:eastAsia="zh-CN"/>
                    </w:rPr>
                    <w:t>固废</w:t>
                  </w:r>
                </w:p>
              </w:tc>
              <w:tc>
                <w:tcPr>
                  <w:tcW w:w="1323" w:type="dxa"/>
                  <w:vAlign w:val="center"/>
                </w:tcPr>
                <w:p w14:paraId="546B4911">
                  <w:pPr>
                    <w:adjustRightInd w:val="0"/>
                    <w:snapToGrid w:val="0"/>
                    <w:spacing w:line="360" w:lineRule="exact"/>
                    <w:jc w:val="center"/>
                    <w:rPr>
                      <w:rFonts w:hint="eastAsia"/>
                      <w:color w:val="auto"/>
                      <w:szCs w:val="21"/>
                    </w:rPr>
                  </w:pPr>
                  <w:r>
                    <w:rPr>
                      <w:rFonts w:hint="eastAsia"/>
                      <w:color w:val="auto"/>
                      <w:kern w:val="0"/>
                      <w:szCs w:val="21"/>
                    </w:rPr>
                    <w:t>生产区</w:t>
                  </w:r>
                </w:p>
              </w:tc>
              <w:tc>
                <w:tcPr>
                  <w:tcW w:w="2637" w:type="dxa"/>
                  <w:vAlign w:val="center"/>
                </w:tcPr>
                <w:p w14:paraId="5DFBE772">
                  <w:pPr>
                    <w:adjustRightInd w:val="0"/>
                    <w:snapToGrid w:val="0"/>
                    <w:spacing w:line="360" w:lineRule="exact"/>
                    <w:jc w:val="center"/>
                    <w:rPr>
                      <w:color w:val="auto"/>
                      <w:szCs w:val="21"/>
                    </w:rPr>
                  </w:pPr>
                  <w:r>
                    <w:rPr>
                      <w:rFonts w:hint="eastAsia"/>
                      <w:color w:val="auto"/>
                      <w:szCs w:val="21"/>
                      <w:lang w:val="en-US" w:eastAsia="zh-CN"/>
                    </w:rPr>
                    <w:t>沉淀池、初期雨水收集池</w:t>
                  </w:r>
                </w:p>
              </w:tc>
              <w:tc>
                <w:tcPr>
                  <w:tcW w:w="2601" w:type="dxa"/>
                  <w:vAlign w:val="center"/>
                </w:tcPr>
                <w:p w14:paraId="54DD7949">
                  <w:pPr>
                    <w:adjustRightInd w:val="0"/>
                    <w:snapToGrid w:val="0"/>
                    <w:spacing w:line="360" w:lineRule="exact"/>
                    <w:jc w:val="center"/>
                    <w:rPr>
                      <w:color w:val="auto"/>
                      <w:szCs w:val="21"/>
                    </w:rPr>
                  </w:pPr>
                  <w:r>
                    <w:rPr>
                      <w:rFonts w:hint="eastAsia"/>
                      <w:color w:val="auto"/>
                      <w:szCs w:val="21"/>
                      <w:lang w:val="en-US" w:eastAsia="zh-CN"/>
                    </w:rPr>
                    <w:t>沉渣</w:t>
                  </w:r>
                </w:p>
              </w:tc>
            </w:tr>
            <w:tr w14:paraId="7FF178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535" w:type="dxa"/>
                  <w:vMerge w:val="continue"/>
                  <w:vAlign w:val="center"/>
                </w:tcPr>
                <w:p w14:paraId="64C97D17">
                  <w:pPr>
                    <w:adjustRightInd w:val="0"/>
                    <w:snapToGrid w:val="0"/>
                    <w:spacing w:line="360" w:lineRule="exact"/>
                    <w:jc w:val="center"/>
                    <w:rPr>
                      <w:rFonts w:hint="eastAsia" w:eastAsia="宋体"/>
                      <w:color w:val="auto"/>
                      <w:szCs w:val="21"/>
                      <w:lang w:val="en-US" w:eastAsia="zh-CN"/>
                    </w:rPr>
                  </w:pPr>
                </w:p>
              </w:tc>
              <w:tc>
                <w:tcPr>
                  <w:tcW w:w="1323" w:type="dxa"/>
                  <w:vAlign w:val="center"/>
                </w:tcPr>
                <w:p w14:paraId="7C6D0AF8">
                  <w:pPr>
                    <w:adjustRightInd w:val="0"/>
                    <w:snapToGrid w:val="0"/>
                    <w:spacing w:line="360" w:lineRule="exact"/>
                    <w:jc w:val="center"/>
                    <w:rPr>
                      <w:color w:val="auto"/>
                      <w:szCs w:val="21"/>
                    </w:rPr>
                  </w:pPr>
                  <w:r>
                    <w:rPr>
                      <w:rFonts w:hint="eastAsia"/>
                      <w:color w:val="auto"/>
                      <w:szCs w:val="21"/>
                    </w:rPr>
                    <w:t>生活区</w:t>
                  </w:r>
                </w:p>
              </w:tc>
              <w:tc>
                <w:tcPr>
                  <w:tcW w:w="2637" w:type="dxa"/>
                  <w:vAlign w:val="center"/>
                </w:tcPr>
                <w:p w14:paraId="17B61F46">
                  <w:pPr>
                    <w:adjustRightInd w:val="0"/>
                    <w:snapToGrid w:val="0"/>
                    <w:spacing w:line="360" w:lineRule="exact"/>
                    <w:jc w:val="center"/>
                    <w:rPr>
                      <w:color w:val="auto"/>
                      <w:szCs w:val="21"/>
                    </w:rPr>
                  </w:pPr>
                  <w:r>
                    <w:rPr>
                      <w:color w:val="auto"/>
                      <w:szCs w:val="21"/>
                    </w:rPr>
                    <w:t>生活垃圾</w:t>
                  </w:r>
                </w:p>
              </w:tc>
              <w:tc>
                <w:tcPr>
                  <w:tcW w:w="2601" w:type="dxa"/>
                  <w:vAlign w:val="center"/>
                </w:tcPr>
                <w:p w14:paraId="4EBC1855">
                  <w:pPr>
                    <w:adjustRightInd w:val="0"/>
                    <w:snapToGrid w:val="0"/>
                    <w:spacing w:line="360" w:lineRule="exact"/>
                    <w:jc w:val="center"/>
                    <w:rPr>
                      <w:color w:val="auto"/>
                    </w:rPr>
                  </w:pPr>
                  <w:r>
                    <w:rPr>
                      <w:color w:val="auto"/>
                      <w:szCs w:val="21"/>
                    </w:rPr>
                    <w:t>生活垃圾</w:t>
                  </w:r>
                </w:p>
              </w:tc>
            </w:tr>
          </w:tbl>
          <w:p w14:paraId="3DEA4E31">
            <w:pPr>
              <w:spacing w:line="360" w:lineRule="auto"/>
              <w:jc w:val="left"/>
              <w:rPr>
                <w:bCs/>
                <w:color w:val="auto"/>
                <w:sz w:val="24"/>
              </w:rPr>
            </w:pPr>
          </w:p>
          <w:p w14:paraId="1DF529E7">
            <w:pPr>
              <w:pStyle w:val="2"/>
              <w:rPr>
                <w:bCs/>
                <w:color w:val="auto"/>
                <w:sz w:val="24"/>
              </w:rPr>
            </w:pPr>
          </w:p>
          <w:p w14:paraId="1E97872A">
            <w:pPr>
              <w:pStyle w:val="2"/>
              <w:rPr>
                <w:bCs/>
                <w:color w:val="auto"/>
                <w:sz w:val="24"/>
              </w:rPr>
            </w:pPr>
          </w:p>
          <w:p w14:paraId="7061D947">
            <w:pPr>
              <w:pStyle w:val="2"/>
              <w:ind w:left="0" w:leftChars="0" w:firstLine="0" w:firstLineChars="0"/>
              <w:rPr>
                <w:bCs/>
                <w:color w:val="auto"/>
                <w:sz w:val="24"/>
              </w:rPr>
            </w:pPr>
          </w:p>
        </w:tc>
      </w:tr>
      <w:tr w14:paraId="349C78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86" w:hRule="atLeast"/>
          <w:jc w:val="center"/>
        </w:trPr>
        <w:tc>
          <w:tcPr>
            <w:tcW w:w="769" w:type="dxa"/>
            <w:vAlign w:val="center"/>
          </w:tcPr>
          <w:p w14:paraId="2E80D3E4">
            <w:pPr>
              <w:pStyle w:val="15"/>
              <w:adjustRightInd w:val="0"/>
              <w:snapToGrid w:val="0"/>
              <w:rPr>
                <w:rFonts w:ascii="Times New Roman" w:hAnsi="Times New Roman" w:cs="宋体"/>
                <w:bCs/>
                <w:color w:val="auto"/>
                <w:kern w:val="2"/>
                <w:szCs w:val="21"/>
              </w:rPr>
            </w:pPr>
            <w:r>
              <w:rPr>
                <w:rFonts w:ascii="Times New Roman" w:hAnsi="Times New Roman"/>
                <w:bCs/>
                <w:color w:val="auto"/>
                <w:szCs w:val="21"/>
              </w:rPr>
              <w:t>与项目有关的原有环境污染问题</w:t>
            </w:r>
          </w:p>
        </w:tc>
        <w:tc>
          <w:tcPr>
            <w:tcW w:w="8291" w:type="dxa"/>
          </w:tcPr>
          <w:p w14:paraId="21FA44C6">
            <w:pPr>
              <w:pStyle w:val="9"/>
              <w:adjustRightInd w:val="0"/>
              <w:snapToGrid w:val="0"/>
              <w:spacing w:after="0" w:line="360" w:lineRule="auto"/>
              <w:ind w:firstLine="480" w:firstLineChars="200"/>
              <w:rPr>
                <w:rFonts w:hint="eastAsia" w:eastAsia="宋体"/>
                <w:color w:val="auto"/>
                <w:sz w:val="24"/>
                <w:lang w:eastAsia="zh-CN"/>
              </w:rPr>
            </w:pPr>
          </w:p>
          <w:p w14:paraId="48B84A3C">
            <w:pPr>
              <w:pStyle w:val="9"/>
              <w:adjustRightInd w:val="0"/>
              <w:snapToGrid w:val="0"/>
              <w:spacing w:after="0" w:line="360" w:lineRule="auto"/>
              <w:ind w:firstLine="480" w:firstLineChars="200"/>
              <w:rPr>
                <w:rFonts w:hint="eastAsia" w:eastAsia="宋体"/>
                <w:color w:val="auto"/>
                <w:sz w:val="24"/>
                <w:lang w:eastAsia="zh-CN"/>
              </w:rPr>
            </w:pPr>
          </w:p>
          <w:p w14:paraId="50AB55C9">
            <w:pPr>
              <w:pStyle w:val="9"/>
              <w:adjustRightInd w:val="0"/>
              <w:snapToGrid w:val="0"/>
              <w:spacing w:after="0" w:line="360" w:lineRule="auto"/>
              <w:ind w:firstLine="480" w:firstLineChars="200"/>
              <w:rPr>
                <w:rFonts w:hint="eastAsia" w:eastAsia="宋体"/>
                <w:color w:val="auto"/>
                <w:sz w:val="24"/>
                <w:lang w:eastAsia="zh-CN"/>
              </w:rPr>
            </w:pPr>
            <w:r>
              <w:rPr>
                <w:rFonts w:hint="eastAsia" w:eastAsia="宋体"/>
                <w:color w:val="auto"/>
                <w:sz w:val="24"/>
                <w:lang w:eastAsia="zh-CN"/>
              </w:rPr>
              <w:t>本项目为新建项目，无与项目有关的原有环境污染问题存在。</w:t>
            </w:r>
          </w:p>
          <w:p w14:paraId="52C022EA">
            <w:pPr>
              <w:pStyle w:val="9"/>
              <w:adjustRightInd w:val="0"/>
              <w:snapToGrid w:val="0"/>
              <w:spacing w:after="0" w:line="360" w:lineRule="auto"/>
              <w:ind w:firstLine="480" w:firstLineChars="200"/>
              <w:rPr>
                <w:rFonts w:hint="eastAsia" w:eastAsia="宋体"/>
                <w:color w:val="auto"/>
                <w:sz w:val="24"/>
                <w:lang w:eastAsia="zh-CN"/>
              </w:rPr>
            </w:pPr>
          </w:p>
          <w:p w14:paraId="18BF9109">
            <w:pPr>
              <w:pStyle w:val="2"/>
              <w:rPr>
                <w:color w:val="auto"/>
              </w:rPr>
            </w:pPr>
          </w:p>
          <w:p w14:paraId="607114D1">
            <w:pPr>
              <w:pStyle w:val="2"/>
              <w:ind w:left="0" w:leftChars="0" w:firstLine="0" w:firstLineChars="0"/>
              <w:rPr>
                <w:color w:val="auto"/>
              </w:rPr>
            </w:pPr>
          </w:p>
        </w:tc>
      </w:tr>
    </w:tbl>
    <w:p w14:paraId="15CE3020">
      <w:pPr>
        <w:pStyle w:val="15"/>
        <w:jc w:val="both"/>
        <w:rPr>
          <w:rFonts w:ascii="Times New Roman" w:hAnsi="Times New Roman"/>
          <w:snapToGrid w:val="0"/>
          <w:color w:val="auto"/>
          <w:sz w:val="36"/>
          <w:szCs w:val="36"/>
        </w:rPr>
        <w:sectPr>
          <w:footerReference r:id="rId6" w:type="default"/>
          <w:pgSz w:w="11906" w:h="16838"/>
          <w:pgMar w:top="1701" w:right="1531" w:bottom="1701" w:left="1531" w:header="1247" w:footer="1247" w:gutter="0"/>
          <w:pgBorders>
            <w:top w:val="none" w:sz="0" w:space="0"/>
            <w:left w:val="none" w:sz="0" w:space="0"/>
            <w:bottom w:val="none" w:sz="0" w:space="0"/>
            <w:right w:val="none" w:sz="0" w:space="0"/>
          </w:pgBorders>
          <w:cols w:space="720" w:num="1"/>
          <w:docGrid w:linePitch="312" w:charSpace="0"/>
        </w:sectPr>
      </w:pPr>
    </w:p>
    <w:p w14:paraId="21F2A646">
      <w:pPr>
        <w:pStyle w:val="15"/>
        <w:outlineLvl w:val="0"/>
        <w:rPr>
          <w:rFonts w:ascii="Times New Roman" w:hAnsi="Times New Roman"/>
          <w:snapToGrid w:val="0"/>
          <w:color w:val="auto"/>
          <w:sz w:val="30"/>
          <w:szCs w:val="30"/>
        </w:rPr>
      </w:pPr>
      <w:bookmarkStart w:id="10" w:name="_Toc73523371"/>
      <w:r>
        <w:rPr>
          <w:rFonts w:hint="eastAsia" w:ascii="Times New Roman" w:hAnsi="Times New Roman"/>
          <w:snapToGrid w:val="0"/>
          <w:color w:val="auto"/>
          <w:sz w:val="30"/>
          <w:szCs w:val="30"/>
        </w:rPr>
        <w:t>三、区域环境质量现状、环境保护目标及评价标准</w:t>
      </w:r>
      <w:bookmarkEnd w:id="10"/>
    </w:p>
    <w:tbl>
      <w:tblPr>
        <w:tblStyle w:val="3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9"/>
        <w:gridCol w:w="8292"/>
      </w:tblGrid>
      <w:tr w14:paraId="01E209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69" w:type="dxa"/>
            <w:vAlign w:val="center"/>
          </w:tcPr>
          <w:p w14:paraId="1C223746">
            <w:pPr>
              <w:adjustRightInd w:val="0"/>
              <w:snapToGrid w:val="0"/>
              <w:jc w:val="center"/>
              <w:rPr>
                <w:rFonts w:cs="宋体"/>
                <w:color w:val="auto"/>
                <w:kern w:val="0"/>
                <w:szCs w:val="21"/>
              </w:rPr>
            </w:pPr>
            <w:r>
              <w:rPr>
                <w:b/>
                <w:color w:val="auto"/>
                <w:kern w:val="0"/>
                <w:szCs w:val="21"/>
              </w:rPr>
              <w:t>区域环境质量现状</w:t>
            </w:r>
          </w:p>
        </w:tc>
        <w:tc>
          <w:tcPr>
            <w:tcW w:w="8292" w:type="dxa"/>
          </w:tcPr>
          <w:p w14:paraId="1D7550B8">
            <w:pPr>
              <w:snapToGrid w:val="0"/>
              <w:spacing w:line="360" w:lineRule="auto"/>
              <w:ind w:firstLine="482" w:firstLineChars="200"/>
              <w:rPr>
                <w:b/>
                <w:color w:val="auto"/>
                <w:sz w:val="24"/>
              </w:rPr>
            </w:pPr>
            <w:r>
              <w:rPr>
                <w:rFonts w:hint="eastAsia"/>
                <w:b/>
                <w:color w:val="auto"/>
                <w:sz w:val="24"/>
              </w:rPr>
              <w:t>1、环境空气</w:t>
            </w:r>
          </w:p>
          <w:p w14:paraId="618343D0">
            <w:pPr>
              <w:snapToGrid w:val="0"/>
              <w:spacing w:line="360" w:lineRule="auto"/>
              <w:ind w:firstLine="480" w:firstLineChars="200"/>
              <w:rPr>
                <w:color w:val="auto"/>
                <w:kern w:val="0"/>
                <w:sz w:val="24"/>
              </w:rPr>
            </w:pPr>
            <w:r>
              <w:rPr>
                <w:rFonts w:hint="eastAsia"/>
                <w:color w:val="auto"/>
                <w:kern w:val="0"/>
                <w:sz w:val="24"/>
              </w:rPr>
              <w:t>（1）环境空气质量达标区判定</w:t>
            </w:r>
          </w:p>
          <w:p w14:paraId="184A0CE4">
            <w:pPr>
              <w:pStyle w:val="1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hAnsi="宋体"/>
                <w:color w:val="auto"/>
                <w:sz w:val="24"/>
              </w:rPr>
            </w:pPr>
            <w:r>
              <w:rPr>
                <w:rFonts w:hint="eastAsia" w:hAnsi="宋体"/>
                <w:color w:val="auto"/>
                <w:sz w:val="24"/>
              </w:rPr>
              <w:t>根据《环境影响评价技术导则大气环境》</w:t>
            </w:r>
            <w:r>
              <w:rPr>
                <w:rFonts w:hint="eastAsia" w:hAnsi="宋体"/>
                <w:color w:val="auto"/>
                <w:sz w:val="24"/>
                <w:lang w:eastAsia="zh-CN"/>
              </w:rPr>
              <w:t>（</w:t>
            </w:r>
            <w:r>
              <w:rPr>
                <w:rFonts w:hint="eastAsia" w:hAnsi="宋体"/>
                <w:color w:val="auto"/>
                <w:sz w:val="24"/>
              </w:rPr>
              <w:t>HJ2.2-2018</w:t>
            </w:r>
            <w:r>
              <w:rPr>
                <w:rFonts w:hint="eastAsia" w:hAnsi="宋体"/>
                <w:color w:val="auto"/>
                <w:sz w:val="24"/>
                <w:lang w:eastAsia="zh-CN"/>
              </w:rPr>
              <w:t>）</w:t>
            </w:r>
            <w:r>
              <w:rPr>
                <w:rFonts w:hint="eastAsia" w:hAnsi="宋体"/>
                <w:color w:val="auto"/>
                <w:sz w:val="24"/>
              </w:rPr>
              <w:t>，环境空气质量现状调查与评价数据来源于“项目所在区域达标判定，优先采用国家或地方生态环境主管部门公开发布的评价基准年环境质量公告或环境质量报告中的数据或结论。”</w:t>
            </w:r>
          </w:p>
          <w:p w14:paraId="1E886246">
            <w:pPr>
              <w:pStyle w:val="1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color w:val="auto"/>
                <w:sz w:val="24"/>
              </w:rPr>
            </w:pPr>
            <w:r>
              <w:rPr>
                <w:rFonts w:hint="eastAsia" w:hAnsi="宋体"/>
                <w:color w:val="auto"/>
                <w:sz w:val="24"/>
              </w:rPr>
              <w:t>项目位于黑龙江省鸡西市城子河区，本次评价采用黑龙江省生态环境厅于2026年1月19日公布的的《2025年黑龙江省生态环境质量状况》中的监测数据，2025年，鸡西市SO</w:t>
            </w:r>
            <w:r>
              <w:rPr>
                <w:rFonts w:hint="eastAsia" w:hAnsi="宋体"/>
                <w:color w:val="auto"/>
                <w:sz w:val="24"/>
                <w:vertAlign w:val="subscript"/>
              </w:rPr>
              <w:t>2</w:t>
            </w:r>
            <w:r>
              <w:rPr>
                <w:rFonts w:hint="eastAsia" w:hAnsi="宋体"/>
                <w:color w:val="auto"/>
                <w:sz w:val="24"/>
              </w:rPr>
              <w:t>、NO</w:t>
            </w:r>
            <w:r>
              <w:rPr>
                <w:rFonts w:hint="eastAsia" w:hAnsi="宋体"/>
                <w:color w:val="auto"/>
                <w:sz w:val="24"/>
                <w:vertAlign w:val="subscript"/>
              </w:rPr>
              <w:t>2</w:t>
            </w:r>
            <w:r>
              <w:rPr>
                <w:rFonts w:hint="eastAsia" w:hAnsi="宋体"/>
                <w:color w:val="auto"/>
                <w:sz w:val="24"/>
              </w:rPr>
              <w:t>、PM</w:t>
            </w:r>
            <w:r>
              <w:rPr>
                <w:rFonts w:hint="eastAsia" w:hAnsi="宋体"/>
                <w:color w:val="auto"/>
                <w:sz w:val="24"/>
                <w:vertAlign w:val="subscript"/>
                <w:lang w:val="en-US" w:eastAsia="zh-CN"/>
              </w:rPr>
              <w:t>10</w:t>
            </w:r>
            <w:r>
              <w:rPr>
                <w:rFonts w:hint="eastAsia" w:hAnsi="宋体"/>
                <w:color w:val="auto"/>
                <w:sz w:val="24"/>
              </w:rPr>
              <w:t>、PM</w:t>
            </w:r>
            <w:r>
              <w:rPr>
                <w:rFonts w:hint="eastAsia" w:hAnsi="宋体"/>
                <w:color w:val="auto"/>
                <w:sz w:val="24"/>
                <w:vertAlign w:val="subscript"/>
              </w:rPr>
              <w:t>2</w:t>
            </w:r>
            <w:r>
              <w:rPr>
                <w:rFonts w:hint="eastAsia" w:hAnsi="宋体"/>
                <w:color w:val="auto"/>
                <w:sz w:val="24"/>
                <w:vertAlign w:val="subscript"/>
                <w:lang w:val="en-US" w:eastAsia="zh-CN"/>
              </w:rPr>
              <w:t>.5</w:t>
            </w:r>
            <w:r>
              <w:rPr>
                <w:rFonts w:hint="eastAsia" w:hAnsi="宋体"/>
                <w:color w:val="auto"/>
                <w:sz w:val="24"/>
              </w:rPr>
              <w:t>、CO、O</w:t>
            </w:r>
            <w:r>
              <w:rPr>
                <w:rFonts w:hint="eastAsia" w:hAnsi="宋体"/>
                <w:color w:val="auto"/>
                <w:sz w:val="24"/>
                <w:vertAlign w:val="subscript"/>
                <w:lang w:val="en-US" w:eastAsia="zh-CN"/>
              </w:rPr>
              <w:t>3</w:t>
            </w:r>
            <w:r>
              <w:rPr>
                <w:rFonts w:hint="eastAsia" w:hAnsi="宋体"/>
                <w:color w:val="auto"/>
                <w:sz w:val="24"/>
              </w:rPr>
              <w:t>一8h共6项污染物年均值浓度均达到《环境空气质量标准》</w:t>
            </w:r>
            <w:r>
              <w:rPr>
                <w:rFonts w:hint="eastAsia" w:hAnsi="宋体"/>
                <w:color w:val="auto"/>
                <w:sz w:val="24"/>
                <w:lang w:eastAsia="zh-CN"/>
              </w:rPr>
              <w:t>（</w:t>
            </w:r>
            <w:r>
              <w:rPr>
                <w:rFonts w:hint="eastAsia" w:hAnsi="宋体"/>
                <w:color w:val="auto"/>
                <w:sz w:val="24"/>
              </w:rPr>
              <w:t>GB3095-2026</w:t>
            </w:r>
            <w:r>
              <w:rPr>
                <w:rFonts w:hint="eastAsia" w:hAnsi="宋体"/>
                <w:color w:val="auto"/>
                <w:sz w:val="24"/>
                <w:lang w:eastAsia="zh-CN"/>
              </w:rPr>
              <w:t>）</w:t>
            </w:r>
            <w:r>
              <w:rPr>
                <w:rFonts w:hint="eastAsia"/>
                <w:color w:val="auto"/>
                <w:kern w:val="2"/>
                <w:sz w:val="24"/>
                <w:szCs w:val="24"/>
                <w:lang w:val="en-US" w:eastAsia="zh-CN"/>
              </w:rPr>
              <w:t>表1中</w:t>
            </w:r>
            <w:r>
              <w:rPr>
                <w:rFonts w:hint="default"/>
                <w:color w:val="auto"/>
                <w:kern w:val="2"/>
                <w:sz w:val="24"/>
                <w:szCs w:val="24"/>
              </w:rPr>
              <w:t>二级</w:t>
            </w:r>
            <w:r>
              <w:rPr>
                <w:rFonts w:hint="eastAsia"/>
                <w:color w:val="auto"/>
                <w:kern w:val="2"/>
                <w:sz w:val="24"/>
                <w:szCs w:val="24"/>
                <w:lang w:val="en-US" w:eastAsia="zh-CN"/>
              </w:rPr>
              <w:t>过渡阶段浓度限值</w:t>
            </w:r>
            <w:r>
              <w:rPr>
                <w:rFonts w:hint="eastAsia" w:hAnsi="宋体"/>
                <w:color w:val="auto"/>
                <w:sz w:val="24"/>
              </w:rPr>
              <w:t>要求。项目所在区域为环境空气质量达标区判定情况见表3-1。</w:t>
            </w:r>
          </w:p>
          <w:p w14:paraId="3598C6D8">
            <w:pPr>
              <w:pStyle w:val="187"/>
              <w:keepNext w:val="0"/>
              <w:keepLines w:val="0"/>
              <w:suppressLineNumbers w:val="0"/>
              <w:spacing w:before="0" w:beforeAutospacing="0" w:after="0" w:afterAutospacing="0" w:line="240" w:lineRule="auto"/>
              <w:ind w:left="0" w:right="0"/>
              <w:rPr>
                <w:rFonts w:hint="default" w:ascii="Times New Roman" w:hAnsi="Times New Roman" w:eastAsia="宋体" w:cs="Times New Roman"/>
                <w:b/>
                <w:bCs/>
                <w:iCs/>
                <w:color w:val="auto"/>
                <w:kern w:val="0"/>
                <w:sz w:val="21"/>
                <w:szCs w:val="21"/>
                <w:lang w:val="en-US" w:eastAsia="zh-CN" w:bidi="ar-SA"/>
              </w:rPr>
            </w:pPr>
            <w:r>
              <w:rPr>
                <w:rFonts w:hint="eastAsia" w:ascii="Times New Roman" w:hAnsi="Times New Roman" w:eastAsia="宋体" w:cs="Times New Roman"/>
                <w:b/>
                <w:bCs/>
                <w:iCs/>
                <w:color w:val="auto"/>
                <w:kern w:val="0"/>
                <w:sz w:val="21"/>
                <w:szCs w:val="21"/>
                <w:lang w:val="en-US" w:eastAsia="zh-CN" w:bidi="ar-SA"/>
              </w:rPr>
              <w:t>表3-1  区域空气质量现状评价表</w:t>
            </w:r>
          </w:p>
          <w:tbl>
            <w:tblPr>
              <w:tblStyle w:val="38"/>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907"/>
              <w:gridCol w:w="1809"/>
              <w:gridCol w:w="1131"/>
              <w:gridCol w:w="1214"/>
              <w:gridCol w:w="942"/>
              <w:gridCol w:w="1073"/>
            </w:tblGrid>
            <w:tr w14:paraId="606593B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80" w:type="pct"/>
                  <w:tcBorders>
                    <w:top w:val="single" w:color="auto" w:sz="12" w:space="0"/>
                    <w:bottom w:val="single" w:color="auto" w:sz="6" w:space="0"/>
                    <w:right w:val="single" w:color="auto" w:sz="6" w:space="0"/>
                  </w:tcBorders>
                  <w:vAlign w:val="center"/>
                </w:tcPr>
                <w:p w14:paraId="2042ACB5">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污染物</w:t>
                  </w:r>
                </w:p>
              </w:tc>
              <w:tc>
                <w:tcPr>
                  <w:tcW w:w="1119" w:type="pct"/>
                  <w:tcBorders>
                    <w:top w:val="single" w:color="auto" w:sz="12" w:space="0"/>
                    <w:left w:val="single" w:color="auto" w:sz="6" w:space="0"/>
                    <w:bottom w:val="single" w:color="auto" w:sz="6" w:space="0"/>
                    <w:right w:val="single" w:color="auto" w:sz="6" w:space="0"/>
                  </w:tcBorders>
                  <w:vAlign w:val="center"/>
                </w:tcPr>
                <w:p w14:paraId="0A36F663">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年评价指标</w:t>
                  </w:r>
                </w:p>
              </w:tc>
              <w:tc>
                <w:tcPr>
                  <w:tcW w:w="700" w:type="pct"/>
                  <w:tcBorders>
                    <w:top w:val="single" w:color="auto" w:sz="12" w:space="0"/>
                    <w:left w:val="single" w:color="auto" w:sz="6" w:space="0"/>
                    <w:bottom w:val="single" w:color="auto" w:sz="6" w:space="0"/>
                    <w:right w:val="single" w:color="auto" w:sz="6" w:space="0"/>
                  </w:tcBorders>
                  <w:vAlign w:val="center"/>
                </w:tcPr>
                <w:p w14:paraId="6E6A4EFB">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现状浓度</w:t>
                  </w:r>
                  <w:r>
                    <w:rPr>
                      <w:rFonts w:hint="default"/>
                      <w:color w:val="auto"/>
                      <w:szCs w:val="21"/>
                    </w:rPr>
                    <w:t>/</w:t>
                  </w:r>
                </w:p>
                <w:p w14:paraId="1F2615B5">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w:t>
                  </w:r>
                  <w:r>
                    <w:rPr>
                      <w:rFonts w:hint="default"/>
                      <w:color w:val="auto"/>
                      <w:szCs w:val="21"/>
                    </w:rPr>
                    <w:t>μg/m</w:t>
                  </w:r>
                  <w:r>
                    <w:rPr>
                      <w:rFonts w:hint="default"/>
                      <w:color w:val="auto"/>
                      <w:szCs w:val="21"/>
                      <w:vertAlign w:val="superscript"/>
                    </w:rPr>
                    <w:t>3</w:t>
                  </w:r>
                  <w:r>
                    <w:rPr>
                      <w:rFonts w:hint="eastAsia"/>
                      <w:color w:val="auto"/>
                      <w:szCs w:val="21"/>
                    </w:rPr>
                    <w:t>）</w:t>
                  </w:r>
                </w:p>
              </w:tc>
              <w:tc>
                <w:tcPr>
                  <w:tcW w:w="751" w:type="pct"/>
                  <w:tcBorders>
                    <w:top w:val="single" w:color="auto" w:sz="12" w:space="0"/>
                    <w:left w:val="single" w:color="auto" w:sz="6" w:space="0"/>
                    <w:bottom w:val="single" w:color="auto" w:sz="6" w:space="0"/>
                    <w:right w:val="single" w:color="auto" w:sz="6" w:space="0"/>
                  </w:tcBorders>
                  <w:vAlign w:val="center"/>
                </w:tcPr>
                <w:p w14:paraId="77F156F9">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标准值</w:t>
                  </w:r>
                  <w:r>
                    <w:rPr>
                      <w:rFonts w:hint="default"/>
                      <w:color w:val="auto"/>
                      <w:szCs w:val="21"/>
                    </w:rPr>
                    <w:t>/</w:t>
                  </w:r>
                </w:p>
                <w:p w14:paraId="600BD943">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w:t>
                  </w:r>
                  <w:r>
                    <w:rPr>
                      <w:rFonts w:hint="default"/>
                      <w:color w:val="auto"/>
                      <w:szCs w:val="21"/>
                    </w:rPr>
                    <w:t>μg/m</w:t>
                  </w:r>
                  <w:r>
                    <w:rPr>
                      <w:rFonts w:hint="default"/>
                      <w:color w:val="auto"/>
                      <w:szCs w:val="21"/>
                      <w:vertAlign w:val="superscript"/>
                    </w:rPr>
                    <w:t>3</w:t>
                  </w:r>
                  <w:r>
                    <w:rPr>
                      <w:rFonts w:hint="eastAsia"/>
                      <w:color w:val="auto"/>
                      <w:szCs w:val="21"/>
                    </w:rPr>
                    <w:t>）</w:t>
                  </w:r>
                </w:p>
              </w:tc>
              <w:tc>
                <w:tcPr>
                  <w:tcW w:w="583" w:type="pct"/>
                  <w:tcBorders>
                    <w:top w:val="single" w:color="auto" w:sz="12" w:space="0"/>
                    <w:left w:val="single" w:color="auto" w:sz="6" w:space="0"/>
                    <w:bottom w:val="single" w:color="auto" w:sz="6" w:space="0"/>
                    <w:right w:val="single" w:color="auto" w:sz="6" w:space="0"/>
                  </w:tcBorders>
                  <w:vAlign w:val="center"/>
                </w:tcPr>
                <w:p w14:paraId="72CA0DB1">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占标率</w:t>
                  </w:r>
                  <w:r>
                    <w:rPr>
                      <w:rFonts w:hint="default"/>
                      <w:color w:val="auto"/>
                      <w:szCs w:val="21"/>
                    </w:rPr>
                    <w:t>/</w:t>
                  </w:r>
                </w:p>
                <w:p w14:paraId="2CE7F2F3">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w:t>
                  </w:r>
                  <w:r>
                    <w:rPr>
                      <w:rFonts w:hint="default"/>
                      <w:color w:val="auto"/>
                      <w:szCs w:val="21"/>
                    </w:rPr>
                    <w:t>%</w:t>
                  </w:r>
                  <w:r>
                    <w:rPr>
                      <w:rFonts w:hint="eastAsia"/>
                      <w:color w:val="auto"/>
                      <w:szCs w:val="21"/>
                    </w:rPr>
                    <w:t>）</w:t>
                  </w:r>
                </w:p>
              </w:tc>
              <w:tc>
                <w:tcPr>
                  <w:tcW w:w="663" w:type="pct"/>
                  <w:tcBorders>
                    <w:top w:val="single" w:color="auto" w:sz="12" w:space="0"/>
                    <w:left w:val="single" w:color="auto" w:sz="6" w:space="0"/>
                    <w:bottom w:val="single" w:color="auto" w:sz="6" w:space="0"/>
                  </w:tcBorders>
                  <w:vAlign w:val="center"/>
                </w:tcPr>
                <w:p w14:paraId="1B81530E">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达标情况</w:t>
                  </w:r>
                </w:p>
              </w:tc>
            </w:tr>
            <w:tr w14:paraId="4DC902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80" w:type="pct"/>
                  <w:tcBorders>
                    <w:top w:val="single" w:color="auto" w:sz="6" w:space="0"/>
                    <w:bottom w:val="single" w:color="auto" w:sz="6" w:space="0"/>
                    <w:right w:val="single" w:color="auto" w:sz="6" w:space="0"/>
                  </w:tcBorders>
                  <w:vAlign w:val="center"/>
                </w:tcPr>
                <w:p w14:paraId="3DDBB51B">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细颗粒物（</w:t>
                  </w:r>
                  <w:r>
                    <w:rPr>
                      <w:rFonts w:hint="default"/>
                      <w:color w:val="auto"/>
                      <w:szCs w:val="21"/>
                    </w:rPr>
                    <w:t>PM</w:t>
                  </w:r>
                  <w:r>
                    <w:rPr>
                      <w:rFonts w:hint="default"/>
                      <w:color w:val="auto"/>
                      <w:szCs w:val="21"/>
                      <w:vertAlign w:val="subscript"/>
                    </w:rPr>
                    <w:t>2.5</w:t>
                  </w:r>
                  <w:r>
                    <w:rPr>
                      <w:rFonts w:hint="eastAsia"/>
                      <w:color w:val="auto"/>
                      <w:szCs w:val="21"/>
                    </w:rPr>
                    <w:t>）</w:t>
                  </w:r>
                </w:p>
              </w:tc>
              <w:tc>
                <w:tcPr>
                  <w:tcW w:w="1119" w:type="pct"/>
                  <w:tcBorders>
                    <w:top w:val="single" w:color="auto" w:sz="6" w:space="0"/>
                    <w:left w:val="single" w:color="auto" w:sz="6" w:space="0"/>
                    <w:bottom w:val="single" w:color="auto" w:sz="6" w:space="0"/>
                    <w:right w:val="single" w:color="auto" w:sz="6" w:space="0"/>
                  </w:tcBorders>
                  <w:vAlign w:val="center"/>
                </w:tcPr>
                <w:p w14:paraId="6543149B">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年平均质量浓度</w:t>
                  </w:r>
                </w:p>
              </w:tc>
              <w:tc>
                <w:tcPr>
                  <w:tcW w:w="700" w:type="pct"/>
                  <w:tcBorders>
                    <w:top w:val="single" w:color="auto" w:sz="6" w:space="0"/>
                    <w:left w:val="single" w:color="auto" w:sz="6" w:space="0"/>
                    <w:bottom w:val="single" w:color="auto" w:sz="6" w:space="0"/>
                    <w:right w:val="single" w:color="auto" w:sz="6" w:space="0"/>
                  </w:tcBorders>
                  <w:vAlign w:val="center"/>
                </w:tcPr>
                <w:p w14:paraId="1FEEFD41">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26</w:t>
                  </w:r>
                </w:p>
              </w:tc>
              <w:tc>
                <w:tcPr>
                  <w:tcW w:w="751" w:type="pct"/>
                  <w:tcBorders>
                    <w:top w:val="single" w:color="auto" w:sz="6" w:space="0"/>
                    <w:left w:val="single" w:color="auto" w:sz="6" w:space="0"/>
                    <w:bottom w:val="single" w:color="auto" w:sz="6" w:space="0"/>
                    <w:right w:val="single" w:color="auto" w:sz="6" w:space="0"/>
                  </w:tcBorders>
                  <w:vAlign w:val="center"/>
                </w:tcPr>
                <w:p w14:paraId="7FE16320">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30</w:t>
                  </w:r>
                </w:p>
              </w:tc>
              <w:tc>
                <w:tcPr>
                  <w:tcW w:w="583" w:type="pct"/>
                  <w:tcBorders>
                    <w:top w:val="single" w:color="auto" w:sz="6" w:space="0"/>
                    <w:left w:val="single" w:color="auto" w:sz="6" w:space="0"/>
                    <w:bottom w:val="single" w:color="auto" w:sz="6" w:space="0"/>
                    <w:right w:val="single" w:color="auto" w:sz="6" w:space="0"/>
                  </w:tcBorders>
                  <w:vAlign w:val="center"/>
                </w:tcPr>
                <w:p w14:paraId="1941FE3C">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86.67</w:t>
                  </w:r>
                </w:p>
              </w:tc>
              <w:tc>
                <w:tcPr>
                  <w:tcW w:w="663" w:type="pct"/>
                  <w:tcBorders>
                    <w:top w:val="single" w:color="auto" w:sz="6" w:space="0"/>
                    <w:left w:val="single" w:color="auto" w:sz="6" w:space="0"/>
                    <w:bottom w:val="single" w:color="auto" w:sz="6" w:space="0"/>
                  </w:tcBorders>
                  <w:vAlign w:val="center"/>
                </w:tcPr>
                <w:p w14:paraId="47901201">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达标</w:t>
                  </w:r>
                </w:p>
              </w:tc>
            </w:tr>
            <w:tr w14:paraId="5D7793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80" w:type="pct"/>
                  <w:tcBorders>
                    <w:top w:val="single" w:color="auto" w:sz="6" w:space="0"/>
                    <w:bottom w:val="single" w:color="auto" w:sz="6" w:space="0"/>
                    <w:right w:val="single" w:color="auto" w:sz="6" w:space="0"/>
                  </w:tcBorders>
                  <w:vAlign w:val="center"/>
                </w:tcPr>
                <w:p w14:paraId="010AB73C">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可吸入颗粒物（</w:t>
                  </w:r>
                  <w:r>
                    <w:rPr>
                      <w:rFonts w:hint="default"/>
                      <w:color w:val="auto"/>
                      <w:szCs w:val="21"/>
                    </w:rPr>
                    <w:t>PM</w:t>
                  </w:r>
                  <w:r>
                    <w:rPr>
                      <w:rFonts w:hint="default"/>
                      <w:color w:val="auto"/>
                      <w:szCs w:val="21"/>
                      <w:vertAlign w:val="subscript"/>
                    </w:rPr>
                    <w:t>10</w:t>
                  </w:r>
                  <w:r>
                    <w:rPr>
                      <w:rFonts w:hint="eastAsia"/>
                      <w:color w:val="auto"/>
                      <w:szCs w:val="21"/>
                    </w:rPr>
                    <w:t>）</w:t>
                  </w:r>
                </w:p>
              </w:tc>
              <w:tc>
                <w:tcPr>
                  <w:tcW w:w="1119" w:type="pct"/>
                  <w:tcBorders>
                    <w:top w:val="single" w:color="auto" w:sz="6" w:space="0"/>
                    <w:left w:val="single" w:color="auto" w:sz="6" w:space="0"/>
                    <w:bottom w:val="single" w:color="auto" w:sz="6" w:space="0"/>
                    <w:right w:val="single" w:color="auto" w:sz="6" w:space="0"/>
                  </w:tcBorders>
                  <w:vAlign w:val="center"/>
                </w:tcPr>
                <w:p w14:paraId="1A46CAC2">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年平均质量浓度</w:t>
                  </w:r>
                </w:p>
              </w:tc>
              <w:tc>
                <w:tcPr>
                  <w:tcW w:w="700" w:type="pct"/>
                  <w:tcBorders>
                    <w:top w:val="single" w:color="auto" w:sz="6" w:space="0"/>
                    <w:left w:val="single" w:color="auto" w:sz="6" w:space="0"/>
                    <w:bottom w:val="single" w:color="auto" w:sz="6" w:space="0"/>
                    <w:right w:val="single" w:color="auto" w:sz="6" w:space="0"/>
                  </w:tcBorders>
                  <w:vAlign w:val="center"/>
                </w:tcPr>
                <w:p w14:paraId="400A0D3B">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43</w:t>
                  </w:r>
                </w:p>
              </w:tc>
              <w:tc>
                <w:tcPr>
                  <w:tcW w:w="751" w:type="pct"/>
                  <w:tcBorders>
                    <w:top w:val="single" w:color="auto" w:sz="6" w:space="0"/>
                    <w:left w:val="single" w:color="auto" w:sz="6" w:space="0"/>
                    <w:bottom w:val="single" w:color="auto" w:sz="6" w:space="0"/>
                    <w:right w:val="single" w:color="auto" w:sz="6" w:space="0"/>
                  </w:tcBorders>
                  <w:vAlign w:val="center"/>
                </w:tcPr>
                <w:p w14:paraId="7782F955">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60</w:t>
                  </w:r>
                </w:p>
              </w:tc>
              <w:tc>
                <w:tcPr>
                  <w:tcW w:w="583" w:type="pct"/>
                  <w:tcBorders>
                    <w:top w:val="single" w:color="auto" w:sz="6" w:space="0"/>
                    <w:left w:val="single" w:color="auto" w:sz="6" w:space="0"/>
                    <w:bottom w:val="single" w:color="auto" w:sz="6" w:space="0"/>
                    <w:right w:val="single" w:color="auto" w:sz="6" w:space="0"/>
                  </w:tcBorders>
                  <w:vAlign w:val="center"/>
                </w:tcPr>
                <w:p w14:paraId="10F63A6F">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71.67</w:t>
                  </w:r>
                </w:p>
              </w:tc>
              <w:tc>
                <w:tcPr>
                  <w:tcW w:w="663" w:type="pct"/>
                  <w:tcBorders>
                    <w:top w:val="single" w:color="auto" w:sz="6" w:space="0"/>
                    <w:left w:val="single" w:color="auto" w:sz="6" w:space="0"/>
                    <w:bottom w:val="single" w:color="auto" w:sz="6" w:space="0"/>
                  </w:tcBorders>
                  <w:vAlign w:val="center"/>
                </w:tcPr>
                <w:p w14:paraId="23A48D4D">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达标</w:t>
                  </w:r>
                </w:p>
              </w:tc>
            </w:tr>
            <w:tr w14:paraId="1B843F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80" w:type="pct"/>
                  <w:tcBorders>
                    <w:top w:val="single" w:color="auto" w:sz="6" w:space="0"/>
                    <w:bottom w:val="single" w:color="auto" w:sz="6" w:space="0"/>
                    <w:right w:val="single" w:color="auto" w:sz="6" w:space="0"/>
                  </w:tcBorders>
                  <w:vAlign w:val="center"/>
                </w:tcPr>
                <w:p w14:paraId="2A3EE268">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二氧化氮</w:t>
                  </w:r>
                </w:p>
              </w:tc>
              <w:tc>
                <w:tcPr>
                  <w:tcW w:w="1119" w:type="pct"/>
                  <w:tcBorders>
                    <w:top w:val="single" w:color="auto" w:sz="6" w:space="0"/>
                    <w:left w:val="single" w:color="auto" w:sz="6" w:space="0"/>
                    <w:bottom w:val="single" w:color="auto" w:sz="6" w:space="0"/>
                    <w:right w:val="single" w:color="auto" w:sz="6" w:space="0"/>
                  </w:tcBorders>
                  <w:vAlign w:val="center"/>
                </w:tcPr>
                <w:p w14:paraId="086AAF1C">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年平均质量浓度</w:t>
                  </w:r>
                </w:p>
              </w:tc>
              <w:tc>
                <w:tcPr>
                  <w:tcW w:w="700" w:type="pct"/>
                  <w:tcBorders>
                    <w:top w:val="single" w:color="auto" w:sz="6" w:space="0"/>
                    <w:left w:val="single" w:color="auto" w:sz="6" w:space="0"/>
                    <w:bottom w:val="single" w:color="auto" w:sz="6" w:space="0"/>
                    <w:right w:val="single" w:color="auto" w:sz="6" w:space="0"/>
                  </w:tcBorders>
                  <w:vAlign w:val="center"/>
                </w:tcPr>
                <w:p w14:paraId="5AFEA1BF">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17</w:t>
                  </w:r>
                </w:p>
              </w:tc>
              <w:tc>
                <w:tcPr>
                  <w:tcW w:w="751" w:type="pct"/>
                  <w:tcBorders>
                    <w:top w:val="single" w:color="auto" w:sz="6" w:space="0"/>
                    <w:left w:val="single" w:color="auto" w:sz="6" w:space="0"/>
                    <w:bottom w:val="single" w:color="auto" w:sz="6" w:space="0"/>
                    <w:right w:val="single" w:color="auto" w:sz="6" w:space="0"/>
                  </w:tcBorders>
                  <w:vAlign w:val="center"/>
                </w:tcPr>
                <w:p w14:paraId="25637C4A">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40</w:t>
                  </w:r>
                </w:p>
              </w:tc>
              <w:tc>
                <w:tcPr>
                  <w:tcW w:w="583" w:type="pct"/>
                  <w:tcBorders>
                    <w:top w:val="single" w:color="auto" w:sz="6" w:space="0"/>
                    <w:left w:val="single" w:color="auto" w:sz="6" w:space="0"/>
                    <w:bottom w:val="single" w:color="auto" w:sz="6" w:space="0"/>
                    <w:right w:val="single" w:color="auto" w:sz="6" w:space="0"/>
                  </w:tcBorders>
                  <w:vAlign w:val="center"/>
                </w:tcPr>
                <w:p w14:paraId="300BD17D">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42.5</w:t>
                  </w:r>
                </w:p>
              </w:tc>
              <w:tc>
                <w:tcPr>
                  <w:tcW w:w="663" w:type="pct"/>
                  <w:tcBorders>
                    <w:top w:val="single" w:color="auto" w:sz="6" w:space="0"/>
                    <w:left w:val="single" w:color="auto" w:sz="6" w:space="0"/>
                    <w:bottom w:val="single" w:color="auto" w:sz="6" w:space="0"/>
                  </w:tcBorders>
                  <w:vAlign w:val="center"/>
                </w:tcPr>
                <w:p w14:paraId="6DE2A429">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达标</w:t>
                  </w:r>
                </w:p>
              </w:tc>
            </w:tr>
            <w:tr w14:paraId="18AE18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80" w:type="pct"/>
                  <w:tcBorders>
                    <w:top w:val="single" w:color="auto" w:sz="6" w:space="0"/>
                    <w:bottom w:val="single" w:color="auto" w:sz="6" w:space="0"/>
                    <w:right w:val="single" w:color="auto" w:sz="6" w:space="0"/>
                  </w:tcBorders>
                  <w:vAlign w:val="center"/>
                </w:tcPr>
                <w:p w14:paraId="3170386D">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二氧化硫</w:t>
                  </w:r>
                </w:p>
              </w:tc>
              <w:tc>
                <w:tcPr>
                  <w:tcW w:w="1119" w:type="pct"/>
                  <w:tcBorders>
                    <w:top w:val="single" w:color="auto" w:sz="6" w:space="0"/>
                    <w:left w:val="single" w:color="auto" w:sz="6" w:space="0"/>
                    <w:bottom w:val="single" w:color="auto" w:sz="6" w:space="0"/>
                    <w:right w:val="single" w:color="auto" w:sz="6" w:space="0"/>
                  </w:tcBorders>
                  <w:vAlign w:val="center"/>
                </w:tcPr>
                <w:p w14:paraId="6E4225B6">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年平均质量浓度</w:t>
                  </w:r>
                </w:p>
              </w:tc>
              <w:tc>
                <w:tcPr>
                  <w:tcW w:w="700" w:type="pct"/>
                  <w:tcBorders>
                    <w:top w:val="single" w:color="auto" w:sz="6" w:space="0"/>
                    <w:left w:val="single" w:color="auto" w:sz="6" w:space="0"/>
                    <w:bottom w:val="single" w:color="auto" w:sz="6" w:space="0"/>
                    <w:right w:val="single" w:color="auto" w:sz="6" w:space="0"/>
                  </w:tcBorders>
                  <w:vAlign w:val="center"/>
                </w:tcPr>
                <w:p w14:paraId="7697DBAD">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8</w:t>
                  </w:r>
                </w:p>
              </w:tc>
              <w:tc>
                <w:tcPr>
                  <w:tcW w:w="751" w:type="pct"/>
                  <w:tcBorders>
                    <w:top w:val="single" w:color="auto" w:sz="6" w:space="0"/>
                    <w:left w:val="single" w:color="auto" w:sz="6" w:space="0"/>
                    <w:bottom w:val="single" w:color="auto" w:sz="6" w:space="0"/>
                    <w:right w:val="single" w:color="auto" w:sz="6" w:space="0"/>
                  </w:tcBorders>
                  <w:vAlign w:val="center"/>
                </w:tcPr>
                <w:p w14:paraId="06551164">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60</w:t>
                  </w:r>
                </w:p>
              </w:tc>
              <w:tc>
                <w:tcPr>
                  <w:tcW w:w="583" w:type="pct"/>
                  <w:tcBorders>
                    <w:top w:val="single" w:color="auto" w:sz="6" w:space="0"/>
                    <w:left w:val="single" w:color="auto" w:sz="6" w:space="0"/>
                    <w:bottom w:val="single" w:color="auto" w:sz="6" w:space="0"/>
                    <w:right w:val="single" w:color="auto" w:sz="6" w:space="0"/>
                  </w:tcBorders>
                  <w:vAlign w:val="center"/>
                </w:tcPr>
                <w:p w14:paraId="5B658389">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13.33</w:t>
                  </w:r>
                </w:p>
              </w:tc>
              <w:tc>
                <w:tcPr>
                  <w:tcW w:w="663" w:type="pct"/>
                  <w:tcBorders>
                    <w:top w:val="single" w:color="auto" w:sz="6" w:space="0"/>
                    <w:left w:val="single" w:color="auto" w:sz="6" w:space="0"/>
                    <w:bottom w:val="single" w:color="auto" w:sz="6" w:space="0"/>
                  </w:tcBorders>
                  <w:vAlign w:val="center"/>
                </w:tcPr>
                <w:p w14:paraId="5F3CA90B">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达标</w:t>
                  </w:r>
                </w:p>
              </w:tc>
            </w:tr>
            <w:tr w14:paraId="23E886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80" w:type="pct"/>
                  <w:tcBorders>
                    <w:top w:val="single" w:color="auto" w:sz="6" w:space="0"/>
                    <w:bottom w:val="single" w:color="auto" w:sz="6" w:space="0"/>
                    <w:right w:val="single" w:color="auto" w:sz="6" w:space="0"/>
                  </w:tcBorders>
                  <w:vAlign w:val="center"/>
                </w:tcPr>
                <w:p w14:paraId="6E4A9B58">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一氧化碳</w:t>
                  </w:r>
                </w:p>
              </w:tc>
              <w:tc>
                <w:tcPr>
                  <w:tcW w:w="1119" w:type="pct"/>
                  <w:tcBorders>
                    <w:top w:val="single" w:color="auto" w:sz="6" w:space="0"/>
                    <w:left w:val="single" w:color="auto" w:sz="6" w:space="0"/>
                    <w:bottom w:val="single" w:color="auto" w:sz="6" w:space="0"/>
                    <w:right w:val="single" w:color="auto" w:sz="6" w:space="0"/>
                  </w:tcBorders>
                  <w:vAlign w:val="center"/>
                </w:tcPr>
                <w:p w14:paraId="3D889388">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百分位数日平均</w:t>
                  </w:r>
                </w:p>
              </w:tc>
              <w:tc>
                <w:tcPr>
                  <w:tcW w:w="700" w:type="pct"/>
                  <w:tcBorders>
                    <w:top w:val="single" w:color="auto" w:sz="6" w:space="0"/>
                    <w:left w:val="single" w:color="auto" w:sz="6" w:space="0"/>
                    <w:bottom w:val="single" w:color="auto" w:sz="6" w:space="0"/>
                    <w:right w:val="single" w:color="auto" w:sz="6" w:space="0"/>
                  </w:tcBorders>
                  <w:vAlign w:val="center"/>
                </w:tcPr>
                <w:p w14:paraId="2244528B">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0.9</w:t>
                  </w:r>
                </w:p>
              </w:tc>
              <w:tc>
                <w:tcPr>
                  <w:tcW w:w="751" w:type="pct"/>
                  <w:tcBorders>
                    <w:top w:val="single" w:color="auto" w:sz="6" w:space="0"/>
                    <w:left w:val="single" w:color="auto" w:sz="6" w:space="0"/>
                    <w:bottom w:val="single" w:color="auto" w:sz="6" w:space="0"/>
                    <w:right w:val="single" w:color="auto" w:sz="6" w:space="0"/>
                  </w:tcBorders>
                  <w:vAlign w:val="center"/>
                </w:tcPr>
                <w:p w14:paraId="039E248A">
                  <w:pPr>
                    <w:keepNext w:val="0"/>
                    <w:keepLines w:val="0"/>
                    <w:suppressLineNumbers w:val="0"/>
                    <w:spacing w:before="0" w:beforeAutospacing="0" w:after="0" w:afterAutospacing="0"/>
                    <w:ind w:left="0" w:right="0"/>
                    <w:jc w:val="center"/>
                    <w:rPr>
                      <w:rFonts w:hint="eastAsia" w:eastAsia="宋体"/>
                      <w:color w:val="auto"/>
                      <w:szCs w:val="21"/>
                      <w:lang w:val="en-US" w:eastAsia="zh-CN"/>
                    </w:rPr>
                  </w:pPr>
                  <w:r>
                    <w:rPr>
                      <w:rFonts w:hint="eastAsia"/>
                      <w:color w:val="auto"/>
                      <w:szCs w:val="21"/>
                      <w:lang w:val="en-US" w:eastAsia="zh-CN"/>
                    </w:rPr>
                    <w:t>4</w:t>
                  </w:r>
                </w:p>
              </w:tc>
              <w:tc>
                <w:tcPr>
                  <w:tcW w:w="583" w:type="pct"/>
                  <w:tcBorders>
                    <w:top w:val="single" w:color="auto" w:sz="6" w:space="0"/>
                    <w:left w:val="single" w:color="auto" w:sz="6" w:space="0"/>
                    <w:bottom w:val="single" w:color="auto" w:sz="6" w:space="0"/>
                    <w:right w:val="single" w:color="auto" w:sz="6" w:space="0"/>
                  </w:tcBorders>
                  <w:vAlign w:val="center"/>
                </w:tcPr>
                <w:p w14:paraId="1C388CFE">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22.5</w:t>
                  </w:r>
                </w:p>
              </w:tc>
              <w:tc>
                <w:tcPr>
                  <w:tcW w:w="663" w:type="pct"/>
                  <w:tcBorders>
                    <w:top w:val="single" w:color="auto" w:sz="6" w:space="0"/>
                    <w:left w:val="single" w:color="auto" w:sz="6" w:space="0"/>
                    <w:bottom w:val="single" w:color="auto" w:sz="6" w:space="0"/>
                  </w:tcBorders>
                  <w:vAlign w:val="center"/>
                </w:tcPr>
                <w:p w14:paraId="033EA280">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达标</w:t>
                  </w:r>
                </w:p>
              </w:tc>
            </w:tr>
            <w:tr w14:paraId="41C1A3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80" w:type="pct"/>
                  <w:tcBorders>
                    <w:top w:val="single" w:color="auto" w:sz="6" w:space="0"/>
                    <w:bottom w:val="single" w:color="auto" w:sz="12" w:space="0"/>
                    <w:right w:val="single" w:color="auto" w:sz="6" w:space="0"/>
                  </w:tcBorders>
                  <w:vAlign w:val="center"/>
                </w:tcPr>
                <w:p w14:paraId="0C2A5C11">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臭氧</w:t>
                  </w:r>
                </w:p>
              </w:tc>
              <w:tc>
                <w:tcPr>
                  <w:tcW w:w="1119" w:type="pct"/>
                  <w:tcBorders>
                    <w:top w:val="single" w:color="auto" w:sz="6" w:space="0"/>
                    <w:left w:val="single" w:color="auto" w:sz="6" w:space="0"/>
                    <w:bottom w:val="single" w:color="auto" w:sz="12" w:space="0"/>
                    <w:right w:val="single" w:color="auto" w:sz="6" w:space="0"/>
                  </w:tcBorders>
                  <w:vAlign w:val="center"/>
                </w:tcPr>
                <w:p w14:paraId="3C392A71">
                  <w:pPr>
                    <w:keepNext w:val="0"/>
                    <w:keepLines w:val="0"/>
                    <w:suppressLineNumbers w:val="0"/>
                    <w:spacing w:before="0" w:beforeAutospacing="0" w:after="0" w:afterAutospacing="0"/>
                    <w:ind w:left="0" w:right="0"/>
                    <w:jc w:val="center"/>
                    <w:rPr>
                      <w:rFonts w:hint="default"/>
                      <w:color w:val="auto"/>
                      <w:szCs w:val="21"/>
                    </w:rPr>
                  </w:pPr>
                  <w:r>
                    <w:rPr>
                      <w:rFonts w:hint="default" w:ascii="Times New Roman" w:hAnsi="Times New Roman" w:eastAsia="宋体" w:cs="Times New Roman"/>
                      <w:color w:val="auto"/>
                      <w:szCs w:val="21"/>
                    </w:rPr>
                    <w:t>8h</w:t>
                  </w:r>
                  <w:r>
                    <w:rPr>
                      <w:rFonts w:hint="eastAsia" w:ascii="Times New Roman" w:hAnsi="Times New Roman" w:eastAsia="宋体" w:cs="Times New Roman"/>
                      <w:color w:val="auto"/>
                      <w:szCs w:val="21"/>
                    </w:rPr>
                    <w:t>平均质量浓度</w:t>
                  </w:r>
                </w:p>
              </w:tc>
              <w:tc>
                <w:tcPr>
                  <w:tcW w:w="700" w:type="pct"/>
                  <w:tcBorders>
                    <w:top w:val="single" w:color="auto" w:sz="6" w:space="0"/>
                    <w:left w:val="single" w:color="auto" w:sz="6" w:space="0"/>
                    <w:bottom w:val="single" w:color="auto" w:sz="12" w:space="0"/>
                    <w:right w:val="single" w:color="auto" w:sz="6" w:space="0"/>
                  </w:tcBorders>
                  <w:vAlign w:val="center"/>
                </w:tcPr>
                <w:p w14:paraId="654BB7D9">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115</w:t>
                  </w:r>
                </w:p>
              </w:tc>
              <w:tc>
                <w:tcPr>
                  <w:tcW w:w="751" w:type="pct"/>
                  <w:tcBorders>
                    <w:top w:val="single" w:color="auto" w:sz="6" w:space="0"/>
                    <w:left w:val="single" w:color="auto" w:sz="6" w:space="0"/>
                    <w:bottom w:val="single" w:color="auto" w:sz="12" w:space="0"/>
                    <w:right w:val="single" w:color="auto" w:sz="6" w:space="0"/>
                  </w:tcBorders>
                  <w:vAlign w:val="center"/>
                </w:tcPr>
                <w:p w14:paraId="2720C37A">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160</w:t>
                  </w:r>
                </w:p>
              </w:tc>
              <w:tc>
                <w:tcPr>
                  <w:tcW w:w="583" w:type="pct"/>
                  <w:tcBorders>
                    <w:top w:val="single" w:color="auto" w:sz="6" w:space="0"/>
                    <w:left w:val="single" w:color="auto" w:sz="6" w:space="0"/>
                    <w:bottom w:val="single" w:color="auto" w:sz="12" w:space="0"/>
                    <w:right w:val="single" w:color="auto" w:sz="6" w:space="0"/>
                  </w:tcBorders>
                  <w:vAlign w:val="center"/>
                </w:tcPr>
                <w:p w14:paraId="48212695">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71.88</w:t>
                  </w:r>
                </w:p>
              </w:tc>
              <w:tc>
                <w:tcPr>
                  <w:tcW w:w="663" w:type="pct"/>
                  <w:tcBorders>
                    <w:top w:val="single" w:color="auto" w:sz="6" w:space="0"/>
                    <w:left w:val="single" w:color="auto" w:sz="6" w:space="0"/>
                    <w:bottom w:val="single" w:color="auto" w:sz="12" w:space="0"/>
                  </w:tcBorders>
                  <w:vAlign w:val="center"/>
                </w:tcPr>
                <w:p w14:paraId="4501645B">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达标</w:t>
                  </w:r>
                </w:p>
              </w:tc>
            </w:tr>
          </w:tbl>
          <w:p w14:paraId="3E2B38B8">
            <w:pPr>
              <w:snapToGrid w:val="0"/>
              <w:spacing w:line="360" w:lineRule="auto"/>
              <w:ind w:firstLine="480" w:firstLineChars="200"/>
              <w:rPr>
                <w:snapToGrid w:val="0"/>
                <w:color w:val="auto"/>
                <w:sz w:val="24"/>
                <w:lang w:val="en-GB"/>
              </w:rPr>
            </w:pPr>
            <w:r>
              <w:rPr>
                <w:snapToGrid w:val="0"/>
                <w:color w:val="auto"/>
                <w:sz w:val="24"/>
                <w:lang w:val="en-GB"/>
              </w:rPr>
              <w:t>（2）其他污染物</w:t>
            </w:r>
          </w:p>
          <w:p w14:paraId="1C1A359F">
            <w:pPr>
              <w:autoSpaceDE w:val="0"/>
              <w:snapToGrid w:val="0"/>
              <w:spacing w:line="360" w:lineRule="auto"/>
              <w:ind w:firstLine="480" w:firstLineChars="200"/>
              <w:jc w:val="left"/>
              <w:rPr>
                <w:rFonts w:hint="eastAsia" w:ascii="Times New Roman" w:hAnsi="Times New Roman" w:eastAsia="宋体" w:cs="Times New Roman"/>
                <w:snapToGrid w:val="0"/>
                <w:color w:val="auto"/>
                <w:sz w:val="24"/>
                <w:szCs w:val="24"/>
                <w:lang w:val="en-GB"/>
              </w:rPr>
            </w:pPr>
            <w:r>
              <w:rPr>
                <w:rFonts w:hint="eastAsia" w:ascii="Times New Roman" w:hAnsi="Times New Roman" w:eastAsia="宋体" w:cs="Times New Roman"/>
                <w:snapToGrid w:val="0"/>
                <w:color w:val="auto"/>
                <w:sz w:val="24"/>
                <w:szCs w:val="24"/>
                <w:lang w:val="en-GB"/>
              </w:rPr>
              <w:t>根据《建设项目环境影响报告表编制技术指南（生态影响类）》不开展专项评价的环境要素，引用与项目距离近的有效数据和调查资料，根据《建设项目环境影响报告表编制技术指南（污染影响类）》排放国家、地方环境空气质量标准中有标准限值要求的特征污染物时，引用建设项目周边5千米范围内近3年的现有监测数据</w:t>
            </w:r>
            <w:r>
              <w:rPr>
                <w:rFonts w:hint="eastAsia" w:cs="Times New Roman"/>
                <w:snapToGrid w:val="0"/>
                <w:color w:val="auto"/>
                <w:sz w:val="24"/>
                <w:szCs w:val="24"/>
                <w:lang w:val="en-GB" w:eastAsia="zh-CN"/>
              </w:rPr>
              <w:t>，</w:t>
            </w:r>
            <w:r>
              <w:rPr>
                <w:rFonts w:hint="eastAsia" w:ascii="Times New Roman" w:hAnsi="Times New Roman" w:eastAsia="宋体" w:cs="Times New Roman"/>
                <w:snapToGrid w:val="0"/>
                <w:color w:val="auto"/>
                <w:sz w:val="24"/>
                <w:szCs w:val="24"/>
                <w:lang w:val="en-GB"/>
              </w:rPr>
              <w:t>无相关数据的选择当季主导风向下风向1个点位补充不少于3天的监测数据。本工程污染源排污特点及厂址周围环境，确定本项目环境空气现状监测因子为：TSP。</w:t>
            </w:r>
          </w:p>
          <w:p w14:paraId="37BF1DF1">
            <w:pPr>
              <w:snapToGrid w:val="0"/>
              <w:spacing w:line="360" w:lineRule="auto"/>
              <w:ind w:firstLine="480" w:firstLineChars="200"/>
              <w:rPr>
                <w:rFonts w:hint="default" w:eastAsia="宋体"/>
                <w:snapToGrid w:val="0"/>
                <w:color w:val="auto"/>
                <w:sz w:val="24"/>
                <w:lang w:val="en-US" w:eastAsia="zh-CN"/>
              </w:rPr>
            </w:pPr>
            <w:r>
              <w:rPr>
                <w:rFonts w:hint="eastAsia" w:ascii="Times New Roman" w:hAnsi="Times New Roman" w:eastAsia="宋体" w:cs="Times New Roman"/>
                <w:snapToGrid w:val="0"/>
                <w:color w:val="auto"/>
                <w:sz w:val="24"/>
                <w:szCs w:val="24"/>
                <w:lang w:val="en-GB"/>
              </w:rPr>
              <w:t>本项目补充监测数据引用《</w:t>
            </w:r>
            <w:r>
              <w:rPr>
                <w:rFonts w:hint="eastAsia" w:cs="Times New Roman"/>
                <w:snapToGrid w:val="0"/>
                <w:color w:val="auto"/>
                <w:sz w:val="24"/>
                <w:szCs w:val="24"/>
                <w:lang w:val="en-US" w:eastAsia="zh-CN"/>
              </w:rPr>
              <w:t>黑龙江龙煤鸡西矿业有限责任公司新发煤矿洗煤厂建设工程项目检测报告</w:t>
            </w:r>
            <w:r>
              <w:rPr>
                <w:rFonts w:hint="eastAsia" w:ascii="Times New Roman" w:hAnsi="Times New Roman" w:eastAsia="宋体" w:cs="Times New Roman"/>
                <w:snapToGrid w:val="0"/>
                <w:color w:val="auto"/>
                <w:sz w:val="24"/>
                <w:szCs w:val="24"/>
                <w:lang w:val="en-GB"/>
              </w:rPr>
              <w:t>》</w:t>
            </w:r>
            <w:r>
              <w:rPr>
                <w:rFonts w:hint="eastAsia" w:cs="Times New Roman"/>
                <w:snapToGrid w:val="0"/>
                <w:color w:val="auto"/>
                <w:sz w:val="24"/>
                <w:szCs w:val="24"/>
                <w:lang w:val="en-GB" w:eastAsia="zh-CN"/>
              </w:rPr>
              <w:t>（</w:t>
            </w:r>
            <w:r>
              <w:rPr>
                <w:rFonts w:hint="eastAsia" w:cs="Times New Roman"/>
                <w:snapToGrid w:val="0"/>
                <w:color w:val="auto"/>
                <w:sz w:val="24"/>
                <w:szCs w:val="24"/>
                <w:lang w:val="en-US" w:eastAsia="zh-CN"/>
              </w:rPr>
              <w:t>报告编号：SY-BG-20240830-06</w:t>
            </w:r>
            <w:r>
              <w:rPr>
                <w:rFonts w:hint="eastAsia" w:cs="Times New Roman"/>
                <w:snapToGrid w:val="0"/>
                <w:color w:val="auto"/>
                <w:sz w:val="24"/>
                <w:szCs w:val="24"/>
                <w:lang w:val="en-GB" w:eastAsia="zh-CN"/>
              </w:rPr>
              <w:t>）</w:t>
            </w:r>
            <w:r>
              <w:rPr>
                <w:rFonts w:hint="eastAsia" w:ascii="Times New Roman" w:hAnsi="Times New Roman" w:eastAsia="宋体" w:cs="Times New Roman"/>
                <w:snapToGrid w:val="0"/>
                <w:color w:val="auto"/>
                <w:sz w:val="24"/>
                <w:szCs w:val="24"/>
                <w:lang w:val="en-GB"/>
              </w:rPr>
              <w:t>于202</w:t>
            </w:r>
            <w:r>
              <w:rPr>
                <w:rFonts w:hint="eastAsia" w:cs="Times New Roman"/>
                <w:snapToGrid w:val="0"/>
                <w:color w:val="auto"/>
                <w:sz w:val="24"/>
                <w:szCs w:val="24"/>
                <w:lang w:val="en-US" w:eastAsia="zh-CN"/>
              </w:rPr>
              <w:t>4</w:t>
            </w:r>
            <w:r>
              <w:rPr>
                <w:rFonts w:hint="eastAsia" w:ascii="Times New Roman" w:hAnsi="Times New Roman" w:eastAsia="宋体" w:cs="Times New Roman"/>
                <w:snapToGrid w:val="0"/>
                <w:color w:val="auto"/>
                <w:sz w:val="24"/>
                <w:szCs w:val="24"/>
                <w:lang w:val="en-GB"/>
              </w:rPr>
              <w:t>年</w:t>
            </w:r>
            <w:r>
              <w:rPr>
                <w:rFonts w:hint="eastAsia" w:cs="Times New Roman"/>
                <w:snapToGrid w:val="0"/>
                <w:color w:val="auto"/>
                <w:sz w:val="24"/>
                <w:szCs w:val="24"/>
                <w:lang w:val="en-US" w:eastAsia="zh-CN"/>
              </w:rPr>
              <w:t>8</w:t>
            </w:r>
            <w:r>
              <w:rPr>
                <w:rFonts w:hint="eastAsia" w:ascii="Times New Roman" w:hAnsi="Times New Roman" w:eastAsia="宋体" w:cs="Times New Roman"/>
                <w:snapToGrid w:val="0"/>
                <w:color w:val="auto"/>
                <w:sz w:val="24"/>
                <w:szCs w:val="24"/>
                <w:lang w:val="en-GB"/>
              </w:rPr>
              <w:t>月</w:t>
            </w:r>
            <w:r>
              <w:rPr>
                <w:rFonts w:hint="eastAsia" w:cs="Times New Roman"/>
                <w:snapToGrid w:val="0"/>
                <w:color w:val="auto"/>
                <w:sz w:val="24"/>
                <w:szCs w:val="24"/>
                <w:lang w:val="en-US" w:eastAsia="zh-CN"/>
              </w:rPr>
              <w:t>30</w:t>
            </w:r>
            <w:r>
              <w:rPr>
                <w:rFonts w:hint="eastAsia" w:ascii="Times New Roman" w:hAnsi="Times New Roman" w:eastAsia="宋体" w:cs="Times New Roman"/>
                <w:snapToGrid w:val="0"/>
                <w:color w:val="auto"/>
                <w:sz w:val="24"/>
                <w:szCs w:val="24"/>
                <w:lang w:val="en-GB"/>
              </w:rPr>
              <w:t>日由鸡西晟源环境检测有限公司出具的监测数据</w:t>
            </w:r>
            <w:r>
              <w:rPr>
                <w:rFonts w:hint="eastAsia" w:cs="Times New Roman"/>
                <w:snapToGrid w:val="0"/>
                <w:color w:val="auto"/>
                <w:sz w:val="24"/>
                <w:szCs w:val="24"/>
                <w:lang w:val="en-GB" w:eastAsia="zh-CN"/>
              </w:rPr>
              <w:t>（</w:t>
            </w:r>
            <w:r>
              <w:rPr>
                <w:rFonts w:hint="eastAsia" w:ascii="Times New Roman" w:hAnsi="Times New Roman" w:eastAsia="宋体" w:cs="Times New Roman"/>
                <w:snapToGrid w:val="0"/>
                <w:color w:val="auto"/>
                <w:sz w:val="24"/>
                <w:szCs w:val="24"/>
                <w:lang w:val="en-GB"/>
              </w:rPr>
              <w:t>见附件</w:t>
            </w:r>
            <w:r>
              <w:rPr>
                <w:rFonts w:hint="eastAsia" w:cs="Times New Roman"/>
                <w:snapToGrid w:val="0"/>
                <w:color w:val="auto"/>
                <w:sz w:val="24"/>
                <w:szCs w:val="24"/>
                <w:lang w:val="en-US" w:eastAsia="zh-CN"/>
              </w:rPr>
              <w:t>5</w:t>
            </w:r>
            <w:r>
              <w:rPr>
                <w:rFonts w:hint="eastAsia" w:cs="Times New Roman"/>
                <w:snapToGrid w:val="0"/>
                <w:color w:val="auto"/>
                <w:sz w:val="24"/>
                <w:szCs w:val="24"/>
                <w:lang w:val="en-GB" w:eastAsia="zh-CN"/>
              </w:rPr>
              <w:t>）</w:t>
            </w:r>
            <w:r>
              <w:rPr>
                <w:rFonts w:hint="eastAsia" w:ascii="Times New Roman" w:hAnsi="Times New Roman" w:eastAsia="宋体" w:cs="Times New Roman"/>
                <w:snapToGrid w:val="0"/>
                <w:color w:val="auto"/>
                <w:sz w:val="24"/>
                <w:szCs w:val="24"/>
                <w:lang w:val="en-GB"/>
              </w:rPr>
              <w:t>。</w:t>
            </w:r>
            <w:r>
              <w:rPr>
                <w:rFonts w:hint="eastAsia" w:cs="Times New Roman"/>
                <w:snapToGrid w:val="0"/>
                <w:color w:val="auto"/>
                <w:sz w:val="24"/>
                <w:szCs w:val="24"/>
                <w:lang w:val="en-US" w:eastAsia="zh-CN"/>
              </w:rPr>
              <w:t>该项目位于本项目西侧1700m处。</w:t>
            </w:r>
          </w:p>
          <w:p w14:paraId="08F2359A">
            <w:pPr>
              <w:autoSpaceDE w:val="0"/>
              <w:snapToGrid w:val="0"/>
              <w:spacing w:line="360" w:lineRule="auto"/>
              <w:ind w:firstLine="480" w:firstLineChars="200"/>
              <w:jc w:val="left"/>
              <w:rPr>
                <w:rFonts w:hint="eastAsia" w:ascii="Times New Roman" w:hAnsi="Times New Roman" w:eastAsia="宋体" w:cs="Times New Roman"/>
                <w:snapToGrid w:val="0"/>
                <w:color w:val="auto"/>
                <w:sz w:val="24"/>
                <w:szCs w:val="24"/>
                <w:lang w:val="en-GB"/>
              </w:rPr>
            </w:pPr>
            <w:r>
              <w:rPr>
                <w:rFonts w:hint="eastAsia" w:ascii="Times New Roman" w:hAnsi="Times New Roman" w:eastAsia="宋体" w:cs="Times New Roman"/>
                <w:snapToGrid w:val="0"/>
                <w:color w:val="auto"/>
                <w:sz w:val="24"/>
                <w:szCs w:val="24"/>
                <w:lang w:val="en-GB"/>
              </w:rPr>
              <w:t>（1）监测点布设</w:t>
            </w:r>
          </w:p>
          <w:p w14:paraId="62EEDBF4">
            <w:pPr>
              <w:autoSpaceDE w:val="0"/>
              <w:snapToGrid w:val="0"/>
              <w:spacing w:line="360" w:lineRule="auto"/>
              <w:ind w:firstLine="480" w:firstLineChars="200"/>
              <w:jc w:val="left"/>
              <w:rPr>
                <w:rFonts w:hint="eastAsia" w:ascii="Times New Roman" w:hAnsi="Times New Roman" w:eastAsia="宋体" w:cs="Times New Roman"/>
                <w:snapToGrid w:val="0"/>
                <w:color w:val="auto"/>
                <w:sz w:val="24"/>
                <w:szCs w:val="24"/>
                <w:lang w:val="en-GB"/>
              </w:rPr>
            </w:pPr>
            <w:r>
              <w:rPr>
                <w:rFonts w:hint="eastAsia" w:ascii="Times New Roman" w:hAnsi="Times New Roman" w:eastAsia="宋体" w:cs="Times New Roman"/>
                <w:snapToGrid w:val="0"/>
                <w:color w:val="auto"/>
                <w:sz w:val="24"/>
                <w:szCs w:val="24"/>
                <w:lang w:val="en-GB"/>
              </w:rPr>
              <w:t>根据大气环境影响评价等级及评价范围，并考虑项目地的主导风向和评价范围内主要保护目标位置等因素，在评价范围内主要布置1个监测点，监测点设置见表3-</w:t>
            </w:r>
            <w:r>
              <w:rPr>
                <w:rFonts w:hint="eastAsia" w:ascii="Times New Roman" w:hAnsi="Times New Roman" w:cs="Times New Roman"/>
                <w:snapToGrid w:val="0"/>
                <w:color w:val="auto"/>
                <w:sz w:val="24"/>
                <w:szCs w:val="24"/>
                <w:lang w:val="en-US" w:eastAsia="zh-CN"/>
              </w:rPr>
              <w:t>2</w:t>
            </w:r>
            <w:r>
              <w:rPr>
                <w:rFonts w:hint="eastAsia" w:cs="Times New Roman"/>
                <w:snapToGrid w:val="0"/>
                <w:color w:val="auto"/>
                <w:sz w:val="24"/>
                <w:szCs w:val="24"/>
                <w:lang w:val="en-US" w:eastAsia="zh-CN"/>
              </w:rPr>
              <w:t>，监测点示意图见图3-1</w:t>
            </w:r>
            <w:r>
              <w:rPr>
                <w:rFonts w:hint="eastAsia" w:ascii="Times New Roman" w:hAnsi="Times New Roman" w:eastAsia="宋体" w:cs="Times New Roman"/>
                <w:snapToGrid w:val="0"/>
                <w:color w:val="auto"/>
                <w:sz w:val="24"/>
                <w:szCs w:val="24"/>
                <w:lang w:val="en-GB"/>
              </w:rPr>
              <w:t>。</w:t>
            </w:r>
          </w:p>
          <w:p w14:paraId="4BBAF7BA">
            <w:pPr>
              <w:autoSpaceDE w:val="0"/>
              <w:autoSpaceDN w:val="0"/>
              <w:adjustRightInd w:val="0"/>
              <w:jc w:val="center"/>
              <w:rPr>
                <w:rFonts w:hint="eastAsia"/>
                <w:b/>
                <w:bCs/>
                <w:iCs/>
                <w:color w:val="auto"/>
                <w:kern w:val="0"/>
                <w:szCs w:val="21"/>
              </w:rPr>
            </w:pPr>
            <w:r>
              <w:rPr>
                <w:rFonts w:hint="eastAsia" w:ascii="Times New Roman" w:hAnsi="Times New Roman" w:eastAsia="宋体" w:cs="Times New Roman"/>
                <w:snapToGrid w:val="0"/>
                <w:color w:val="auto"/>
                <w:sz w:val="24"/>
                <w:szCs w:val="24"/>
                <w:lang w:val="en-GB"/>
              </w:rPr>
              <w:drawing>
                <wp:anchor distT="0" distB="0" distL="114300" distR="114300" simplePos="0" relativeHeight="251686912" behindDoc="0" locked="0" layoutInCell="1" allowOverlap="1">
                  <wp:simplePos x="0" y="0"/>
                  <wp:positionH relativeFrom="column">
                    <wp:posOffset>4423410</wp:posOffset>
                  </wp:positionH>
                  <wp:positionV relativeFrom="paragraph">
                    <wp:posOffset>16510</wp:posOffset>
                  </wp:positionV>
                  <wp:extent cx="672465" cy="638175"/>
                  <wp:effectExtent l="0" t="0" r="13335" b="9525"/>
                  <wp:wrapNone/>
                  <wp:docPr id="40" name="图片 4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图片1"/>
                          <pic:cNvPicPr>
                            <a:picLocks noChangeAspect="1"/>
                          </pic:cNvPicPr>
                        </pic:nvPicPr>
                        <pic:blipFill>
                          <a:blip r:embed="rId14"/>
                          <a:stretch>
                            <a:fillRect/>
                          </a:stretch>
                        </pic:blipFill>
                        <pic:spPr>
                          <a:xfrm>
                            <a:off x="0" y="0"/>
                            <a:ext cx="672465" cy="638175"/>
                          </a:xfrm>
                          <a:prstGeom prst="rect">
                            <a:avLst/>
                          </a:prstGeom>
                        </pic:spPr>
                      </pic:pic>
                    </a:graphicData>
                  </a:graphic>
                </wp:anchor>
              </w:drawing>
            </w:r>
            <w:r>
              <w:rPr>
                <w:color w:val="auto"/>
                <w:sz w:val="21"/>
              </w:rPr>
              <mc:AlternateContent>
                <mc:Choice Requires="wps">
                  <w:drawing>
                    <wp:anchor distT="0" distB="0" distL="114300" distR="114300" simplePos="0" relativeHeight="251685888" behindDoc="0" locked="0" layoutInCell="1" allowOverlap="1">
                      <wp:simplePos x="0" y="0"/>
                      <wp:positionH relativeFrom="column">
                        <wp:posOffset>3557270</wp:posOffset>
                      </wp:positionH>
                      <wp:positionV relativeFrom="paragraph">
                        <wp:posOffset>610870</wp:posOffset>
                      </wp:positionV>
                      <wp:extent cx="768985" cy="331470"/>
                      <wp:effectExtent l="6350" t="6350" r="24765" b="328930"/>
                      <wp:wrapNone/>
                      <wp:docPr id="37" name="矩形标注 37"/>
                      <wp:cNvGraphicFramePr/>
                      <a:graphic xmlns:a="http://schemas.openxmlformats.org/drawingml/2006/main">
                        <a:graphicData uri="http://schemas.microsoft.com/office/word/2010/wordprocessingShape">
                          <wps:wsp>
                            <wps:cNvSpPr/>
                            <wps:spPr>
                              <a:xfrm>
                                <a:off x="0" y="0"/>
                                <a:ext cx="768985" cy="331470"/>
                              </a:xfrm>
                              <a:prstGeom prst="wedgeRectCallout">
                                <a:avLst>
                                  <a:gd name="adj1" fmla="val -3344"/>
                                  <a:gd name="adj2" fmla="val 138505"/>
                                </a:avLst>
                              </a:prstGeom>
                              <a:solidFill>
                                <a:schemeClr val="bg1"/>
                              </a:solidFill>
                              <a:ln>
                                <a:solidFill>
                                  <a:schemeClr val="tx1"/>
                                </a:solidFill>
                              </a:ln>
                            </wps:spPr>
                            <wps:style>
                              <a:lnRef idx="2">
                                <a:schemeClr val="accent1"/>
                              </a:lnRef>
                              <a:fillRef idx="0">
                                <a:srgbClr val="FFFFFF"/>
                              </a:fillRef>
                              <a:effectRef idx="0">
                                <a:srgbClr val="FFFFFF"/>
                              </a:effectRef>
                              <a:fontRef idx="minor">
                                <a:schemeClr val="tx1"/>
                              </a:fontRef>
                            </wps:style>
                            <wps:txbx>
                              <w:txbxContent>
                                <w:p w14:paraId="7AC3BCF1">
                                  <w:pPr>
                                    <w:jc w:val="center"/>
                                    <w:rPr>
                                      <w:rFonts w:hint="default" w:ascii="宋体" w:hAnsi="宋体" w:eastAsia="宋体" w:cs="宋体"/>
                                      <w:b w:val="0"/>
                                      <w:bCs w:val="0"/>
                                      <w:color w:val="FFFFFF" w:themeColor="background1"/>
                                      <w:lang w:val="en-US" w:eastAsia="zh-CN"/>
                                      <w14:textOutline w14:w="9525">
                                        <w14:solidFill>
                                          <w14:srgbClr w14:val="000000"/>
                                        </w14:solidFill>
                                        <w14:round/>
                                      </w14:textOutline>
                                      <w14:textFill>
                                        <w14:solidFill>
                                          <w14:schemeClr w14:val="bg1"/>
                                        </w14:solidFill>
                                      </w14:textFill>
                                    </w:rPr>
                                  </w:pPr>
                                  <w:r>
                                    <w:rPr>
                                      <w:rFonts w:hint="eastAsia" w:ascii="宋体" w:hAnsi="宋体" w:cs="宋体"/>
                                      <w:b w:val="0"/>
                                      <w:bCs w:val="0"/>
                                      <w:color w:val="FFFFFF" w:themeColor="background1"/>
                                      <w:lang w:val="en-US" w:eastAsia="zh-CN"/>
                                      <w14:textOutline w14:w="9525">
                                        <w14:solidFill>
                                          <w14:srgbClr w14:val="000000"/>
                                        </w14:solidFill>
                                        <w14:round/>
                                      </w14:textOutline>
                                      <w14:textFill>
                                        <w14:solidFill>
                                          <w14:schemeClr w14:val="bg1"/>
                                        </w14:solidFill>
                                      </w14:textFill>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80.1pt;margin-top:48.1pt;height:26.1pt;width:60.55pt;z-index:251685888;v-text-anchor:middle;mso-width-relative:page;mso-height-relative:page;" fillcolor="#FFFFFF [3212]" filled="t" stroked="t" coordsize="21600,21600" o:gfxdata="UEsDBAoAAAAAAIdO4kAAAAAAAAAAAAAAAAAEAAAAZHJzL1BLAwQUAAAACACHTuJA6mBVmNoAAAAK&#10;AQAADwAAAGRycy9kb3ducmV2LnhtbE2PPU/DMBCGdyT+g3VILIjaSUuUhjgdkOiABBJtFzY3viYR&#10;/gi204Z/zzHBdDrdo/eet97M1rAzhjh4JyFbCGDoWq8H10k47J/vS2AxKaeV8Q4lfGOETXN9VatK&#10;+4t7x/MudYxCXKyUhD6lseI8tj1aFRd+REe3kw9WJVpDx3VQFwq3hudCFNyqwdGHXo341GP7uZus&#10;BL9/W4fcLPnHdj5o3L5MX6+nOylvbzLxCCzhnP5g+NUndWjI6egnpyMzEh4KkRMqYV3QJKAosyWw&#10;I5GrcgW8qfn/Cs0PUEsDBBQAAAAIAIdO4kCyr5nqrQIAAGQFAAAOAAAAZHJzL2Uyb0RvYy54bWyt&#10;VM1uEzEQviPxDpbv7ea3SaNuqihREFJFKwri7HjtXSP/YTvZlBfgMYo4wZkzj0N5DcbebbstPfTA&#10;HrwznvHMfN94fHK6VxLtmPPC6Bz3D3sYMU1NIXSZ4/fv1gdTjHwguiDSaJbjK+bx6fzli5PaztjA&#10;VEYWzCEIov2stjmuQrCzLPO0Yor4Q2OZBiM3TpEAqiuzwpEaoiuZDXq9o6w2rrDOUOY97K4aI24j&#10;uucENJwLylaGbhXToYnqmCQBIPlKWI/nqVrOGQ3nnHsWkMwxIA1phSQgb+KazU/IrHTEVoK2JZDn&#10;lPAIkyJCQ9K7UCsSCNo68U8oJagz3vBwSI3KGiCJEUDR7z3i5rIiliUsQLW3d6T7/xeWvtldOCSK&#10;HA8nGGmioON/rn/8/vXt5uuXm5/fEWwDR7X1M3C9tBeu1TyIEfCeOxX/AAXtE69Xd7yyfUAUNidH&#10;0+PpGCMKpuGwP5ok3rP7w9b58IoZhaKQ45oVJXsLvVsSKc02JGbJ7syHRHHR1kmKj32MuJLQsR2R&#10;6GA4HI3ajnZ8Bl2f/nA67o2jE6RvQ4J0W0CM740UxVpImRRXbpbSIYif43X62sMP3KRGNQzTYNKD&#10;i0UJjAWH6wiiskCt1yVGRJYwbzS4hObBad9N0kvfU0likSviq6aYFKFBq0SAkZRC5XjaPS01wIyt&#10;a5oVpbDf7NsObkxxBb13phkKb+laQIYz4sMFccApQIF3IpzDwqUBfKaVMKqM+/zUfvSHywlWjGqY&#10;KsD+aUscw0i+1nBtj/ujURzDpIzGkwEormvZdC16q5YGeIcuQ3VJjP5B3orcGfUBnpNFzAomoink&#10;blhulWVoph0eJMoWi+QGo2dJONOXlsbgsc/aLLbBcBHizYhENey0CgxfujDtQxGnu6snr/vHcf4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6mBVmNoAAAAKAQAADwAAAAAAAAABACAAAAAiAAAAZHJz&#10;L2Rvd25yZXYueG1sUEsBAhQAFAAAAAgAh07iQLKvmeqtAgAAZAUAAA4AAAAAAAAAAQAgAAAAKQEA&#10;AGRycy9lMm9Eb2MueG1sUEsFBgAAAAAGAAYAWQEAAEgGAAAAAA==&#10;" adj="10078,40717">
                      <v:fill on="t" focussize="0,0"/>
                      <v:stroke weight="1pt" color="#000000 [3213]" miterlimit="8" joinstyle="miter"/>
                      <v:imagedata o:title=""/>
                      <o:lock v:ext="edit" aspectratio="f"/>
                      <v:textbox>
                        <w:txbxContent>
                          <w:p w14:paraId="7AC3BCF1">
                            <w:pPr>
                              <w:jc w:val="center"/>
                              <w:rPr>
                                <w:rFonts w:hint="default" w:ascii="宋体" w:hAnsi="宋体" w:eastAsia="宋体" w:cs="宋体"/>
                                <w:b w:val="0"/>
                                <w:bCs w:val="0"/>
                                <w:color w:val="FFFFFF" w:themeColor="background1"/>
                                <w:lang w:val="en-US" w:eastAsia="zh-CN"/>
                                <w14:textOutline w14:w="9525">
                                  <w14:solidFill>
                                    <w14:srgbClr w14:val="000000"/>
                                  </w14:solidFill>
                                  <w14:round/>
                                </w14:textOutline>
                                <w14:textFill>
                                  <w14:solidFill>
                                    <w14:schemeClr w14:val="bg1"/>
                                  </w14:solidFill>
                                </w14:textFill>
                              </w:rPr>
                            </w:pPr>
                            <w:r>
                              <w:rPr>
                                <w:rFonts w:hint="eastAsia" w:ascii="宋体" w:hAnsi="宋体" w:cs="宋体"/>
                                <w:b w:val="0"/>
                                <w:bCs w:val="0"/>
                                <w:color w:val="FFFFFF" w:themeColor="background1"/>
                                <w:lang w:val="en-US" w:eastAsia="zh-CN"/>
                                <w14:textOutline w14:w="9525">
                                  <w14:solidFill>
                                    <w14:srgbClr w14:val="000000"/>
                                  </w14:solidFill>
                                  <w14:round/>
                                </w14:textOutline>
                                <w14:textFill>
                                  <w14:solidFill>
                                    <w14:schemeClr w14:val="bg1"/>
                                  </w14:solidFill>
                                </w14:textFill>
                              </w:rPr>
                              <w:t>本项目</w:t>
                            </w:r>
                          </w:p>
                        </w:txbxContent>
                      </v:textbox>
                    </v:shape>
                  </w:pict>
                </mc:Fallback>
              </mc:AlternateContent>
            </w:r>
            <w:r>
              <w:rPr>
                <w:color w:val="auto"/>
                <w:sz w:val="21"/>
              </w:rPr>
              <mc:AlternateContent>
                <mc:Choice Requires="wps">
                  <w:drawing>
                    <wp:anchor distT="0" distB="0" distL="114300" distR="114300" simplePos="0" relativeHeight="251684864" behindDoc="0" locked="0" layoutInCell="1" allowOverlap="1">
                      <wp:simplePos x="0" y="0"/>
                      <wp:positionH relativeFrom="column">
                        <wp:posOffset>737870</wp:posOffset>
                      </wp:positionH>
                      <wp:positionV relativeFrom="paragraph">
                        <wp:posOffset>458470</wp:posOffset>
                      </wp:positionV>
                      <wp:extent cx="768985" cy="331470"/>
                      <wp:effectExtent l="6350" t="6350" r="24765" b="328930"/>
                      <wp:wrapNone/>
                      <wp:docPr id="36" name="矩形标注 36"/>
                      <wp:cNvGraphicFramePr/>
                      <a:graphic xmlns:a="http://schemas.openxmlformats.org/drawingml/2006/main">
                        <a:graphicData uri="http://schemas.microsoft.com/office/word/2010/wordprocessingShape">
                          <wps:wsp>
                            <wps:cNvSpPr/>
                            <wps:spPr>
                              <a:xfrm>
                                <a:off x="3750310" y="4836160"/>
                                <a:ext cx="768985" cy="331470"/>
                              </a:xfrm>
                              <a:prstGeom prst="wedgeRectCallout">
                                <a:avLst>
                                  <a:gd name="adj1" fmla="val -3344"/>
                                  <a:gd name="adj2" fmla="val 138505"/>
                                </a:avLst>
                              </a:prstGeom>
                              <a:solidFill>
                                <a:schemeClr val="bg1"/>
                              </a:solidFill>
                              <a:ln>
                                <a:solidFill>
                                  <a:schemeClr val="tx1"/>
                                </a:solidFill>
                              </a:ln>
                            </wps:spPr>
                            <wps:style>
                              <a:lnRef idx="2">
                                <a:schemeClr val="accent1"/>
                              </a:lnRef>
                              <a:fillRef idx="0">
                                <a:srgbClr val="FFFFFF"/>
                              </a:fillRef>
                              <a:effectRef idx="0">
                                <a:srgbClr val="FFFFFF"/>
                              </a:effectRef>
                              <a:fontRef idx="minor">
                                <a:schemeClr val="tx1"/>
                              </a:fontRef>
                            </wps:style>
                            <wps:txbx>
                              <w:txbxContent>
                                <w:p w14:paraId="045FFB2C">
                                  <w:pPr>
                                    <w:jc w:val="center"/>
                                    <w:rPr>
                                      <w:rFonts w:hint="eastAsia" w:ascii="宋体" w:hAnsi="宋体" w:eastAsia="宋体" w:cs="宋体"/>
                                      <w:b w:val="0"/>
                                      <w:bCs w:val="0"/>
                                      <w:color w:val="FFFFFF" w:themeColor="background1"/>
                                      <w:lang w:val="en-US" w:eastAsia="zh-CN"/>
                                      <w14:textOutline w14:w="9525">
                                        <w14:solidFill>
                                          <w14:srgbClr w14:val="000000"/>
                                        </w14:solidFill>
                                        <w14:round/>
                                      </w14:textOutline>
                                      <w14:textFill>
                                        <w14:solidFill>
                                          <w14:schemeClr w14:val="bg1"/>
                                        </w14:solidFill>
                                      </w14:textFill>
                                    </w:rPr>
                                  </w:pPr>
                                  <w:r>
                                    <w:rPr>
                                      <w:rFonts w:hint="eastAsia" w:ascii="宋体" w:hAnsi="宋体" w:eastAsia="宋体" w:cs="宋体"/>
                                      <w:b w:val="0"/>
                                      <w:bCs w:val="0"/>
                                      <w:color w:val="FFFFFF" w:themeColor="background1"/>
                                      <w:lang w:val="en-US" w:eastAsia="zh-CN"/>
                                      <w14:textOutline w14:w="9525">
                                        <w14:solidFill>
                                          <w14:srgbClr w14:val="000000"/>
                                        </w14:solidFill>
                                        <w14:round/>
                                      </w14:textOutline>
                                      <w14:textFill>
                                        <w14:solidFill>
                                          <w14:schemeClr w14:val="bg1"/>
                                        </w14:solidFill>
                                      </w14:textFill>
                                    </w:rPr>
                                    <w:t>监测点位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58.1pt;margin-top:36.1pt;height:26.1pt;width:60.55pt;z-index:251684864;v-text-anchor:middle;mso-width-relative:page;mso-height-relative:page;" fillcolor="#FFFFFF [3212]" filled="t" stroked="t" coordsize="21600,21600" o:gfxdata="UEsDBAoAAAAAAIdO4kAAAAAAAAAAAAAAAAAEAAAAZHJzL1BLAwQUAAAACACHTuJAVV9GvdoAAAAK&#10;AQAADwAAAGRycy9kb3ducmV2LnhtbE2PzU7DMBCE70i8g7VIXBB14lQtTeP0gEQPSCDR9sLNjbdJ&#10;hH+C7bTh7VlO9LQazafZmWozWcPOGGLvnYR8lgFD13jdu1bCYf/y+AQsJuW0Mt6hhB+MsKlvbypV&#10;an9xH3jepZZRiIulktClNJScx6ZDq+LMD+jIO/lgVSIZWq6DulC4NVxk2YJb1Tv60KkBnztsvnaj&#10;leD376sgTME/t9NB4/Z1/H47PUh5f5dna2AJp/QPw199qg41dTr60enIDOl8IQiVsBR0CRDFsgB2&#10;JEfM58Dril9PqH8BUEsDBBQAAAAIAIdO4kDpzgyzuQIAAHAFAAAOAAAAZHJzL2Uyb0RvYy54bWyt&#10;VM1u00AQviPxDqu9t7bj/DWqU0WJgpAqWlEQ5816HS/aP3Y3ccoL8BggTnDmzONQXoPZtdu6pQcO&#10;5ODMeMbfzPfNzp6eHaRAe2Yd16rA2XGKEVNUl1xtC/z2zfpoipHzRJVEaMUKfM0cPps/f3bamBkb&#10;6FqLklkEIMrNGlPg2nszSxJHayaJO9aGKQhW2kriwbXbpLSkAXQpkkGajpNG29JYTZlz8HbVBnGH&#10;aP8FUFcVp2yl6U4y5VtUywTxQMnV3Dg8j91WFaP+oqoc80gUGJj6+IQiYG/CM5mfktnWElNz2rVA&#10;/qWFR5wk4QqK3kGtiCdoZ/lfUJJTq52u/DHVMmmJREWARZY+0uaqJoZFLiC1M3eiu/8HS1/tLy3i&#10;ZYHzMUaKSJj478/ff/38evPl082Pbwheg0aNcTNIvTKXtvMcmIHwobIy/AMVdACUySjNM1D3usDD&#10;aT7Oxp3G7OARhYTJeHoyHWFEISHPs+EkxpN7IGOdf8G0RMEocMPKLXsNc1wSIfTOR5XJ/tz5KHfZ&#10;9UzK9xlGlRQwvT0R6CjPh8Nuur2cQT8ny6ejdBSSoHwHCdZtAwHfacHLNRciOna7WQqLAL/A6/jr&#10;Pn6QJhRqYLEGkxRkoARWpIKjCaY0ILNTW4yI2MLuUW8jmwdfu36RNP6eKhKaXBFXt81EhJat5B7W&#10;U3BZ4Gn/a6GAZhhjO7hg+cPm0E1zo8trOAdWtwviDF1zqHBOnL8kFjQFKnBn+At4VEIDP91ZGNXa&#10;fnzqfciHgwpRjBrYMOD+YUcsw0i8VHCET7LhEGB9dIajyQAc249s+hG1k0sNusOUobtohnwvbs3K&#10;avkOrpZFqAohoijUblXunKVvNx8uJ8oWi5gGa2iIP1dXhgbwMGelFzuvK+7DyQhCtep0DixiPDDd&#10;pRE2ve/HrPuLcv4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VV9GvdoAAAAKAQAADwAAAAAAAAAB&#10;ACAAAAAiAAAAZHJzL2Rvd25yZXYueG1sUEsBAhQAFAAAAAgAh07iQOnODLO5AgAAcAUAAA4AAAAA&#10;AAAAAQAgAAAAKQEAAGRycy9lMm9Eb2MueG1sUEsFBgAAAAAGAAYAWQEAAFQGAAAAAA==&#10;" adj="10078,40717">
                      <v:fill on="t" focussize="0,0"/>
                      <v:stroke weight="1pt" color="#000000 [3213]" miterlimit="8" joinstyle="miter"/>
                      <v:imagedata o:title=""/>
                      <o:lock v:ext="edit" aspectratio="f"/>
                      <v:textbox>
                        <w:txbxContent>
                          <w:p w14:paraId="045FFB2C">
                            <w:pPr>
                              <w:jc w:val="center"/>
                              <w:rPr>
                                <w:rFonts w:hint="eastAsia" w:ascii="宋体" w:hAnsi="宋体" w:eastAsia="宋体" w:cs="宋体"/>
                                <w:b w:val="0"/>
                                <w:bCs w:val="0"/>
                                <w:color w:val="FFFFFF" w:themeColor="background1"/>
                                <w:lang w:val="en-US" w:eastAsia="zh-CN"/>
                                <w14:textOutline w14:w="9525">
                                  <w14:solidFill>
                                    <w14:srgbClr w14:val="000000"/>
                                  </w14:solidFill>
                                  <w14:round/>
                                </w14:textOutline>
                                <w14:textFill>
                                  <w14:solidFill>
                                    <w14:schemeClr w14:val="bg1"/>
                                  </w14:solidFill>
                                </w14:textFill>
                              </w:rPr>
                            </w:pPr>
                            <w:r>
                              <w:rPr>
                                <w:rFonts w:hint="eastAsia" w:ascii="宋体" w:hAnsi="宋体" w:eastAsia="宋体" w:cs="宋体"/>
                                <w:b w:val="0"/>
                                <w:bCs w:val="0"/>
                                <w:color w:val="FFFFFF" w:themeColor="background1"/>
                                <w:lang w:val="en-US" w:eastAsia="zh-CN"/>
                                <w14:textOutline w14:w="9525">
                                  <w14:solidFill>
                                    <w14:srgbClr w14:val="000000"/>
                                  </w14:solidFill>
                                  <w14:round/>
                                </w14:textOutline>
                                <w14:textFill>
                                  <w14:solidFill>
                                    <w14:schemeClr w14:val="bg1"/>
                                  </w14:solidFill>
                                </w14:textFill>
                              </w:rPr>
                              <w:t>监测点位</w:t>
                            </w:r>
                          </w:p>
                        </w:txbxContent>
                      </v:textbox>
                    </v:shape>
                  </w:pict>
                </mc:Fallback>
              </mc:AlternateContent>
            </w:r>
            <w:r>
              <w:rPr>
                <w:color w:val="auto"/>
              </w:rPr>
              <w:drawing>
                <wp:inline distT="0" distB="0" distL="114300" distR="114300">
                  <wp:extent cx="5120640" cy="2533650"/>
                  <wp:effectExtent l="0" t="0" r="3810" b="0"/>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
                          <pic:cNvPicPr>
                            <a:picLocks noChangeAspect="1"/>
                          </pic:cNvPicPr>
                        </pic:nvPicPr>
                        <pic:blipFill>
                          <a:blip r:embed="rId15"/>
                          <a:stretch>
                            <a:fillRect/>
                          </a:stretch>
                        </pic:blipFill>
                        <pic:spPr>
                          <a:xfrm>
                            <a:off x="0" y="0"/>
                            <a:ext cx="5120640" cy="2533650"/>
                          </a:xfrm>
                          <a:prstGeom prst="rect">
                            <a:avLst/>
                          </a:prstGeom>
                          <a:noFill/>
                          <a:ln>
                            <a:noFill/>
                          </a:ln>
                        </pic:spPr>
                      </pic:pic>
                    </a:graphicData>
                  </a:graphic>
                </wp:inline>
              </w:drawing>
            </w:r>
          </w:p>
          <w:p w14:paraId="31D62A85">
            <w:pPr>
              <w:autoSpaceDE w:val="0"/>
              <w:autoSpaceDN w:val="0"/>
              <w:adjustRightInd w:val="0"/>
              <w:jc w:val="center"/>
              <w:rPr>
                <w:rFonts w:hint="default" w:eastAsia="宋体"/>
                <w:b/>
                <w:bCs/>
                <w:iCs/>
                <w:color w:val="auto"/>
                <w:kern w:val="0"/>
                <w:szCs w:val="21"/>
                <w:lang w:val="en-US" w:eastAsia="zh-CN"/>
              </w:rPr>
            </w:pPr>
            <w:r>
              <w:rPr>
                <w:rFonts w:hint="eastAsia"/>
                <w:b/>
                <w:bCs/>
                <w:iCs/>
                <w:color w:val="auto"/>
                <w:kern w:val="0"/>
                <w:szCs w:val="21"/>
                <w:lang w:val="en-US" w:eastAsia="zh-CN"/>
              </w:rPr>
              <w:t>图3-1  监测点示意图</w:t>
            </w:r>
          </w:p>
          <w:p w14:paraId="7811C422">
            <w:pPr>
              <w:autoSpaceDE w:val="0"/>
              <w:autoSpaceDN w:val="0"/>
              <w:adjustRightInd w:val="0"/>
              <w:jc w:val="center"/>
              <w:rPr>
                <w:rFonts w:hint="eastAsia"/>
                <w:b/>
                <w:bCs/>
                <w:iCs/>
                <w:color w:val="auto"/>
                <w:kern w:val="0"/>
                <w:szCs w:val="21"/>
              </w:rPr>
            </w:pPr>
          </w:p>
          <w:p w14:paraId="486EF682">
            <w:pPr>
              <w:autoSpaceDE w:val="0"/>
              <w:autoSpaceDN w:val="0"/>
              <w:adjustRightInd w:val="0"/>
              <w:jc w:val="center"/>
              <w:rPr>
                <w:rFonts w:hint="eastAsia"/>
                <w:b/>
                <w:bCs/>
                <w:iCs/>
                <w:color w:val="auto"/>
                <w:kern w:val="0"/>
                <w:szCs w:val="21"/>
              </w:rPr>
            </w:pPr>
            <w:r>
              <w:rPr>
                <w:rFonts w:hint="eastAsia"/>
                <w:b/>
                <w:bCs/>
                <w:iCs/>
                <w:color w:val="auto"/>
                <w:kern w:val="0"/>
                <w:szCs w:val="21"/>
              </w:rPr>
              <w:t>表3-</w:t>
            </w:r>
            <w:r>
              <w:rPr>
                <w:rFonts w:hint="eastAsia"/>
                <w:b/>
                <w:bCs/>
                <w:iCs/>
                <w:color w:val="auto"/>
                <w:kern w:val="0"/>
                <w:szCs w:val="21"/>
                <w:lang w:val="en-US" w:eastAsia="zh-CN"/>
              </w:rPr>
              <w:t>2</w:t>
            </w:r>
            <w:r>
              <w:rPr>
                <w:rFonts w:hint="eastAsia"/>
                <w:b/>
                <w:bCs/>
                <w:iCs/>
                <w:color w:val="auto"/>
                <w:kern w:val="0"/>
                <w:szCs w:val="21"/>
              </w:rPr>
              <w:t xml:space="preserve">  特征污染物监测点位基本信息表</w:t>
            </w:r>
          </w:p>
          <w:tbl>
            <w:tblPr>
              <w:tblStyle w:val="3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8"/>
              <w:gridCol w:w="936"/>
              <w:gridCol w:w="1476"/>
              <w:gridCol w:w="1327"/>
              <w:gridCol w:w="802"/>
              <w:gridCol w:w="1241"/>
              <w:gridCol w:w="944"/>
              <w:gridCol w:w="892"/>
            </w:tblGrid>
            <w:tr w14:paraId="553A6A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 w:type="pct"/>
                  <w:vMerge w:val="restart"/>
                  <w:noWrap w:val="0"/>
                  <w:vAlign w:val="center"/>
                </w:tcPr>
                <w:p w14:paraId="186F2FD1">
                  <w:pPr>
                    <w:pStyle w:val="207"/>
                    <w:rPr>
                      <w:color w:val="auto"/>
                    </w:rPr>
                  </w:pPr>
                  <w:r>
                    <w:rPr>
                      <w:color w:val="auto"/>
                    </w:rPr>
                    <w:t>序号</w:t>
                  </w:r>
                </w:p>
              </w:tc>
              <w:tc>
                <w:tcPr>
                  <w:tcW w:w="579" w:type="pct"/>
                  <w:vMerge w:val="restart"/>
                  <w:noWrap w:val="0"/>
                  <w:vAlign w:val="center"/>
                </w:tcPr>
                <w:p w14:paraId="1AF62D90">
                  <w:pPr>
                    <w:pStyle w:val="207"/>
                    <w:rPr>
                      <w:color w:val="auto"/>
                    </w:rPr>
                  </w:pPr>
                  <w:r>
                    <w:rPr>
                      <w:color w:val="auto"/>
                    </w:rPr>
                    <w:t>监测点名称</w:t>
                  </w:r>
                </w:p>
              </w:tc>
              <w:tc>
                <w:tcPr>
                  <w:tcW w:w="1734" w:type="pct"/>
                  <w:gridSpan w:val="2"/>
                  <w:noWrap w:val="0"/>
                  <w:vAlign w:val="center"/>
                </w:tcPr>
                <w:p w14:paraId="025E7B70">
                  <w:pPr>
                    <w:pStyle w:val="207"/>
                    <w:rPr>
                      <w:color w:val="auto"/>
                    </w:rPr>
                  </w:pPr>
                  <w:r>
                    <w:rPr>
                      <w:color w:val="auto"/>
                    </w:rPr>
                    <w:t>监测点位坐标</w:t>
                  </w:r>
                  <w:r>
                    <w:rPr>
                      <w:rFonts w:hint="eastAsia"/>
                      <w:color w:val="auto"/>
                    </w:rPr>
                    <w:t>°</w:t>
                  </w:r>
                </w:p>
              </w:tc>
              <w:tc>
                <w:tcPr>
                  <w:tcW w:w="496" w:type="pct"/>
                  <w:vMerge w:val="restart"/>
                  <w:noWrap w:val="0"/>
                  <w:vAlign w:val="center"/>
                </w:tcPr>
                <w:p w14:paraId="6B2CC14B">
                  <w:pPr>
                    <w:pStyle w:val="207"/>
                    <w:rPr>
                      <w:color w:val="auto"/>
                    </w:rPr>
                  </w:pPr>
                  <w:r>
                    <w:rPr>
                      <w:color w:val="auto"/>
                    </w:rPr>
                    <w:t>监测</w:t>
                  </w:r>
                </w:p>
                <w:p w14:paraId="72B1BC24">
                  <w:pPr>
                    <w:pStyle w:val="207"/>
                    <w:rPr>
                      <w:color w:val="auto"/>
                    </w:rPr>
                  </w:pPr>
                  <w:r>
                    <w:rPr>
                      <w:color w:val="auto"/>
                    </w:rPr>
                    <w:t>因子</w:t>
                  </w:r>
                </w:p>
              </w:tc>
              <w:tc>
                <w:tcPr>
                  <w:tcW w:w="768" w:type="pct"/>
                  <w:vMerge w:val="restart"/>
                  <w:noWrap w:val="0"/>
                  <w:vAlign w:val="center"/>
                </w:tcPr>
                <w:p w14:paraId="30DADD41">
                  <w:pPr>
                    <w:pStyle w:val="207"/>
                    <w:rPr>
                      <w:color w:val="auto"/>
                    </w:rPr>
                  </w:pPr>
                  <w:r>
                    <w:rPr>
                      <w:color w:val="auto"/>
                    </w:rPr>
                    <w:t>监测时段</w:t>
                  </w:r>
                </w:p>
              </w:tc>
              <w:tc>
                <w:tcPr>
                  <w:tcW w:w="584" w:type="pct"/>
                  <w:vMerge w:val="restart"/>
                  <w:noWrap w:val="0"/>
                  <w:vAlign w:val="center"/>
                </w:tcPr>
                <w:p w14:paraId="18709A2E">
                  <w:pPr>
                    <w:pStyle w:val="207"/>
                    <w:rPr>
                      <w:color w:val="auto"/>
                    </w:rPr>
                  </w:pPr>
                  <w:r>
                    <w:rPr>
                      <w:color w:val="auto"/>
                    </w:rPr>
                    <w:t>相对厂址方位</w:t>
                  </w:r>
                </w:p>
              </w:tc>
              <w:tc>
                <w:tcPr>
                  <w:tcW w:w="552" w:type="pct"/>
                  <w:vMerge w:val="restart"/>
                  <w:noWrap w:val="0"/>
                  <w:vAlign w:val="center"/>
                </w:tcPr>
                <w:p w14:paraId="7ABED166">
                  <w:pPr>
                    <w:pStyle w:val="207"/>
                    <w:rPr>
                      <w:color w:val="auto"/>
                    </w:rPr>
                  </w:pPr>
                  <w:r>
                    <w:rPr>
                      <w:color w:val="auto"/>
                    </w:rPr>
                    <w:t>相对厂界距离/m</w:t>
                  </w:r>
                </w:p>
              </w:tc>
            </w:tr>
            <w:tr w14:paraId="61E4F9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 w:type="pct"/>
                  <w:vMerge w:val="continue"/>
                  <w:noWrap w:val="0"/>
                  <w:vAlign w:val="center"/>
                </w:tcPr>
                <w:p w14:paraId="3C48B8E6">
                  <w:pPr>
                    <w:pStyle w:val="207"/>
                    <w:rPr>
                      <w:color w:val="auto"/>
                    </w:rPr>
                  </w:pPr>
                </w:p>
              </w:tc>
              <w:tc>
                <w:tcPr>
                  <w:tcW w:w="579" w:type="pct"/>
                  <w:vMerge w:val="continue"/>
                  <w:noWrap w:val="0"/>
                  <w:vAlign w:val="center"/>
                </w:tcPr>
                <w:p w14:paraId="30830B8B">
                  <w:pPr>
                    <w:pStyle w:val="207"/>
                    <w:rPr>
                      <w:color w:val="auto"/>
                    </w:rPr>
                  </w:pPr>
                </w:p>
              </w:tc>
              <w:tc>
                <w:tcPr>
                  <w:tcW w:w="913" w:type="pct"/>
                  <w:noWrap w:val="0"/>
                  <w:vAlign w:val="center"/>
                </w:tcPr>
                <w:p w14:paraId="5C994550">
                  <w:pPr>
                    <w:pStyle w:val="207"/>
                    <w:rPr>
                      <w:color w:val="auto"/>
                    </w:rPr>
                  </w:pPr>
                  <w:r>
                    <w:rPr>
                      <w:color w:val="auto"/>
                    </w:rPr>
                    <w:t>经度</w:t>
                  </w:r>
                </w:p>
              </w:tc>
              <w:tc>
                <w:tcPr>
                  <w:tcW w:w="820" w:type="pct"/>
                  <w:noWrap w:val="0"/>
                  <w:vAlign w:val="center"/>
                </w:tcPr>
                <w:p w14:paraId="31448CEB">
                  <w:pPr>
                    <w:pStyle w:val="207"/>
                    <w:rPr>
                      <w:color w:val="auto"/>
                    </w:rPr>
                  </w:pPr>
                  <w:r>
                    <w:rPr>
                      <w:color w:val="auto"/>
                    </w:rPr>
                    <w:t>纬度</w:t>
                  </w:r>
                </w:p>
              </w:tc>
              <w:tc>
                <w:tcPr>
                  <w:tcW w:w="496" w:type="pct"/>
                  <w:vMerge w:val="continue"/>
                  <w:noWrap w:val="0"/>
                  <w:vAlign w:val="center"/>
                </w:tcPr>
                <w:p w14:paraId="726A8710">
                  <w:pPr>
                    <w:pStyle w:val="207"/>
                    <w:rPr>
                      <w:color w:val="auto"/>
                    </w:rPr>
                  </w:pPr>
                </w:p>
              </w:tc>
              <w:tc>
                <w:tcPr>
                  <w:tcW w:w="768" w:type="pct"/>
                  <w:vMerge w:val="continue"/>
                  <w:noWrap w:val="0"/>
                  <w:vAlign w:val="center"/>
                </w:tcPr>
                <w:p w14:paraId="1B1C028A">
                  <w:pPr>
                    <w:pStyle w:val="207"/>
                    <w:rPr>
                      <w:color w:val="auto"/>
                    </w:rPr>
                  </w:pPr>
                </w:p>
              </w:tc>
              <w:tc>
                <w:tcPr>
                  <w:tcW w:w="584" w:type="pct"/>
                  <w:vMerge w:val="continue"/>
                  <w:noWrap w:val="0"/>
                  <w:vAlign w:val="center"/>
                </w:tcPr>
                <w:p w14:paraId="44C6606B">
                  <w:pPr>
                    <w:pStyle w:val="207"/>
                    <w:rPr>
                      <w:color w:val="auto"/>
                    </w:rPr>
                  </w:pPr>
                </w:p>
              </w:tc>
              <w:tc>
                <w:tcPr>
                  <w:tcW w:w="552" w:type="pct"/>
                  <w:vMerge w:val="continue"/>
                  <w:noWrap w:val="0"/>
                  <w:vAlign w:val="center"/>
                </w:tcPr>
                <w:p w14:paraId="5A78DF8E">
                  <w:pPr>
                    <w:pStyle w:val="207"/>
                    <w:rPr>
                      <w:color w:val="auto"/>
                    </w:rPr>
                  </w:pPr>
                </w:p>
              </w:tc>
            </w:tr>
            <w:tr w14:paraId="3C3654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284" w:type="pct"/>
                  <w:noWrap w:val="0"/>
                  <w:vAlign w:val="center"/>
                </w:tcPr>
                <w:p w14:paraId="03C85EA7">
                  <w:pPr>
                    <w:pStyle w:val="207"/>
                    <w:rPr>
                      <w:color w:val="auto"/>
                    </w:rPr>
                  </w:pPr>
                  <w:r>
                    <w:rPr>
                      <w:color w:val="auto"/>
                    </w:rPr>
                    <w:t>1#</w:t>
                  </w:r>
                </w:p>
              </w:tc>
              <w:tc>
                <w:tcPr>
                  <w:tcW w:w="579" w:type="pct"/>
                  <w:noWrap w:val="0"/>
                  <w:vAlign w:val="center"/>
                </w:tcPr>
                <w:p w14:paraId="712BF30B">
                  <w:pPr>
                    <w:jc w:val="center"/>
                    <w:rPr>
                      <w:rFonts w:hint="default" w:eastAsia="宋体"/>
                      <w:snapToGrid w:val="0"/>
                      <w:color w:val="auto"/>
                      <w:kern w:val="0"/>
                      <w:szCs w:val="21"/>
                      <w:lang w:val="en-US" w:eastAsia="zh-CN"/>
                    </w:rPr>
                  </w:pPr>
                  <w:r>
                    <w:rPr>
                      <w:rFonts w:hint="eastAsia" w:cs="Times New Roman"/>
                      <w:snapToGrid w:val="0"/>
                      <w:color w:val="auto"/>
                      <w:sz w:val="24"/>
                      <w:szCs w:val="24"/>
                      <w:lang w:val="en-US" w:eastAsia="zh-CN"/>
                    </w:rPr>
                    <w:t>新发煤矿洗煤厂厂区外东侧</w:t>
                  </w:r>
                </w:p>
              </w:tc>
              <w:tc>
                <w:tcPr>
                  <w:tcW w:w="913" w:type="pct"/>
                  <w:noWrap w:val="0"/>
                  <w:vAlign w:val="center"/>
                </w:tcPr>
                <w:p w14:paraId="49DE61D2">
                  <w:pPr>
                    <w:pStyle w:val="207"/>
                    <w:rPr>
                      <w:rFonts w:hint="eastAsia" w:ascii="Times New Roman" w:hAnsi="Times New Roman" w:eastAsia="宋体" w:cs="Times New Roman"/>
                      <w:color w:val="auto"/>
                    </w:rPr>
                  </w:pPr>
                  <w:r>
                    <w:rPr>
                      <w:rFonts w:hint="eastAsia" w:ascii="Times New Roman" w:hAnsi="Times New Roman" w:eastAsia="宋体" w:cs="Times New Roman"/>
                      <w:color w:val="auto"/>
                    </w:rPr>
                    <w:t>130.99641511</w:t>
                  </w:r>
                </w:p>
              </w:tc>
              <w:tc>
                <w:tcPr>
                  <w:tcW w:w="820" w:type="pct"/>
                  <w:noWrap w:val="0"/>
                  <w:vAlign w:val="center"/>
                </w:tcPr>
                <w:p w14:paraId="4FCF0688">
                  <w:pPr>
                    <w:pStyle w:val="207"/>
                    <w:rPr>
                      <w:rFonts w:hint="eastAsia" w:ascii="Times New Roman" w:hAnsi="Times New Roman" w:eastAsia="宋体" w:cs="Times New Roman"/>
                      <w:color w:val="auto"/>
                    </w:rPr>
                  </w:pPr>
                  <w:r>
                    <w:rPr>
                      <w:rFonts w:hint="eastAsia" w:ascii="Times New Roman" w:hAnsi="Times New Roman" w:eastAsia="宋体" w:cs="Times New Roman"/>
                      <w:color w:val="auto"/>
                    </w:rPr>
                    <w:t>45.34739620</w:t>
                  </w:r>
                </w:p>
              </w:tc>
              <w:tc>
                <w:tcPr>
                  <w:tcW w:w="496" w:type="pct"/>
                  <w:noWrap w:val="0"/>
                  <w:vAlign w:val="center"/>
                </w:tcPr>
                <w:p w14:paraId="71C94582">
                  <w:pPr>
                    <w:pStyle w:val="207"/>
                    <w:rPr>
                      <w:color w:val="auto"/>
                    </w:rPr>
                  </w:pPr>
                  <w:r>
                    <w:rPr>
                      <w:rFonts w:hint="eastAsia"/>
                      <w:color w:val="auto"/>
                    </w:rPr>
                    <w:t>T</w:t>
                  </w:r>
                  <w:r>
                    <w:rPr>
                      <w:color w:val="auto"/>
                    </w:rPr>
                    <w:t>SP</w:t>
                  </w:r>
                </w:p>
              </w:tc>
              <w:tc>
                <w:tcPr>
                  <w:tcW w:w="768" w:type="pct"/>
                  <w:noWrap w:val="0"/>
                  <w:vAlign w:val="center"/>
                </w:tcPr>
                <w:p w14:paraId="0C6B2893">
                  <w:pPr>
                    <w:pStyle w:val="207"/>
                    <w:rPr>
                      <w:rFonts w:hint="default" w:eastAsia="宋体"/>
                      <w:color w:val="auto"/>
                      <w:lang w:val="en-US" w:eastAsia="zh-CN"/>
                    </w:rPr>
                  </w:pPr>
                  <w:r>
                    <w:rPr>
                      <w:rFonts w:hint="eastAsia"/>
                      <w:color w:val="auto"/>
                      <w:lang w:val="en-US" w:eastAsia="zh-CN"/>
                    </w:rPr>
                    <w:t>2024.8.11-2024.8.13</w:t>
                  </w:r>
                </w:p>
              </w:tc>
              <w:tc>
                <w:tcPr>
                  <w:tcW w:w="584" w:type="pct"/>
                  <w:noWrap w:val="0"/>
                  <w:vAlign w:val="center"/>
                </w:tcPr>
                <w:p w14:paraId="41AD4FAF">
                  <w:pPr>
                    <w:pStyle w:val="207"/>
                    <w:rPr>
                      <w:rFonts w:hint="eastAsia"/>
                      <w:color w:val="auto"/>
                    </w:rPr>
                  </w:pPr>
                  <w:r>
                    <w:rPr>
                      <w:rFonts w:hint="eastAsia"/>
                      <w:color w:val="auto"/>
                      <w:lang w:val="en-US" w:eastAsia="zh-CN"/>
                    </w:rPr>
                    <w:t>E</w:t>
                  </w:r>
                </w:p>
              </w:tc>
              <w:tc>
                <w:tcPr>
                  <w:tcW w:w="552" w:type="pct"/>
                  <w:noWrap w:val="0"/>
                  <w:vAlign w:val="center"/>
                </w:tcPr>
                <w:p w14:paraId="798E721D">
                  <w:pPr>
                    <w:pStyle w:val="54"/>
                    <w:jc w:val="center"/>
                    <w:rPr>
                      <w:rFonts w:hint="default" w:ascii="Times New Roman" w:eastAsia="宋体" w:cs="Times New Roman"/>
                      <w:snapToGrid w:val="0"/>
                      <w:color w:val="auto"/>
                      <w:sz w:val="21"/>
                      <w:szCs w:val="21"/>
                      <w:lang w:val="en-US" w:eastAsia="zh-CN"/>
                    </w:rPr>
                  </w:pPr>
                  <w:r>
                    <w:rPr>
                      <w:rFonts w:hint="eastAsia" w:ascii="Times New Roman" w:cs="Times New Roman"/>
                      <w:snapToGrid w:val="0"/>
                      <w:color w:val="auto"/>
                      <w:sz w:val="21"/>
                      <w:szCs w:val="21"/>
                      <w:lang w:val="en-US" w:eastAsia="zh-CN"/>
                    </w:rPr>
                    <w:t>1700</w:t>
                  </w:r>
                </w:p>
              </w:tc>
            </w:tr>
          </w:tbl>
          <w:p w14:paraId="0538FCB8">
            <w:pPr>
              <w:snapToGrid w:val="0"/>
              <w:spacing w:line="360" w:lineRule="auto"/>
              <w:ind w:firstLine="480" w:firstLineChars="200"/>
              <w:rPr>
                <w:rFonts w:hint="eastAsia"/>
                <w:color w:val="auto"/>
                <w:sz w:val="24"/>
              </w:rPr>
            </w:pPr>
            <w:r>
              <w:rPr>
                <w:rFonts w:hint="eastAsia"/>
                <w:color w:val="auto"/>
                <w:sz w:val="24"/>
              </w:rPr>
              <w:t>2）监测频次</w:t>
            </w:r>
          </w:p>
          <w:p w14:paraId="6E515F01">
            <w:pPr>
              <w:snapToGrid w:val="0"/>
              <w:spacing w:line="360" w:lineRule="auto"/>
              <w:ind w:firstLine="480" w:firstLineChars="200"/>
              <w:rPr>
                <w:rFonts w:hint="eastAsia"/>
                <w:color w:val="auto"/>
                <w:sz w:val="24"/>
              </w:rPr>
            </w:pPr>
            <w:r>
              <w:rPr>
                <w:rFonts w:hint="eastAsia"/>
                <w:color w:val="auto"/>
                <w:sz w:val="24"/>
              </w:rPr>
              <w:t>TSP24小时平均浓度每天1次，连续监测</w:t>
            </w:r>
            <w:r>
              <w:rPr>
                <w:rFonts w:hint="eastAsia"/>
                <w:color w:val="auto"/>
                <w:sz w:val="24"/>
                <w:lang w:val="en-US" w:eastAsia="zh-CN"/>
              </w:rPr>
              <w:t>3</w:t>
            </w:r>
            <w:r>
              <w:rPr>
                <w:rFonts w:hint="eastAsia"/>
                <w:color w:val="auto"/>
                <w:sz w:val="24"/>
              </w:rPr>
              <w:t>天。</w:t>
            </w:r>
          </w:p>
          <w:p w14:paraId="079B7005">
            <w:pPr>
              <w:snapToGrid w:val="0"/>
              <w:spacing w:line="360" w:lineRule="auto"/>
              <w:ind w:firstLine="480" w:firstLineChars="200"/>
              <w:rPr>
                <w:rFonts w:hint="eastAsia"/>
                <w:color w:val="auto"/>
                <w:sz w:val="24"/>
              </w:rPr>
            </w:pPr>
            <w:r>
              <w:rPr>
                <w:rFonts w:hint="eastAsia"/>
                <w:color w:val="auto"/>
                <w:sz w:val="24"/>
              </w:rPr>
              <w:t>（3）监测、分析方法</w:t>
            </w:r>
          </w:p>
          <w:p w14:paraId="0F8835D7">
            <w:pPr>
              <w:snapToGrid w:val="0"/>
              <w:spacing w:line="360" w:lineRule="auto"/>
              <w:ind w:firstLine="480" w:firstLineChars="200"/>
              <w:rPr>
                <w:rFonts w:hint="eastAsia"/>
                <w:color w:val="auto"/>
                <w:sz w:val="24"/>
              </w:rPr>
            </w:pPr>
            <w:r>
              <w:rPr>
                <w:rFonts w:hint="eastAsia"/>
                <w:color w:val="auto"/>
                <w:sz w:val="24"/>
              </w:rPr>
              <w:t>大气环境现状监测的采样方法和分析方法按国家生态环境局颁发的《环境监测技术规范》和</w:t>
            </w:r>
            <w:r>
              <w:rPr>
                <w:rFonts w:hint="eastAsia" w:hAnsi="宋体"/>
                <w:color w:val="auto"/>
                <w:sz w:val="24"/>
              </w:rPr>
              <w:t>《环境空气质量标准》</w:t>
            </w:r>
            <w:r>
              <w:rPr>
                <w:rFonts w:hint="eastAsia" w:hAnsi="宋体"/>
                <w:color w:val="auto"/>
                <w:sz w:val="24"/>
                <w:lang w:eastAsia="zh-CN"/>
              </w:rPr>
              <w:t>（</w:t>
            </w:r>
            <w:r>
              <w:rPr>
                <w:rFonts w:hint="eastAsia" w:hAnsi="宋体"/>
                <w:color w:val="auto"/>
                <w:sz w:val="24"/>
              </w:rPr>
              <w:t>GB3095-2026</w:t>
            </w:r>
            <w:r>
              <w:rPr>
                <w:rFonts w:hint="eastAsia" w:hAnsi="宋体"/>
                <w:color w:val="auto"/>
                <w:sz w:val="24"/>
                <w:lang w:eastAsia="zh-CN"/>
              </w:rPr>
              <w:t>）</w:t>
            </w:r>
            <w:r>
              <w:rPr>
                <w:rFonts w:hint="eastAsia"/>
                <w:color w:val="auto"/>
                <w:sz w:val="24"/>
              </w:rPr>
              <w:t>的有关规定执行。</w:t>
            </w:r>
          </w:p>
          <w:p w14:paraId="2FB41082">
            <w:pPr>
              <w:ind w:firstLine="422" w:firstLineChars="200"/>
              <w:jc w:val="center"/>
              <w:rPr>
                <w:rFonts w:hint="eastAsia"/>
                <w:b/>
                <w:bCs/>
                <w:color w:val="auto"/>
              </w:rPr>
            </w:pPr>
            <w:r>
              <w:rPr>
                <w:rFonts w:hint="eastAsia"/>
                <w:b/>
                <w:color w:val="auto"/>
                <w:kern w:val="0"/>
              </w:rPr>
              <w:t>表3-</w:t>
            </w:r>
            <w:r>
              <w:rPr>
                <w:rFonts w:hint="eastAsia"/>
                <w:b/>
                <w:color w:val="auto"/>
                <w:kern w:val="0"/>
                <w:lang w:val="en-US" w:eastAsia="zh-CN"/>
              </w:rPr>
              <w:t>3</w:t>
            </w:r>
            <w:r>
              <w:rPr>
                <w:rFonts w:hint="eastAsia"/>
                <w:b/>
                <w:color w:val="auto"/>
                <w:kern w:val="0"/>
              </w:rPr>
              <w:t xml:space="preserve">  检测项目及检测依据</w:t>
            </w:r>
          </w:p>
          <w:tbl>
            <w:tblPr>
              <w:tblStyle w:val="38"/>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71"/>
              <w:gridCol w:w="7028"/>
            </w:tblGrid>
            <w:tr w14:paraId="5E3D29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71" w:type="dxa"/>
                  <w:noWrap w:val="0"/>
                  <w:vAlign w:val="center"/>
                </w:tcPr>
                <w:p w14:paraId="5FBE700E">
                  <w:pPr>
                    <w:spacing w:line="240" w:lineRule="auto"/>
                    <w:jc w:val="center"/>
                    <w:rPr>
                      <w:b/>
                      <w:bCs/>
                      <w:color w:val="auto"/>
                      <w:szCs w:val="21"/>
                    </w:rPr>
                  </w:pPr>
                  <w:r>
                    <w:rPr>
                      <w:rFonts w:hint="eastAsia"/>
                      <w:b/>
                      <w:color w:val="auto"/>
                      <w:szCs w:val="21"/>
                    </w:rPr>
                    <w:t>检测项目</w:t>
                  </w:r>
                </w:p>
              </w:tc>
              <w:tc>
                <w:tcPr>
                  <w:tcW w:w="7028" w:type="dxa"/>
                  <w:noWrap w:val="0"/>
                  <w:vAlign w:val="center"/>
                </w:tcPr>
                <w:p w14:paraId="75D37E80">
                  <w:pPr>
                    <w:spacing w:line="240" w:lineRule="auto"/>
                    <w:jc w:val="center"/>
                    <w:rPr>
                      <w:b/>
                      <w:bCs/>
                      <w:color w:val="auto"/>
                      <w:szCs w:val="21"/>
                    </w:rPr>
                  </w:pPr>
                  <w:r>
                    <w:rPr>
                      <w:rFonts w:hint="eastAsia"/>
                      <w:b/>
                      <w:color w:val="auto"/>
                      <w:szCs w:val="21"/>
                    </w:rPr>
                    <w:t>检测依据</w:t>
                  </w:r>
                </w:p>
              </w:tc>
            </w:tr>
            <w:tr w14:paraId="6DE975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71" w:type="dxa"/>
                  <w:noWrap w:val="0"/>
                  <w:vAlign w:val="center"/>
                </w:tcPr>
                <w:p w14:paraId="108A4AB3">
                  <w:pPr>
                    <w:spacing w:line="240" w:lineRule="auto"/>
                    <w:jc w:val="center"/>
                    <w:rPr>
                      <w:bCs/>
                      <w:color w:val="auto"/>
                      <w:szCs w:val="21"/>
                    </w:rPr>
                  </w:pPr>
                  <w:r>
                    <w:rPr>
                      <w:rFonts w:hint="eastAsia"/>
                      <w:bCs/>
                      <w:color w:val="auto"/>
                      <w:szCs w:val="21"/>
                    </w:rPr>
                    <w:t>TSP</w:t>
                  </w:r>
                </w:p>
              </w:tc>
              <w:tc>
                <w:tcPr>
                  <w:tcW w:w="7028" w:type="dxa"/>
                  <w:noWrap w:val="0"/>
                  <w:vAlign w:val="center"/>
                </w:tcPr>
                <w:p w14:paraId="1DBB01F7">
                  <w:pPr>
                    <w:spacing w:line="240" w:lineRule="auto"/>
                    <w:jc w:val="center"/>
                    <w:rPr>
                      <w:bCs/>
                      <w:color w:val="auto"/>
                      <w:szCs w:val="21"/>
                    </w:rPr>
                  </w:pPr>
                  <w:r>
                    <w:rPr>
                      <w:rFonts w:hint="eastAsia"/>
                      <w:bCs/>
                      <w:color w:val="auto"/>
                      <w:szCs w:val="21"/>
                    </w:rPr>
                    <w:t>环境空气总悬浮颗粒物的测定重量法GB/T15432-1995</w:t>
                  </w:r>
                </w:p>
              </w:tc>
            </w:tr>
          </w:tbl>
          <w:p w14:paraId="2389763B">
            <w:pPr>
              <w:snapToGrid w:val="0"/>
              <w:spacing w:line="360" w:lineRule="auto"/>
              <w:ind w:firstLine="480" w:firstLineChars="200"/>
              <w:rPr>
                <w:rFonts w:hint="eastAsia"/>
                <w:color w:val="auto"/>
                <w:sz w:val="24"/>
              </w:rPr>
            </w:pPr>
            <w:r>
              <w:rPr>
                <w:rFonts w:hint="eastAsia"/>
                <w:color w:val="auto"/>
                <w:sz w:val="24"/>
              </w:rPr>
              <w:t>（4）评价方法及评价标准</w:t>
            </w:r>
          </w:p>
          <w:p w14:paraId="28B02226">
            <w:pPr>
              <w:snapToGrid w:val="0"/>
              <w:spacing w:line="360" w:lineRule="auto"/>
              <w:ind w:firstLine="480" w:firstLineChars="200"/>
              <w:rPr>
                <w:rFonts w:hint="eastAsia"/>
                <w:color w:val="auto"/>
                <w:sz w:val="24"/>
              </w:rPr>
            </w:pPr>
            <w:r>
              <w:rPr>
                <w:rFonts w:hint="eastAsia"/>
                <w:color w:val="auto"/>
                <w:sz w:val="24"/>
              </w:rPr>
              <w:t>监测点位TSP执行</w:t>
            </w:r>
            <w:r>
              <w:rPr>
                <w:rFonts w:hint="eastAsia" w:hAnsi="宋体"/>
                <w:color w:val="auto"/>
                <w:sz w:val="24"/>
              </w:rPr>
              <w:t>《环境空气质量标准》</w:t>
            </w:r>
            <w:r>
              <w:rPr>
                <w:rFonts w:hint="eastAsia" w:hAnsi="宋体"/>
                <w:color w:val="auto"/>
                <w:sz w:val="24"/>
                <w:lang w:eastAsia="zh-CN"/>
              </w:rPr>
              <w:t>（</w:t>
            </w:r>
            <w:r>
              <w:rPr>
                <w:rFonts w:hint="eastAsia" w:hAnsi="宋体"/>
                <w:color w:val="auto"/>
                <w:sz w:val="24"/>
              </w:rPr>
              <w:t>GB3095-2026</w:t>
            </w:r>
            <w:r>
              <w:rPr>
                <w:rFonts w:hint="eastAsia" w:hAnsi="宋体"/>
                <w:color w:val="auto"/>
                <w:sz w:val="24"/>
                <w:lang w:eastAsia="zh-CN"/>
              </w:rPr>
              <w:t>）</w:t>
            </w:r>
            <w:r>
              <w:rPr>
                <w:rFonts w:hint="eastAsia"/>
                <w:color w:val="auto"/>
                <w:kern w:val="2"/>
                <w:sz w:val="24"/>
                <w:szCs w:val="24"/>
                <w:lang w:val="en-US" w:eastAsia="zh-CN"/>
              </w:rPr>
              <w:t>表1中</w:t>
            </w:r>
            <w:r>
              <w:rPr>
                <w:rFonts w:hint="default"/>
                <w:color w:val="auto"/>
                <w:kern w:val="2"/>
                <w:sz w:val="24"/>
                <w:szCs w:val="24"/>
              </w:rPr>
              <w:t>二级</w:t>
            </w:r>
            <w:r>
              <w:rPr>
                <w:rFonts w:hint="eastAsia"/>
                <w:color w:val="auto"/>
                <w:kern w:val="2"/>
                <w:sz w:val="24"/>
                <w:szCs w:val="24"/>
                <w:lang w:val="en-US" w:eastAsia="zh-CN"/>
              </w:rPr>
              <w:t>过渡阶段浓度限值</w:t>
            </w:r>
            <w:r>
              <w:rPr>
                <w:rFonts w:hint="eastAsia"/>
                <w:color w:val="auto"/>
                <w:sz w:val="24"/>
              </w:rPr>
              <w:t>。</w:t>
            </w:r>
          </w:p>
          <w:p w14:paraId="3EC095F8">
            <w:pPr>
              <w:snapToGrid w:val="0"/>
              <w:spacing w:line="360" w:lineRule="auto"/>
              <w:ind w:firstLine="480" w:firstLineChars="200"/>
              <w:rPr>
                <w:rFonts w:hint="default" w:eastAsia="宋体"/>
                <w:color w:val="auto"/>
                <w:sz w:val="24"/>
                <w:lang w:val="en-US" w:eastAsia="zh-CN"/>
              </w:rPr>
            </w:pPr>
            <w:r>
              <w:rPr>
                <w:rFonts w:hint="eastAsia"/>
                <w:color w:val="auto"/>
                <w:sz w:val="24"/>
                <w:lang w:eastAsia="zh-CN"/>
              </w:rPr>
              <w:t>（</w:t>
            </w:r>
            <w:r>
              <w:rPr>
                <w:rFonts w:hint="eastAsia"/>
                <w:color w:val="auto"/>
                <w:sz w:val="24"/>
                <w:lang w:val="en-US" w:eastAsia="zh-CN"/>
              </w:rPr>
              <w:t>5</w:t>
            </w:r>
            <w:r>
              <w:rPr>
                <w:rFonts w:hint="eastAsia"/>
                <w:color w:val="auto"/>
                <w:sz w:val="24"/>
                <w:lang w:eastAsia="zh-CN"/>
              </w:rPr>
              <w:t>）</w:t>
            </w:r>
            <w:r>
              <w:rPr>
                <w:rFonts w:hint="eastAsia"/>
                <w:color w:val="auto"/>
                <w:sz w:val="24"/>
                <w:lang w:val="en-US" w:eastAsia="zh-CN"/>
              </w:rPr>
              <w:t>监测结果</w:t>
            </w:r>
          </w:p>
          <w:p w14:paraId="0E8832A5">
            <w:pPr>
              <w:snapToGrid w:val="0"/>
              <w:spacing w:line="360" w:lineRule="auto"/>
              <w:ind w:firstLine="480" w:firstLineChars="200"/>
              <w:rPr>
                <w:color w:val="auto"/>
                <w:sz w:val="24"/>
              </w:rPr>
            </w:pPr>
            <w:r>
              <w:rPr>
                <w:color w:val="auto"/>
                <w:sz w:val="24"/>
              </w:rPr>
              <w:t>监测结果见下表</w:t>
            </w:r>
            <w:r>
              <w:rPr>
                <w:rFonts w:hint="eastAsia"/>
                <w:color w:val="auto"/>
                <w:sz w:val="24"/>
              </w:rPr>
              <w:t>。</w:t>
            </w:r>
          </w:p>
          <w:p w14:paraId="4D8FC6EC">
            <w:pPr>
              <w:wordWrap w:val="0"/>
              <w:snapToGrid w:val="0"/>
              <w:jc w:val="center"/>
              <w:rPr>
                <w:b/>
                <w:bCs/>
                <w:color w:val="auto"/>
                <w:szCs w:val="21"/>
              </w:rPr>
            </w:pPr>
            <w:r>
              <w:rPr>
                <w:b/>
                <w:bCs/>
                <w:color w:val="auto"/>
                <w:szCs w:val="21"/>
              </w:rPr>
              <w:t>表3-</w:t>
            </w:r>
            <w:r>
              <w:rPr>
                <w:rFonts w:hint="eastAsia"/>
                <w:b/>
                <w:bCs/>
                <w:color w:val="auto"/>
                <w:szCs w:val="21"/>
                <w:lang w:val="en-US" w:eastAsia="zh-CN"/>
              </w:rPr>
              <w:t>4</w:t>
            </w:r>
            <w:r>
              <w:rPr>
                <w:b/>
                <w:bCs/>
                <w:color w:val="auto"/>
                <w:szCs w:val="21"/>
              </w:rPr>
              <w:t xml:space="preserve">  其他污染物监测结果</w:t>
            </w:r>
          </w:p>
          <w:tbl>
            <w:tblPr>
              <w:tblStyle w:val="38"/>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Layout w:type="fixed"/>
              <w:tblCellMar>
                <w:top w:w="0" w:type="dxa"/>
                <w:left w:w="108" w:type="dxa"/>
                <w:bottom w:w="0" w:type="dxa"/>
                <w:right w:w="108" w:type="dxa"/>
              </w:tblCellMar>
            </w:tblPr>
            <w:tblGrid>
              <w:gridCol w:w="1085"/>
              <w:gridCol w:w="1110"/>
              <w:gridCol w:w="1368"/>
              <w:gridCol w:w="1637"/>
              <w:gridCol w:w="1070"/>
              <w:gridCol w:w="974"/>
              <w:gridCol w:w="829"/>
            </w:tblGrid>
            <w:tr w14:paraId="4E1F7EA4">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413" w:hRule="atLeast"/>
                <w:jc w:val="center"/>
              </w:trPr>
              <w:tc>
                <w:tcPr>
                  <w:tcW w:w="672" w:type="pct"/>
                  <w:vMerge w:val="restart"/>
                  <w:vAlign w:val="center"/>
                </w:tcPr>
                <w:p w14:paraId="70194393">
                  <w:pPr>
                    <w:snapToGrid w:val="0"/>
                    <w:jc w:val="center"/>
                    <w:rPr>
                      <w:color w:val="auto"/>
                      <w:sz w:val="22"/>
                      <w:szCs w:val="22"/>
                    </w:rPr>
                  </w:pPr>
                  <w:r>
                    <w:rPr>
                      <w:color w:val="auto"/>
                      <w:sz w:val="22"/>
                      <w:szCs w:val="22"/>
                    </w:rPr>
                    <w:t>名称</w:t>
                  </w:r>
                </w:p>
              </w:tc>
              <w:tc>
                <w:tcPr>
                  <w:tcW w:w="687" w:type="pct"/>
                  <w:vMerge w:val="restart"/>
                  <w:vAlign w:val="center"/>
                </w:tcPr>
                <w:p w14:paraId="414F7DB6">
                  <w:pPr>
                    <w:snapToGrid w:val="0"/>
                    <w:jc w:val="center"/>
                    <w:rPr>
                      <w:color w:val="auto"/>
                      <w:sz w:val="22"/>
                      <w:szCs w:val="22"/>
                    </w:rPr>
                  </w:pPr>
                  <w:r>
                    <w:rPr>
                      <w:color w:val="auto"/>
                      <w:sz w:val="22"/>
                      <w:szCs w:val="22"/>
                    </w:rPr>
                    <w:t>污染物</w:t>
                  </w:r>
                </w:p>
              </w:tc>
              <w:tc>
                <w:tcPr>
                  <w:tcW w:w="847" w:type="pct"/>
                  <w:vMerge w:val="restart"/>
                  <w:vAlign w:val="center"/>
                </w:tcPr>
                <w:p w14:paraId="28CA6CF5">
                  <w:pPr>
                    <w:snapToGrid w:val="0"/>
                    <w:jc w:val="center"/>
                    <w:rPr>
                      <w:color w:val="auto"/>
                      <w:sz w:val="22"/>
                      <w:szCs w:val="22"/>
                    </w:rPr>
                  </w:pPr>
                  <w:r>
                    <w:rPr>
                      <w:color w:val="auto"/>
                      <w:sz w:val="22"/>
                      <w:szCs w:val="22"/>
                    </w:rPr>
                    <w:t>评价标准（mg/m</w:t>
                  </w:r>
                  <w:r>
                    <w:rPr>
                      <w:color w:val="auto"/>
                      <w:sz w:val="22"/>
                      <w:szCs w:val="22"/>
                      <w:vertAlign w:val="superscript"/>
                    </w:rPr>
                    <w:t>3</w:t>
                  </w:r>
                  <w:r>
                    <w:rPr>
                      <w:color w:val="auto"/>
                      <w:sz w:val="22"/>
                      <w:szCs w:val="22"/>
                    </w:rPr>
                    <w:t>）</w:t>
                  </w:r>
                </w:p>
              </w:tc>
              <w:tc>
                <w:tcPr>
                  <w:tcW w:w="1013" w:type="pct"/>
                  <w:vMerge w:val="restart"/>
                  <w:vAlign w:val="center"/>
                </w:tcPr>
                <w:p w14:paraId="3E74CD1D">
                  <w:pPr>
                    <w:snapToGrid w:val="0"/>
                    <w:jc w:val="center"/>
                    <w:rPr>
                      <w:color w:val="auto"/>
                      <w:sz w:val="22"/>
                      <w:szCs w:val="22"/>
                    </w:rPr>
                  </w:pPr>
                  <w:r>
                    <w:rPr>
                      <w:color w:val="auto"/>
                      <w:sz w:val="22"/>
                      <w:szCs w:val="22"/>
                    </w:rPr>
                    <w:t>浓度范围（mg/m</w:t>
                  </w:r>
                  <w:r>
                    <w:rPr>
                      <w:color w:val="auto"/>
                      <w:sz w:val="22"/>
                      <w:szCs w:val="22"/>
                      <w:vertAlign w:val="superscript"/>
                    </w:rPr>
                    <w:t>3</w:t>
                  </w:r>
                  <w:r>
                    <w:rPr>
                      <w:color w:val="auto"/>
                      <w:sz w:val="22"/>
                      <w:szCs w:val="22"/>
                    </w:rPr>
                    <w:t>）</w:t>
                  </w:r>
                </w:p>
              </w:tc>
              <w:tc>
                <w:tcPr>
                  <w:tcW w:w="662" w:type="pct"/>
                  <w:vMerge w:val="restart"/>
                  <w:vAlign w:val="center"/>
                </w:tcPr>
                <w:p w14:paraId="5D28AAE4">
                  <w:pPr>
                    <w:snapToGrid w:val="0"/>
                    <w:jc w:val="center"/>
                    <w:rPr>
                      <w:color w:val="auto"/>
                      <w:sz w:val="22"/>
                      <w:szCs w:val="22"/>
                    </w:rPr>
                  </w:pPr>
                  <w:r>
                    <w:rPr>
                      <w:color w:val="auto"/>
                      <w:sz w:val="22"/>
                      <w:szCs w:val="22"/>
                    </w:rPr>
                    <w:t>最大占标率%</w:t>
                  </w:r>
                </w:p>
              </w:tc>
              <w:tc>
                <w:tcPr>
                  <w:tcW w:w="603" w:type="pct"/>
                  <w:vMerge w:val="restart"/>
                  <w:vAlign w:val="center"/>
                </w:tcPr>
                <w:p w14:paraId="33E941DE">
                  <w:pPr>
                    <w:snapToGrid w:val="0"/>
                    <w:jc w:val="center"/>
                    <w:rPr>
                      <w:color w:val="auto"/>
                      <w:sz w:val="22"/>
                      <w:szCs w:val="22"/>
                    </w:rPr>
                  </w:pPr>
                  <w:r>
                    <w:rPr>
                      <w:color w:val="auto"/>
                      <w:sz w:val="22"/>
                      <w:szCs w:val="22"/>
                    </w:rPr>
                    <w:t>超标率%</w:t>
                  </w:r>
                </w:p>
              </w:tc>
              <w:tc>
                <w:tcPr>
                  <w:tcW w:w="513" w:type="pct"/>
                  <w:vMerge w:val="restart"/>
                  <w:vAlign w:val="center"/>
                </w:tcPr>
                <w:p w14:paraId="0FB4E912">
                  <w:pPr>
                    <w:snapToGrid w:val="0"/>
                    <w:jc w:val="center"/>
                    <w:rPr>
                      <w:color w:val="auto"/>
                      <w:sz w:val="22"/>
                      <w:szCs w:val="22"/>
                    </w:rPr>
                  </w:pPr>
                  <w:r>
                    <w:rPr>
                      <w:color w:val="auto"/>
                      <w:sz w:val="22"/>
                      <w:szCs w:val="22"/>
                    </w:rPr>
                    <w:t>达标情况</w:t>
                  </w:r>
                </w:p>
              </w:tc>
            </w:tr>
            <w:tr w14:paraId="01F81940">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98" w:hRule="atLeast"/>
                <w:jc w:val="center"/>
              </w:trPr>
              <w:tc>
                <w:tcPr>
                  <w:tcW w:w="672" w:type="pct"/>
                  <w:vMerge w:val="continue"/>
                  <w:vAlign w:val="center"/>
                </w:tcPr>
                <w:p w14:paraId="75AFC64D">
                  <w:pPr>
                    <w:widowControl/>
                    <w:snapToGrid w:val="0"/>
                    <w:jc w:val="left"/>
                    <w:rPr>
                      <w:color w:val="auto"/>
                      <w:sz w:val="22"/>
                      <w:szCs w:val="22"/>
                    </w:rPr>
                  </w:pPr>
                </w:p>
              </w:tc>
              <w:tc>
                <w:tcPr>
                  <w:tcW w:w="687" w:type="pct"/>
                  <w:vMerge w:val="continue"/>
                  <w:vAlign w:val="center"/>
                </w:tcPr>
                <w:p w14:paraId="1D123737">
                  <w:pPr>
                    <w:widowControl/>
                    <w:snapToGrid w:val="0"/>
                    <w:jc w:val="left"/>
                    <w:rPr>
                      <w:color w:val="auto"/>
                      <w:sz w:val="22"/>
                      <w:szCs w:val="22"/>
                    </w:rPr>
                  </w:pPr>
                </w:p>
              </w:tc>
              <w:tc>
                <w:tcPr>
                  <w:tcW w:w="847" w:type="pct"/>
                  <w:vMerge w:val="continue"/>
                  <w:vAlign w:val="center"/>
                </w:tcPr>
                <w:p w14:paraId="7BC08B92">
                  <w:pPr>
                    <w:widowControl/>
                    <w:snapToGrid w:val="0"/>
                    <w:jc w:val="left"/>
                    <w:rPr>
                      <w:color w:val="auto"/>
                      <w:sz w:val="22"/>
                      <w:szCs w:val="22"/>
                    </w:rPr>
                  </w:pPr>
                </w:p>
              </w:tc>
              <w:tc>
                <w:tcPr>
                  <w:tcW w:w="1013" w:type="pct"/>
                  <w:vMerge w:val="continue"/>
                  <w:vAlign w:val="center"/>
                </w:tcPr>
                <w:p w14:paraId="2A42DD6B">
                  <w:pPr>
                    <w:widowControl/>
                    <w:snapToGrid w:val="0"/>
                    <w:jc w:val="left"/>
                    <w:rPr>
                      <w:color w:val="auto"/>
                      <w:sz w:val="22"/>
                      <w:szCs w:val="22"/>
                    </w:rPr>
                  </w:pPr>
                </w:p>
              </w:tc>
              <w:tc>
                <w:tcPr>
                  <w:tcW w:w="662" w:type="pct"/>
                  <w:vMerge w:val="continue"/>
                  <w:vAlign w:val="center"/>
                </w:tcPr>
                <w:p w14:paraId="362B4F5F">
                  <w:pPr>
                    <w:widowControl/>
                    <w:snapToGrid w:val="0"/>
                    <w:jc w:val="left"/>
                    <w:rPr>
                      <w:color w:val="auto"/>
                      <w:sz w:val="22"/>
                      <w:szCs w:val="22"/>
                    </w:rPr>
                  </w:pPr>
                </w:p>
              </w:tc>
              <w:tc>
                <w:tcPr>
                  <w:tcW w:w="603" w:type="pct"/>
                  <w:vMerge w:val="continue"/>
                  <w:vAlign w:val="center"/>
                </w:tcPr>
                <w:p w14:paraId="4461F5A2">
                  <w:pPr>
                    <w:widowControl/>
                    <w:snapToGrid w:val="0"/>
                    <w:jc w:val="left"/>
                    <w:rPr>
                      <w:color w:val="auto"/>
                      <w:sz w:val="22"/>
                      <w:szCs w:val="22"/>
                    </w:rPr>
                  </w:pPr>
                </w:p>
              </w:tc>
              <w:tc>
                <w:tcPr>
                  <w:tcW w:w="513" w:type="pct"/>
                  <w:vMerge w:val="continue"/>
                  <w:vAlign w:val="center"/>
                </w:tcPr>
                <w:p w14:paraId="4CA4E198">
                  <w:pPr>
                    <w:widowControl/>
                    <w:snapToGrid w:val="0"/>
                    <w:jc w:val="left"/>
                    <w:rPr>
                      <w:color w:val="auto"/>
                      <w:sz w:val="22"/>
                      <w:szCs w:val="22"/>
                    </w:rPr>
                  </w:pPr>
                </w:p>
              </w:tc>
            </w:tr>
            <w:tr w14:paraId="71515870">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621" w:hRule="atLeast"/>
                <w:jc w:val="center"/>
              </w:trPr>
              <w:tc>
                <w:tcPr>
                  <w:tcW w:w="672" w:type="pct"/>
                  <w:vAlign w:val="center"/>
                </w:tcPr>
                <w:p w14:paraId="375C167E">
                  <w:pPr>
                    <w:snapToGrid w:val="0"/>
                    <w:jc w:val="center"/>
                    <w:rPr>
                      <w:color w:val="auto"/>
                      <w:sz w:val="22"/>
                      <w:szCs w:val="22"/>
                    </w:rPr>
                  </w:pPr>
                  <w:r>
                    <w:rPr>
                      <w:rFonts w:hint="eastAsia" w:cs="Times New Roman"/>
                      <w:snapToGrid w:val="0"/>
                      <w:color w:val="auto"/>
                      <w:sz w:val="24"/>
                      <w:szCs w:val="24"/>
                      <w:lang w:val="en-US" w:eastAsia="zh-CN"/>
                    </w:rPr>
                    <w:t>厂区外东侧</w:t>
                  </w:r>
                </w:p>
              </w:tc>
              <w:tc>
                <w:tcPr>
                  <w:tcW w:w="687" w:type="pct"/>
                  <w:vAlign w:val="center"/>
                </w:tcPr>
                <w:p w14:paraId="55FE5E0E">
                  <w:pPr>
                    <w:snapToGrid w:val="0"/>
                    <w:jc w:val="center"/>
                    <w:rPr>
                      <w:color w:val="auto"/>
                      <w:sz w:val="22"/>
                      <w:szCs w:val="22"/>
                    </w:rPr>
                  </w:pPr>
                  <w:r>
                    <w:rPr>
                      <w:color w:val="auto"/>
                      <w:sz w:val="22"/>
                      <w:szCs w:val="22"/>
                    </w:rPr>
                    <w:t>TSP</w:t>
                  </w:r>
                </w:p>
              </w:tc>
              <w:tc>
                <w:tcPr>
                  <w:tcW w:w="847" w:type="pct"/>
                  <w:vAlign w:val="center"/>
                </w:tcPr>
                <w:p w14:paraId="70BD6FD4">
                  <w:pPr>
                    <w:widowControl/>
                    <w:snapToGrid w:val="0"/>
                    <w:jc w:val="center"/>
                    <w:rPr>
                      <w:color w:val="auto"/>
                      <w:sz w:val="22"/>
                      <w:szCs w:val="22"/>
                    </w:rPr>
                  </w:pPr>
                  <w:r>
                    <w:rPr>
                      <w:color w:val="auto"/>
                      <w:sz w:val="22"/>
                      <w:szCs w:val="22"/>
                    </w:rPr>
                    <w:t>0.3</w:t>
                  </w:r>
                </w:p>
              </w:tc>
              <w:tc>
                <w:tcPr>
                  <w:tcW w:w="1013" w:type="pct"/>
                  <w:vAlign w:val="center"/>
                </w:tcPr>
                <w:p w14:paraId="3721635D">
                  <w:pPr>
                    <w:widowControl/>
                    <w:snapToGrid w:val="0"/>
                    <w:jc w:val="center"/>
                    <w:rPr>
                      <w:rFonts w:hint="default" w:eastAsia="宋体"/>
                      <w:color w:val="auto"/>
                      <w:sz w:val="22"/>
                      <w:szCs w:val="22"/>
                      <w:lang w:val="en-US" w:eastAsia="zh-CN"/>
                    </w:rPr>
                  </w:pPr>
                  <w:r>
                    <w:rPr>
                      <w:rFonts w:hint="eastAsia"/>
                      <w:color w:val="auto"/>
                      <w:sz w:val="22"/>
                      <w:szCs w:val="22"/>
                      <w:lang w:val="en-US" w:eastAsia="zh-CN"/>
                    </w:rPr>
                    <w:t>0.146-0.161</w:t>
                  </w:r>
                </w:p>
              </w:tc>
              <w:tc>
                <w:tcPr>
                  <w:tcW w:w="662" w:type="pct"/>
                  <w:vAlign w:val="center"/>
                </w:tcPr>
                <w:p w14:paraId="0F4F0A2F">
                  <w:pPr>
                    <w:widowControl/>
                    <w:snapToGrid w:val="0"/>
                    <w:jc w:val="center"/>
                    <w:rPr>
                      <w:rFonts w:hint="default" w:eastAsia="宋体"/>
                      <w:color w:val="auto"/>
                      <w:sz w:val="22"/>
                      <w:szCs w:val="22"/>
                      <w:lang w:val="en-US" w:eastAsia="zh-CN"/>
                    </w:rPr>
                  </w:pPr>
                  <w:r>
                    <w:rPr>
                      <w:rFonts w:hint="eastAsia"/>
                      <w:color w:val="auto"/>
                      <w:sz w:val="22"/>
                      <w:szCs w:val="22"/>
                      <w:lang w:val="en-US" w:eastAsia="zh-CN"/>
                    </w:rPr>
                    <w:t>53.7</w:t>
                  </w:r>
                </w:p>
              </w:tc>
              <w:tc>
                <w:tcPr>
                  <w:tcW w:w="603" w:type="pct"/>
                  <w:vAlign w:val="center"/>
                </w:tcPr>
                <w:p w14:paraId="436B7989">
                  <w:pPr>
                    <w:widowControl/>
                    <w:snapToGrid w:val="0"/>
                    <w:jc w:val="center"/>
                    <w:rPr>
                      <w:color w:val="auto"/>
                      <w:sz w:val="22"/>
                      <w:szCs w:val="22"/>
                    </w:rPr>
                  </w:pPr>
                  <w:r>
                    <w:rPr>
                      <w:color w:val="auto"/>
                      <w:sz w:val="22"/>
                      <w:szCs w:val="22"/>
                    </w:rPr>
                    <w:t>0</w:t>
                  </w:r>
                </w:p>
              </w:tc>
              <w:tc>
                <w:tcPr>
                  <w:tcW w:w="513" w:type="pct"/>
                  <w:vAlign w:val="center"/>
                </w:tcPr>
                <w:p w14:paraId="683DEB2D">
                  <w:pPr>
                    <w:widowControl/>
                    <w:snapToGrid w:val="0"/>
                    <w:jc w:val="center"/>
                    <w:rPr>
                      <w:color w:val="auto"/>
                      <w:sz w:val="22"/>
                      <w:szCs w:val="22"/>
                    </w:rPr>
                  </w:pPr>
                  <w:r>
                    <w:rPr>
                      <w:color w:val="auto"/>
                      <w:sz w:val="22"/>
                      <w:szCs w:val="22"/>
                    </w:rPr>
                    <w:t>达标</w:t>
                  </w:r>
                </w:p>
              </w:tc>
            </w:tr>
          </w:tbl>
          <w:p w14:paraId="1A5E6C02">
            <w:pPr>
              <w:adjustRightInd w:val="0"/>
              <w:snapToGrid w:val="0"/>
              <w:spacing w:line="360" w:lineRule="auto"/>
              <w:ind w:firstLine="480" w:firstLineChars="200"/>
              <w:rPr>
                <w:bCs/>
                <w:color w:val="auto"/>
                <w:sz w:val="24"/>
              </w:rPr>
            </w:pPr>
            <w:r>
              <w:rPr>
                <w:bCs/>
                <w:color w:val="auto"/>
                <w:sz w:val="24"/>
              </w:rPr>
              <w:t>由上表可以看出，本项目TSP满足</w:t>
            </w:r>
            <w:r>
              <w:rPr>
                <w:rFonts w:hint="eastAsia" w:hAnsi="宋体"/>
                <w:color w:val="auto"/>
                <w:sz w:val="24"/>
              </w:rPr>
              <w:t>《环境空气质量标准》</w:t>
            </w:r>
            <w:r>
              <w:rPr>
                <w:rFonts w:hint="eastAsia" w:hAnsi="宋体"/>
                <w:color w:val="auto"/>
                <w:sz w:val="24"/>
                <w:lang w:eastAsia="zh-CN"/>
              </w:rPr>
              <w:t>（</w:t>
            </w:r>
            <w:r>
              <w:rPr>
                <w:rFonts w:hint="eastAsia" w:hAnsi="宋体"/>
                <w:color w:val="auto"/>
                <w:sz w:val="24"/>
              </w:rPr>
              <w:t>GB3095-2026</w:t>
            </w:r>
            <w:r>
              <w:rPr>
                <w:rFonts w:hint="eastAsia" w:hAnsi="宋体"/>
                <w:color w:val="auto"/>
                <w:sz w:val="24"/>
                <w:lang w:eastAsia="zh-CN"/>
              </w:rPr>
              <w:t>）</w:t>
            </w:r>
            <w:r>
              <w:rPr>
                <w:rFonts w:hint="eastAsia"/>
                <w:color w:val="auto"/>
                <w:kern w:val="2"/>
                <w:sz w:val="24"/>
                <w:szCs w:val="24"/>
                <w:lang w:val="en-US" w:eastAsia="zh-CN"/>
              </w:rPr>
              <w:t>表1中</w:t>
            </w:r>
            <w:r>
              <w:rPr>
                <w:rFonts w:hint="default"/>
                <w:color w:val="auto"/>
                <w:kern w:val="2"/>
                <w:sz w:val="24"/>
                <w:szCs w:val="24"/>
              </w:rPr>
              <w:t>二级</w:t>
            </w:r>
            <w:r>
              <w:rPr>
                <w:rFonts w:hint="eastAsia"/>
                <w:color w:val="auto"/>
                <w:kern w:val="2"/>
                <w:sz w:val="24"/>
                <w:szCs w:val="24"/>
                <w:lang w:val="en-US" w:eastAsia="zh-CN"/>
              </w:rPr>
              <w:t>过渡阶段浓度限值</w:t>
            </w:r>
            <w:r>
              <w:rPr>
                <w:bCs/>
                <w:color w:val="auto"/>
                <w:sz w:val="24"/>
              </w:rPr>
              <w:t>要求</w:t>
            </w:r>
            <w:r>
              <w:rPr>
                <w:rFonts w:hint="eastAsia"/>
                <w:bCs/>
                <w:color w:val="auto"/>
                <w:sz w:val="24"/>
              </w:rPr>
              <w:t>。</w:t>
            </w:r>
            <w:r>
              <w:rPr>
                <w:bCs/>
                <w:color w:val="auto"/>
                <w:sz w:val="24"/>
              </w:rPr>
              <w:t>区域环境空气质量良好。</w:t>
            </w:r>
          </w:p>
          <w:p w14:paraId="43D68DC2">
            <w:pPr>
              <w:snapToGrid w:val="0"/>
              <w:spacing w:line="360" w:lineRule="auto"/>
              <w:ind w:firstLine="482" w:firstLineChars="200"/>
              <w:rPr>
                <w:b/>
                <w:color w:val="auto"/>
                <w:sz w:val="24"/>
              </w:rPr>
            </w:pPr>
            <w:r>
              <w:rPr>
                <w:b/>
                <w:color w:val="auto"/>
                <w:sz w:val="24"/>
              </w:rPr>
              <w:t>2、地表水环境</w:t>
            </w:r>
          </w:p>
          <w:p w14:paraId="000B2DCA">
            <w:pPr>
              <w:keepNext w:val="0"/>
              <w:keepLines w:val="0"/>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bCs/>
                <w:color w:val="auto"/>
                <w:kern w:val="0"/>
                <w:sz w:val="24"/>
                <w:lang w:val="en-US" w:eastAsia="zh-CN"/>
              </w:rPr>
            </w:pPr>
            <w:r>
              <w:rPr>
                <w:rFonts w:hint="eastAsia" w:ascii="Times New Roman" w:hAnsi="Times New Roman" w:eastAsia="宋体" w:cs="Times New Roman"/>
                <w:color w:val="auto"/>
                <w:kern w:val="0"/>
                <w:sz w:val="24"/>
                <w:szCs w:val="28"/>
                <w:lang w:val="en-US" w:eastAsia="zh-CN" w:bidi="ar-SA"/>
              </w:rPr>
              <w:t>项目附近地表水体为城子河，属于穆棱河水系。根据《全国重要江河湖泊水功能区划</w:t>
            </w:r>
            <w:r>
              <w:rPr>
                <w:rFonts w:hint="eastAsia" w:cs="Times New Roman"/>
                <w:color w:val="auto"/>
                <w:kern w:val="0"/>
                <w:sz w:val="24"/>
                <w:szCs w:val="28"/>
                <w:lang w:val="en-US" w:eastAsia="zh-CN" w:bidi="ar-SA"/>
              </w:rPr>
              <w:t>（</w:t>
            </w:r>
            <w:r>
              <w:rPr>
                <w:rFonts w:hint="eastAsia" w:ascii="Times New Roman" w:hAnsi="Times New Roman" w:eastAsia="宋体" w:cs="Times New Roman"/>
                <w:color w:val="auto"/>
                <w:kern w:val="0"/>
                <w:sz w:val="24"/>
                <w:szCs w:val="28"/>
                <w:lang w:val="en-US" w:eastAsia="zh-CN" w:bidi="ar-SA"/>
              </w:rPr>
              <w:t>2011一2030年</w:t>
            </w:r>
            <w:r>
              <w:rPr>
                <w:rFonts w:hint="eastAsia" w:cs="Times New Roman"/>
                <w:color w:val="auto"/>
                <w:kern w:val="0"/>
                <w:sz w:val="24"/>
                <w:szCs w:val="28"/>
                <w:lang w:val="en-US" w:eastAsia="zh-CN" w:bidi="ar-SA"/>
              </w:rPr>
              <w:t>）</w:t>
            </w:r>
            <w:r>
              <w:rPr>
                <w:rFonts w:hint="eastAsia" w:ascii="Times New Roman" w:hAnsi="Times New Roman" w:eastAsia="宋体" w:cs="Times New Roman"/>
                <w:color w:val="auto"/>
                <w:kern w:val="0"/>
                <w:sz w:val="24"/>
                <w:szCs w:val="28"/>
                <w:lang w:val="en-US" w:eastAsia="zh-CN" w:bidi="ar-SA"/>
              </w:rPr>
              <w:t>》规定，本项目区域穆棱河断面水质执行《地表水环境质量标准》</w:t>
            </w:r>
            <w:r>
              <w:rPr>
                <w:rFonts w:hint="eastAsia" w:cs="Times New Roman"/>
                <w:color w:val="auto"/>
                <w:kern w:val="0"/>
                <w:sz w:val="24"/>
                <w:szCs w:val="28"/>
                <w:lang w:val="en-US" w:eastAsia="zh-CN" w:bidi="ar-SA"/>
              </w:rPr>
              <w:t>（</w:t>
            </w:r>
            <w:r>
              <w:rPr>
                <w:rFonts w:hint="eastAsia" w:ascii="Times New Roman" w:hAnsi="Times New Roman" w:eastAsia="宋体" w:cs="Times New Roman"/>
                <w:color w:val="auto"/>
                <w:kern w:val="0"/>
                <w:sz w:val="24"/>
                <w:szCs w:val="28"/>
                <w:lang w:val="en-US" w:eastAsia="zh-CN" w:bidi="ar-SA"/>
              </w:rPr>
              <w:t>GB3838-2002</w:t>
            </w:r>
            <w:r>
              <w:rPr>
                <w:rFonts w:hint="eastAsia" w:cs="Times New Roman"/>
                <w:color w:val="auto"/>
                <w:kern w:val="0"/>
                <w:sz w:val="24"/>
                <w:szCs w:val="28"/>
                <w:lang w:val="en-US" w:eastAsia="zh-CN" w:bidi="ar-SA"/>
              </w:rPr>
              <w:t>）</w:t>
            </w:r>
            <w:r>
              <w:rPr>
                <w:rFonts w:hint="eastAsia" w:ascii="Times New Roman" w:hAnsi="Times New Roman" w:eastAsia="宋体" w:cs="Times New Roman"/>
                <w:color w:val="auto"/>
                <w:kern w:val="0"/>
                <w:sz w:val="24"/>
                <w:szCs w:val="28"/>
                <w:lang w:val="en-US" w:eastAsia="zh-CN" w:bidi="ar-SA"/>
              </w:rPr>
              <w:t>中III类标准，本项目附近水体城子河</w:t>
            </w:r>
            <w:r>
              <w:rPr>
                <w:rFonts w:hint="eastAsia" w:cs="Times New Roman"/>
                <w:color w:val="auto"/>
                <w:kern w:val="0"/>
                <w:sz w:val="24"/>
                <w:szCs w:val="28"/>
                <w:lang w:val="en-US" w:eastAsia="zh-CN" w:bidi="ar-SA"/>
              </w:rPr>
              <w:t>（</w:t>
            </w:r>
            <w:r>
              <w:rPr>
                <w:rFonts w:hint="eastAsia" w:ascii="Times New Roman" w:hAnsi="Times New Roman" w:eastAsia="宋体" w:cs="Times New Roman"/>
                <w:color w:val="auto"/>
                <w:kern w:val="0"/>
                <w:sz w:val="24"/>
                <w:szCs w:val="28"/>
                <w:lang w:val="en-US" w:eastAsia="zh-CN" w:bidi="ar-SA"/>
              </w:rPr>
              <w:t>穆棱河一级支流</w:t>
            </w:r>
            <w:r>
              <w:rPr>
                <w:rFonts w:hint="eastAsia" w:cs="Times New Roman"/>
                <w:color w:val="auto"/>
                <w:kern w:val="0"/>
                <w:sz w:val="24"/>
                <w:szCs w:val="28"/>
                <w:lang w:val="en-US" w:eastAsia="zh-CN" w:bidi="ar-SA"/>
              </w:rPr>
              <w:t>）</w:t>
            </w:r>
            <w:r>
              <w:rPr>
                <w:rFonts w:hint="eastAsia" w:ascii="Times New Roman" w:hAnsi="Times New Roman" w:eastAsia="宋体" w:cs="Times New Roman"/>
                <w:color w:val="auto"/>
                <w:kern w:val="0"/>
                <w:sz w:val="24"/>
                <w:szCs w:val="28"/>
                <w:lang w:val="en-US" w:eastAsia="zh-CN" w:bidi="ar-SA"/>
              </w:rPr>
              <w:t>参照I类功能水体，因此本工程地表水环境质量执行《地表水环境质量标准》（GB3838-2002</w:t>
            </w:r>
            <w:r>
              <w:rPr>
                <w:rFonts w:hint="eastAsia" w:cs="Times New Roman"/>
                <w:color w:val="auto"/>
                <w:kern w:val="0"/>
                <w:sz w:val="24"/>
                <w:szCs w:val="28"/>
                <w:lang w:val="en-US" w:eastAsia="zh-CN" w:bidi="ar-SA"/>
              </w:rPr>
              <w:t>）</w:t>
            </w:r>
            <w:r>
              <w:rPr>
                <w:rFonts w:hint="eastAsia" w:ascii="Times New Roman" w:hAnsi="Times New Roman" w:eastAsia="宋体" w:cs="Times New Roman"/>
                <w:color w:val="auto"/>
                <w:kern w:val="0"/>
                <w:sz w:val="24"/>
                <w:szCs w:val="28"/>
                <w:lang w:val="en-US" w:eastAsia="zh-CN" w:bidi="ar-SA"/>
              </w:rPr>
              <w:t>中I类水体标准。根据鸡西市生态环境局网站公布的2025年1月~12月《鸡西市地表水国控考核断面水质信息公开》，穆棱河知一桥、穆棱河河口内断面全年达到II类水质类别标准。</w:t>
            </w:r>
          </w:p>
          <w:p w14:paraId="61CEFEDC">
            <w:pPr>
              <w:snapToGrid w:val="0"/>
              <w:spacing w:line="360" w:lineRule="auto"/>
              <w:ind w:firstLine="482" w:firstLineChars="200"/>
              <w:rPr>
                <w:b/>
                <w:color w:val="auto"/>
                <w:sz w:val="24"/>
              </w:rPr>
            </w:pPr>
            <w:r>
              <w:rPr>
                <w:b/>
                <w:color w:val="auto"/>
                <w:sz w:val="24"/>
              </w:rPr>
              <w:t>3、声环境</w:t>
            </w:r>
          </w:p>
          <w:p w14:paraId="7840DE56">
            <w:pPr>
              <w:keepNext w:val="0"/>
              <w:keepLines w:val="0"/>
              <w:suppressLineNumbers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bCs/>
                <w:color w:val="auto"/>
                <w:kern w:val="0"/>
                <w:sz w:val="24"/>
              </w:rPr>
            </w:pPr>
            <w:r>
              <w:rPr>
                <w:rFonts w:hint="eastAsia" w:ascii="Times New Roman" w:hAnsi="Times New Roman" w:eastAsia="宋体"/>
                <w:bCs/>
                <w:color w:val="auto"/>
                <w:kern w:val="0"/>
                <w:sz w:val="24"/>
                <w:lang w:val="en-US" w:eastAsia="zh-CN"/>
              </w:rPr>
              <w:t>根据</w:t>
            </w:r>
            <w:r>
              <w:rPr>
                <w:rFonts w:ascii="Times New Roman" w:hAnsi="宋体" w:eastAsia="宋体" w:cs="Times New Roman"/>
                <w:color w:val="auto"/>
                <w:sz w:val="24"/>
              </w:rPr>
              <w:t>《</w:t>
            </w:r>
            <w:r>
              <w:rPr>
                <w:rFonts w:hint="eastAsia" w:hAnsi="宋体"/>
                <w:color w:val="auto"/>
                <w:sz w:val="24"/>
              </w:rPr>
              <w:t>2025年黑龙江省生态环境质量状况</w:t>
            </w:r>
            <w:r>
              <w:rPr>
                <w:rFonts w:ascii="Times New Roman" w:hAnsi="宋体" w:eastAsia="宋体" w:cs="Times New Roman"/>
                <w:color w:val="auto"/>
                <w:sz w:val="24"/>
              </w:rPr>
              <w:t>》</w:t>
            </w:r>
            <w:r>
              <w:rPr>
                <w:rFonts w:hint="eastAsia" w:ascii="Times New Roman" w:hAnsi="Times New Roman" w:eastAsia="宋体"/>
                <w:bCs/>
                <w:color w:val="auto"/>
                <w:kern w:val="0"/>
                <w:sz w:val="24"/>
                <w:lang w:val="en-US" w:eastAsia="zh-CN"/>
              </w:rPr>
              <w:t>可知，鸡西市区域昼间声环境质量为二级，等效声级为53.2dB</w:t>
            </w:r>
            <w:r>
              <w:rPr>
                <w:rFonts w:hint="eastAsia"/>
                <w:bCs/>
                <w:color w:val="auto"/>
                <w:kern w:val="0"/>
                <w:sz w:val="24"/>
                <w:lang w:val="en-US" w:eastAsia="zh-CN"/>
              </w:rPr>
              <w:t>（</w:t>
            </w:r>
            <w:r>
              <w:rPr>
                <w:rFonts w:hint="eastAsia" w:ascii="Times New Roman" w:hAnsi="Times New Roman" w:eastAsia="宋体"/>
                <w:bCs/>
                <w:color w:val="auto"/>
                <w:kern w:val="0"/>
                <w:sz w:val="24"/>
                <w:lang w:val="en-US" w:eastAsia="zh-CN"/>
              </w:rPr>
              <w:t>A</w:t>
            </w:r>
            <w:r>
              <w:rPr>
                <w:rFonts w:hint="eastAsia"/>
                <w:bCs/>
                <w:color w:val="auto"/>
                <w:kern w:val="0"/>
                <w:sz w:val="24"/>
                <w:lang w:val="en-US" w:eastAsia="zh-CN"/>
              </w:rPr>
              <w:t>）；</w:t>
            </w:r>
            <w:r>
              <w:rPr>
                <w:rFonts w:hint="eastAsia" w:ascii="Times New Roman" w:hAnsi="Times New Roman" w:eastAsia="宋体"/>
                <w:bCs/>
                <w:color w:val="auto"/>
                <w:kern w:val="0"/>
                <w:sz w:val="24"/>
                <w:lang w:val="en-US" w:eastAsia="zh-CN"/>
              </w:rPr>
              <w:t>道路交通昼间声环境质量为一级，等效声级为64.7dB</w:t>
            </w:r>
            <w:r>
              <w:rPr>
                <w:rFonts w:hint="eastAsia"/>
                <w:bCs/>
                <w:color w:val="auto"/>
                <w:kern w:val="0"/>
                <w:sz w:val="24"/>
                <w:lang w:val="en-US" w:eastAsia="zh-CN"/>
              </w:rPr>
              <w:t>（</w:t>
            </w:r>
            <w:r>
              <w:rPr>
                <w:rFonts w:hint="eastAsia" w:ascii="Times New Roman" w:hAnsi="Times New Roman" w:eastAsia="宋体"/>
                <w:bCs/>
                <w:color w:val="auto"/>
                <w:kern w:val="0"/>
                <w:sz w:val="24"/>
                <w:lang w:val="en-US" w:eastAsia="zh-CN"/>
              </w:rPr>
              <w:t>A</w:t>
            </w:r>
            <w:r>
              <w:rPr>
                <w:rFonts w:hint="eastAsia"/>
                <w:bCs/>
                <w:color w:val="auto"/>
                <w:kern w:val="0"/>
                <w:sz w:val="24"/>
                <w:lang w:val="en-US" w:eastAsia="zh-CN"/>
              </w:rPr>
              <w:t>）；</w:t>
            </w:r>
            <w:r>
              <w:rPr>
                <w:rFonts w:hint="eastAsia" w:ascii="Times New Roman" w:hAnsi="Times New Roman" w:eastAsia="宋体"/>
                <w:bCs/>
                <w:color w:val="auto"/>
                <w:kern w:val="0"/>
                <w:sz w:val="24"/>
                <w:lang w:val="en-US" w:eastAsia="zh-CN"/>
              </w:rPr>
              <w:t>功能区昼间达标率87.7%，功能区夜间达标率97.6%。</w:t>
            </w:r>
          </w:p>
          <w:p w14:paraId="5BA4EE96">
            <w:pPr>
              <w:adjustRightInd w:val="0"/>
              <w:spacing w:line="360" w:lineRule="auto"/>
              <w:ind w:firstLine="480" w:firstLineChars="200"/>
              <w:rPr>
                <w:rFonts w:eastAsiaTheme="minorEastAsia"/>
                <w:color w:val="auto"/>
              </w:rPr>
            </w:pPr>
            <w:r>
              <w:rPr>
                <w:rFonts w:hint="eastAsia"/>
                <w:bCs/>
                <w:color w:val="auto"/>
                <w:kern w:val="0"/>
                <w:sz w:val="24"/>
              </w:rPr>
              <w:t>根据现场勘查及《建设项目环境影响评价报告表编制技术指南》（污染影响类），本项目选址周围50m范围内无声环境保护目标，未进行声环境现状进行监测。</w:t>
            </w:r>
          </w:p>
          <w:p w14:paraId="59623DEF">
            <w:pPr>
              <w:snapToGrid w:val="0"/>
              <w:spacing w:line="360" w:lineRule="auto"/>
              <w:ind w:firstLine="482" w:firstLineChars="200"/>
              <w:rPr>
                <w:b/>
                <w:color w:val="auto"/>
                <w:sz w:val="24"/>
              </w:rPr>
            </w:pPr>
            <w:r>
              <w:rPr>
                <w:rFonts w:hint="eastAsia"/>
                <w:b/>
                <w:color w:val="auto"/>
                <w:sz w:val="24"/>
              </w:rPr>
              <w:t>4、生态环境</w:t>
            </w:r>
          </w:p>
          <w:p w14:paraId="237856D0">
            <w:pPr>
              <w:adjustRightInd w:val="0"/>
              <w:snapToGrid w:val="0"/>
              <w:spacing w:line="360" w:lineRule="auto"/>
              <w:ind w:firstLine="480" w:firstLineChars="200"/>
              <w:rPr>
                <w:color w:val="auto"/>
                <w:sz w:val="24"/>
              </w:rPr>
            </w:pPr>
            <w:r>
              <w:rPr>
                <w:rFonts w:hint="eastAsia"/>
                <w:bCs/>
                <w:color w:val="auto"/>
                <w:kern w:val="0"/>
                <w:sz w:val="24"/>
              </w:rPr>
              <w:t>本项目</w:t>
            </w:r>
            <w:r>
              <w:rPr>
                <w:rFonts w:hint="eastAsia"/>
                <w:color w:val="auto"/>
                <w:spacing w:val="4"/>
                <w:sz w:val="24"/>
              </w:rPr>
              <w:t>占地面积</w:t>
            </w:r>
            <w:r>
              <w:rPr>
                <w:rFonts w:hint="eastAsia"/>
                <w:color w:val="auto"/>
                <w:spacing w:val="4"/>
                <w:sz w:val="24"/>
                <w:lang w:val="en-US" w:eastAsia="zh-CN"/>
              </w:rPr>
              <w:t>19855</w:t>
            </w:r>
            <w:r>
              <w:rPr>
                <w:color w:val="auto"/>
                <w:spacing w:val="4"/>
                <w:sz w:val="24"/>
              </w:rPr>
              <w:t>m</w:t>
            </w:r>
            <w:r>
              <w:rPr>
                <w:color w:val="auto"/>
                <w:spacing w:val="4"/>
                <w:sz w:val="24"/>
                <w:vertAlign w:val="superscript"/>
              </w:rPr>
              <w:t>2</w:t>
            </w:r>
            <w:r>
              <w:rPr>
                <w:rFonts w:hint="eastAsia"/>
                <w:bCs/>
                <w:color w:val="auto"/>
                <w:kern w:val="0"/>
                <w:sz w:val="24"/>
              </w:rPr>
              <w:t>，用地类型</w:t>
            </w:r>
            <w:r>
              <w:rPr>
                <w:rFonts w:hint="eastAsia" w:cs="宋体"/>
                <w:bCs/>
                <w:color w:val="auto"/>
                <w:sz w:val="24"/>
              </w:rPr>
              <w:t>为</w:t>
            </w:r>
            <w:r>
              <w:rPr>
                <w:rFonts w:hint="eastAsia" w:cs="宋体"/>
                <w:bCs/>
                <w:color w:val="auto"/>
                <w:sz w:val="24"/>
                <w:lang w:val="en-US" w:eastAsia="zh-CN"/>
              </w:rPr>
              <w:t>工业</w:t>
            </w:r>
            <w:r>
              <w:rPr>
                <w:rFonts w:hint="eastAsia" w:cs="宋体"/>
                <w:bCs/>
                <w:color w:val="auto"/>
                <w:sz w:val="24"/>
              </w:rPr>
              <w:t>用地，</w:t>
            </w:r>
            <w:r>
              <w:rPr>
                <w:rFonts w:hint="eastAsia"/>
                <w:bCs/>
                <w:color w:val="auto"/>
                <w:kern w:val="0"/>
                <w:sz w:val="24"/>
              </w:rPr>
              <w:t>地表无植被覆盖，本项目周边无国家</w:t>
            </w:r>
            <w:r>
              <w:rPr>
                <w:rFonts w:hint="eastAsia"/>
                <w:color w:val="auto"/>
                <w:sz w:val="24"/>
              </w:rPr>
              <w:t>级、省级、市级名胜古迹、自然保护区，生态敏感、脆弱区，故本项目不开展生态环境现状调查。</w:t>
            </w:r>
          </w:p>
          <w:p w14:paraId="2D5120FD">
            <w:pPr>
              <w:snapToGrid w:val="0"/>
              <w:spacing w:line="360" w:lineRule="auto"/>
              <w:ind w:firstLine="482" w:firstLineChars="200"/>
              <w:rPr>
                <w:b/>
                <w:color w:val="auto"/>
                <w:sz w:val="24"/>
              </w:rPr>
            </w:pPr>
            <w:r>
              <w:rPr>
                <w:rFonts w:hint="eastAsia"/>
                <w:b/>
                <w:color w:val="auto"/>
                <w:sz w:val="24"/>
              </w:rPr>
              <w:t>5、地下水和土壤环境</w:t>
            </w:r>
          </w:p>
          <w:p w14:paraId="6A721C04">
            <w:pPr>
              <w:adjustRightInd w:val="0"/>
              <w:snapToGrid w:val="0"/>
              <w:spacing w:line="360" w:lineRule="auto"/>
              <w:ind w:firstLine="480" w:firstLineChars="200"/>
              <w:rPr>
                <w:bCs/>
                <w:color w:val="auto"/>
                <w:lang w:val="zh-CN"/>
              </w:rPr>
            </w:pPr>
            <w:r>
              <w:rPr>
                <w:color w:val="auto"/>
                <w:kern w:val="0"/>
                <w:sz w:val="24"/>
              </w:rPr>
              <w:t>本项目属于</w:t>
            </w:r>
            <w:r>
              <w:rPr>
                <w:rFonts w:hint="eastAsia"/>
                <w:bCs/>
                <w:color w:val="auto"/>
                <w:kern w:val="0"/>
                <w:sz w:val="24"/>
              </w:rPr>
              <w:t>煤炭储存、集运</w:t>
            </w:r>
            <w:r>
              <w:rPr>
                <w:bCs/>
                <w:color w:val="auto"/>
                <w:kern w:val="0"/>
                <w:sz w:val="24"/>
              </w:rPr>
              <w:t>项目</w:t>
            </w:r>
            <w:r>
              <w:rPr>
                <w:color w:val="auto"/>
                <w:kern w:val="0"/>
                <w:sz w:val="24"/>
              </w:rPr>
              <w:t>，</w:t>
            </w:r>
            <w:r>
              <w:rPr>
                <w:rFonts w:hint="eastAsia"/>
                <w:color w:val="auto"/>
                <w:kern w:val="0"/>
                <w:sz w:val="24"/>
                <w:lang w:val="en-US" w:eastAsia="zh-CN"/>
              </w:rPr>
              <w:t>厂区地面全部硬化，</w:t>
            </w:r>
            <w:r>
              <w:rPr>
                <w:color w:val="auto"/>
                <w:kern w:val="0"/>
                <w:sz w:val="24"/>
              </w:rPr>
              <w:t>不会对地下水产生影响，因此，不进行地下水环境质量现状监测。本项目废气不涉及重金属、持久性有机污染物，</w:t>
            </w:r>
            <w:r>
              <w:rPr>
                <w:rFonts w:hint="eastAsia"/>
                <w:color w:val="auto"/>
                <w:kern w:val="0"/>
                <w:sz w:val="24"/>
                <w:lang w:val="en-US" w:eastAsia="zh-CN"/>
              </w:rPr>
              <w:t>厂区路面全部水泥硬化，</w:t>
            </w:r>
            <w:r>
              <w:rPr>
                <w:color w:val="auto"/>
                <w:kern w:val="0"/>
                <w:sz w:val="24"/>
              </w:rPr>
              <w:t>无土壤污染途径</w:t>
            </w:r>
            <w:r>
              <w:rPr>
                <w:rFonts w:hint="eastAsia"/>
                <w:color w:val="auto"/>
                <w:kern w:val="0"/>
                <w:sz w:val="24"/>
                <w:lang w:eastAsia="zh-CN"/>
              </w:rPr>
              <w:t>。</w:t>
            </w:r>
            <w:r>
              <w:rPr>
                <w:rFonts w:hint="eastAsia" w:ascii="Times New Roman" w:hAnsi="Times New Roman" w:eastAsia="宋体" w:cs="Times New Roman"/>
                <w:color w:val="auto"/>
                <w:sz w:val="24"/>
              </w:rPr>
              <w:t>根据《建设项目环境影响报告表编制技术指南（污染影响类）（试行）》中的相关要求，本项目不需开展环境质量现状调查。</w:t>
            </w:r>
          </w:p>
        </w:tc>
      </w:tr>
      <w:tr w14:paraId="56C9C5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69" w:type="dxa"/>
            <w:vAlign w:val="center"/>
          </w:tcPr>
          <w:p w14:paraId="5422D3DB">
            <w:pPr>
              <w:adjustRightInd w:val="0"/>
              <w:snapToGrid w:val="0"/>
              <w:jc w:val="center"/>
              <w:rPr>
                <w:rFonts w:cs="宋体"/>
                <w:b/>
                <w:bCs/>
                <w:color w:val="auto"/>
                <w:kern w:val="0"/>
                <w:szCs w:val="21"/>
              </w:rPr>
            </w:pPr>
            <w:r>
              <w:rPr>
                <w:rFonts w:hint="eastAsia" w:cs="宋体"/>
                <w:b/>
                <w:bCs/>
                <w:color w:val="auto"/>
                <w:kern w:val="0"/>
                <w:szCs w:val="21"/>
              </w:rPr>
              <w:t>环境</w:t>
            </w:r>
          </w:p>
          <w:p w14:paraId="7BBCEB9A">
            <w:pPr>
              <w:adjustRightInd w:val="0"/>
              <w:snapToGrid w:val="0"/>
              <w:jc w:val="center"/>
              <w:rPr>
                <w:rFonts w:cs="宋体"/>
                <w:b/>
                <w:bCs/>
                <w:color w:val="auto"/>
                <w:kern w:val="0"/>
                <w:szCs w:val="21"/>
              </w:rPr>
            </w:pPr>
            <w:r>
              <w:rPr>
                <w:rFonts w:hint="eastAsia" w:cs="宋体"/>
                <w:b/>
                <w:bCs/>
                <w:color w:val="auto"/>
                <w:kern w:val="0"/>
                <w:szCs w:val="21"/>
              </w:rPr>
              <w:t>保护</w:t>
            </w:r>
          </w:p>
          <w:p w14:paraId="665D0E18">
            <w:pPr>
              <w:adjustRightInd w:val="0"/>
              <w:snapToGrid w:val="0"/>
              <w:jc w:val="center"/>
              <w:rPr>
                <w:rFonts w:cs="宋体"/>
                <w:color w:val="auto"/>
                <w:kern w:val="0"/>
                <w:szCs w:val="21"/>
              </w:rPr>
            </w:pPr>
            <w:r>
              <w:rPr>
                <w:rFonts w:hint="eastAsia" w:cs="宋体"/>
                <w:b/>
                <w:bCs/>
                <w:color w:val="auto"/>
                <w:kern w:val="0"/>
                <w:szCs w:val="21"/>
              </w:rPr>
              <w:t>目标</w:t>
            </w:r>
          </w:p>
        </w:tc>
        <w:tc>
          <w:tcPr>
            <w:tcW w:w="8292" w:type="dxa"/>
            <w:vAlign w:val="center"/>
          </w:tcPr>
          <w:p w14:paraId="176D4317">
            <w:pPr>
              <w:pStyle w:val="59"/>
              <w:adjustRightInd w:val="0"/>
              <w:snapToGrid w:val="0"/>
              <w:spacing w:line="360" w:lineRule="auto"/>
              <w:ind w:firstLine="482"/>
              <w:rPr>
                <w:b/>
                <w:bCs/>
                <w:color w:val="auto"/>
              </w:rPr>
            </w:pPr>
            <w:bookmarkStart w:id="11" w:name="_Hlk72490597"/>
            <w:r>
              <w:rPr>
                <w:b/>
                <w:bCs/>
                <w:color w:val="auto"/>
              </w:rPr>
              <w:t>1、大气环境保护目标</w:t>
            </w:r>
          </w:p>
          <w:p w14:paraId="3C43D866">
            <w:pPr>
              <w:spacing w:line="360" w:lineRule="auto"/>
              <w:ind w:firstLine="480" w:firstLineChars="200"/>
              <w:rPr>
                <w:rFonts w:eastAsiaTheme="minorEastAsia"/>
                <w:color w:val="auto"/>
                <w:sz w:val="24"/>
              </w:rPr>
            </w:pPr>
            <w:r>
              <w:rPr>
                <w:rFonts w:eastAsiaTheme="minorEastAsia"/>
                <w:color w:val="auto"/>
                <w:sz w:val="24"/>
              </w:rPr>
              <w:t>本项目</w:t>
            </w:r>
            <w:r>
              <w:rPr>
                <w:rFonts w:hint="eastAsia" w:eastAsiaTheme="minorEastAsia"/>
                <w:color w:val="auto"/>
                <w:sz w:val="24"/>
                <w:lang w:val="en-US" w:eastAsia="zh-CN"/>
              </w:rPr>
              <w:t>调查</w:t>
            </w:r>
            <w:r>
              <w:rPr>
                <w:rFonts w:eastAsiaTheme="minorEastAsia"/>
                <w:color w:val="auto"/>
                <w:sz w:val="24"/>
              </w:rPr>
              <w:t>范围内无自然保护区、风景名胜区等保护目标，根据项目特点及周边环境状况，确定大气环境保护目标，详见表3-</w:t>
            </w:r>
            <w:r>
              <w:rPr>
                <w:rFonts w:hint="eastAsia" w:eastAsiaTheme="minorEastAsia"/>
                <w:color w:val="auto"/>
                <w:sz w:val="24"/>
              </w:rPr>
              <w:t>5</w:t>
            </w:r>
            <w:r>
              <w:rPr>
                <w:rFonts w:eastAsiaTheme="minorEastAsia"/>
                <w:color w:val="auto"/>
                <w:sz w:val="24"/>
              </w:rPr>
              <w:t>。</w:t>
            </w:r>
          </w:p>
          <w:p w14:paraId="6EF68BEA">
            <w:pPr>
              <w:pStyle w:val="18"/>
              <w:widowControl/>
              <w:adjustRightInd w:val="0"/>
              <w:snapToGrid w:val="0"/>
              <w:spacing w:line="240" w:lineRule="auto"/>
              <w:jc w:val="center"/>
              <w:textAlignment w:val="auto"/>
              <w:rPr>
                <w:rFonts w:eastAsiaTheme="minorEastAsia"/>
                <w:b/>
                <w:bCs/>
                <w:color w:val="auto"/>
                <w:sz w:val="21"/>
              </w:rPr>
            </w:pPr>
            <w:r>
              <w:rPr>
                <w:rFonts w:eastAsiaTheme="minorEastAsia"/>
                <w:b/>
                <w:bCs/>
                <w:color w:val="auto"/>
                <w:sz w:val="21"/>
              </w:rPr>
              <w:t>表3-</w:t>
            </w:r>
            <w:r>
              <w:rPr>
                <w:rFonts w:hint="eastAsia" w:eastAsiaTheme="minorEastAsia"/>
                <w:b/>
                <w:bCs/>
                <w:color w:val="auto"/>
                <w:sz w:val="21"/>
              </w:rPr>
              <w:t>5</w:t>
            </w:r>
            <w:r>
              <w:rPr>
                <w:rFonts w:eastAsiaTheme="minorEastAsia"/>
                <w:b/>
                <w:bCs/>
                <w:color w:val="auto"/>
                <w:sz w:val="21"/>
              </w:rPr>
              <w:t xml:space="preserve">  环境空气保护目标一览表</w:t>
            </w:r>
          </w:p>
          <w:tbl>
            <w:tblPr>
              <w:tblStyle w:val="39"/>
              <w:tblW w:w="814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6"/>
              <w:gridCol w:w="580"/>
              <w:gridCol w:w="1424"/>
              <w:gridCol w:w="1319"/>
              <w:gridCol w:w="692"/>
              <w:gridCol w:w="542"/>
              <w:gridCol w:w="1354"/>
              <w:gridCol w:w="906"/>
              <w:gridCol w:w="899"/>
            </w:tblGrid>
            <w:tr w14:paraId="6656CC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 w:type="dxa"/>
                  <w:vMerge w:val="restart"/>
                  <w:tcBorders>
                    <w:tl2br w:val="nil"/>
                    <w:tr2bl w:val="nil"/>
                  </w:tcBorders>
                  <w:vAlign w:val="center"/>
                </w:tcPr>
                <w:p w14:paraId="60785781">
                  <w:pPr>
                    <w:pStyle w:val="19"/>
                    <w:jc w:val="center"/>
                    <w:rPr>
                      <w:rFonts w:ascii="Times New Roman"/>
                      <w:color w:val="auto"/>
                      <w:sz w:val="21"/>
                    </w:rPr>
                  </w:pPr>
                  <w:r>
                    <w:rPr>
                      <w:rFonts w:ascii="Times New Roman"/>
                      <w:color w:val="auto"/>
                      <w:sz w:val="21"/>
                    </w:rPr>
                    <w:t>环境要素</w:t>
                  </w:r>
                </w:p>
              </w:tc>
              <w:tc>
                <w:tcPr>
                  <w:tcW w:w="580" w:type="dxa"/>
                  <w:vMerge w:val="restart"/>
                  <w:tcBorders>
                    <w:tl2br w:val="nil"/>
                    <w:tr2bl w:val="nil"/>
                  </w:tcBorders>
                  <w:vAlign w:val="center"/>
                </w:tcPr>
                <w:p w14:paraId="434A1184">
                  <w:pPr>
                    <w:pStyle w:val="19"/>
                    <w:jc w:val="center"/>
                    <w:rPr>
                      <w:rFonts w:ascii="Times New Roman"/>
                      <w:color w:val="auto"/>
                      <w:sz w:val="21"/>
                    </w:rPr>
                  </w:pPr>
                  <w:r>
                    <w:rPr>
                      <w:rFonts w:ascii="Times New Roman"/>
                      <w:color w:val="auto"/>
                      <w:sz w:val="21"/>
                    </w:rPr>
                    <w:t>名称</w:t>
                  </w:r>
                </w:p>
              </w:tc>
              <w:tc>
                <w:tcPr>
                  <w:tcW w:w="2743" w:type="dxa"/>
                  <w:gridSpan w:val="2"/>
                  <w:tcBorders>
                    <w:tl2br w:val="nil"/>
                    <w:tr2bl w:val="nil"/>
                  </w:tcBorders>
                  <w:vAlign w:val="center"/>
                </w:tcPr>
                <w:p w14:paraId="46241DAA">
                  <w:pPr>
                    <w:pStyle w:val="19"/>
                    <w:jc w:val="center"/>
                    <w:rPr>
                      <w:rFonts w:ascii="Times New Roman"/>
                      <w:color w:val="auto"/>
                      <w:sz w:val="21"/>
                    </w:rPr>
                  </w:pPr>
                  <w:r>
                    <w:rPr>
                      <w:rFonts w:ascii="Times New Roman"/>
                      <w:color w:val="auto"/>
                      <w:sz w:val="21"/>
                    </w:rPr>
                    <w:t>坐标（°）</w:t>
                  </w:r>
                </w:p>
              </w:tc>
              <w:tc>
                <w:tcPr>
                  <w:tcW w:w="692" w:type="dxa"/>
                  <w:vMerge w:val="restart"/>
                  <w:tcBorders>
                    <w:tl2br w:val="nil"/>
                    <w:tr2bl w:val="nil"/>
                  </w:tcBorders>
                  <w:vAlign w:val="center"/>
                </w:tcPr>
                <w:p w14:paraId="61D96738">
                  <w:pPr>
                    <w:widowControl/>
                    <w:jc w:val="center"/>
                    <w:rPr>
                      <w:color w:val="auto"/>
                      <w:kern w:val="0"/>
                      <w:szCs w:val="21"/>
                    </w:rPr>
                  </w:pPr>
                  <w:r>
                    <w:rPr>
                      <w:color w:val="auto"/>
                      <w:kern w:val="0"/>
                      <w:szCs w:val="21"/>
                    </w:rPr>
                    <w:t>保护</w:t>
                  </w:r>
                </w:p>
                <w:p w14:paraId="3E8A49AD">
                  <w:pPr>
                    <w:widowControl/>
                    <w:jc w:val="center"/>
                    <w:rPr>
                      <w:color w:val="auto"/>
                      <w:szCs w:val="21"/>
                    </w:rPr>
                  </w:pPr>
                  <w:r>
                    <w:rPr>
                      <w:color w:val="auto"/>
                      <w:kern w:val="0"/>
                      <w:szCs w:val="21"/>
                    </w:rPr>
                    <w:t>对象</w:t>
                  </w:r>
                </w:p>
              </w:tc>
              <w:tc>
                <w:tcPr>
                  <w:tcW w:w="542" w:type="dxa"/>
                  <w:vMerge w:val="restart"/>
                  <w:tcBorders>
                    <w:tl2br w:val="nil"/>
                    <w:tr2bl w:val="nil"/>
                  </w:tcBorders>
                  <w:vAlign w:val="center"/>
                </w:tcPr>
                <w:p w14:paraId="014B7C8B">
                  <w:pPr>
                    <w:widowControl/>
                    <w:jc w:val="center"/>
                    <w:rPr>
                      <w:color w:val="auto"/>
                      <w:szCs w:val="21"/>
                    </w:rPr>
                  </w:pPr>
                  <w:r>
                    <w:rPr>
                      <w:color w:val="auto"/>
                      <w:kern w:val="0"/>
                      <w:szCs w:val="21"/>
                    </w:rPr>
                    <w:t>保护内容</w:t>
                  </w:r>
                </w:p>
              </w:tc>
              <w:tc>
                <w:tcPr>
                  <w:tcW w:w="1354" w:type="dxa"/>
                  <w:vMerge w:val="restart"/>
                  <w:tcBorders>
                    <w:tl2br w:val="nil"/>
                    <w:tr2bl w:val="nil"/>
                  </w:tcBorders>
                  <w:vAlign w:val="center"/>
                </w:tcPr>
                <w:p w14:paraId="0AAB0800">
                  <w:pPr>
                    <w:widowControl/>
                    <w:jc w:val="center"/>
                    <w:rPr>
                      <w:color w:val="auto"/>
                      <w:szCs w:val="21"/>
                    </w:rPr>
                  </w:pPr>
                  <w:r>
                    <w:rPr>
                      <w:color w:val="auto"/>
                      <w:kern w:val="0"/>
                      <w:szCs w:val="21"/>
                    </w:rPr>
                    <w:t>环境功能区</w:t>
                  </w:r>
                </w:p>
              </w:tc>
              <w:tc>
                <w:tcPr>
                  <w:tcW w:w="906" w:type="dxa"/>
                  <w:vMerge w:val="restart"/>
                  <w:tcBorders>
                    <w:tl2br w:val="nil"/>
                    <w:tr2bl w:val="nil"/>
                  </w:tcBorders>
                  <w:vAlign w:val="center"/>
                </w:tcPr>
                <w:p w14:paraId="48286354">
                  <w:pPr>
                    <w:widowControl/>
                    <w:jc w:val="center"/>
                    <w:rPr>
                      <w:color w:val="auto"/>
                      <w:szCs w:val="21"/>
                    </w:rPr>
                  </w:pPr>
                  <w:r>
                    <w:rPr>
                      <w:color w:val="auto"/>
                      <w:kern w:val="0"/>
                      <w:szCs w:val="21"/>
                    </w:rPr>
                    <w:t>相对厂址方位</w:t>
                  </w:r>
                </w:p>
              </w:tc>
              <w:tc>
                <w:tcPr>
                  <w:tcW w:w="899" w:type="dxa"/>
                  <w:vMerge w:val="restart"/>
                  <w:tcBorders>
                    <w:tl2br w:val="nil"/>
                    <w:tr2bl w:val="nil"/>
                  </w:tcBorders>
                  <w:vAlign w:val="center"/>
                </w:tcPr>
                <w:p w14:paraId="0C4859A6">
                  <w:pPr>
                    <w:widowControl/>
                    <w:jc w:val="center"/>
                    <w:rPr>
                      <w:color w:val="auto"/>
                      <w:szCs w:val="21"/>
                    </w:rPr>
                  </w:pPr>
                  <w:r>
                    <w:rPr>
                      <w:color w:val="auto"/>
                      <w:kern w:val="0"/>
                      <w:szCs w:val="21"/>
                    </w:rPr>
                    <w:t>相对厂界距离/m</w:t>
                  </w:r>
                </w:p>
              </w:tc>
            </w:tr>
            <w:tr w14:paraId="56D39C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 w:type="dxa"/>
                  <w:vMerge w:val="continue"/>
                  <w:tcBorders>
                    <w:tl2br w:val="nil"/>
                    <w:tr2bl w:val="nil"/>
                  </w:tcBorders>
                  <w:vAlign w:val="center"/>
                </w:tcPr>
                <w:p w14:paraId="320C493E">
                  <w:pPr>
                    <w:pStyle w:val="19"/>
                    <w:jc w:val="center"/>
                    <w:rPr>
                      <w:rFonts w:ascii="Times New Roman"/>
                      <w:color w:val="auto"/>
                      <w:sz w:val="21"/>
                    </w:rPr>
                  </w:pPr>
                </w:p>
              </w:tc>
              <w:tc>
                <w:tcPr>
                  <w:tcW w:w="580" w:type="dxa"/>
                  <w:vMerge w:val="continue"/>
                  <w:tcBorders>
                    <w:tl2br w:val="nil"/>
                    <w:tr2bl w:val="nil"/>
                  </w:tcBorders>
                  <w:vAlign w:val="center"/>
                </w:tcPr>
                <w:p w14:paraId="7B13AC29">
                  <w:pPr>
                    <w:pStyle w:val="19"/>
                    <w:jc w:val="center"/>
                    <w:rPr>
                      <w:rFonts w:ascii="Times New Roman"/>
                      <w:color w:val="auto"/>
                      <w:sz w:val="21"/>
                    </w:rPr>
                  </w:pPr>
                </w:p>
              </w:tc>
              <w:tc>
                <w:tcPr>
                  <w:tcW w:w="1424" w:type="dxa"/>
                  <w:tcBorders>
                    <w:tl2br w:val="nil"/>
                    <w:tr2bl w:val="nil"/>
                  </w:tcBorders>
                  <w:vAlign w:val="center"/>
                </w:tcPr>
                <w:p w14:paraId="6759A37A">
                  <w:pPr>
                    <w:widowControl/>
                    <w:jc w:val="center"/>
                    <w:rPr>
                      <w:color w:val="auto"/>
                      <w:szCs w:val="21"/>
                    </w:rPr>
                  </w:pPr>
                  <w:r>
                    <w:rPr>
                      <w:iCs/>
                      <w:color w:val="auto"/>
                      <w:kern w:val="0"/>
                      <w:szCs w:val="21"/>
                    </w:rPr>
                    <w:t>纬度</w:t>
                  </w:r>
                </w:p>
              </w:tc>
              <w:tc>
                <w:tcPr>
                  <w:tcW w:w="1319" w:type="dxa"/>
                  <w:tcBorders>
                    <w:tl2br w:val="nil"/>
                    <w:tr2bl w:val="nil"/>
                  </w:tcBorders>
                  <w:vAlign w:val="center"/>
                </w:tcPr>
                <w:p w14:paraId="5CBD1335">
                  <w:pPr>
                    <w:widowControl/>
                    <w:jc w:val="center"/>
                    <w:rPr>
                      <w:color w:val="auto"/>
                      <w:szCs w:val="21"/>
                    </w:rPr>
                  </w:pPr>
                  <w:r>
                    <w:rPr>
                      <w:iCs/>
                      <w:color w:val="auto"/>
                      <w:kern w:val="0"/>
                      <w:szCs w:val="21"/>
                    </w:rPr>
                    <w:t>经度</w:t>
                  </w:r>
                </w:p>
              </w:tc>
              <w:tc>
                <w:tcPr>
                  <w:tcW w:w="692" w:type="dxa"/>
                  <w:vMerge w:val="continue"/>
                  <w:tcBorders>
                    <w:tl2br w:val="nil"/>
                    <w:tr2bl w:val="nil"/>
                  </w:tcBorders>
                  <w:vAlign w:val="center"/>
                </w:tcPr>
                <w:p w14:paraId="7A128AE2">
                  <w:pPr>
                    <w:pStyle w:val="19"/>
                    <w:jc w:val="center"/>
                    <w:rPr>
                      <w:rFonts w:ascii="Times New Roman"/>
                      <w:color w:val="auto"/>
                      <w:sz w:val="21"/>
                    </w:rPr>
                  </w:pPr>
                </w:p>
              </w:tc>
              <w:tc>
                <w:tcPr>
                  <w:tcW w:w="542" w:type="dxa"/>
                  <w:vMerge w:val="continue"/>
                  <w:tcBorders>
                    <w:tl2br w:val="nil"/>
                    <w:tr2bl w:val="nil"/>
                  </w:tcBorders>
                  <w:vAlign w:val="center"/>
                </w:tcPr>
                <w:p w14:paraId="2AEF66D9">
                  <w:pPr>
                    <w:pStyle w:val="19"/>
                    <w:jc w:val="center"/>
                    <w:rPr>
                      <w:rFonts w:ascii="Times New Roman"/>
                      <w:color w:val="auto"/>
                      <w:sz w:val="21"/>
                    </w:rPr>
                  </w:pPr>
                </w:p>
              </w:tc>
              <w:tc>
                <w:tcPr>
                  <w:tcW w:w="1354" w:type="dxa"/>
                  <w:vMerge w:val="continue"/>
                  <w:tcBorders>
                    <w:tl2br w:val="nil"/>
                    <w:tr2bl w:val="nil"/>
                  </w:tcBorders>
                  <w:vAlign w:val="center"/>
                </w:tcPr>
                <w:p w14:paraId="5F889615">
                  <w:pPr>
                    <w:pStyle w:val="19"/>
                    <w:jc w:val="center"/>
                    <w:rPr>
                      <w:rFonts w:ascii="Times New Roman"/>
                      <w:color w:val="auto"/>
                      <w:sz w:val="21"/>
                    </w:rPr>
                  </w:pPr>
                </w:p>
              </w:tc>
              <w:tc>
                <w:tcPr>
                  <w:tcW w:w="906" w:type="dxa"/>
                  <w:vMerge w:val="continue"/>
                  <w:tcBorders>
                    <w:tl2br w:val="nil"/>
                    <w:tr2bl w:val="nil"/>
                  </w:tcBorders>
                  <w:vAlign w:val="center"/>
                </w:tcPr>
                <w:p w14:paraId="3A4EC668">
                  <w:pPr>
                    <w:pStyle w:val="19"/>
                    <w:jc w:val="center"/>
                    <w:rPr>
                      <w:rFonts w:ascii="Times New Roman"/>
                      <w:color w:val="auto"/>
                      <w:sz w:val="21"/>
                    </w:rPr>
                  </w:pPr>
                </w:p>
              </w:tc>
              <w:tc>
                <w:tcPr>
                  <w:tcW w:w="899" w:type="dxa"/>
                  <w:vMerge w:val="continue"/>
                  <w:tcBorders>
                    <w:tl2br w:val="nil"/>
                    <w:tr2bl w:val="nil"/>
                  </w:tcBorders>
                  <w:vAlign w:val="center"/>
                </w:tcPr>
                <w:p w14:paraId="1024C3E4">
                  <w:pPr>
                    <w:pStyle w:val="19"/>
                    <w:jc w:val="center"/>
                    <w:rPr>
                      <w:rFonts w:ascii="Times New Roman"/>
                      <w:color w:val="auto"/>
                      <w:sz w:val="21"/>
                    </w:rPr>
                  </w:pPr>
                </w:p>
              </w:tc>
            </w:tr>
            <w:tr w14:paraId="688171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 w:type="dxa"/>
                  <w:tcBorders>
                    <w:tl2br w:val="nil"/>
                    <w:tr2bl w:val="nil"/>
                  </w:tcBorders>
                  <w:vAlign w:val="center"/>
                </w:tcPr>
                <w:p w14:paraId="4B9E5E36">
                  <w:pPr>
                    <w:pStyle w:val="19"/>
                    <w:jc w:val="center"/>
                    <w:rPr>
                      <w:rFonts w:ascii="Times New Roman"/>
                      <w:color w:val="auto"/>
                      <w:sz w:val="21"/>
                    </w:rPr>
                  </w:pPr>
                  <w:r>
                    <w:rPr>
                      <w:rFonts w:ascii="Times New Roman"/>
                      <w:color w:val="auto"/>
                      <w:sz w:val="21"/>
                    </w:rPr>
                    <w:t>环境空气</w:t>
                  </w:r>
                </w:p>
              </w:tc>
              <w:tc>
                <w:tcPr>
                  <w:tcW w:w="580" w:type="dxa"/>
                  <w:tcBorders>
                    <w:tl2br w:val="nil"/>
                    <w:tr2bl w:val="nil"/>
                  </w:tcBorders>
                  <w:vAlign w:val="center"/>
                </w:tcPr>
                <w:p w14:paraId="2EDBCC6D">
                  <w:pPr>
                    <w:pStyle w:val="19"/>
                    <w:jc w:val="center"/>
                    <w:rPr>
                      <w:rFonts w:hint="default" w:ascii="Times New Roman" w:eastAsia="宋体"/>
                      <w:color w:val="auto"/>
                      <w:sz w:val="21"/>
                      <w:lang w:val="en-US" w:eastAsia="zh-CN"/>
                    </w:rPr>
                  </w:pPr>
                  <w:r>
                    <w:rPr>
                      <w:rFonts w:hint="eastAsia" w:ascii="Times New Roman"/>
                      <w:color w:val="auto"/>
                      <w:sz w:val="21"/>
                      <w:lang w:val="en-US" w:eastAsia="zh-CN"/>
                    </w:rPr>
                    <w:t>民房</w:t>
                  </w:r>
                </w:p>
              </w:tc>
              <w:tc>
                <w:tcPr>
                  <w:tcW w:w="1424" w:type="dxa"/>
                  <w:tcBorders>
                    <w:tl2br w:val="nil"/>
                    <w:tr2bl w:val="nil"/>
                  </w:tcBorders>
                  <w:vAlign w:val="center"/>
                </w:tcPr>
                <w:p w14:paraId="2107DBD8">
                  <w:pPr>
                    <w:jc w:val="center"/>
                    <w:rPr>
                      <w:rFonts w:ascii="Times New Roman"/>
                      <w:color w:val="auto"/>
                      <w:sz w:val="21"/>
                    </w:rPr>
                  </w:pPr>
                  <w:r>
                    <w:rPr>
                      <w:rFonts w:hint="eastAsia"/>
                      <w:color w:val="auto"/>
                    </w:rPr>
                    <w:t>131.01770536</w:t>
                  </w:r>
                </w:p>
              </w:tc>
              <w:tc>
                <w:tcPr>
                  <w:tcW w:w="1319" w:type="dxa"/>
                  <w:tcBorders>
                    <w:tl2br w:val="nil"/>
                    <w:tr2bl w:val="nil"/>
                  </w:tcBorders>
                  <w:vAlign w:val="center"/>
                </w:tcPr>
                <w:p w14:paraId="555065B5">
                  <w:pPr>
                    <w:jc w:val="center"/>
                    <w:rPr>
                      <w:rFonts w:ascii="Times New Roman"/>
                      <w:color w:val="auto"/>
                      <w:sz w:val="21"/>
                    </w:rPr>
                  </w:pPr>
                  <w:r>
                    <w:rPr>
                      <w:rFonts w:hint="eastAsia"/>
                      <w:color w:val="auto"/>
                    </w:rPr>
                    <w:t>45.34578904</w:t>
                  </w:r>
                </w:p>
              </w:tc>
              <w:tc>
                <w:tcPr>
                  <w:tcW w:w="692" w:type="dxa"/>
                  <w:tcBorders>
                    <w:tl2br w:val="nil"/>
                    <w:tr2bl w:val="nil"/>
                  </w:tcBorders>
                  <w:vAlign w:val="center"/>
                </w:tcPr>
                <w:p w14:paraId="3A9F1C5E">
                  <w:pPr>
                    <w:pStyle w:val="19"/>
                    <w:jc w:val="center"/>
                    <w:rPr>
                      <w:rFonts w:ascii="Times New Roman"/>
                      <w:color w:val="auto"/>
                      <w:sz w:val="21"/>
                    </w:rPr>
                  </w:pPr>
                  <w:r>
                    <w:rPr>
                      <w:rFonts w:ascii="Times New Roman"/>
                      <w:color w:val="auto"/>
                      <w:sz w:val="21"/>
                    </w:rPr>
                    <w:t>农村人群集中区</w:t>
                  </w:r>
                </w:p>
              </w:tc>
              <w:tc>
                <w:tcPr>
                  <w:tcW w:w="542" w:type="dxa"/>
                  <w:tcBorders>
                    <w:tl2br w:val="nil"/>
                    <w:tr2bl w:val="nil"/>
                  </w:tcBorders>
                  <w:vAlign w:val="center"/>
                </w:tcPr>
                <w:p w14:paraId="218EC8C5">
                  <w:pPr>
                    <w:pStyle w:val="19"/>
                    <w:jc w:val="center"/>
                    <w:rPr>
                      <w:rFonts w:ascii="Times New Roman"/>
                      <w:color w:val="auto"/>
                      <w:sz w:val="21"/>
                    </w:rPr>
                  </w:pPr>
                  <w:r>
                    <w:rPr>
                      <w:rFonts w:ascii="Times New Roman"/>
                      <w:color w:val="auto"/>
                      <w:sz w:val="21"/>
                    </w:rPr>
                    <w:t>人群</w:t>
                  </w:r>
                </w:p>
              </w:tc>
              <w:tc>
                <w:tcPr>
                  <w:tcW w:w="1354" w:type="dxa"/>
                  <w:tcBorders>
                    <w:tl2br w:val="nil"/>
                    <w:tr2bl w:val="nil"/>
                  </w:tcBorders>
                  <w:vAlign w:val="center"/>
                </w:tcPr>
                <w:p w14:paraId="4FACB0C4">
                  <w:pPr>
                    <w:pStyle w:val="19"/>
                    <w:jc w:val="center"/>
                    <w:rPr>
                      <w:rFonts w:ascii="Times New Roman"/>
                      <w:color w:val="auto"/>
                      <w:sz w:val="21"/>
                    </w:rPr>
                  </w:pPr>
                  <w:r>
                    <w:rPr>
                      <w:rFonts w:hint="eastAsia" w:ascii="Times New Roman"/>
                      <w:color w:val="auto"/>
                      <w:sz w:val="21"/>
                    </w:rPr>
                    <w:t>《环境空气质量标准》（GB3095-2026）表1中二级过渡阶段浓度限值</w:t>
                  </w:r>
                </w:p>
              </w:tc>
              <w:tc>
                <w:tcPr>
                  <w:tcW w:w="906" w:type="dxa"/>
                  <w:tcBorders>
                    <w:tl2br w:val="nil"/>
                    <w:tr2bl w:val="nil"/>
                  </w:tcBorders>
                  <w:vAlign w:val="center"/>
                </w:tcPr>
                <w:p w14:paraId="66ED583E">
                  <w:pPr>
                    <w:pStyle w:val="19"/>
                    <w:jc w:val="center"/>
                    <w:rPr>
                      <w:rFonts w:hint="eastAsia" w:ascii="Times New Roman" w:eastAsia="宋体"/>
                      <w:color w:val="auto"/>
                      <w:sz w:val="21"/>
                      <w:lang w:val="en-US" w:eastAsia="zh-CN"/>
                    </w:rPr>
                  </w:pPr>
                  <w:r>
                    <w:rPr>
                      <w:rFonts w:hint="eastAsia" w:ascii="Times New Roman"/>
                      <w:color w:val="auto"/>
                      <w:sz w:val="21"/>
                      <w:lang w:val="en-US" w:eastAsia="zh-CN"/>
                    </w:rPr>
                    <w:t>W</w:t>
                  </w:r>
                </w:p>
              </w:tc>
              <w:tc>
                <w:tcPr>
                  <w:tcW w:w="899" w:type="dxa"/>
                  <w:tcBorders>
                    <w:tl2br w:val="nil"/>
                    <w:tr2bl w:val="nil"/>
                  </w:tcBorders>
                  <w:vAlign w:val="center"/>
                </w:tcPr>
                <w:p w14:paraId="3DEDE0FC">
                  <w:pPr>
                    <w:pStyle w:val="19"/>
                    <w:jc w:val="center"/>
                    <w:rPr>
                      <w:rFonts w:hint="default" w:ascii="Times New Roman" w:eastAsia="宋体"/>
                      <w:color w:val="auto"/>
                      <w:sz w:val="21"/>
                      <w:lang w:val="en-US" w:eastAsia="zh-CN"/>
                    </w:rPr>
                  </w:pPr>
                  <w:r>
                    <w:rPr>
                      <w:rFonts w:hint="eastAsia" w:ascii="Times New Roman"/>
                      <w:color w:val="auto"/>
                      <w:sz w:val="21"/>
                      <w:lang w:val="en-US" w:eastAsia="zh-CN"/>
                    </w:rPr>
                    <w:t>100</w:t>
                  </w:r>
                </w:p>
              </w:tc>
            </w:tr>
          </w:tbl>
          <w:p w14:paraId="0E59E1AF">
            <w:pPr>
              <w:spacing w:line="360" w:lineRule="auto"/>
              <w:ind w:firstLine="482" w:firstLineChars="200"/>
              <w:rPr>
                <w:rFonts w:eastAsiaTheme="minorEastAsia"/>
                <w:b/>
                <w:bCs/>
                <w:color w:val="auto"/>
                <w:sz w:val="24"/>
              </w:rPr>
            </w:pPr>
            <w:r>
              <w:rPr>
                <w:rFonts w:hint="eastAsia" w:eastAsiaTheme="minorEastAsia"/>
                <w:b/>
                <w:bCs/>
                <w:color w:val="auto"/>
                <w:sz w:val="24"/>
              </w:rPr>
              <w:t>2</w:t>
            </w:r>
            <w:r>
              <w:rPr>
                <w:rFonts w:eastAsiaTheme="minorEastAsia"/>
                <w:b/>
                <w:bCs/>
                <w:color w:val="auto"/>
                <w:sz w:val="24"/>
              </w:rPr>
              <w:t>、声环境保护目标</w:t>
            </w:r>
          </w:p>
          <w:p w14:paraId="70D6EC90">
            <w:pPr>
              <w:spacing w:line="360" w:lineRule="auto"/>
              <w:ind w:firstLine="480" w:firstLineChars="200"/>
              <w:rPr>
                <w:rFonts w:hint="eastAsia" w:eastAsiaTheme="minorEastAsia"/>
                <w:color w:val="auto"/>
                <w:sz w:val="24"/>
                <w:lang w:val="en-US" w:eastAsia="zh-CN"/>
              </w:rPr>
            </w:pPr>
            <w:r>
              <w:rPr>
                <w:rFonts w:hint="eastAsia" w:eastAsiaTheme="minorEastAsia"/>
                <w:color w:val="auto"/>
                <w:sz w:val="24"/>
                <w:lang w:val="en-US" w:eastAsia="zh-CN"/>
              </w:rPr>
              <w:t>本项目厂界外50m范围内无声环境保护目标。</w:t>
            </w:r>
          </w:p>
          <w:p w14:paraId="2B967A63">
            <w:pPr>
              <w:spacing w:line="360" w:lineRule="auto"/>
              <w:ind w:firstLine="482" w:firstLineChars="200"/>
              <w:rPr>
                <w:rFonts w:eastAsiaTheme="minorEastAsia"/>
                <w:b/>
                <w:bCs/>
                <w:color w:val="auto"/>
                <w:sz w:val="24"/>
              </w:rPr>
            </w:pPr>
            <w:r>
              <w:rPr>
                <w:rFonts w:hint="eastAsia" w:eastAsiaTheme="minorEastAsia"/>
                <w:b/>
                <w:bCs/>
                <w:color w:val="auto"/>
                <w:sz w:val="24"/>
              </w:rPr>
              <w:t>3</w:t>
            </w:r>
            <w:r>
              <w:rPr>
                <w:rFonts w:eastAsiaTheme="minorEastAsia"/>
                <w:b/>
                <w:bCs/>
                <w:color w:val="auto"/>
                <w:sz w:val="24"/>
              </w:rPr>
              <w:t>、地下水环境保护目标</w:t>
            </w:r>
          </w:p>
          <w:p w14:paraId="25A7970B">
            <w:pPr>
              <w:spacing w:line="360" w:lineRule="auto"/>
              <w:ind w:firstLine="480" w:firstLineChars="200"/>
              <w:rPr>
                <w:rFonts w:hint="eastAsia" w:eastAsiaTheme="minorEastAsia"/>
                <w:color w:val="auto"/>
                <w:sz w:val="24"/>
                <w:lang w:val="en-US" w:eastAsia="zh-CN"/>
              </w:rPr>
            </w:pPr>
            <w:r>
              <w:rPr>
                <w:rFonts w:hint="eastAsia" w:eastAsiaTheme="minorEastAsia"/>
                <w:color w:val="auto"/>
                <w:sz w:val="24"/>
                <w:lang w:val="en-US" w:eastAsia="zh-CN"/>
              </w:rPr>
              <w:t>本项目厂界外500米范围内无地下水环境保护目标。</w:t>
            </w:r>
          </w:p>
          <w:p w14:paraId="6286A430">
            <w:pPr>
              <w:pStyle w:val="59"/>
              <w:adjustRightInd w:val="0"/>
              <w:snapToGrid w:val="0"/>
              <w:spacing w:before="120" w:beforeLines="50" w:line="360" w:lineRule="auto"/>
              <w:ind w:firstLine="482"/>
              <w:rPr>
                <w:b/>
                <w:bCs/>
                <w:color w:val="auto"/>
              </w:rPr>
            </w:pPr>
            <w:r>
              <w:rPr>
                <w:b/>
                <w:bCs/>
                <w:color w:val="auto"/>
              </w:rPr>
              <w:t>4、生态环境保护目标</w:t>
            </w:r>
          </w:p>
          <w:p w14:paraId="558C82F6">
            <w:pPr>
              <w:pStyle w:val="59"/>
              <w:adjustRightInd w:val="0"/>
              <w:snapToGrid w:val="0"/>
              <w:spacing w:line="360" w:lineRule="auto"/>
              <w:ind w:firstLine="480"/>
              <w:rPr>
                <w:color w:val="auto"/>
              </w:rPr>
            </w:pPr>
            <w:r>
              <w:rPr>
                <w:snapToGrid w:val="0"/>
                <w:color w:val="auto"/>
              </w:rPr>
              <w:t>本项目占地范围内无特殊生态敏感区及重要生态敏感区等生态环境保护目标。</w:t>
            </w:r>
            <w:bookmarkEnd w:id="11"/>
          </w:p>
        </w:tc>
      </w:tr>
      <w:tr w14:paraId="5B72F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44" w:hRule="atLeast"/>
          <w:jc w:val="center"/>
        </w:trPr>
        <w:tc>
          <w:tcPr>
            <w:tcW w:w="769" w:type="dxa"/>
            <w:tcMar>
              <w:left w:w="28" w:type="dxa"/>
              <w:right w:w="28" w:type="dxa"/>
            </w:tcMar>
            <w:vAlign w:val="center"/>
          </w:tcPr>
          <w:p w14:paraId="32126F25">
            <w:pPr>
              <w:adjustRightInd w:val="0"/>
              <w:snapToGrid w:val="0"/>
              <w:jc w:val="center"/>
              <w:rPr>
                <w:rFonts w:cs="宋体"/>
                <w:b/>
                <w:bCs/>
                <w:color w:val="auto"/>
                <w:kern w:val="0"/>
                <w:szCs w:val="21"/>
              </w:rPr>
            </w:pPr>
            <w:r>
              <w:rPr>
                <w:rFonts w:hint="eastAsia" w:cs="宋体"/>
                <w:b/>
                <w:bCs/>
                <w:color w:val="auto"/>
                <w:kern w:val="0"/>
                <w:szCs w:val="21"/>
              </w:rPr>
              <w:t>污染</w:t>
            </w:r>
          </w:p>
          <w:p w14:paraId="53129DAE">
            <w:pPr>
              <w:adjustRightInd w:val="0"/>
              <w:snapToGrid w:val="0"/>
              <w:jc w:val="center"/>
              <w:rPr>
                <w:rFonts w:cs="宋体"/>
                <w:b/>
                <w:bCs/>
                <w:color w:val="auto"/>
                <w:kern w:val="0"/>
                <w:szCs w:val="21"/>
              </w:rPr>
            </w:pPr>
            <w:r>
              <w:rPr>
                <w:rFonts w:hint="eastAsia" w:cs="宋体"/>
                <w:b/>
                <w:bCs/>
                <w:color w:val="auto"/>
                <w:kern w:val="0"/>
                <w:szCs w:val="21"/>
              </w:rPr>
              <w:t>物排</w:t>
            </w:r>
          </w:p>
          <w:p w14:paraId="3A7D2FC8">
            <w:pPr>
              <w:adjustRightInd w:val="0"/>
              <w:snapToGrid w:val="0"/>
              <w:jc w:val="center"/>
              <w:rPr>
                <w:rFonts w:cs="宋体"/>
                <w:b/>
                <w:bCs/>
                <w:color w:val="auto"/>
                <w:kern w:val="0"/>
                <w:szCs w:val="21"/>
              </w:rPr>
            </w:pPr>
            <w:r>
              <w:rPr>
                <w:rFonts w:hint="eastAsia" w:cs="宋体"/>
                <w:b/>
                <w:bCs/>
                <w:color w:val="auto"/>
                <w:kern w:val="0"/>
                <w:szCs w:val="21"/>
              </w:rPr>
              <w:t>放控</w:t>
            </w:r>
          </w:p>
          <w:p w14:paraId="7212479D">
            <w:pPr>
              <w:adjustRightInd w:val="0"/>
              <w:snapToGrid w:val="0"/>
              <w:jc w:val="center"/>
              <w:rPr>
                <w:rFonts w:cs="宋体"/>
                <w:b/>
                <w:bCs/>
                <w:color w:val="auto"/>
                <w:kern w:val="0"/>
                <w:szCs w:val="21"/>
              </w:rPr>
            </w:pPr>
            <w:r>
              <w:rPr>
                <w:rFonts w:hint="eastAsia" w:cs="宋体"/>
                <w:b/>
                <w:bCs/>
                <w:color w:val="auto"/>
                <w:kern w:val="0"/>
                <w:szCs w:val="21"/>
              </w:rPr>
              <w:t>制标</w:t>
            </w:r>
          </w:p>
          <w:p w14:paraId="4146EDA5">
            <w:pPr>
              <w:adjustRightInd w:val="0"/>
              <w:snapToGrid w:val="0"/>
              <w:jc w:val="center"/>
              <w:rPr>
                <w:rFonts w:cs="宋体"/>
                <w:color w:val="auto"/>
                <w:kern w:val="0"/>
                <w:szCs w:val="21"/>
              </w:rPr>
            </w:pPr>
            <w:r>
              <w:rPr>
                <w:rFonts w:hint="eastAsia" w:cs="宋体"/>
                <w:b/>
                <w:bCs/>
                <w:color w:val="auto"/>
                <w:kern w:val="0"/>
                <w:szCs w:val="21"/>
              </w:rPr>
              <w:t>准</w:t>
            </w:r>
          </w:p>
        </w:tc>
        <w:tc>
          <w:tcPr>
            <w:tcW w:w="8292" w:type="dxa"/>
            <w:vAlign w:val="center"/>
          </w:tcPr>
          <w:p w14:paraId="1EB88042">
            <w:pPr>
              <w:spacing w:line="360" w:lineRule="auto"/>
              <w:ind w:firstLine="482" w:firstLineChars="200"/>
              <w:jc w:val="left"/>
              <w:outlineLvl w:val="1"/>
              <w:rPr>
                <w:b/>
                <w:bCs/>
                <w:color w:val="auto"/>
                <w:sz w:val="24"/>
              </w:rPr>
            </w:pPr>
            <w:bookmarkStart w:id="12" w:name="_Toc73523372"/>
            <w:r>
              <w:rPr>
                <w:b/>
                <w:bCs/>
                <w:color w:val="auto"/>
                <w:sz w:val="24"/>
              </w:rPr>
              <w:t>1、废气</w:t>
            </w:r>
            <w:r>
              <w:rPr>
                <w:rFonts w:hint="eastAsia"/>
                <w:b/>
                <w:bCs/>
                <w:color w:val="auto"/>
                <w:sz w:val="24"/>
              </w:rPr>
              <w:t>排放标准</w:t>
            </w:r>
            <w:bookmarkEnd w:id="12"/>
          </w:p>
          <w:p w14:paraId="76B72B36">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color w:val="auto"/>
                <w:sz w:val="24"/>
              </w:rPr>
            </w:pPr>
            <w:r>
              <w:rPr>
                <w:rFonts w:hint="eastAsia"/>
                <w:bCs/>
                <w:color w:val="auto"/>
                <w:sz w:val="24"/>
              </w:rPr>
              <w:t>本项目</w:t>
            </w:r>
            <w:r>
              <w:rPr>
                <w:rFonts w:hint="eastAsia"/>
                <w:bCs/>
                <w:color w:val="auto"/>
                <w:sz w:val="24"/>
                <w:lang w:val="en-US" w:eastAsia="zh-CN"/>
              </w:rPr>
              <w:t>施工期无组织</w:t>
            </w:r>
            <w:r>
              <w:rPr>
                <w:rFonts w:hint="eastAsia"/>
                <w:bCs/>
                <w:color w:val="auto"/>
                <w:sz w:val="24"/>
              </w:rPr>
              <w:t>颗粒物执行《大气污染物综合排放标准》（GB16297-1996）表2中无组织排放监控浓度限值</w:t>
            </w:r>
            <w:r>
              <w:rPr>
                <w:rFonts w:hint="eastAsia"/>
                <w:color w:val="auto"/>
                <w:sz w:val="24"/>
              </w:rPr>
              <w:t>要求</w:t>
            </w:r>
            <w:r>
              <w:rPr>
                <w:rFonts w:hint="eastAsia"/>
                <w:color w:val="auto"/>
                <w:sz w:val="24"/>
                <w:lang w:eastAsia="zh-CN"/>
              </w:rPr>
              <w:t>，</w:t>
            </w:r>
            <w:r>
              <w:rPr>
                <w:rFonts w:hint="eastAsia"/>
                <w:bCs/>
                <w:color w:val="auto"/>
                <w:sz w:val="24"/>
                <w:lang w:val="en-US" w:eastAsia="zh-CN"/>
              </w:rPr>
              <w:t>运营期无组织颗粒物执行《煤炭工业污染物排放标准》（</w:t>
            </w:r>
            <w:r>
              <w:rPr>
                <w:rFonts w:hint="eastAsia"/>
                <w:bCs/>
                <w:color w:val="auto"/>
                <w:sz w:val="24"/>
              </w:rPr>
              <w:t>GB20426-2006</w:t>
            </w:r>
            <w:r>
              <w:rPr>
                <w:rFonts w:hint="eastAsia"/>
                <w:bCs/>
                <w:color w:val="auto"/>
                <w:sz w:val="24"/>
                <w:lang w:val="en-US" w:eastAsia="zh-CN"/>
              </w:rPr>
              <w:t>）表5煤炭工业无组织排放限值</w:t>
            </w:r>
            <w:r>
              <w:rPr>
                <w:rFonts w:hint="eastAsia"/>
                <w:color w:val="auto"/>
                <w:sz w:val="24"/>
              </w:rPr>
              <w:t>。</w:t>
            </w:r>
            <w:r>
              <w:rPr>
                <w:rFonts w:hint="eastAsia"/>
                <w:bCs/>
                <w:color w:val="auto"/>
                <w:sz w:val="24"/>
                <w:lang w:val="en-US" w:eastAsia="zh-CN"/>
              </w:rPr>
              <w:t>大气污染物综合排放标准</w:t>
            </w:r>
            <w:r>
              <w:rPr>
                <w:rFonts w:hint="eastAsia"/>
                <w:bCs/>
                <w:color w:val="auto"/>
                <w:sz w:val="24"/>
              </w:rPr>
              <w:t>见表3-</w:t>
            </w:r>
            <w:r>
              <w:rPr>
                <w:rFonts w:hint="eastAsia"/>
                <w:bCs/>
                <w:color w:val="auto"/>
                <w:sz w:val="24"/>
                <w:lang w:val="en-US" w:eastAsia="zh-CN"/>
              </w:rPr>
              <w:t>6，煤炭工业污染物排放标准见表3-7</w:t>
            </w:r>
            <w:r>
              <w:rPr>
                <w:bCs/>
                <w:color w:val="auto"/>
                <w:sz w:val="24"/>
              </w:rPr>
              <w:t>。</w:t>
            </w:r>
          </w:p>
          <w:p w14:paraId="0DCD9E45">
            <w:pPr>
              <w:pStyle w:val="82"/>
              <w:rPr>
                <w:rFonts w:ascii="Times New Roman"/>
                <w:bCs/>
                <w:color w:val="auto"/>
                <w:kern w:val="2"/>
                <w:sz w:val="21"/>
                <w:szCs w:val="21"/>
              </w:rPr>
            </w:pPr>
            <w:r>
              <w:rPr>
                <w:rFonts w:ascii="Times New Roman"/>
                <w:bCs/>
                <w:color w:val="auto"/>
                <w:kern w:val="2"/>
                <w:sz w:val="21"/>
                <w:szCs w:val="21"/>
              </w:rPr>
              <w:t>表3-</w:t>
            </w:r>
            <w:r>
              <w:rPr>
                <w:rFonts w:hint="eastAsia" w:ascii="Times New Roman"/>
                <w:bCs/>
                <w:color w:val="auto"/>
                <w:kern w:val="2"/>
                <w:sz w:val="21"/>
                <w:szCs w:val="21"/>
                <w:lang w:val="en-US" w:eastAsia="zh-CN"/>
              </w:rPr>
              <w:t>6</w:t>
            </w:r>
            <w:r>
              <w:rPr>
                <w:rFonts w:ascii="Times New Roman"/>
                <w:bCs/>
                <w:color w:val="auto"/>
                <w:kern w:val="2"/>
                <w:sz w:val="21"/>
                <w:szCs w:val="21"/>
              </w:rPr>
              <w:t xml:space="preserve">  </w:t>
            </w:r>
            <w:r>
              <w:rPr>
                <w:rFonts w:hint="eastAsia" w:ascii="Times New Roman"/>
                <w:bCs/>
                <w:color w:val="auto"/>
                <w:kern w:val="2"/>
                <w:sz w:val="21"/>
                <w:szCs w:val="21"/>
              </w:rPr>
              <w:t>大气污染物综合</w:t>
            </w:r>
            <w:r>
              <w:rPr>
                <w:rFonts w:ascii="Times New Roman"/>
                <w:bCs/>
                <w:color w:val="auto"/>
                <w:kern w:val="2"/>
                <w:sz w:val="21"/>
                <w:szCs w:val="21"/>
              </w:rPr>
              <w:t>排放标准</w:t>
            </w:r>
          </w:p>
          <w:tbl>
            <w:tblPr>
              <w:tblStyle w:val="3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95"/>
              <w:gridCol w:w="3878"/>
            </w:tblGrid>
            <w:tr w14:paraId="2A6B93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98" w:type="pct"/>
                  <w:vAlign w:val="center"/>
                </w:tcPr>
                <w:p w14:paraId="1C4B84C6">
                  <w:pPr>
                    <w:spacing w:line="240" w:lineRule="auto"/>
                    <w:jc w:val="center"/>
                    <w:rPr>
                      <w:b/>
                      <w:bCs/>
                      <w:color w:val="auto"/>
                      <w:szCs w:val="21"/>
                    </w:rPr>
                  </w:pPr>
                  <w:r>
                    <w:rPr>
                      <w:rFonts w:hint="eastAsia"/>
                      <w:color w:val="auto"/>
                    </w:rPr>
                    <w:t>二级</w:t>
                  </w:r>
                </w:p>
              </w:tc>
              <w:tc>
                <w:tcPr>
                  <w:tcW w:w="2401" w:type="pct"/>
                  <w:vMerge w:val="restart"/>
                  <w:vAlign w:val="center"/>
                </w:tcPr>
                <w:p w14:paraId="1D6CB169">
                  <w:pPr>
                    <w:spacing w:line="240" w:lineRule="auto"/>
                    <w:jc w:val="center"/>
                    <w:rPr>
                      <w:b/>
                      <w:bCs/>
                      <w:color w:val="auto"/>
                      <w:szCs w:val="21"/>
                    </w:rPr>
                  </w:pPr>
                  <w:r>
                    <w:rPr>
                      <w:color w:val="auto"/>
                    </w:rPr>
                    <w:t>无组织排放监控浓度限值（mg/m</w:t>
                  </w:r>
                  <w:r>
                    <w:rPr>
                      <w:color w:val="auto"/>
                      <w:vertAlign w:val="superscript"/>
                    </w:rPr>
                    <w:t>3</w:t>
                  </w:r>
                  <w:r>
                    <w:rPr>
                      <w:color w:val="auto"/>
                    </w:rPr>
                    <w:t>）</w:t>
                  </w:r>
                </w:p>
              </w:tc>
            </w:tr>
            <w:tr w14:paraId="692D8F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598" w:type="pct"/>
                  <w:tcBorders>
                    <w:tl2br w:val="single" w:color="auto" w:sz="4" w:space="0"/>
                  </w:tcBorders>
                  <w:vAlign w:val="center"/>
                </w:tcPr>
                <w:p w14:paraId="3C2D0A65">
                  <w:pPr>
                    <w:spacing w:line="240" w:lineRule="auto"/>
                    <w:jc w:val="right"/>
                    <w:rPr>
                      <w:color w:val="auto"/>
                    </w:rPr>
                  </w:pPr>
                  <w:r>
                    <w:rPr>
                      <w:rFonts w:hint="eastAsia"/>
                      <w:color w:val="auto"/>
                    </w:rPr>
                    <w:t>指标</w:t>
                  </w:r>
                </w:p>
                <w:p w14:paraId="5E8F5726">
                  <w:pPr>
                    <w:pStyle w:val="18"/>
                    <w:spacing w:line="240" w:lineRule="auto"/>
                    <w:jc w:val="left"/>
                    <w:rPr>
                      <w:color w:val="auto"/>
                      <w:szCs w:val="21"/>
                    </w:rPr>
                  </w:pPr>
                  <w:r>
                    <w:rPr>
                      <w:rFonts w:hint="eastAsia" w:eastAsia="宋体"/>
                      <w:color w:val="auto"/>
                      <w:sz w:val="21"/>
                    </w:rPr>
                    <w:t>污染物</w:t>
                  </w:r>
                </w:p>
              </w:tc>
              <w:tc>
                <w:tcPr>
                  <w:tcW w:w="2401" w:type="pct"/>
                  <w:vMerge w:val="continue"/>
                  <w:vAlign w:val="center"/>
                </w:tcPr>
                <w:p w14:paraId="04B58F11">
                  <w:pPr>
                    <w:spacing w:line="240" w:lineRule="auto"/>
                    <w:jc w:val="center"/>
                    <w:rPr>
                      <w:color w:val="auto"/>
                      <w:szCs w:val="21"/>
                    </w:rPr>
                  </w:pPr>
                </w:p>
              </w:tc>
            </w:tr>
            <w:tr w14:paraId="570A42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598" w:type="pct"/>
                  <w:vAlign w:val="center"/>
                </w:tcPr>
                <w:p w14:paraId="3B55262D">
                  <w:pPr>
                    <w:spacing w:line="240" w:lineRule="auto"/>
                    <w:jc w:val="center"/>
                    <w:rPr>
                      <w:color w:val="auto"/>
                      <w:szCs w:val="21"/>
                    </w:rPr>
                  </w:pPr>
                  <w:r>
                    <w:rPr>
                      <w:color w:val="auto"/>
                      <w:kern w:val="0"/>
                    </w:rPr>
                    <w:t>颗粒物</w:t>
                  </w:r>
                </w:p>
              </w:tc>
              <w:tc>
                <w:tcPr>
                  <w:tcW w:w="2401" w:type="pct"/>
                  <w:vAlign w:val="center"/>
                </w:tcPr>
                <w:p w14:paraId="5A8D7A22">
                  <w:pPr>
                    <w:spacing w:line="240" w:lineRule="auto"/>
                    <w:jc w:val="center"/>
                    <w:rPr>
                      <w:color w:val="auto"/>
                      <w:szCs w:val="21"/>
                    </w:rPr>
                  </w:pPr>
                  <w:r>
                    <w:rPr>
                      <w:color w:val="auto"/>
                    </w:rPr>
                    <w:t>1.0</w:t>
                  </w:r>
                </w:p>
              </w:tc>
            </w:tr>
          </w:tbl>
          <w:p w14:paraId="51F0151A">
            <w:pPr>
              <w:pStyle w:val="82"/>
              <w:rPr>
                <w:rFonts w:hint="eastAsia" w:ascii="Times New Roman"/>
                <w:bCs/>
                <w:color w:val="auto"/>
                <w:kern w:val="2"/>
                <w:sz w:val="21"/>
                <w:szCs w:val="21"/>
              </w:rPr>
            </w:pPr>
            <w:r>
              <w:rPr>
                <w:rFonts w:ascii="Times New Roman"/>
                <w:bCs/>
                <w:color w:val="auto"/>
                <w:kern w:val="2"/>
                <w:sz w:val="21"/>
                <w:szCs w:val="21"/>
              </w:rPr>
              <w:t>表3</w:t>
            </w:r>
            <w:r>
              <w:rPr>
                <w:rFonts w:hint="eastAsia" w:ascii="Times New Roman"/>
                <w:bCs/>
                <w:color w:val="auto"/>
                <w:kern w:val="2"/>
                <w:sz w:val="21"/>
                <w:szCs w:val="21"/>
              </w:rPr>
              <w:t>-</w:t>
            </w:r>
            <w:r>
              <w:rPr>
                <w:rFonts w:hint="eastAsia" w:ascii="Times New Roman"/>
                <w:bCs/>
                <w:color w:val="auto"/>
                <w:kern w:val="2"/>
                <w:sz w:val="21"/>
                <w:szCs w:val="21"/>
                <w:lang w:val="en-US" w:eastAsia="zh-CN"/>
              </w:rPr>
              <w:t>7</w:t>
            </w:r>
            <w:r>
              <w:rPr>
                <w:rFonts w:hint="eastAsia" w:ascii="Times New Roman"/>
                <w:bCs/>
                <w:color w:val="auto"/>
                <w:kern w:val="2"/>
                <w:sz w:val="21"/>
                <w:szCs w:val="21"/>
              </w:rPr>
              <w:t xml:space="preserve">  </w:t>
            </w:r>
            <w:r>
              <w:rPr>
                <w:rFonts w:hint="eastAsia" w:ascii="Times New Roman"/>
                <w:bCs/>
                <w:color w:val="auto"/>
                <w:kern w:val="2"/>
                <w:sz w:val="21"/>
                <w:szCs w:val="21"/>
                <w:lang w:val="en-US" w:eastAsia="zh-CN"/>
              </w:rPr>
              <w:t>煤炭工业污染物排放标准</w:t>
            </w:r>
          </w:p>
          <w:tbl>
            <w:tblPr>
              <w:tblStyle w:val="3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1295"/>
              <w:gridCol w:w="2730"/>
              <w:gridCol w:w="2877"/>
            </w:tblGrid>
            <w:tr w14:paraId="3ECFB1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25" w:type="pct"/>
                  <w:vMerge w:val="restart"/>
                  <w:vAlign w:val="center"/>
                </w:tcPr>
                <w:p w14:paraId="55EB75A6">
                  <w:pPr>
                    <w:pStyle w:val="18"/>
                    <w:spacing w:line="240" w:lineRule="auto"/>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污染物</w:t>
                  </w:r>
                </w:p>
              </w:tc>
              <w:tc>
                <w:tcPr>
                  <w:tcW w:w="802" w:type="pct"/>
                  <w:vMerge w:val="restart"/>
                  <w:vAlign w:val="center"/>
                </w:tcPr>
                <w:p w14:paraId="68B96E3D">
                  <w:pPr>
                    <w:spacing w:line="240" w:lineRule="auto"/>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监控点</w:t>
                  </w:r>
                </w:p>
              </w:tc>
              <w:tc>
                <w:tcPr>
                  <w:tcW w:w="3471" w:type="pct"/>
                  <w:gridSpan w:val="2"/>
                  <w:vAlign w:val="center"/>
                </w:tcPr>
                <w:p w14:paraId="5072415D">
                  <w:pPr>
                    <w:spacing w:line="240" w:lineRule="auto"/>
                    <w:jc w:val="center"/>
                    <w:rPr>
                      <w:color w:val="auto"/>
                    </w:rPr>
                  </w:pPr>
                  <w:r>
                    <w:rPr>
                      <w:rFonts w:hint="eastAsia"/>
                      <w:color w:val="auto"/>
                      <w:lang w:val="en-US" w:eastAsia="zh-CN"/>
                    </w:rPr>
                    <w:t>作业场所</w:t>
                  </w:r>
                </w:p>
              </w:tc>
            </w:tr>
            <w:tr w14:paraId="765DAC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25" w:type="pct"/>
                  <w:vMerge w:val="continue"/>
                  <w:vAlign w:val="center"/>
                </w:tcPr>
                <w:p w14:paraId="3E9EED93">
                  <w:pPr>
                    <w:spacing w:line="240" w:lineRule="auto"/>
                    <w:jc w:val="center"/>
                    <w:rPr>
                      <w:rFonts w:hint="eastAsia" w:ascii="Times New Roman" w:hAnsi="Times New Roman" w:eastAsia="宋体" w:cs="Times New Roman"/>
                      <w:color w:val="auto"/>
                      <w:kern w:val="2"/>
                      <w:sz w:val="21"/>
                      <w:szCs w:val="24"/>
                      <w:lang w:val="en-US" w:eastAsia="zh-CN" w:bidi="ar-SA"/>
                    </w:rPr>
                  </w:pPr>
                </w:p>
              </w:tc>
              <w:tc>
                <w:tcPr>
                  <w:tcW w:w="802" w:type="pct"/>
                  <w:vMerge w:val="continue"/>
                  <w:vAlign w:val="center"/>
                </w:tcPr>
                <w:p w14:paraId="6298C987">
                  <w:pPr>
                    <w:spacing w:line="240" w:lineRule="auto"/>
                    <w:jc w:val="center"/>
                    <w:rPr>
                      <w:rFonts w:hint="eastAsia" w:ascii="Times New Roman" w:hAnsi="Times New Roman" w:eastAsia="宋体" w:cs="Times New Roman"/>
                      <w:color w:val="auto"/>
                      <w:kern w:val="2"/>
                      <w:sz w:val="21"/>
                      <w:szCs w:val="24"/>
                      <w:lang w:val="en-US" w:eastAsia="zh-CN" w:bidi="ar-SA"/>
                    </w:rPr>
                  </w:pPr>
                </w:p>
              </w:tc>
              <w:tc>
                <w:tcPr>
                  <w:tcW w:w="1690" w:type="pct"/>
                  <w:vAlign w:val="center"/>
                </w:tcPr>
                <w:p w14:paraId="6A16EDA0">
                  <w:pPr>
                    <w:spacing w:line="240" w:lineRule="auto"/>
                    <w:jc w:val="center"/>
                    <w:rPr>
                      <w:color w:val="auto"/>
                    </w:rPr>
                  </w:pPr>
                  <w:r>
                    <w:rPr>
                      <w:rFonts w:hint="eastAsia"/>
                      <w:color w:val="auto"/>
                    </w:rPr>
                    <w:t>煤炭工业所属装卸场所</w:t>
                  </w:r>
                </w:p>
              </w:tc>
              <w:tc>
                <w:tcPr>
                  <w:tcW w:w="1781" w:type="pct"/>
                  <w:vAlign w:val="center"/>
                </w:tcPr>
                <w:p w14:paraId="12207BCC">
                  <w:pPr>
                    <w:spacing w:line="240" w:lineRule="auto"/>
                    <w:jc w:val="center"/>
                    <w:rPr>
                      <w:color w:val="auto"/>
                    </w:rPr>
                  </w:pPr>
                  <w:r>
                    <w:rPr>
                      <w:rFonts w:hint="eastAsia"/>
                      <w:color w:val="auto"/>
                    </w:rPr>
                    <w:t>煤炭贮存场所、</w:t>
                  </w:r>
                  <w:r>
                    <w:rPr>
                      <w:rFonts w:hint="eastAsia"/>
                      <w:color w:val="auto"/>
                      <w:lang w:val="en-US" w:eastAsia="zh-CN"/>
                    </w:rPr>
                    <w:t>煤矸石</w:t>
                  </w:r>
                  <w:r>
                    <w:rPr>
                      <w:rFonts w:hint="eastAsia"/>
                      <w:color w:val="auto"/>
                    </w:rPr>
                    <w:t>堆置场</w:t>
                  </w:r>
                </w:p>
              </w:tc>
            </w:tr>
            <w:tr w14:paraId="71C41D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25" w:type="pct"/>
                  <w:vMerge w:val="continue"/>
                  <w:vAlign w:val="center"/>
                </w:tcPr>
                <w:p w14:paraId="7968B941">
                  <w:pPr>
                    <w:spacing w:line="240" w:lineRule="auto"/>
                    <w:jc w:val="center"/>
                    <w:rPr>
                      <w:rFonts w:hint="eastAsia" w:ascii="Times New Roman" w:hAnsi="Times New Roman" w:eastAsia="宋体" w:cs="Times New Roman"/>
                      <w:color w:val="auto"/>
                      <w:kern w:val="2"/>
                      <w:sz w:val="21"/>
                      <w:szCs w:val="24"/>
                      <w:lang w:val="en-US" w:eastAsia="zh-CN" w:bidi="ar-SA"/>
                    </w:rPr>
                  </w:pPr>
                </w:p>
              </w:tc>
              <w:tc>
                <w:tcPr>
                  <w:tcW w:w="802" w:type="pct"/>
                  <w:vMerge w:val="continue"/>
                  <w:vAlign w:val="center"/>
                </w:tcPr>
                <w:p w14:paraId="3F4303B0">
                  <w:pPr>
                    <w:spacing w:line="240" w:lineRule="auto"/>
                    <w:jc w:val="center"/>
                    <w:rPr>
                      <w:rFonts w:hint="eastAsia" w:ascii="Times New Roman" w:hAnsi="Times New Roman" w:eastAsia="宋体" w:cs="Times New Roman"/>
                      <w:color w:val="auto"/>
                      <w:kern w:val="2"/>
                      <w:sz w:val="21"/>
                      <w:szCs w:val="24"/>
                      <w:lang w:val="en-US" w:eastAsia="zh-CN" w:bidi="ar-SA"/>
                    </w:rPr>
                  </w:pPr>
                </w:p>
              </w:tc>
              <w:tc>
                <w:tcPr>
                  <w:tcW w:w="1690" w:type="pct"/>
                  <w:vAlign w:val="center"/>
                </w:tcPr>
                <w:p w14:paraId="742AD3C3">
                  <w:pPr>
                    <w:spacing w:line="240" w:lineRule="auto"/>
                    <w:jc w:val="center"/>
                    <w:rPr>
                      <w:rFonts w:hint="eastAsia"/>
                      <w:color w:val="auto"/>
                    </w:rPr>
                  </w:pPr>
                  <w:r>
                    <w:rPr>
                      <w:rFonts w:hint="eastAsia"/>
                      <w:color w:val="auto"/>
                    </w:rPr>
                    <w:t>无组织排放限值/(mg/Nm</w:t>
                  </w:r>
                  <w:r>
                    <w:rPr>
                      <w:rFonts w:hint="eastAsia"/>
                      <w:color w:val="auto"/>
                      <w:vertAlign w:val="superscript"/>
                      <w:lang w:val="en-US" w:eastAsia="zh-CN"/>
                    </w:rPr>
                    <w:t>3</w:t>
                  </w:r>
                  <w:r>
                    <w:rPr>
                      <w:rFonts w:hint="eastAsia"/>
                      <w:color w:val="auto"/>
                    </w:rPr>
                    <w:t>)</w:t>
                  </w:r>
                </w:p>
                <w:p w14:paraId="50AD183E">
                  <w:pPr>
                    <w:spacing w:line="240" w:lineRule="auto"/>
                    <w:jc w:val="center"/>
                    <w:rPr>
                      <w:rFonts w:hint="eastAsia"/>
                      <w:color w:val="auto"/>
                    </w:rPr>
                  </w:pPr>
                  <w:r>
                    <w:rPr>
                      <w:rFonts w:hint="eastAsia"/>
                      <w:color w:val="auto"/>
                    </w:rPr>
                    <w:t>(监控点与参考点浓度差值)</w:t>
                  </w:r>
                </w:p>
              </w:tc>
              <w:tc>
                <w:tcPr>
                  <w:tcW w:w="1781" w:type="pct"/>
                  <w:vAlign w:val="center"/>
                </w:tcPr>
                <w:p w14:paraId="52B8D2C6">
                  <w:pPr>
                    <w:spacing w:line="240" w:lineRule="auto"/>
                    <w:jc w:val="center"/>
                    <w:rPr>
                      <w:rFonts w:hint="eastAsia"/>
                      <w:color w:val="auto"/>
                    </w:rPr>
                  </w:pPr>
                  <w:r>
                    <w:rPr>
                      <w:rFonts w:hint="eastAsia"/>
                      <w:color w:val="auto"/>
                    </w:rPr>
                    <w:t>无组织排放限值/(mg/Nm</w:t>
                  </w:r>
                  <w:r>
                    <w:rPr>
                      <w:rFonts w:hint="eastAsia"/>
                      <w:color w:val="auto"/>
                      <w:vertAlign w:val="superscript"/>
                      <w:lang w:val="en-US" w:eastAsia="zh-CN"/>
                    </w:rPr>
                    <w:t>3</w:t>
                  </w:r>
                  <w:r>
                    <w:rPr>
                      <w:rFonts w:hint="eastAsia"/>
                      <w:color w:val="auto"/>
                    </w:rPr>
                    <w:t>)</w:t>
                  </w:r>
                </w:p>
                <w:p w14:paraId="6E3EBCD0">
                  <w:pPr>
                    <w:spacing w:line="240" w:lineRule="auto"/>
                    <w:jc w:val="center"/>
                    <w:rPr>
                      <w:rFonts w:hint="eastAsia"/>
                      <w:color w:val="auto"/>
                    </w:rPr>
                  </w:pPr>
                  <w:r>
                    <w:rPr>
                      <w:rFonts w:hint="eastAsia"/>
                      <w:color w:val="auto"/>
                    </w:rPr>
                    <w:t>(监控点与参考点浓度差值)</w:t>
                  </w:r>
                </w:p>
              </w:tc>
            </w:tr>
            <w:tr w14:paraId="040279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84" w:hRule="atLeast"/>
                <w:jc w:val="center"/>
              </w:trPr>
              <w:tc>
                <w:tcPr>
                  <w:tcW w:w="725" w:type="pct"/>
                  <w:vAlign w:val="center"/>
                </w:tcPr>
                <w:p w14:paraId="4E2ECC18">
                  <w:pPr>
                    <w:spacing w:line="240" w:lineRule="auto"/>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颗粒物</w:t>
                  </w:r>
                </w:p>
              </w:tc>
              <w:tc>
                <w:tcPr>
                  <w:tcW w:w="802" w:type="pct"/>
                  <w:vAlign w:val="center"/>
                </w:tcPr>
                <w:p w14:paraId="6A55C96F">
                  <w:pPr>
                    <w:spacing w:line="240" w:lineRule="auto"/>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周界外浓度最高点</w:t>
                  </w:r>
                </w:p>
              </w:tc>
              <w:tc>
                <w:tcPr>
                  <w:tcW w:w="1690" w:type="pct"/>
                  <w:vAlign w:val="center"/>
                </w:tcPr>
                <w:p w14:paraId="201E4083">
                  <w:pPr>
                    <w:spacing w:line="240" w:lineRule="auto"/>
                    <w:jc w:val="center"/>
                    <w:rPr>
                      <w:rFonts w:hint="default" w:eastAsia="宋体"/>
                      <w:color w:val="auto"/>
                      <w:lang w:val="en-US" w:eastAsia="zh-CN"/>
                    </w:rPr>
                  </w:pPr>
                  <w:r>
                    <w:rPr>
                      <w:rFonts w:hint="eastAsia"/>
                      <w:color w:val="auto"/>
                      <w:lang w:val="en-US" w:eastAsia="zh-CN"/>
                    </w:rPr>
                    <w:t>1.0</w:t>
                  </w:r>
                </w:p>
              </w:tc>
              <w:tc>
                <w:tcPr>
                  <w:tcW w:w="1781" w:type="pct"/>
                  <w:vAlign w:val="center"/>
                </w:tcPr>
                <w:p w14:paraId="7228D3A9">
                  <w:pPr>
                    <w:spacing w:line="240" w:lineRule="auto"/>
                    <w:jc w:val="center"/>
                    <w:rPr>
                      <w:rFonts w:hint="eastAsia"/>
                      <w:color w:val="auto"/>
                    </w:rPr>
                  </w:pPr>
                  <w:r>
                    <w:rPr>
                      <w:rFonts w:hint="eastAsia"/>
                      <w:color w:val="auto"/>
                      <w:lang w:val="en-US" w:eastAsia="zh-CN"/>
                    </w:rPr>
                    <w:t>1.0</w:t>
                  </w:r>
                </w:p>
              </w:tc>
            </w:tr>
          </w:tbl>
          <w:p w14:paraId="55E1B428">
            <w:pPr>
              <w:spacing w:line="360" w:lineRule="auto"/>
              <w:ind w:firstLine="482" w:firstLineChars="200"/>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2、噪声排放标准</w:t>
            </w:r>
          </w:p>
          <w:p w14:paraId="26BAA85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bCs/>
                <w:color w:val="auto"/>
                <w:sz w:val="24"/>
              </w:rPr>
            </w:pPr>
            <w:r>
              <w:rPr>
                <w:rFonts w:hint="eastAsia"/>
                <w:bCs/>
                <w:color w:val="auto"/>
                <w:sz w:val="24"/>
              </w:rPr>
              <w:t>本项目</w:t>
            </w:r>
            <w:r>
              <w:rPr>
                <w:rFonts w:hint="eastAsia" w:cs="Times New Roman" w:eastAsiaTheme="minorEastAsia"/>
                <w:bCs/>
                <w:color w:val="auto"/>
                <w:sz w:val="24"/>
                <w:lang w:val="en-US" w:eastAsia="zh-CN"/>
              </w:rPr>
              <w:t>施工期厂界噪声执行</w:t>
            </w:r>
            <w:r>
              <w:rPr>
                <w:rFonts w:hint="default" w:ascii="Times New Roman" w:hAnsi="Times New Roman" w:eastAsia="宋体" w:cs="Times New Roman"/>
                <w:color w:val="auto"/>
                <w:kern w:val="0"/>
                <w:sz w:val="24"/>
                <w:szCs w:val="24"/>
                <w:highlight w:val="none"/>
                <w:lang w:val="en-US" w:eastAsia="zh-CN" w:bidi="ar-SA"/>
              </w:rPr>
              <w:t>《建筑施工噪声排放标准》（GB12523-2025）</w:t>
            </w:r>
            <w:r>
              <w:rPr>
                <w:rFonts w:hint="eastAsia" w:cs="Times New Roman"/>
                <w:color w:val="auto"/>
                <w:kern w:val="0"/>
                <w:sz w:val="24"/>
                <w:szCs w:val="24"/>
                <w:highlight w:val="none"/>
                <w:lang w:val="en-US" w:eastAsia="zh-CN" w:bidi="ar-SA"/>
              </w:rPr>
              <w:t>；</w:t>
            </w:r>
            <w:r>
              <w:rPr>
                <w:rFonts w:hint="eastAsia"/>
                <w:bCs/>
                <w:color w:val="auto"/>
                <w:sz w:val="24"/>
                <w:lang w:val="en-US" w:eastAsia="zh-CN"/>
              </w:rPr>
              <w:t>运营期</w:t>
            </w:r>
            <w:r>
              <w:rPr>
                <w:rFonts w:hint="eastAsia"/>
                <w:color w:val="auto"/>
                <w:sz w:val="24"/>
              </w:rPr>
              <w:t>厂界</w:t>
            </w:r>
            <w:r>
              <w:rPr>
                <w:rFonts w:hint="eastAsia"/>
                <w:color w:val="auto"/>
                <w:szCs w:val="21"/>
              </w:rPr>
              <w:t>四周</w:t>
            </w:r>
            <w:r>
              <w:rPr>
                <w:rFonts w:hint="eastAsia"/>
                <w:color w:val="auto"/>
                <w:sz w:val="24"/>
              </w:rPr>
              <w:t>噪声</w:t>
            </w:r>
            <w:r>
              <w:rPr>
                <w:color w:val="auto"/>
                <w:sz w:val="24"/>
              </w:rPr>
              <w:t>执行《工业企业厂界环境噪声排放标准》（GB12348</w:t>
            </w:r>
            <w:r>
              <w:rPr>
                <w:rFonts w:hint="eastAsia"/>
                <w:color w:val="auto"/>
                <w:sz w:val="24"/>
              </w:rPr>
              <w:t>-</w:t>
            </w:r>
            <w:r>
              <w:rPr>
                <w:color w:val="auto"/>
                <w:sz w:val="24"/>
              </w:rPr>
              <w:t>2008）</w:t>
            </w:r>
            <w:r>
              <w:rPr>
                <w:rFonts w:hint="eastAsia"/>
                <w:color w:val="auto"/>
                <w:sz w:val="24"/>
                <w:lang w:val="en-US" w:eastAsia="zh-CN"/>
              </w:rPr>
              <w:t>表1</w:t>
            </w:r>
            <w:r>
              <w:rPr>
                <w:color w:val="auto"/>
                <w:sz w:val="24"/>
              </w:rPr>
              <w:t>中的</w:t>
            </w:r>
            <w:r>
              <w:rPr>
                <w:rFonts w:hint="eastAsia"/>
                <w:color w:val="auto"/>
                <w:sz w:val="24"/>
                <w:lang w:val="en-US" w:eastAsia="zh-CN"/>
              </w:rPr>
              <w:t>2</w:t>
            </w:r>
            <w:r>
              <w:rPr>
                <w:color w:val="auto"/>
                <w:sz w:val="24"/>
              </w:rPr>
              <w:t>类标准</w:t>
            </w:r>
            <w:r>
              <w:rPr>
                <w:rFonts w:hint="eastAsia"/>
                <w:color w:val="auto"/>
                <w:sz w:val="24"/>
              </w:rPr>
              <w:t>。</w:t>
            </w:r>
            <w:r>
              <w:rPr>
                <w:rFonts w:hint="eastAsia" w:cs="Times New Roman" w:eastAsiaTheme="minorEastAsia"/>
                <w:bCs/>
                <w:color w:val="auto"/>
                <w:sz w:val="24"/>
                <w:lang w:val="en-US" w:eastAsia="zh-CN"/>
              </w:rPr>
              <w:t>施工期</w:t>
            </w:r>
            <w:r>
              <w:rPr>
                <w:rFonts w:hint="eastAsia" w:cs="Times New Roman" w:eastAsiaTheme="minorEastAsia"/>
                <w:bCs/>
                <w:color w:val="auto"/>
                <w:sz w:val="24"/>
                <w:lang w:eastAsia="zh-CN"/>
              </w:rPr>
              <w:t>噪声排放标准见表</w:t>
            </w:r>
            <w:r>
              <w:rPr>
                <w:rFonts w:hint="eastAsia" w:cs="Times New Roman" w:eastAsiaTheme="minorEastAsia"/>
                <w:bCs/>
                <w:color w:val="auto"/>
                <w:sz w:val="24"/>
                <w:lang w:val="en-US" w:eastAsia="zh-CN"/>
              </w:rPr>
              <w:t>3-8，运营期噪声排放标准见表3-9</w:t>
            </w:r>
            <w:r>
              <w:rPr>
                <w:bCs/>
                <w:color w:val="auto"/>
                <w:sz w:val="24"/>
              </w:rPr>
              <w:t>。</w:t>
            </w:r>
          </w:p>
          <w:p w14:paraId="02C94BE3">
            <w:pPr>
              <w:pStyle w:val="18"/>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2" w:firstLineChars="200"/>
              <w:jc w:val="center"/>
              <w:textAlignment w:val="auto"/>
              <w:rPr>
                <w:rFonts w:hint="default" w:ascii="Times New Roman" w:hAnsi="Times New Roman" w:cs="Times New Roman" w:eastAsiaTheme="minorEastAsia"/>
                <w:b/>
                <w:bCs/>
                <w:color w:val="auto"/>
                <w:kern w:val="2"/>
                <w:sz w:val="21"/>
                <w:szCs w:val="24"/>
                <w:highlight w:val="none"/>
                <w:lang w:val="en-US" w:eastAsia="zh-CN" w:bidi="ar-SA"/>
              </w:rPr>
            </w:pPr>
            <w:r>
              <w:rPr>
                <w:rFonts w:hint="default" w:ascii="Times New Roman" w:hAnsi="Times New Roman" w:cs="Times New Roman" w:eastAsiaTheme="minorEastAsia"/>
                <w:b/>
                <w:bCs/>
                <w:color w:val="auto"/>
                <w:kern w:val="2"/>
                <w:sz w:val="21"/>
                <w:szCs w:val="24"/>
                <w:highlight w:val="none"/>
                <w:lang w:val="en-US" w:eastAsia="zh-CN" w:bidi="ar-SA"/>
              </w:rPr>
              <w:t>表3-</w:t>
            </w:r>
            <w:r>
              <w:rPr>
                <w:rFonts w:hint="eastAsia" w:cs="Times New Roman" w:eastAsiaTheme="minorEastAsia"/>
                <w:b/>
                <w:bCs/>
                <w:color w:val="auto"/>
                <w:kern w:val="2"/>
                <w:sz w:val="21"/>
                <w:szCs w:val="24"/>
                <w:highlight w:val="none"/>
                <w:lang w:val="en-US" w:eastAsia="zh-CN" w:bidi="ar-SA"/>
              </w:rPr>
              <w:t>8</w:t>
            </w:r>
            <w:r>
              <w:rPr>
                <w:rFonts w:hint="default" w:ascii="Times New Roman" w:hAnsi="Times New Roman" w:cs="Times New Roman" w:eastAsiaTheme="minorEastAsia"/>
                <w:b/>
                <w:bCs/>
                <w:color w:val="auto"/>
                <w:kern w:val="2"/>
                <w:sz w:val="21"/>
                <w:szCs w:val="24"/>
                <w:highlight w:val="none"/>
                <w:lang w:val="en-US" w:eastAsia="zh-CN" w:bidi="ar-SA"/>
              </w:rPr>
              <w:t xml:space="preserve"> </w:t>
            </w:r>
            <w:r>
              <w:rPr>
                <w:rFonts w:hint="eastAsia" w:ascii="Times New Roman" w:hAnsi="Times New Roman" w:cs="Times New Roman" w:eastAsiaTheme="minorEastAsia"/>
                <w:b/>
                <w:bCs/>
                <w:color w:val="auto"/>
                <w:kern w:val="2"/>
                <w:sz w:val="21"/>
                <w:szCs w:val="24"/>
                <w:highlight w:val="none"/>
                <w:lang w:val="en-US" w:eastAsia="zh-CN" w:bidi="ar-SA"/>
              </w:rPr>
              <w:t xml:space="preserve"> </w:t>
            </w:r>
            <w:r>
              <w:rPr>
                <w:rFonts w:hint="default" w:ascii="Times New Roman" w:hAnsi="Times New Roman" w:cs="Times New Roman" w:eastAsiaTheme="minorEastAsia"/>
                <w:b/>
                <w:bCs/>
                <w:color w:val="auto"/>
                <w:kern w:val="2"/>
                <w:sz w:val="21"/>
                <w:szCs w:val="24"/>
                <w:highlight w:val="none"/>
                <w:lang w:val="en-US" w:eastAsia="zh-CN" w:bidi="ar-SA"/>
              </w:rPr>
              <w:t>《建筑施工噪声排放标准》（GB12523-2025）</w:t>
            </w:r>
          </w:p>
          <w:tbl>
            <w:tblPr>
              <w:tblStyle w:val="3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4036"/>
              <w:gridCol w:w="4040"/>
            </w:tblGrid>
            <w:tr w14:paraId="14F98A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000" w:type="pct"/>
                  <w:gridSpan w:val="2"/>
                  <w:vAlign w:val="center"/>
                </w:tcPr>
                <w:p w14:paraId="5ADFD03B">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rPr>
                    <w:t>环境噪声标准值dB</w:t>
                  </w:r>
                  <w:r>
                    <w:rPr>
                      <w:rFonts w:hint="eastAsia" w:cs="Times New Roman" w:eastAsiaTheme="minorEastAsia"/>
                      <w:color w:val="auto"/>
                      <w:szCs w:val="21"/>
                      <w:highlight w:val="none"/>
                      <w:lang w:eastAsia="zh-CN"/>
                    </w:rPr>
                    <w:t>（</w:t>
                  </w:r>
                  <w:r>
                    <w:rPr>
                      <w:rFonts w:hint="default" w:ascii="Times New Roman" w:hAnsi="Times New Roman" w:cs="Times New Roman" w:eastAsiaTheme="minorEastAsia"/>
                      <w:color w:val="auto"/>
                      <w:szCs w:val="21"/>
                      <w:highlight w:val="none"/>
                    </w:rPr>
                    <w:t>A</w:t>
                  </w:r>
                  <w:r>
                    <w:rPr>
                      <w:rFonts w:hint="eastAsia" w:cs="Times New Roman" w:eastAsiaTheme="minorEastAsia"/>
                      <w:color w:val="auto"/>
                      <w:szCs w:val="21"/>
                      <w:highlight w:val="none"/>
                      <w:lang w:eastAsia="zh-CN"/>
                    </w:rPr>
                    <w:t>）</w:t>
                  </w:r>
                </w:p>
              </w:tc>
            </w:tr>
            <w:tr w14:paraId="6E235D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2499" w:type="pct"/>
                  <w:vAlign w:val="center"/>
                </w:tcPr>
                <w:p w14:paraId="3F142552">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昼间</w:t>
                  </w:r>
                </w:p>
              </w:tc>
              <w:tc>
                <w:tcPr>
                  <w:tcW w:w="2500" w:type="pct"/>
                  <w:vAlign w:val="center"/>
                </w:tcPr>
                <w:p w14:paraId="6102B7F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夜间</w:t>
                  </w:r>
                </w:p>
              </w:tc>
            </w:tr>
            <w:tr w14:paraId="6AA47B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2499" w:type="pct"/>
                  <w:vAlign w:val="center"/>
                </w:tcPr>
                <w:p w14:paraId="4283FCA4">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70</w:t>
                  </w:r>
                </w:p>
              </w:tc>
              <w:tc>
                <w:tcPr>
                  <w:tcW w:w="2500" w:type="pct"/>
                  <w:vAlign w:val="center"/>
                </w:tcPr>
                <w:p w14:paraId="08231031">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55</w:t>
                  </w:r>
                </w:p>
              </w:tc>
            </w:tr>
          </w:tbl>
          <w:p w14:paraId="282C6F57">
            <w:pPr>
              <w:snapToGrid w:val="0"/>
              <w:jc w:val="center"/>
              <w:rPr>
                <w:b/>
                <w:bCs/>
                <w:iCs/>
                <w:color w:val="auto"/>
                <w:kern w:val="0"/>
                <w:szCs w:val="21"/>
              </w:rPr>
            </w:pPr>
            <w:r>
              <w:rPr>
                <w:b/>
                <w:bCs/>
                <w:iCs/>
                <w:color w:val="auto"/>
                <w:kern w:val="0"/>
                <w:szCs w:val="21"/>
              </w:rPr>
              <w:t>表3-</w:t>
            </w:r>
            <w:r>
              <w:rPr>
                <w:rFonts w:hint="eastAsia"/>
                <w:b/>
                <w:bCs/>
                <w:iCs/>
                <w:color w:val="auto"/>
                <w:kern w:val="0"/>
                <w:szCs w:val="21"/>
                <w:lang w:val="en-US" w:eastAsia="zh-CN"/>
              </w:rPr>
              <w:t>9</w:t>
            </w:r>
            <w:r>
              <w:rPr>
                <w:b/>
                <w:bCs/>
                <w:iCs/>
                <w:color w:val="auto"/>
                <w:kern w:val="0"/>
                <w:szCs w:val="21"/>
              </w:rPr>
              <w:t xml:space="preserve">  工业企业厂界环境噪声排放标准      单位：dB(A)</w:t>
            </w:r>
          </w:p>
          <w:tbl>
            <w:tblPr>
              <w:tblStyle w:val="38"/>
              <w:tblW w:w="4998" w:type="pct"/>
              <w:jc w:val="center"/>
              <w:tblBorders>
                <w:top w:val="single" w:color="auto" w:sz="8" w:space="0"/>
                <w:left w:val="none" w:color="auto" w:sz="0" w:space="0"/>
                <w:bottom w:val="single" w:color="auto" w:sz="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924"/>
              <w:gridCol w:w="1539"/>
              <w:gridCol w:w="1848"/>
              <w:gridCol w:w="1762"/>
            </w:tblGrid>
            <w:tr w14:paraId="2FA2E54B">
              <w:tblPrEx>
                <w:tblBorders>
                  <w:top w:val="single" w:color="auto" w:sz="8"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20" w:hRule="atLeast"/>
                <w:jc w:val="center"/>
              </w:trPr>
              <w:tc>
                <w:tcPr>
                  <w:tcW w:w="1811" w:type="pct"/>
                  <w:vMerge w:val="restart"/>
                  <w:tcBorders>
                    <w:top w:val="single" w:color="auto" w:sz="12" w:space="0"/>
                  </w:tcBorders>
                  <w:vAlign w:val="center"/>
                </w:tcPr>
                <w:p w14:paraId="0B3CFEEC">
                  <w:pPr>
                    <w:spacing w:line="360" w:lineRule="exact"/>
                    <w:jc w:val="center"/>
                    <w:rPr>
                      <w:b/>
                      <w:bCs/>
                      <w:color w:val="auto"/>
                      <w:szCs w:val="21"/>
                    </w:rPr>
                  </w:pPr>
                  <w:r>
                    <w:rPr>
                      <w:b/>
                      <w:bCs/>
                      <w:color w:val="auto"/>
                      <w:szCs w:val="21"/>
                    </w:rPr>
                    <w:t>声源类型</w:t>
                  </w:r>
                </w:p>
              </w:tc>
              <w:tc>
                <w:tcPr>
                  <w:tcW w:w="953" w:type="pct"/>
                  <w:vMerge w:val="restart"/>
                  <w:tcBorders>
                    <w:top w:val="single" w:color="auto" w:sz="12" w:space="0"/>
                  </w:tcBorders>
                  <w:vAlign w:val="center"/>
                </w:tcPr>
                <w:p w14:paraId="52786F07">
                  <w:pPr>
                    <w:spacing w:line="360" w:lineRule="exact"/>
                    <w:jc w:val="center"/>
                    <w:rPr>
                      <w:b/>
                      <w:bCs/>
                      <w:color w:val="auto"/>
                      <w:szCs w:val="21"/>
                    </w:rPr>
                  </w:pPr>
                  <w:r>
                    <w:rPr>
                      <w:b/>
                      <w:bCs/>
                      <w:color w:val="auto"/>
                      <w:szCs w:val="21"/>
                    </w:rPr>
                    <w:t>标准类别</w:t>
                  </w:r>
                </w:p>
              </w:tc>
              <w:tc>
                <w:tcPr>
                  <w:tcW w:w="2235" w:type="pct"/>
                  <w:gridSpan w:val="2"/>
                  <w:tcBorders>
                    <w:top w:val="single" w:color="auto" w:sz="12" w:space="0"/>
                  </w:tcBorders>
                  <w:vAlign w:val="center"/>
                </w:tcPr>
                <w:p w14:paraId="25AF3EA7">
                  <w:pPr>
                    <w:spacing w:line="360" w:lineRule="exact"/>
                    <w:jc w:val="center"/>
                    <w:rPr>
                      <w:b/>
                      <w:bCs/>
                      <w:color w:val="auto"/>
                      <w:szCs w:val="21"/>
                    </w:rPr>
                  </w:pPr>
                  <w:r>
                    <w:rPr>
                      <w:b/>
                      <w:bCs/>
                      <w:color w:val="auto"/>
                      <w:szCs w:val="21"/>
                    </w:rPr>
                    <w:t>标准限值</w:t>
                  </w:r>
                </w:p>
              </w:tc>
            </w:tr>
            <w:tr w14:paraId="28FA88DE">
              <w:tblPrEx>
                <w:tblBorders>
                  <w:top w:val="single" w:color="auto" w:sz="8"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5" w:hRule="atLeast"/>
                <w:jc w:val="center"/>
              </w:trPr>
              <w:tc>
                <w:tcPr>
                  <w:tcW w:w="1811" w:type="pct"/>
                  <w:vMerge w:val="continue"/>
                  <w:tcBorders>
                    <w:bottom w:val="single" w:color="auto" w:sz="8" w:space="0"/>
                  </w:tcBorders>
                  <w:vAlign w:val="center"/>
                </w:tcPr>
                <w:p w14:paraId="2836C271">
                  <w:pPr>
                    <w:spacing w:line="360" w:lineRule="exact"/>
                    <w:jc w:val="center"/>
                    <w:rPr>
                      <w:b/>
                      <w:bCs/>
                      <w:color w:val="auto"/>
                      <w:szCs w:val="21"/>
                    </w:rPr>
                  </w:pPr>
                </w:p>
              </w:tc>
              <w:tc>
                <w:tcPr>
                  <w:tcW w:w="953" w:type="pct"/>
                  <w:vMerge w:val="continue"/>
                  <w:tcBorders>
                    <w:bottom w:val="single" w:color="auto" w:sz="8" w:space="0"/>
                  </w:tcBorders>
                </w:tcPr>
                <w:p w14:paraId="43992D24">
                  <w:pPr>
                    <w:spacing w:line="360" w:lineRule="exact"/>
                    <w:jc w:val="center"/>
                    <w:rPr>
                      <w:b/>
                      <w:bCs/>
                      <w:color w:val="auto"/>
                      <w:szCs w:val="21"/>
                    </w:rPr>
                  </w:pPr>
                </w:p>
              </w:tc>
              <w:tc>
                <w:tcPr>
                  <w:tcW w:w="1144" w:type="pct"/>
                  <w:tcBorders>
                    <w:bottom w:val="single" w:color="auto" w:sz="8" w:space="0"/>
                  </w:tcBorders>
                  <w:vAlign w:val="center"/>
                </w:tcPr>
                <w:p w14:paraId="3E4CFC73">
                  <w:pPr>
                    <w:spacing w:line="360" w:lineRule="exact"/>
                    <w:jc w:val="center"/>
                    <w:rPr>
                      <w:b/>
                      <w:bCs/>
                      <w:color w:val="auto"/>
                      <w:szCs w:val="21"/>
                    </w:rPr>
                  </w:pPr>
                  <w:r>
                    <w:rPr>
                      <w:b/>
                      <w:bCs/>
                      <w:color w:val="auto"/>
                      <w:szCs w:val="21"/>
                    </w:rPr>
                    <w:t>昼间</w:t>
                  </w:r>
                </w:p>
              </w:tc>
              <w:tc>
                <w:tcPr>
                  <w:tcW w:w="1091" w:type="pct"/>
                  <w:tcBorders>
                    <w:bottom w:val="single" w:color="auto" w:sz="8" w:space="0"/>
                  </w:tcBorders>
                  <w:vAlign w:val="center"/>
                </w:tcPr>
                <w:p w14:paraId="0B14A222">
                  <w:pPr>
                    <w:spacing w:line="360" w:lineRule="exact"/>
                    <w:jc w:val="center"/>
                    <w:rPr>
                      <w:b/>
                      <w:bCs/>
                      <w:color w:val="auto"/>
                      <w:szCs w:val="21"/>
                    </w:rPr>
                  </w:pPr>
                  <w:r>
                    <w:rPr>
                      <w:b/>
                      <w:bCs/>
                      <w:color w:val="auto"/>
                      <w:szCs w:val="21"/>
                    </w:rPr>
                    <w:t>夜间</w:t>
                  </w:r>
                </w:p>
              </w:tc>
            </w:tr>
            <w:tr w14:paraId="2A801D50">
              <w:tblPrEx>
                <w:tblBorders>
                  <w:top w:val="single" w:color="auto" w:sz="8"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70" w:hRule="atLeast"/>
                <w:jc w:val="center"/>
              </w:trPr>
              <w:tc>
                <w:tcPr>
                  <w:tcW w:w="1811" w:type="pct"/>
                  <w:vAlign w:val="center"/>
                </w:tcPr>
                <w:p w14:paraId="09F28F0F">
                  <w:pPr>
                    <w:jc w:val="center"/>
                    <w:rPr>
                      <w:color w:val="auto"/>
                      <w:szCs w:val="21"/>
                    </w:rPr>
                  </w:pPr>
                  <w:r>
                    <w:rPr>
                      <w:rFonts w:hint="eastAsia"/>
                      <w:color w:val="auto"/>
                      <w:szCs w:val="21"/>
                    </w:rPr>
                    <w:t>厂界四周</w:t>
                  </w:r>
                </w:p>
              </w:tc>
              <w:tc>
                <w:tcPr>
                  <w:tcW w:w="953" w:type="pct"/>
                  <w:vAlign w:val="center"/>
                </w:tcPr>
                <w:p w14:paraId="78C82B4A">
                  <w:pPr>
                    <w:jc w:val="center"/>
                    <w:rPr>
                      <w:color w:val="auto"/>
                      <w:szCs w:val="21"/>
                    </w:rPr>
                  </w:pPr>
                  <w:r>
                    <w:rPr>
                      <w:color w:val="auto"/>
                      <w:szCs w:val="21"/>
                    </w:rPr>
                    <w:t>2类</w:t>
                  </w:r>
                </w:p>
              </w:tc>
              <w:tc>
                <w:tcPr>
                  <w:tcW w:w="1144" w:type="pct"/>
                  <w:vAlign w:val="center"/>
                </w:tcPr>
                <w:p w14:paraId="316FF123">
                  <w:pPr>
                    <w:jc w:val="center"/>
                    <w:rPr>
                      <w:color w:val="auto"/>
                      <w:szCs w:val="21"/>
                    </w:rPr>
                  </w:pPr>
                  <w:r>
                    <w:rPr>
                      <w:color w:val="auto"/>
                      <w:szCs w:val="21"/>
                    </w:rPr>
                    <w:t>60</w:t>
                  </w:r>
                </w:p>
              </w:tc>
              <w:tc>
                <w:tcPr>
                  <w:tcW w:w="1091" w:type="pct"/>
                  <w:vAlign w:val="center"/>
                </w:tcPr>
                <w:p w14:paraId="077DB8E7">
                  <w:pPr>
                    <w:jc w:val="center"/>
                    <w:rPr>
                      <w:color w:val="auto"/>
                      <w:szCs w:val="21"/>
                    </w:rPr>
                  </w:pPr>
                  <w:r>
                    <w:rPr>
                      <w:color w:val="auto"/>
                      <w:szCs w:val="21"/>
                    </w:rPr>
                    <w:t>50</w:t>
                  </w:r>
                </w:p>
              </w:tc>
            </w:tr>
          </w:tbl>
          <w:p w14:paraId="78D86546">
            <w:pPr>
              <w:spacing w:line="360" w:lineRule="auto"/>
              <w:ind w:firstLine="482" w:firstLineChars="200"/>
              <w:rPr>
                <w:color w:val="auto"/>
                <w:sz w:val="24"/>
              </w:rPr>
            </w:pPr>
            <w:r>
              <w:rPr>
                <w:rFonts w:hint="eastAsia"/>
                <w:b/>
                <w:bCs/>
                <w:color w:val="auto"/>
                <w:sz w:val="24"/>
              </w:rPr>
              <w:t>3</w:t>
            </w:r>
            <w:r>
              <w:rPr>
                <w:b/>
                <w:bCs/>
                <w:color w:val="auto"/>
                <w:sz w:val="24"/>
              </w:rPr>
              <w:t>、固废</w:t>
            </w:r>
            <w:r>
              <w:rPr>
                <w:rFonts w:hint="eastAsia"/>
                <w:b/>
                <w:bCs/>
                <w:color w:val="auto"/>
                <w:sz w:val="24"/>
              </w:rPr>
              <w:t>排放标准</w:t>
            </w:r>
          </w:p>
          <w:p w14:paraId="48C0DEB8">
            <w:pPr>
              <w:spacing w:line="360" w:lineRule="auto"/>
              <w:ind w:firstLine="480" w:firstLineChars="200"/>
              <w:rPr>
                <w:color w:val="auto"/>
                <w:sz w:val="24"/>
              </w:rPr>
            </w:pPr>
            <w:r>
              <w:rPr>
                <w:color w:val="auto"/>
                <w:sz w:val="24"/>
              </w:rPr>
              <w:t>《</w:t>
            </w:r>
            <w:r>
              <w:rPr>
                <w:rFonts w:hint="eastAsia"/>
                <w:color w:val="auto"/>
                <w:sz w:val="24"/>
              </w:rPr>
              <w:t>一般</w:t>
            </w:r>
            <w:r>
              <w:rPr>
                <w:color w:val="auto"/>
                <w:sz w:val="24"/>
              </w:rPr>
              <w:t>工业固体废物贮存</w:t>
            </w:r>
            <w:r>
              <w:rPr>
                <w:rFonts w:hint="eastAsia"/>
                <w:color w:val="auto"/>
                <w:sz w:val="24"/>
              </w:rPr>
              <w:t>和填埋</w:t>
            </w:r>
            <w:r>
              <w:rPr>
                <w:color w:val="auto"/>
                <w:sz w:val="24"/>
              </w:rPr>
              <w:t>污染控制标准》（GB1859</w:t>
            </w:r>
            <w:r>
              <w:rPr>
                <w:rFonts w:hint="eastAsia"/>
                <w:color w:val="auto"/>
                <w:sz w:val="24"/>
              </w:rPr>
              <w:t>9</w:t>
            </w:r>
            <w:r>
              <w:rPr>
                <w:color w:val="auto"/>
                <w:sz w:val="24"/>
              </w:rPr>
              <w:t>-20</w:t>
            </w:r>
            <w:r>
              <w:rPr>
                <w:rFonts w:hint="eastAsia"/>
                <w:color w:val="auto"/>
                <w:sz w:val="24"/>
              </w:rPr>
              <w:t>20</w:t>
            </w:r>
            <w:r>
              <w:rPr>
                <w:color w:val="auto"/>
                <w:sz w:val="24"/>
              </w:rPr>
              <w:t>）</w:t>
            </w:r>
            <w:r>
              <w:rPr>
                <w:rFonts w:hint="eastAsia"/>
                <w:color w:val="auto"/>
                <w:sz w:val="24"/>
              </w:rPr>
              <w:t>、</w:t>
            </w:r>
            <w:r>
              <w:rPr>
                <w:rFonts w:hint="eastAsia" w:ascii="Times New Roman" w:hAnsi="Times New Roman" w:eastAsia="宋体" w:cs="Times New Roman"/>
                <w:color w:val="auto"/>
                <w:kern w:val="0"/>
                <w:sz w:val="24"/>
                <w:szCs w:val="28"/>
                <w:lang w:val="en-US" w:eastAsia="zh-CN" w:bidi="ar-SA"/>
              </w:rPr>
              <w:t>《固体废物分类与代码目录（2024年）》（公告2024年第4号）、</w:t>
            </w:r>
            <w:bookmarkStart w:id="13" w:name="OLE_LINK42"/>
            <w:r>
              <w:rPr>
                <w:rFonts w:hint="eastAsia" w:ascii="Times New Roman" w:hAnsi="Times New Roman" w:eastAsia="宋体" w:cs="Times New Roman"/>
                <w:color w:val="auto"/>
                <w:kern w:val="0"/>
                <w:sz w:val="24"/>
                <w:szCs w:val="28"/>
                <w:lang w:val="en-US" w:eastAsia="zh-CN" w:bidi="ar-SA"/>
              </w:rPr>
              <w:t>《危险废物贮存污染控制标准》（GB18597-2023）</w:t>
            </w:r>
            <w:bookmarkEnd w:id="13"/>
            <w:r>
              <w:rPr>
                <w:rFonts w:hint="eastAsia"/>
                <w:color w:val="auto"/>
                <w:sz w:val="24"/>
              </w:rPr>
              <w:t>。</w:t>
            </w:r>
          </w:p>
        </w:tc>
      </w:tr>
      <w:tr w14:paraId="0E4C85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44" w:hRule="atLeast"/>
          <w:jc w:val="center"/>
        </w:trPr>
        <w:tc>
          <w:tcPr>
            <w:tcW w:w="769" w:type="dxa"/>
            <w:tcMar>
              <w:left w:w="28" w:type="dxa"/>
              <w:right w:w="28" w:type="dxa"/>
            </w:tcMar>
            <w:vAlign w:val="center"/>
          </w:tcPr>
          <w:p w14:paraId="28BFBC98">
            <w:pPr>
              <w:adjustRightInd w:val="0"/>
              <w:snapToGrid w:val="0"/>
              <w:jc w:val="center"/>
              <w:rPr>
                <w:rFonts w:cs="宋体"/>
                <w:b/>
                <w:bCs/>
                <w:color w:val="auto"/>
                <w:kern w:val="0"/>
                <w:szCs w:val="21"/>
              </w:rPr>
            </w:pPr>
            <w:r>
              <w:rPr>
                <w:rFonts w:hint="eastAsia" w:cs="宋体"/>
                <w:b/>
                <w:bCs/>
                <w:color w:val="auto"/>
                <w:kern w:val="0"/>
                <w:szCs w:val="21"/>
              </w:rPr>
              <w:t>总量</w:t>
            </w:r>
          </w:p>
          <w:p w14:paraId="057FEA92">
            <w:pPr>
              <w:adjustRightInd w:val="0"/>
              <w:snapToGrid w:val="0"/>
              <w:jc w:val="center"/>
              <w:rPr>
                <w:rFonts w:cs="宋体"/>
                <w:b/>
                <w:bCs/>
                <w:color w:val="auto"/>
                <w:kern w:val="0"/>
                <w:szCs w:val="21"/>
              </w:rPr>
            </w:pPr>
            <w:r>
              <w:rPr>
                <w:rFonts w:hint="eastAsia" w:cs="宋体"/>
                <w:b/>
                <w:bCs/>
                <w:color w:val="auto"/>
                <w:kern w:val="0"/>
                <w:szCs w:val="21"/>
              </w:rPr>
              <w:t>控制</w:t>
            </w:r>
          </w:p>
          <w:p w14:paraId="03D50BAF">
            <w:pPr>
              <w:adjustRightInd w:val="0"/>
              <w:snapToGrid w:val="0"/>
              <w:jc w:val="center"/>
              <w:rPr>
                <w:rFonts w:cs="宋体"/>
                <w:b/>
                <w:bCs/>
                <w:color w:val="auto"/>
                <w:kern w:val="0"/>
                <w:szCs w:val="21"/>
              </w:rPr>
            </w:pPr>
            <w:r>
              <w:rPr>
                <w:rFonts w:hint="eastAsia" w:cs="宋体"/>
                <w:b/>
                <w:bCs/>
                <w:color w:val="auto"/>
                <w:kern w:val="0"/>
                <w:szCs w:val="21"/>
              </w:rPr>
              <w:t>指标</w:t>
            </w:r>
          </w:p>
        </w:tc>
        <w:tc>
          <w:tcPr>
            <w:tcW w:w="8292" w:type="dxa"/>
            <w:vAlign w:val="center"/>
          </w:tcPr>
          <w:p w14:paraId="428429C3">
            <w:pPr>
              <w:spacing w:line="360" w:lineRule="auto"/>
              <w:ind w:firstLine="480" w:firstLineChars="200"/>
              <w:rPr>
                <w:color w:val="auto"/>
                <w:sz w:val="24"/>
              </w:rPr>
            </w:pPr>
          </w:p>
          <w:p w14:paraId="2A3D1D90">
            <w:pPr>
              <w:spacing w:line="360" w:lineRule="auto"/>
              <w:ind w:firstLine="480" w:firstLineChars="200"/>
              <w:rPr>
                <w:color w:val="auto"/>
                <w:sz w:val="24"/>
              </w:rPr>
            </w:pPr>
          </w:p>
          <w:p w14:paraId="342BF19E">
            <w:pPr>
              <w:spacing w:line="360" w:lineRule="auto"/>
              <w:ind w:firstLine="480" w:firstLineChars="200"/>
              <w:rPr>
                <w:color w:val="auto"/>
                <w:sz w:val="24"/>
              </w:rPr>
            </w:pPr>
          </w:p>
          <w:p w14:paraId="4799E1DE">
            <w:pPr>
              <w:spacing w:line="360" w:lineRule="auto"/>
              <w:ind w:firstLine="480" w:firstLineChars="200"/>
              <w:rPr>
                <w:color w:val="auto"/>
                <w:sz w:val="24"/>
              </w:rPr>
            </w:pPr>
          </w:p>
          <w:p w14:paraId="4B222394">
            <w:pPr>
              <w:spacing w:line="360" w:lineRule="auto"/>
              <w:ind w:firstLine="480" w:firstLineChars="200"/>
              <w:rPr>
                <w:color w:val="auto"/>
                <w:sz w:val="24"/>
              </w:rPr>
            </w:pPr>
            <w:r>
              <w:rPr>
                <w:color w:val="auto"/>
                <w:sz w:val="24"/>
              </w:rPr>
              <w:t>本项目主要污染物排放总量控制推荐指标量见表</w:t>
            </w:r>
            <w:r>
              <w:rPr>
                <w:rFonts w:hint="eastAsia"/>
                <w:color w:val="auto"/>
                <w:sz w:val="24"/>
              </w:rPr>
              <w:t>3-</w:t>
            </w:r>
            <w:r>
              <w:rPr>
                <w:rFonts w:hint="eastAsia"/>
                <w:color w:val="auto"/>
                <w:sz w:val="24"/>
                <w:lang w:val="en-US" w:eastAsia="zh-CN"/>
              </w:rPr>
              <w:t>10</w:t>
            </w:r>
            <w:r>
              <w:rPr>
                <w:color w:val="auto"/>
                <w:sz w:val="24"/>
              </w:rPr>
              <w:t>。</w:t>
            </w:r>
          </w:p>
          <w:p w14:paraId="075F22FD">
            <w:pPr>
              <w:pStyle w:val="2"/>
              <w:rPr>
                <w:color w:val="auto"/>
                <w:sz w:val="24"/>
              </w:rPr>
            </w:pPr>
          </w:p>
          <w:p w14:paraId="07C5AD40">
            <w:pPr>
              <w:snapToGrid w:val="0"/>
              <w:jc w:val="center"/>
              <w:rPr>
                <w:b/>
                <w:bCs/>
                <w:iCs/>
                <w:color w:val="auto"/>
                <w:kern w:val="0"/>
                <w:szCs w:val="21"/>
              </w:rPr>
            </w:pPr>
            <w:r>
              <w:rPr>
                <w:b/>
                <w:bCs/>
                <w:iCs/>
                <w:color w:val="auto"/>
                <w:kern w:val="0"/>
                <w:szCs w:val="21"/>
              </w:rPr>
              <w:t>表</w:t>
            </w:r>
            <w:r>
              <w:rPr>
                <w:rFonts w:hint="eastAsia"/>
                <w:b/>
                <w:bCs/>
                <w:iCs/>
                <w:color w:val="auto"/>
                <w:kern w:val="0"/>
                <w:szCs w:val="21"/>
              </w:rPr>
              <w:t>3-</w:t>
            </w:r>
            <w:r>
              <w:rPr>
                <w:rFonts w:hint="eastAsia"/>
                <w:b/>
                <w:bCs/>
                <w:iCs/>
                <w:color w:val="auto"/>
                <w:kern w:val="0"/>
                <w:szCs w:val="21"/>
                <w:lang w:val="en-US" w:eastAsia="zh-CN"/>
              </w:rPr>
              <w:t>10</w:t>
            </w:r>
            <w:r>
              <w:rPr>
                <w:rFonts w:hint="eastAsia"/>
                <w:b/>
                <w:bCs/>
                <w:iCs/>
                <w:color w:val="auto"/>
                <w:kern w:val="0"/>
                <w:szCs w:val="21"/>
              </w:rPr>
              <w:t xml:space="preserve"> </w:t>
            </w:r>
            <w:r>
              <w:rPr>
                <w:b/>
                <w:bCs/>
                <w:iCs/>
                <w:color w:val="auto"/>
                <w:kern w:val="0"/>
                <w:szCs w:val="21"/>
              </w:rPr>
              <w:t xml:space="preserve"> 本项目主要污染物总量控制推荐指标表    单位：t/a</w:t>
            </w:r>
          </w:p>
          <w:tbl>
            <w:tblPr>
              <w:tblStyle w:val="3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440"/>
              <w:gridCol w:w="3633"/>
            </w:tblGrid>
            <w:tr w14:paraId="59B06D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750" w:type="pct"/>
                  <w:vAlign w:val="center"/>
                </w:tcPr>
                <w:p w14:paraId="171B26FE">
                  <w:pPr>
                    <w:jc w:val="center"/>
                    <w:rPr>
                      <w:color w:val="auto"/>
                    </w:rPr>
                  </w:pPr>
                  <w:r>
                    <w:rPr>
                      <w:color w:val="auto"/>
                    </w:rPr>
                    <w:t>控制指标</w:t>
                  </w:r>
                </w:p>
              </w:tc>
              <w:tc>
                <w:tcPr>
                  <w:tcW w:w="2249" w:type="pct"/>
                  <w:vAlign w:val="center"/>
                </w:tcPr>
                <w:p w14:paraId="38966B09">
                  <w:pPr>
                    <w:jc w:val="center"/>
                    <w:rPr>
                      <w:color w:val="auto"/>
                    </w:rPr>
                  </w:pPr>
                  <w:r>
                    <w:rPr>
                      <w:rFonts w:hint="eastAsia"/>
                      <w:color w:val="auto"/>
                    </w:rPr>
                    <w:t>工业粉尘</w:t>
                  </w:r>
                </w:p>
              </w:tc>
            </w:tr>
            <w:tr w14:paraId="48B53B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14" w:hRule="atLeast"/>
                <w:jc w:val="center"/>
              </w:trPr>
              <w:tc>
                <w:tcPr>
                  <w:tcW w:w="2750" w:type="pct"/>
                  <w:vAlign w:val="center"/>
                </w:tcPr>
                <w:p w14:paraId="000CBD4D">
                  <w:pPr>
                    <w:jc w:val="center"/>
                    <w:rPr>
                      <w:color w:val="auto"/>
                    </w:rPr>
                  </w:pPr>
                  <w:r>
                    <w:rPr>
                      <w:color w:val="auto"/>
                    </w:rPr>
                    <w:t>预测排放量</w:t>
                  </w:r>
                </w:p>
              </w:tc>
              <w:tc>
                <w:tcPr>
                  <w:tcW w:w="2249" w:type="pct"/>
                  <w:vAlign w:val="center"/>
                </w:tcPr>
                <w:p w14:paraId="7C8A9806">
                  <w:pPr>
                    <w:pStyle w:val="9"/>
                    <w:adjustRightInd w:val="0"/>
                    <w:snapToGrid w:val="0"/>
                    <w:spacing w:after="0"/>
                    <w:ind w:firstLine="0" w:firstLineChars="0"/>
                    <w:jc w:val="center"/>
                    <w:rPr>
                      <w:rFonts w:hint="default" w:ascii="Times New Roman" w:hAnsi="Times New Roman" w:eastAsia="宋体" w:cs="Times New Roman"/>
                      <w:color w:val="auto"/>
                      <w:kern w:val="0"/>
                      <w:szCs w:val="21"/>
                      <w:lang w:val="en-US" w:eastAsia="zh-CN"/>
                    </w:rPr>
                  </w:pPr>
                  <w:r>
                    <w:rPr>
                      <w:rFonts w:hint="eastAsia"/>
                      <w:color w:val="auto"/>
                      <w:spacing w:val="-10"/>
                      <w:szCs w:val="21"/>
                      <w:lang w:val="en-US" w:eastAsia="zh-CN"/>
                    </w:rPr>
                    <w:t>9.059</w:t>
                  </w:r>
                </w:p>
              </w:tc>
            </w:tr>
          </w:tbl>
          <w:p w14:paraId="62F3C422">
            <w:pPr>
              <w:rPr>
                <w:rFonts w:hint="eastAsia"/>
                <w:color w:val="auto"/>
                <w:lang w:val="en-US" w:eastAsia="zh-CN"/>
              </w:rPr>
            </w:pPr>
          </w:p>
          <w:p w14:paraId="6A0DB836">
            <w:pPr>
              <w:pStyle w:val="2"/>
              <w:rPr>
                <w:rFonts w:hint="eastAsia"/>
                <w:color w:val="auto"/>
                <w:lang w:val="en-US" w:eastAsia="zh-CN"/>
              </w:rPr>
            </w:pPr>
          </w:p>
          <w:p w14:paraId="7D0202B3">
            <w:pPr>
              <w:pStyle w:val="2"/>
              <w:rPr>
                <w:rFonts w:hint="eastAsia"/>
                <w:color w:val="auto"/>
                <w:lang w:val="en-US" w:eastAsia="zh-CN"/>
              </w:rPr>
            </w:pPr>
          </w:p>
          <w:p w14:paraId="3105D9A1">
            <w:pPr>
              <w:pStyle w:val="2"/>
              <w:rPr>
                <w:rFonts w:hint="eastAsia"/>
                <w:color w:val="auto"/>
                <w:lang w:val="en-US" w:eastAsia="zh-CN"/>
              </w:rPr>
            </w:pPr>
          </w:p>
          <w:p w14:paraId="6F9B2627">
            <w:pPr>
              <w:pStyle w:val="2"/>
              <w:rPr>
                <w:rFonts w:hint="eastAsia"/>
                <w:color w:val="auto"/>
                <w:lang w:val="en-US" w:eastAsia="zh-CN"/>
              </w:rPr>
            </w:pPr>
          </w:p>
          <w:p w14:paraId="08F66929">
            <w:pPr>
              <w:pStyle w:val="2"/>
              <w:rPr>
                <w:rFonts w:hint="eastAsia"/>
                <w:color w:val="auto"/>
                <w:lang w:val="en-US" w:eastAsia="zh-CN"/>
              </w:rPr>
            </w:pPr>
          </w:p>
          <w:p w14:paraId="430A8387">
            <w:pPr>
              <w:pStyle w:val="2"/>
              <w:rPr>
                <w:rFonts w:hint="eastAsia"/>
                <w:color w:val="auto"/>
                <w:lang w:val="en-US" w:eastAsia="zh-CN"/>
              </w:rPr>
            </w:pPr>
          </w:p>
          <w:p w14:paraId="1EF07935">
            <w:pPr>
              <w:pStyle w:val="2"/>
              <w:rPr>
                <w:rFonts w:hint="eastAsia"/>
                <w:color w:val="auto"/>
                <w:lang w:val="en-US" w:eastAsia="zh-CN"/>
              </w:rPr>
            </w:pPr>
          </w:p>
          <w:p w14:paraId="5BDA9E28">
            <w:pPr>
              <w:pStyle w:val="2"/>
              <w:rPr>
                <w:rFonts w:hint="eastAsia"/>
                <w:color w:val="auto"/>
                <w:lang w:val="en-US" w:eastAsia="zh-CN"/>
              </w:rPr>
            </w:pPr>
          </w:p>
          <w:p w14:paraId="098B34E8">
            <w:pPr>
              <w:pStyle w:val="2"/>
              <w:rPr>
                <w:rFonts w:hint="eastAsia"/>
                <w:color w:val="auto"/>
                <w:lang w:val="en-US" w:eastAsia="zh-CN"/>
              </w:rPr>
            </w:pPr>
          </w:p>
          <w:p w14:paraId="017F4D4A">
            <w:pPr>
              <w:pStyle w:val="2"/>
              <w:rPr>
                <w:rFonts w:hint="eastAsia"/>
                <w:color w:val="auto"/>
                <w:lang w:val="en-US" w:eastAsia="zh-CN"/>
              </w:rPr>
            </w:pPr>
          </w:p>
          <w:p w14:paraId="2C1278DC">
            <w:pPr>
              <w:pStyle w:val="2"/>
              <w:rPr>
                <w:rFonts w:hint="eastAsia"/>
                <w:color w:val="auto"/>
                <w:lang w:val="en-US" w:eastAsia="zh-CN"/>
              </w:rPr>
            </w:pPr>
          </w:p>
          <w:p w14:paraId="25EDE23F">
            <w:pPr>
              <w:pStyle w:val="2"/>
              <w:rPr>
                <w:rFonts w:hint="eastAsia"/>
                <w:color w:val="auto"/>
                <w:lang w:val="en-US" w:eastAsia="zh-CN"/>
              </w:rPr>
            </w:pPr>
          </w:p>
          <w:p w14:paraId="07878E96">
            <w:pPr>
              <w:pStyle w:val="2"/>
              <w:rPr>
                <w:rFonts w:hint="eastAsia"/>
                <w:color w:val="auto"/>
                <w:lang w:val="en-US" w:eastAsia="zh-CN"/>
              </w:rPr>
            </w:pPr>
          </w:p>
          <w:p w14:paraId="36C4B6EB">
            <w:pPr>
              <w:pStyle w:val="2"/>
              <w:rPr>
                <w:rFonts w:hint="eastAsia"/>
                <w:color w:val="auto"/>
                <w:lang w:val="en-US" w:eastAsia="zh-CN"/>
              </w:rPr>
            </w:pPr>
          </w:p>
          <w:p w14:paraId="7E026137">
            <w:pPr>
              <w:pStyle w:val="2"/>
              <w:rPr>
                <w:rFonts w:hint="eastAsia"/>
                <w:color w:val="auto"/>
                <w:lang w:val="en-US" w:eastAsia="zh-CN"/>
              </w:rPr>
            </w:pPr>
          </w:p>
          <w:p w14:paraId="0AACEA11">
            <w:pPr>
              <w:pStyle w:val="2"/>
              <w:rPr>
                <w:rFonts w:hint="eastAsia"/>
                <w:color w:val="auto"/>
                <w:lang w:val="en-US" w:eastAsia="zh-CN"/>
              </w:rPr>
            </w:pPr>
          </w:p>
          <w:p w14:paraId="3E907818">
            <w:pPr>
              <w:pStyle w:val="2"/>
              <w:rPr>
                <w:rFonts w:hint="eastAsia"/>
                <w:color w:val="auto"/>
                <w:lang w:val="en-US" w:eastAsia="zh-CN"/>
              </w:rPr>
            </w:pPr>
          </w:p>
          <w:p w14:paraId="35B19374">
            <w:pPr>
              <w:pStyle w:val="2"/>
              <w:rPr>
                <w:rFonts w:hint="eastAsia"/>
                <w:color w:val="auto"/>
                <w:lang w:val="en-US" w:eastAsia="zh-CN"/>
              </w:rPr>
            </w:pPr>
          </w:p>
        </w:tc>
      </w:tr>
    </w:tbl>
    <w:p w14:paraId="11B3C34F">
      <w:pPr>
        <w:pStyle w:val="15"/>
        <w:outlineLvl w:val="0"/>
        <w:rPr>
          <w:rFonts w:ascii="Times New Roman" w:hAnsi="Times New Roman"/>
          <w:snapToGrid w:val="0"/>
          <w:color w:val="auto"/>
          <w:sz w:val="30"/>
          <w:szCs w:val="30"/>
        </w:rPr>
      </w:pPr>
      <w:r>
        <w:rPr>
          <w:rFonts w:ascii="Times New Roman" w:hAnsi="Times New Roman"/>
          <w:snapToGrid w:val="0"/>
          <w:color w:val="auto"/>
          <w:sz w:val="36"/>
          <w:szCs w:val="36"/>
        </w:rPr>
        <w:br w:type="page"/>
      </w:r>
      <w:bookmarkStart w:id="14" w:name="_Toc73523373"/>
      <w:r>
        <w:rPr>
          <w:rFonts w:hint="eastAsia" w:ascii="Times New Roman" w:hAnsi="Times New Roman"/>
          <w:snapToGrid w:val="0"/>
          <w:color w:val="auto"/>
          <w:sz w:val="30"/>
          <w:szCs w:val="30"/>
        </w:rPr>
        <w:t>四、主要环境影响和保护措施</w:t>
      </w:r>
      <w:bookmarkEnd w:id="14"/>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8370"/>
      </w:tblGrid>
      <w:tr w14:paraId="13A7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vAlign w:val="center"/>
          </w:tcPr>
          <w:p w14:paraId="52313742">
            <w:pPr>
              <w:jc w:val="center"/>
              <w:rPr>
                <w:snapToGrid w:val="0"/>
                <w:color w:val="auto"/>
                <w:sz w:val="30"/>
                <w:szCs w:val="30"/>
              </w:rPr>
            </w:pPr>
            <w:r>
              <w:rPr>
                <w:rFonts w:hint="eastAsia"/>
                <w:b/>
                <w:bCs/>
                <w:color w:val="auto"/>
              </w:rPr>
              <w:t>施工期环境影响和保护措施</w:t>
            </w:r>
          </w:p>
        </w:tc>
        <w:tc>
          <w:tcPr>
            <w:tcW w:w="8370" w:type="dxa"/>
            <w:vAlign w:val="center"/>
          </w:tcPr>
          <w:p w14:paraId="45DCFC00">
            <w:pPr>
              <w:pStyle w:val="172"/>
              <w:keepNext w:val="0"/>
              <w:keepLines w:val="0"/>
              <w:pageBreakBefore w:val="0"/>
              <w:kinsoku/>
              <w:wordWrap/>
              <w:overflowPunct/>
              <w:topLinePunct w:val="0"/>
              <w:autoSpaceDE/>
              <w:autoSpaceDN/>
              <w:bidi w:val="0"/>
              <w:spacing w:beforeAutospacing="0" w:afterAutospacing="0" w:line="360" w:lineRule="auto"/>
              <w:ind w:left="0" w:leftChars="0" w:right="0" w:rightChars="0" w:firstLine="480" w:firstLineChars="200"/>
              <w:textAlignment w:val="auto"/>
              <w:rPr>
                <w:rFonts w:hint="eastAsia" w:ascii="Times New Roman" w:hAnsi="Times New Roman" w:cs="Times New Roman" w:eastAsiaTheme="minorEastAsia"/>
                <w:color w:val="auto"/>
                <w:kern w:val="0"/>
                <w:sz w:val="24"/>
                <w:highlight w:val="none"/>
                <w:lang w:val="en-US" w:eastAsia="zh-CN"/>
              </w:rPr>
            </w:pPr>
            <w:r>
              <w:rPr>
                <w:rFonts w:hint="eastAsia" w:ascii="Times New Roman" w:hAnsi="Times New Roman" w:cs="Times New Roman" w:eastAsiaTheme="minorEastAsia"/>
                <w:color w:val="auto"/>
                <w:kern w:val="0"/>
                <w:sz w:val="24"/>
                <w:highlight w:val="none"/>
                <w:lang w:val="en-US" w:eastAsia="zh-CN"/>
              </w:rPr>
              <w:t>本项目施工期主要进行环保措施的建设，包括：安装防风抑尘网、车辆清洗区域的沉淀池、雨水收集池以及厂区硬化。</w:t>
            </w:r>
            <w:r>
              <w:rPr>
                <w:rFonts w:hint="default" w:ascii="Times New Roman" w:hAnsi="Times New Roman" w:cs="Times New Roman" w:eastAsiaTheme="minorEastAsia"/>
                <w:color w:val="auto"/>
                <w:kern w:val="0"/>
                <w:sz w:val="24"/>
                <w:highlight w:val="none"/>
                <w:lang w:val="en-US" w:eastAsia="zh-CN"/>
              </w:rPr>
              <w:t>项目施工期污染主要是建设过程产生的粉尘、噪声、固体废物、生活污水、施工废水等。</w:t>
            </w:r>
          </w:p>
          <w:p w14:paraId="4EF025F8">
            <w:pPr>
              <w:pStyle w:val="172"/>
              <w:keepNext w:val="0"/>
              <w:keepLines w:val="0"/>
              <w:pageBreakBefore w:val="0"/>
              <w:kinsoku/>
              <w:wordWrap/>
              <w:overflowPunct/>
              <w:topLinePunct w:val="0"/>
              <w:autoSpaceDE/>
              <w:autoSpaceDN/>
              <w:bidi w:val="0"/>
              <w:spacing w:beforeAutospacing="0" w:afterAutospacing="0" w:line="360" w:lineRule="auto"/>
              <w:ind w:left="0" w:leftChars="0" w:right="0" w:rightChars="0" w:firstLine="480" w:firstLineChars="200"/>
              <w:textAlignment w:val="auto"/>
              <w:rPr>
                <w:rFonts w:hint="eastAsia" w:ascii="Times New Roman" w:hAnsi="Times New Roman" w:cs="Times New Roman" w:eastAsiaTheme="minorEastAsia"/>
                <w:color w:val="auto"/>
                <w:kern w:val="0"/>
                <w:sz w:val="24"/>
                <w:highlight w:val="none"/>
                <w:lang w:val="en-US" w:eastAsia="zh-CN"/>
              </w:rPr>
            </w:pPr>
            <w:r>
              <w:rPr>
                <w:rFonts w:hint="eastAsia" w:ascii="Times New Roman" w:hAnsi="Times New Roman" w:cs="Times New Roman" w:eastAsiaTheme="minorEastAsia"/>
                <w:color w:val="auto"/>
                <w:kern w:val="0"/>
                <w:sz w:val="24"/>
                <w:highlight w:val="none"/>
                <w:lang w:val="en-US" w:eastAsia="zh-CN"/>
              </w:rPr>
              <w:t>1、大气环境影响分析</w:t>
            </w:r>
          </w:p>
          <w:p w14:paraId="097FBE41">
            <w:pPr>
              <w:pStyle w:val="172"/>
              <w:keepNext w:val="0"/>
              <w:keepLines w:val="0"/>
              <w:pageBreakBefore w:val="0"/>
              <w:kinsoku/>
              <w:wordWrap/>
              <w:overflowPunct/>
              <w:topLinePunct w:val="0"/>
              <w:autoSpaceDE/>
              <w:autoSpaceDN/>
              <w:bidi w:val="0"/>
              <w:spacing w:beforeAutospacing="0" w:afterAutospacing="0" w:line="360" w:lineRule="auto"/>
              <w:ind w:left="0" w:leftChars="0" w:right="0" w:rightChars="0" w:firstLine="480" w:firstLineChars="200"/>
              <w:textAlignment w:val="auto"/>
              <w:rPr>
                <w:rFonts w:hint="default" w:ascii="Times New Roman" w:hAnsi="Times New Roman" w:cs="Times New Roman" w:eastAsiaTheme="minorEastAsia"/>
                <w:color w:val="auto"/>
                <w:kern w:val="0"/>
                <w:sz w:val="24"/>
                <w:highlight w:val="none"/>
                <w:lang w:val="en-US" w:eastAsia="zh-CN"/>
              </w:rPr>
            </w:pPr>
            <w:r>
              <w:rPr>
                <w:rFonts w:hint="eastAsia" w:ascii="Times New Roman" w:hAnsi="Times New Roman" w:cs="Times New Roman" w:eastAsiaTheme="minorEastAsia"/>
                <w:color w:val="auto"/>
                <w:kern w:val="0"/>
                <w:sz w:val="24"/>
                <w:highlight w:val="none"/>
                <w:lang w:val="en-US" w:eastAsia="zh-CN"/>
              </w:rPr>
              <w:t>项目建设期对当地环境空气质量的影响</w:t>
            </w:r>
            <w:r>
              <w:rPr>
                <w:rFonts w:hint="default" w:ascii="Times New Roman" w:hAnsi="Times New Roman" w:eastAsia="宋体" w:cs="Times New Roman"/>
                <w:color w:val="auto"/>
                <w:kern w:val="0"/>
                <w:sz w:val="24"/>
                <w:szCs w:val="24"/>
                <w:highlight w:val="none"/>
                <w:lang w:val="en-US" w:eastAsia="zh-CN" w:bidi="ar-SA"/>
              </w:rPr>
              <w:t>建设过程产生的粉尘</w:t>
            </w:r>
            <w:r>
              <w:rPr>
                <w:rFonts w:hint="eastAsia" w:ascii="Times New Roman" w:hAnsi="Times New Roman" w:cs="Times New Roman" w:eastAsiaTheme="minorEastAsia"/>
                <w:color w:val="auto"/>
                <w:kern w:val="0"/>
                <w:sz w:val="24"/>
                <w:highlight w:val="none"/>
                <w:lang w:val="en-US" w:eastAsia="zh-CN"/>
              </w:rPr>
              <w:t>，主要污染因子是TSP。为最大限度的减轻施工扬尘对环境空气的影响，</w:t>
            </w:r>
            <w:r>
              <w:rPr>
                <w:rFonts w:hint="default" w:ascii="Times New Roman" w:hAnsi="Times New Roman" w:eastAsia="宋体" w:cs="Times New Roman"/>
                <w:color w:val="auto"/>
                <w:kern w:val="0"/>
                <w:sz w:val="24"/>
                <w:szCs w:val="24"/>
                <w:highlight w:val="none"/>
                <w:lang w:val="en-US" w:eastAsia="zh-CN" w:bidi="ar-SA"/>
              </w:rPr>
              <w:t>施工期原料堆场施工现场设置围栏，运送建筑原料的车辆用苫布遮盖，施工场地洒水抑尘</w:t>
            </w:r>
            <w:r>
              <w:rPr>
                <w:rFonts w:hint="eastAsia" w:ascii="Times New Roman" w:hAnsi="Times New Roman" w:eastAsia="宋体" w:cs="Times New Roman"/>
                <w:color w:val="auto"/>
                <w:kern w:val="0"/>
                <w:sz w:val="24"/>
                <w:szCs w:val="24"/>
                <w:highlight w:val="none"/>
                <w:lang w:val="en-US" w:eastAsia="zh-CN" w:bidi="ar-SA"/>
              </w:rPr>
              <w:t>。</w:t>
            </w:r>
          </w:p>
          <w:p w14:paraId="36215444">
            <w:pPr>
              <w:pStyle w:val="172"/>
              <w:keepNext w:val="0"/>
              <w:keepLines w:val="0"/>
              <w:pageBreakBefore w:val="0"/>
              <w:kinsoku/>
              <w:wordWrap/>
              <w:overflowPunct/>
              <w:topLinePunct w:val="0"/>
              <w:autoSpaceDE/>
              <w:autoSpaceDN/>
              <w:bidi w:val="0"/>
              <w:spacing w:beforeAutospacing="0" w:afterAutospacing="0" w:line="360" w:lineRule="auto"/>
              <w:ind w:left="0" w:leftChars="0" w:right="0" w:rightChars="0" w:firstLine="480" w:firstLineChars="200"/>
              <w:textAlignment w:val="auto"/>
              <w:rPr>
                <w:rFonts w:hint="eastAsia" w:ascii="Times New Roman" w:hAnsi="Times New Roman" w:cs="Times New Roman" w:eastAsiaTheme="minorEastAsia"/>
                <w:color w:val="auto"/>
                <w:kern w:val="0"/>
                <w:sz w:val="24"/>
                <w:highlight w:val="none"/>
                <w:lang w:val="en-US" w:eastAsia="zh-CN"/>
              </w:rPr>
            </w:pPr>
            <w:r>
              <w:rPr>
                <w:rFonts w:hint="eastAsia" w:ascii="Times New Roman" w:hAnsi="Times New Roman" w:cs="Times New Roman" w:eastAsiaTheme="minorEastAsia"/>
                <w:color w:val="auto"/>
                <w:kern w:val="0"/>
                <w:sz w:val="24"/>
                <w:highlight w:val="none"/>
                <w:lang w:val="en-US" w:eastAsia="zh-CN"/>
              </w:rPr>
              <w:t>采取措施后厂界颗粒物符合《大气污染物综合排放标准》（GB16297-1996）表2中无组织排放监控浓度限值要求</w:t>
            </w:r>
            <w:r>
              <w:rPr>
                <w:rFonts w:hint="default" w:ascii="Times New Roman" w:hAnsi="Times New Roman" w:cs="Times New Roman" w:eastAsiaTheme="minorEastAsia"/>
                <w:color w:val="auto"/>
                <w:kern w:val="0"/>
                <w:sz w:val="24"/>
                <w:highlight w:val="none"/>
                <w:lang w:val="en-US" w:eastAsia="zh-CN"/>
              </w:rPr>
              <w:t>。</w:t>
            </w:r>
          </w:p>
          <w:p w14:paraId="403B7BE6">
            <w:pPr>
              <w:pStyle w:val="172"/>
              <w:keepNext w:val="0"/>
              <w:keepLines w:val="0"/>
              <w:pageBreakBefore w:val="0"/>
              <w:kinsoku/>
              <w:wordWrap/>
              <w:overflowPunct/>
              <w:topLinePunct w:val="0"/>
              <w:autoSpaceDE/>
              <w:autoSpaceDN/>
              <w:bidi w:val="0"/>
              <w:spacing w:beforeAutospacing="0" w:afterAutospacing="0" w:line="360" w:lineRule="auto"/>
              <w:ind w:left="0" w:leftChars="0" w:right="0" w:rightChars="0" w:firstLine="480" w:firstLineChars="200"/>
              <w:textAlignment w:val="auto"/>
              <w:rPr>
                <w:rFonts w:hint="eastAsia" w:ascii="Times New Roman" w:hAnsi="Times New Roman" w:cs="Times New Roman" w:eastAsiaTheme="minorEastAsia"/>
                <w:color w:val="auto"/>
                <w:kern w:val="0"/>
                <w:sz w:val="24"/>
                <w:highlight w:val="none"/>
                <w:lang w:val="en-US" w:eastAsia="zh-CN"/>
              </w:rPr>
            </w:pPr>
            <w:r>
              <w:rPr>
                <w:rFonts w:hint="eastAsia" w:ascii="Times New Roman" w:hAnsi="Times New Roman" w:cs="Times New Roman" w:eastAsiaTheme="minorEastAsia"/>
                <w:color w:val="auto"/>
                <w:kern w:val="0"/>
                <w:sz w:val="24"/>
                <w:highlight w:val="none"/>
                <w:lang w:val="en-US" w:eastAsia="zh-CN"/>
              </w:rPr>
              <w:t>2、声环境影响分析</w:t>
            </w:r>
          </w:p>
          <w:p w14:paraId="6F473774">
            <w:pPr>
              <w:pStyle w:val="172"/>
              <w:keepNext w:val="0"/>
              <w:keepLines w:val="0"/>
              <w:pageBreakBefore w:val="0"/>
              <w:kinsoku/>
              <w:wordWrap/>
              <w:overflowPunct/>
              <w:topLinePunct w:val="0"/>
              <w:autoSpaceDE/>
              <w:autoSpaceDN/>
              <w:bidi w:val="0"/>
              <w:spacing w:beforeAutospacing="0" w:afterAutospacing="0" w:line="360" w:lineRule="auto"/>
              <w:ind w:left="0" w:leftChars="0" w:right="0" w:rightChars="0" w:firstLine="480" w:firstLineChars="200"/>
              <w:textAlignment w:val="auto"/>
              <w:rPr>
                <w:rFonts w:hint="eastAsia" w:ascii="Times New Roman" w:hAnsi="Times New Roman" w:cs="Times New Roman" w:eastAsiaTheme="minorEastAsia"/>
                <w:color w:val="auto"/>
                <w:kern w:val="0"/>
                <w:sz w:val="24"/>
                <w:highlight w:val="none"/>
                <w:lang w:val="en-US" w:eastAsia="zh-CN"/>
              </w:rPr>
            </w:pPr>
            <w:r>
              <w:rPr>
                <w:rFonts w:hint="default" w:ascii="Times New Roman" w:hAnsi="Times New Roman" w:eastAsia="宋体" w:cs="Times New Roman"/>
                <w:color w:val="auto"/>
                <w:kern w:val="0"/>
                <w:sz w:val="24"/>
                <w:szCs w:val="24"/>
                <w:highlight w:val="none"/>
                <w:lang w:val="en-US" w:eastAsia="zh-CN" w:bidi="ar-SA"/>
              </w:rPr>
              <w:t>施工期选用低噪声设备，加强运输车辆管理，夜间停止施工等措施，采取措施后场界噪声符合《建筑施工场界环境噪声排放标准》（GB12523-2025）要求。</w:t>
            </w:r>
          </w:p>
          <w:p w14:paraId="62C435DA">
            <w:pPr>
              <w:pStyle w:val="172"/>
              <w:keepNext w:val="0"/>
              <w:keepLines w:val="0"/>
              <w:pageBreakBefore w:val="0"/>
              <w:kinsoku/>
              <w:wordWrap/>
              <w:overflowPunct/>
              <w:topLinePunct w:val="0"/>
              <w:autoSpaceDE/>
              <w:autoSpaceDN/>
              <w:bidi w:val="0"/>
              <w:spacing w:beforeAutospacing="0" w:afterAutospacing="0" w:line="360" w:lineRule="auto"/>
              <w:ind w:left="0" w:leftChars="0" w:right="0" w:rightChars="0" w:firstLine="480" w:firstLineChars="200"/>
              <w:textAlignment w:val="auto"/>
              <w:rPr>
                <w:rFonts w:hint="eastAsia" w:ascii="Times New Roman" w:hAnsi="Times New Roman" w:cs="Times New Roman" w:eastAsiaTheme="minorEastAsia"/>
                <w:color w:val="auto"/>
                <w:kern w:val="0"/>
                <w:sz w:val="24"/>
                <w:highlight w:val="none"/>
                <w:lang w:val="en-US" w:eastAsia="zh-CN"/>
              </w:rPr>
            </w:pPr>
            <w:r>
              <w:rPr>
                <w:rFonts w:hint="eastAsia" w:ascii="Times New Roman" w:hAnsi="Times New Roman" w:cs="Times New Roman" w:eastAsiaTheme="minorEastAsia"/>
                <w:color w:val="auto"/>
                <w:kern w:val="0"/>
                <w:sz w:val="24"/>
                <w:highlight w:val="none"/>
                <w:lang w:val="en-US" w:eastAsia="zh-CN"/>
              </w:rPr>
              <w:t>3、水环境影响分析</w:t>
            </w:r>
          </w:p>
          <w:p w14:paraId="491A65F6">
            <w:pPr>
              <w:pStyle w:val="172"/>
              <w:keepNext w:val="0"/>
              <w:keepLines w:val="0"/>
              <w:pageBreakBefore w:val="0"/>
              <w:kinsoku/>
              <w:wordWrap/>
              <w:overflowPunct/>
              <w:topLinePunct w:val="0"/>
              <w:autoSpaceDE/>
              <w:autoSpaceDN/>
              <w:bidi w:val="0"/>
              <w:spacing w:beforeAutospacing="0" w:afterAutospacing="0" w:line="360" w:lineRule="auto"/>
              <w:ind w:left="0" w:leftChars="0" w:right="0" w:rightChars="0" w:firstLine="480" w:firstLineChars="200"/>
              <w:textAlignment w:val="auto"/>
              <w:rPr>
                <w:rFonts w:hint="eastAsia"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施工期施工废水沉淀后用于厂区洒水降尘。施工人员生活污水排入厂区现有</w:t>
            </w:r>
            <w:r>
              <w:rPr>
                <w:rFonts w:hint="eastAsia" w:ascii="Times New Roman" w:hAnsi="Times New Roman" w:eastAsia="宋体" w:cs="Times New Roman"/>
                <w:color w:val="auto"/>
                <w:kern w:val="0"/>
                <w:sz w:val="24"/>
                <w:szCs w:val="24"/>
                <w:highlight w:val="none"/>
                <w:lang w:val="en-US" w:eastAsia="zh-CN" w:bidi="ar-SA"/>
              </w:rPr>
              <w:t>防渗旱厕</w:t>
            </w:r>
            <w:r>
              <w:rPr>
                <w:rFonts w:hint="default"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定期清掏堆肥处理</w:t>
            </w:r>
            <w:r>
              <w:rPr>
                <w:rFonts w:hint="default" w:ascii="Times New Roman" w:hAnsi="Times New Roman" w:eastAsia="宋体" w:cs="Times New Roman"/>
                <w:color w:val="auto"/>
                <w:kern w:val="0"/>
                <w:sz w:val="24"/>
                <w:szCs w:val="24"/>
                <w:highlight w:val="none"/>
                <w:lang w:val="en-US" w:eastAsia="zh-CN" w:bidi="ar-SA"/>
              </w:rPr>
              <w:t>。</w:t>
            </w:r>
          </w:p>
          <w:p w14:paraId="58980C8E">
            <w:pPr>
              <w:pStyle w:val="172"/>
              <w:keepNext w:val="0"/>
              <w:keepLines w:val="0"/>
              <w:pageBreakBefore w:val="0"/>
              <w:kinsoku/>
              <w:wordWrap/>
              <w:overflowPunct/>
              <w:topLinePunct w:val="0"/>
              <w:autoSpaceDE/>
              <w:autoSpaceDN/>
              <w:bidi w:val="0"/>
              <w:spacing w:beforeAutospacing="0" w:afterAutospacing="0" w:line="360" w:lineRule="auto"/>
              <w:ind w:left="0" w:leftChars="0" w:right="0" w:rightChars="0" w:firstLine="480" w:firstLineChars="200"/>
              <w:textAlignment w:val="auto"/>
              <w:rPr>
                <w:rFonts w:hint="eastAsia" w:ascii="Times New Roman" w:hAnsi="Times New Roman" w:cs="Times New Roman" w:eastAsiaTheme="minorEastAsia"/>
                <w:color w:val="auto"/>
                <w:kern w:val="0"/>
                <w:sz w:val="24"/>
                <w:highlight w:val="none"/>
                <w:lang w:val="en-US" w:eastAsia="zh-CN"/>
              </w:rPr>
            </w:pPr>
            <w:r>
              <w:rPr>
                <w:rFonts w:hint="eastAsia" w:ascii="Times New Roman" w:hAnsi="Times New Roman" w:cs="Times New Roman" w:eastAsiaTheme="minorEastAsia"/>
                <w:color w:val="auto"/>
                <w:kern w:val="0"/>
                <w:sz w:val="24"/>
                <w:highlight w:val="none"/>
                <w:lang w:val="en-US" w:eastAsia="zh-CN"/>
              </w:rPr>
              <w:t>4、施工期固体废物影响分析</w:t>
            </w:r>
          </w:p>
          <w:p w14:paraId="53C6BAC1">
            <w:pPr>
              <w:adjustRightInd w:val="0"/>
              <w:snapToGrid w:val="0"/>
              <w:spacing w:line="360" w:lineRule="auto"/>
              <w:ind w:firstLine="480" w:firstLineChars="200"/>
              <w:rPr>
                <w:rFonts w:hint="eastAsia"/>
                <w:color w:val="auto"/>
                <w:kern w:val="0"/>
                <w:sz w:val="24"/>
                <w:szCs w:val="20"/>
                <w:lang w:eastAsia="zh-CN"/>
              </w:rPr>
            </w:pPr>
            <w:r>
              <w:rPr>
                <w:rFonts w:hint="default" w:ascii="Times New Roman" w:hAnsi="Times New Roman" w:eastAsia="宋体" w:cs="Times New Roman"/>
                <w:color w:val="auto"/>
                <w:kern w:val="0"/>
                <w:sz w:val="24"/>
                <w:szCs w:val="24"/>
                <w:highlight w:val="none"/>
                <w:lang w:val="en-US" w:eastAsia="zh-CN" w:bidi="ar-SA"/>
              </w:rPr>
              <w:t>本项目施工人员</w:t>
            </w:r>
            <w:r>
              <w:rPr>
                <w:rFonts w:hint="eastAsia" w:ascii="Times New Roman" w:hAnsi="Times New Roman" w:eastAsia="宋体" w:cs="Times New Roman"/>
                <w:color w:val="auto"/>
                <w:kern w:val="0"/>
                <w:sz w:val="24"/>
                <w:szCs w:val="24"/>
                <w:highlight w:val="none"/>
                <w:lang w:val="en-US" w:eastAsia="zh-CN" w:bidi="ar-SA"/>
              </w:rPr>
              <w:t>4</w:t>
            </w:r>
            <w:r>
              <w:rPr>
                <w:rFonts w:hint="default" w:ascii="Times New Roman" w:hAnsi="Times New Roman" w:eastAsia="宋体" w:cs="Times New Roman"/>
                <w:color w:val="auto"/>
                <w:kern w:val="0"/>
                <w:sz w:val="24"/>
                <w:szCs w:val="24"/>
                <w:highlight w:val="none"/>
                <w:lang w:val="en-US" w:eastAsia="zh-CN" w:bidi="ar-SA"/>
              </w:rPr>
              <w:t>人，按照每人每天产生垃圾0.5kg，工作日以</w:t>
            </w:r>
            <w:r>
              <w:rPr>
                <w:rFonts w:hint="eastAsia" w:ascii="Times New Roman" w:hAnsi="Times New Roman" w:eastAsia="宋体" w:cs="Times New Roman"/>
                <w:color w:val="auto"/>
                <w:kern w:val="0"/>
                <w:sz w:val="24"/>
                <w:szCs w:val="24"/>
                <w:highlight w:val="none"/>
                <w:lang w:val="en-US" w:eastAsia="zh-CN" w:bidi="ar-SA"/>
              </w:rPr>
              <w:t>45天</w:t>
            </w:r>
            <w:r>
              <w:rPr>
                <w:rFonts w:hint="default" w:ascii="Times New Roman" w:hAnsi="Times New Roman" w:eastAsia="宋体" w:cs="Times New Roman"/>
                <w:color w:val="auto"/>
                <w:kern w:val="0"/>
                <w:sz w:val="24"/>
                <w:szCs w:val="24"/>
                <w:highlight w:val="none"/>
                <w:lang w:val="en-US" w:eastAsia="zh-CN" w:bidi="ar-SA"/>
              </w:rPr>
              <w:t>计算，则生活垃圾的产生量为</w:t>
            </w:r>
            <w:r>
              <w:rPr>
                <w:rFonts w:hint="eastAsia" w:ascii="Times New Roman" w:hAnsi="Times New Roman" w:eastAsia="宋体" w:cs="Times New Roman"/>
                <w:color w:val="auto"/>
                <w:kern w:val="0"/>
                <w:sz w:val="24"/>
                <w:szCs w:val="24"/>
                <w:highlight w:val="none"/>
                <w:lang w:val="en-US" w:eastAsia="zh-CN" w:bidi="ar-SA"/>
              </w:rPr>
              <w:t>0.002t/d，0.09t/a</w:t>
            </w:r>
            <w:r>
              <w:rPr>
                <w:rFonts w:hint="default" w:ascii="Times New Roman" w:hAnsi="Times New Roman" w:eastAsia="宋体" w:cs="Times New Roman"/>
                <w:color w:val="auto"/>
                <w:kern w:val="0"/>
                <w:sz w:val="24"/>
                <w:szCs w:val="24"/>
                <w:highlight w:val="none"/>
                <w:lang w:val="en-US" w:eastAsia="zh-CN" w:bidi="ar-SA"/>
              </w:rPr>
              <w:t>。产生的生活垃圾定点袋装后交由市政部门统一处理。建筑垃圾运送至指定地点处置，不对外随意排放，对当地环境影响较小</w:t>
            </w:r>
            <w:r>
              <w:rPr>
                <w:rFonts w:hint="eastAsia"/>
                <w:color w:val="auto"/>
                <w:kern w:val="0"/>
                <w:sz w:val="24"/>
                <w:szCs w:val="20"/>
                <w:lang w:eastAsia="zh-CN"/>
              </w:rPr>
              <w:t>。</w:t>
            </w:r>
          </w:p>
          <w:p w14:paraId="45C9EF02">
            <w:pPr>
              <w:adjustRightInd w:val="0"/>
              <w:snapToGrid w:val="0"/>
              <w:spacing w:line="360" w:lineRule="auto"/>
              <w:ind w:firstLine="480" w:firstLineChars="200"/>
              <w:rPr>
                <w:rFonts w:hint="eastAsia"/>
                <w:color w:val="auto"/>
                <w:kern w:val="0"/>
                <w:sz w:val="24"/>
                <w:szCs w:val="20"/>
                <w:lang w:eastAsia="zh-CN"/>
              </w:rPr>
            </w:pPr>
          </w:p>
          <w:p w14:paraId="469591CB">
            <w:pPr>
              <w:adjustRightInd w:val="0"/>
              <w:snapToGrid w:val="0"/>
              <w:spacing w:line="360" w:lineRule="auto"/>
              <w:ind w:firstLine="480" w:firstLineChars="200"/>
              <w:rPr>
                <w:rFonts w:hint="eastAsia"/>
                <w:color w:val="auto"/>
                <w:kern w:val="0"/>
                <w:sz w:val="24"/>
                <w:szCs w:val="20"/>
                <w:lang w:eastAsia="zh-CN"/>
              </w:rPr>
            </w:pPr>
          </w:p>
          <w:p w14:paraId="64C44266">
            <w:pPr>
              <w:adjustRightInd w:val="0"/>
              <w:snapToGrid w:val="0"/>
              <w:spacing w:line="360" w:lineRule="auto"/>
              <w:rPr>
                <w:rFonts w:hint="eastAsia"/>
                <w:color w:val="auto"/>
                <w:kern w:val="0"/>
                <w:sz w:val="24"/>
                <w:szCs w:val="20"/>
                <w:lang w:eastAsia="zh-CN"/>
              </w:rPr>
            </w:pPr>
          </w:p>
          <w:p w14:paraId="0F1C9ABD">
            <w:pPr>
              <w:adjustRightInd w:val="0"/>
              <w:snapToGrid w:val="0"/>
              <w:spacing w:line="360" w:lineRule="auto"/>
              <w:ind w:firstLine="480" w:firstLineChars="200"/>
              <w:rPr>
                <w:rFonts w:hint="eastAsia"/>
                <w:color w:val="auto"/>
                <w:kern w:val="0"/>
                <w:sz w:val="24"/>
                <w:szCs w:val="20"/>
                <w:lang w:eastAsia="zh-CN"/>
              </w:rPr>
            </w:pPr>
          </w:p>
          <w:p w14:paraId="2E92B962">
            <w:pPr>
              <w:adjustRightInd w:val="0"/>
              <w:snapToGrid w:val="0"/>
              <w:spacing w:line="360" w:lineRule="auto"/>
              <w:ind w:firstLine="480" w:firstLineChars="200"/>
              <w:rPr>
                <w:rFonts w:hint="eastAsia"/>
                <w:color w:val="auto"/>
                <w:kern w:val="0"/>
                <w:sz w:val="24"/>
                <w:szCs w:val="20"/>
                <w:lang w:eastAsia="zh-CN"/>
              </w:rPr>
            </w:pPr>
          </w:p>
          <w:p w14:paraId="5ED5D8D1">
            <w:pPr>
              <w:adjustRightInd w:val="0"/>
              <w:snapToGrid w:val="0"/>
              <w:spacing w:line="360" w:lineRule="auto"/>
              <w:rPr>
                <w:b/>
                <w:bCs/>
                <w:color w:val="auto"/>
                <w:kern w:val="0"/>
                <w:sz w:val="24"/>
              </w:rPr>
            </w:pPr>
          </w:p>
        </w:tc>
      </w:tr>
      <w:tr w14:paraId="7687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6" w:hRule="atLeast"/>
        </w:trPr>
        <w:tc>
          <w:tcPr>
            <w:tcW w:w="691" w:type="dxa"/>
            <w:vAlign w:val="center"/>
          </w:tcPr>
          <w:p w14:paraId="11D49805">
            <w:pPr>
              <w:jc w:val="center"/>
              <w:rPr>
                <w:snapToGrid w:val="0"/>
                <w:color w:val="auto"/>
                <w:sz w:val="30"/>
                <w:szCs w:val="30"/>
              </w:rPr>
            </w:pPr>
            <w:r>
              <w:rPr>
                <w:rFonts w:hint="eastAsia"/>
                <w:b/>
                <w:bCs/>
                <w:color w:val="auto"/>
              </w:rPr>
              <w:t>运营期环境影响和保护措施</w:t>
            </w:r>
          </w:p>
        </w:tc>
        <w:tc>
          <w:tcPr>
            <w:tcW w:w="8370" w:type="dxa"/>
          </w:tcPr>
          <w:p w14:paraId="1F3B48E1">
            <w:pPr>
              <w:pStyle w:val="9"/>
              <w:spacing w:after="0" w:line="360" w:lineRule="auto"/>
              <w:ind w:firstLine="482" w:firstLineChars="200"/>
              <w:rPr>
                <w:b/>
                <w:bCs/>
                <w:color w:val="auto"/>
                <w:kern w:val="0"/>
                <w:sz w:val="24"/>
              </w:rPr>
            </w:pPr>
            <w:r>
              <w:rPr>
                <w:rFonts w:hint="eastAsia"/>
                <w:b/>
                <w:bCs/>
                <w:color w:val="auto"/>
                <w:kern w:val="0"/>
                <w:sz w:val="24"/>
              </w:rPr>
              <w:t>一、</w:t>
            </w:r>
            <w:r>
              <w:rPr>
                <w:b/>
                <w:bCs/>
                <w:color w:val="auto"/>
                <w:kern w:val="0"/>
                <w:sz w:val="24"/>
              </w:rPr>
              <w:t>废气</w:t>
            </w:r>
          </w:p>
          <w:p w14:paraId="2DA98517">
            <w:pPr>
              <w:pStyle w:val="59"/>
              <w:spacing w:line="360" w:lineRule="auto"/>
              <w:ind w:firstLine="480"/>
              <w:rPr>
                <w:color w:val="auto"/>
                <w:szCs w:val="24"/>
              </w:rPr>
            </w:pPr>
            <w:r>
              <w:rPr>
                <w:rFonts w:hint="eastAsia"/>
                <w:color w:val="auto"/>
                <w:szCs w:val="24"/>
              </w:rPr>
              <w:t>本</w:t>
            </w:r>
            <w:r>
              <w:rPr>
                <w:color w:val="auto"/>
                <w:szCs w:val="24"/>
              </w:rPr>
              <w:t>项目废气主要为</w:t>
            </w:r>
            <w:r>
              <w:rPr>
                <w:rFonts w:hint="eastAsia"/>
                <w:color w:val="auto"/>
                <w:szCs w:val="24"/>
                <w:lang w:val="en-US" w:eastAsia="zh-CN"/>
              </w:rPr>
              <w:t>煤炭</w:t>
            </w:r>
            <w:r>
              <w:rPr>
                <w:rFonts w:hint="default" w:ascii="Times New Roman" w:hAnsi="Times New Roman" w:eastAsia="宋体" w:cs="Times New Roman"/>
                <w:color w:val="auto"/>
              </w:rPr>
              <w:t>运输产生的颗粒物、</w:t>
            </w:r>
            <w:r>
              <w:rPr>
                <w:rFonts w:hint="eastAsia"/>
                <w:color w:val="auto"/>
                <w:szCs w:val="24"/>
                <w:lang w:val="en-US" w:eastAsia="zh-CN"/>
              </w:rPr>
              <w:t>煤炭</w:t>
            </w:r>
            <w:r>
              <w:rPr>
                <w:rFonts w:hint="eastAsia" w:cs="Times New Roman"/>
                <w:color w:val="auto"/>
                <w:lang w:val="en-US" w:eastAsia="zh-CN"/>
              </w:rPr>
              <w:t>堆存和装卸过程</w:t>
            </w:r>
            <w:r>
              <w:rPr>
                <w:rFonts w:hint="default" w:ascii="Times New Roman" w:hAnsi="Times New Roman" w:eastAsia="宋体" w:cs="Times New Roman"/>
                <w:color w:val="auto"/>
              </w:rPr>
              <w:t>产生的颗粒物</w:t>
            </w:r>
            <w:r>
              <w:rPr>
                <w:color w:val="auto"/>
                <w:szCs w:val="24"/>
              </w:rPr>
              <w:t>。</w:t>
            </w:r>
          </w:p>
          <w:p w14:paraId="78A877B6">
            <w:pPr>
              <w:pStyle w:val="59"/>
              <w:spacing w:line="360" w:lineRule="auto"/>
              <w:ind w:firstLine="480"/>
              <w:rPr>
                <w:color w:val="auto"/>
                <w:szCs w:val="24"/>
              </w:rPr>
            </w:pPr>
            <w:r>
              <w:rPr>
                <w:rFonts w:hint="eastAsia"/>
                <w:color w:val="auto"/>
                <w:szCs w:val="24"/>
              </w:rPr>
              <w:t>（一）</w:t>
            </w:r>
            <w:r>
              <w:rPr>
                <w:color w:val="auto"/>
                <w:szCs w:val="24"/>
              </w:rPr>
              <w:t>源强核算及达标排放情况</w:t>
            </w:r>
          </w:p>
          <w:p w14:paraId="53D18FD5">
            <w:pPr>
              <w:pStyle w:val="59"/>
              <w:spacing w:line="360" w:lineRule="auto"/>
              <w:ind w:firstLine="480"/>
              <w:rPr>
                <w:rFonts w:hint="default" w:ascii="Times New Roman" w:hAnsi="Times New Roman" w:eastAsia="宋体" w:cs="Times New Roman"/>
                <w:color w:val="auto"/>
                <w:szCs w:val="24"/>
                <w:lang w:val="en-US" w:eastAsia="zh-CN"/>
              </w:rPr>
            </w:pPr>
            <w:r>
              <w:rPr>
                <w:rFonts w:hint="eastAsia" w:ascii="Times New Roman" w:hAnsi="Times New Roman" w:eastAsia="宋体" w:cs="Times New Roman"/>
                <w:color w:val="auto"/>
                <w:szCs w:val="24"/>
                <w:lang w:val="en-US" w:eastAsia="zh-CN"/>
              </w:rPr>
              <w:t>1、</w:t>
            </w:r>
            <w:r>
              <w:rPr>
                <w:rFonts w:hint="eastAsia" w:cs="Times New Roman"/>
                <w:color w:val="auto"/>
                <w:szCs w:val="24"/>
                <w:lang w:val="en-US" w:eastAsia="zh-CN"/>
              </w:rPr>
              <w:t>达标分析</w:t>
            </w:r>
          </w:p>
          <w:p w14:paraId="2767C17A">
            <w:pPr>
              <w:pStyle w:val="59"/>
              <w:spacing w:line="360" w:lineRule="auto"/>
              <w:ind w:firstLine="480"/>
              <w:rPr>
                <w:rFonts w:hint="default" w:ascii="Times New Roman" w:hAnsi="Times New Roman" w:eastAsia="宋体" w:cs="Times New Roman"/>
                <w:color w:val="auto"/>
                <w:szCs w:val="24"/>
              </w:rPr>
            </w:pPr>
            <w:r>
              <w:rPr>
                <w:rFonts w:hint="eastAsia" w:cs="Times New Roman"/>
                <w:color w:val="auto"/>
                <w:szCs w:val="24"/>
                <w:lang w:eastAsia="zh-CN"/>
              </w:rPr>
              <w:t>（</w:t>
            </w:r>
            <w:r>
              <w:rPr>
                <w:rFonts w:hint="eastAsia" w:cs="Times New Roman"/>
                <w:color w:val="auto"/>
                <w:szCs w:val="24"/>
                <w:lang w:val="en-US" w:eastAsia="zh-CN"/>
              </w:rPr>
              <w:t>1</w:t>
            </w:r>
            <w:r>
              <w:rPr>
                <w:rFonts w:hint="eastAsia" w:cs="Times New Roman"/>
                <w:color w:val="auto"/>
                <w:szCs w:val="24"/>
                <w:lang w:eastAsia="zh-CN"/>
              </w:rPr>
              <w:t>）</w:t>
            </w:r>
            <w:r>
              <w:rPr>
                <w:rFonts w:hint="eastAsia"/>
                <w:color w:val="auto"/>
                <w:szCs w:val="24"/>
                <w:lang w:val="en-US" w:eastAsia="zh-CN"/>
              </w:rPr>
              <w:t>煤炭</w:t>
            </w:r>
            <w:r>
              <w:rPr>
                <w:rFonts w:hint="default" w:ascii="Times New Roman" w:hAnsi="Times New Roman" w:eastAsia="宋体" w:cs="Times New Roman"/>
                <w:color w:val="auto"/>
              </w:rPr>
              <w:t>运输产生的颗粒物</w:t>
            </w:r>
          </w:p>
          <w:p w14:paraId="3C5BF8F7">
            <w:pPr>
              <w:pStyle w:val="59"/>
              <w:spacing w:line="360" w:lineRule="auto"/>
              <w:ind w:firstLine="480"/>
              <w:rPr>
                <w:rFonts w:hint="eastAsia" w:cs="Times New Roman"/>
                <w:color w:val="auto"/>
                <w:szCs w:val="24"/>
                <w:lang w:val="en-US" w:eastAsia="zh-CN"/>
              </w:rPr>
            </w:pPr>
            <w:r>
              <w:rPr>
                <w:rFonts w:hint="default" w:ascii="Times New Roman" w:hAnsi="Times New Roman" w:eastAsia="宋体" w:cs="Times New Roman"/>
                <w:color w:val="auto"/>
                <w:szCs w:val="24"/>
              </w:rPr>
              <w:t>本项目</w:t>
            </w:r>
            <w:r>
              <w:rPr>
                <w:rFonts w:hint="eastAsia" w:cs="Times New Roman"/>
                <w:color w:val="auto"/>
                <w:szCs w:val="24"/>
                <w:lang w:val="en-US" w:eastAsia="zh-CN"/>
              </w:rPr>
              <w:t>产品由厂区自有运输车</w:t>
            </w:r>
            <w:r>
              <w:rPr>
                <w:rFonts w:hint="default" w:ascii="Times New Roman" w:hAnsi="Times New Roman" w:eastAsia="宋体" w:cs="Times New Roman"/>
                <w:color w:val="auto"/>
                <w:szCs w:val="24"/>
              </w:rPr>
              <w:t>运输。运输产生的颗粒物主要是沿途抛洒及道路行驶引起的扬尘，属于无组织排放源。</w:t>
            </w:r>
            <w:r>
              <w:rPr>
                <w:rFonts w:hint="eastAsia" w:cs="Times New Roman"/>
                <w:color w:val="auto"/>
                <w:szCs w:val="24"/>
                <w:lang w:val="en-US" w:eastAsia="zh-CN"/>
              </w:rPr>
              <w:t>根据《逸散性工业粉尘粉尘控制技术》“工厂道路和停车场”，铺砌路面的车辆的特定排放因子计算方法如下：</w:t>
            </w:r>
          </w:p>
          <w:p w14:paraId="685965E1">
            <w:pPr>
              <w:pStyle w:val="59"/>
              <w:spacing w:line="360" w:lineRule="auto"/>
              <w:ind w:left="0" w:leftChars="0" w:firstLine="0" w:firstLineChars="0"/>
              <w:jc w:val="center"/>
              <w:rPr>
                <w:rFonts w:hint="default" w:ascii="Times New Roman" w:hAnsi="Times New Roman" w:eastAsia="宋体" w:cs="Times New Roman"/>
                <w:color w:val="auto"/>
                <w:szCs w:val="24"/>
              </w:rPr>
            </w:pPr>
            <w:r>
              <w:rPr>
                <w:color w:val="auto"/>
              </w:rPr>
              <w:drawing>
                <wp:inline distT="0" distB="0" distL="114300" distR="114300">
                  <wp:extent cx="3286125" cy="285750"/>
                  <wp:effectExtent l="0" t="0" r="9525" b="0"/>
                  <wp:docPr id="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
                          <pic:cNvPicPr>
                            <a:picLocks noChangeAspect="1"/>
                          </pic:cNvPicPr>
                        </pic:nvPicPr>
                        <pic:blipFill>
                          <a:blip r:embed="rId16"/>
                          <a:stretch>
                            <a:fillRect/>
                          </a:stretch>
                        </pic:blipFill>
                        <pic:spPr>
                          <a:xfrm>
                            <a:off x="0" y="0"/>
                            <a:ext cx="3286125" cy="285750"/>
                          </a:xfrm>
                          <a:prstGeom prst="rect">
                            <a:avLst/>
                          </a:prstGeom>
                          <a:noFill/>
                          <a:ln>
                            <a:noFill/>
                          </a:ln>
                        </pic:spPr>
                      </pic:pic>
                    </a:graphicData>
                  </a:graphic>
                </wp:inline>
              </w:drawing>
            </w:r>
          </w:p>
          <w:p w14:paraId="0DC01A18">
            <w:pPr>
              <w:keepNext w:val="0"/>
              <w:keepLines w:val="0"/>
              <w:suppressLineNumbers w:val="0"/>
              <w:spacing w:before="0" w:beforeAutospacing="0" w:after="0" w:afterAutospacing="0" w:line="560" w:lineRule="exact"/>
              <w:ind w:left="0" w:right="0"/>
              <w:rPr>
                <w:rFonts w:hint="default" w:ascii="Times New Roman" w:hAnsi="Times New Roman" w:eastAsia="宋体" w:cs="Times New Roman"/>
                <w:color w:val="auto"/>
                <w:kern w:val="0"/>
                <w:sz w:val="24"/>
                <w:szCs w:val="20"/>
                <w:lang w:val="en-US" w:eastAsia="zh-CN" w:bidi="ar-SA"/>
              </w:rPr>
            </w:pPr>
            <w:r>
              <w:rPr>
                <w:rFonts w:hint="default" w:ascii="Times New Roman" w:hAnsi="Times New Roman" w:eastAsia="宋体" w:cs="Times New Roman"/>
                <w:color w:val="auto"/>
                <w:kern w:val="0"/>
                <w:sz w:val="24"/>
                <w:szCs w:val="20"/>
                <w:lang w:val="en-US" w:eastAsia="zh-CN" w:bidi="ar-SA"/>
              </w:rPr>
              <w:t>式中：</w:t>
            </w:r>
            <w:r>
              <w:rPr>
                <w:rFonts w:hint="eastAsia" w:cs="Times New Roman"/>
                <w:color w:val="auto"/>
                <w:kern w:val="0"/>
                <w:sz w:val="24"/>
                <w:szCs w:val="20"/>
                <w:lang w:val="en-US" w:eastAsia="zh-CN" w:bidi="ar-SA"/>
              </w:rPr>
              <w:t>EF—排放因子，车辆里程</w:t>
            </w:r>
            <w:r>
              <w:rPr>
                <w:rFonts w:hint="default" w:ascii="Times New Roman" w:hAnsi="Times New Roman" w:eastAsia="宋体" w:cs="Times New Roman"/>
                <w:color w:val="auto"/>
                <w:kern w:val="0"/>
                <w:sz w:val="24"/>
                <w:szCs w:val="20"/>
                <w:lang w:val="en-US" w:eastAsia="zh-CN" w:bidi="ar-SA"/>
              </w:rPr>
              <w:t>（单位：</w:t>
            </w:r>
            <w:r>
              <w:rPr>
                <w:rFonts w:hint="eastAsia" w:cs="Times New Roman"/>
                <w:color w:val="auto"/>
                <w:kern w:val="0"/>
                <w:sz w:val="24"/>
                <w:szCs w:val="20"/>
                <w:lang w:val="en-US" w:eastAsia="zh-CN" w:bidi="ar-SA"/>
              </w:rPr>
              <w:t>g/km</w:t>
            </w:r>
            <w:r>
              <w:rPr>
                <w:rFonts w:hint="default" w:ascii="Times New Roman" w:hAnsi="Times New Roman" w:eastAsia="宋体" w:cs="Times New Roman"/>
                <w:color w:val="auto"/>
                <w:kern w:val="0"/>
                <w:sz w:val="24"/>
                <w:szCs w:val="20"/>
                <w:lang w:val="en-US" w:eastAsia="zh-CN" w:bidi="ar-SA"/>
              </w:rPr>
              <w:t>）；</w:t>
            </w:r>
          </w:p>
          <w:p w14:paraId="6DF1B3C4">
            <w:pPr>
              <w:keepNext w:val="0"/>
              <w:keepLines w:val="0"/>
              <w:suppressLineNumbers w:val="0"/>
              <w:spacing w:before="0" w:beforeAutospacing="0" w:after="0" w:afterAutospacing="0" w:line="560" w:lineRule="exact"/>
              <w:ind w:left="0" w:right="0" w:firstLine="720" w:firstLineChars="300"/>
              <w:rPr>
                <w:rFonts w:hint="default" w:ascii="Times New Roman" w:hAnsi="Times New Roman" w:eastAsia="宋体" w:cs="Times New Roman"/>
                <w:color w:val="auto"/>
                <w:kern w:val="0"/>
                <w:sz w:val="24"/>
                <w:szCs w:val="20"/>
                <w:lang w:val="en-US" w:eastAsia="zh-CN" w:bidi="ar-SA"/>
              </w:rPr>
            </w:pPr>
            <w:r>
              <w:rPr>
                <w:rFonts w:hint="eastAsia" w:cs="Times New Roman"/>
                <w:color w:val="auto"/>
                <w:kern w:val="0"/>
                <w:sz w:val="24"/>
                <w:szCs w:val="20"/>
                <w:lang w:val="en-US" w:eastAsia="zh-CN" w:bidi="ar-SA"/>
              </w:rPr>
              <w:t>P—来自铺砌路面并保持悬浮状态的颗粒物（直径小</w:t>
            </w:r>
            <w:r>
              <w:rPr>
                <w:rFonts w:hint="eastAsia" w:ascii="Times New Roman" w:hAnsi="Times New Roman" w:eastAsia="宋体" w:cs="Times New Roman"/>
                <w:color w:val="auto"/>
                <w:kern w:val="0"/>
                <w:sz w:val="24"/>
                <w:szCs w:val="20"/>
                <w:lang w:val="en-US" w:eastAsia="zh-CN" w:bidi="ar-SA"/>
              </w:rPr>
              <w:t>于30</w:t>
            </w:r>
            <w:r>
              <w:rPr>
                <w:rFonts w:hint="default" w:ascii="Times New Roman" w:hAnsi="Times New Roman" w:eastAsia="宋体" w:cs="Times New Roman"/>
                <w:color w:val="auto"/>
                <w:kern w:val="0"/>
                <w:sz w:val="24"/>
                <w:szCs w:val="20"/>
                <w:lang w:val="en-US" w:eastAsia="zh-CN" w:bidi="ar-SA"/>
              </w:rPr>
              <w:t>μ</w:t>
            </w:r>
            <w:r>
              <w:rPr>
                <w:rFonts w:hint="eastAsia" w:ascii="Times New Roman" w:hAnsi="Times New Roman" w:eastAsia="宋体" w:cs="Times New Roman"/>
                <w:color w:val="auto"/>
                <w:kern w:val="0"/>
                <w:sz w:val="24"/>
                <w:szCs w:val="20"/>
                <w:lang w:val="en-US" w:eastAsia="zh-CN" w:bidi="ar-SA"/>
              </w:rPr>
              <w:t>m</w:t>
            </w:r>
            <w:r>
              <w:rPr>
                <w:rFonts w:hint="eastAsia" w:cs="Times New Roman"/>
                <w:color w:val="auto"/>
                <w:kern w:val="0"/>
                <w:sz w:val="24"/>
                <w:szCs w:val="20"/>
                <w:lang w:val="en-US" w:eastAsia="zh-CN" w:bidi="ar-SA"/>
              </w:rPr>
              <w:t>）的分数，0.90</w:t>
            </w:r>
            <w:r>
              <w:rPr>
                <w:rFonts w:hint="default" w:ascii="Times New Roman" w:hAnsi="Times New Roman" w:eastAsia="宋体" w:cs="Times New Roman"/>
                <w:color w:val="auto"/>
                <w:kern w:val="0"/>
                <w:sz w:val="24"/>
                <w:szCs w:val="20"/>
                <w:lang w:val="en-US" w:eastAsia="zh-CN" w:bidi="ar-SA"/>
              </w:rPr>
              <w:t>；</w:t>
            </w:r>
          </w:p>
          <w:p w14:paraId="275C80B6">
            <w:pPr>
              <w:keepNext w:val="0"/>
              <w:keepLines w:val="0"/>
              <w:suppressLineNumbers w:val="0"/>
              <w:spacing w:before="0" w:beforeAutospacing="0" w:after="0" w:afterAutospacing="0" w:line="560" w:lineRule="exact"/>
              <w:ind w:left="0" w:right="0" w:firstLine="720" w:firstLineChars="300"/>
              <w:rPr>
                <w:rFonts w:hint="default" w:cs="Times New Roman"/>
                <w:color w:val="auto"/>
                <w:kern w:val="0"/>
                <w:sz w:val="24"/>
                <w:szCs w:val="20"/>
                <w:lang w:val="en-US" w:eastAsia="zh-CN" w:bidi="ar-SA"/>
              </w:rPr>
            </w:pPr>
            <w:r>
              <w:rPr>
                <w:rFonts w:hint="eastAsia" w:cs="Times New Roman"/>
                <w:color w:val="auto"/>
                <w:kern w:val="0"/>
                <w:sz w:val="24"/>
                <w:szCs w:val="20"/>
                <w:lang w:val="en-US" w:eastAsia="zh-CN" w:bidi="ar-SA"/>
              </w:rPr>
              <w:t>E—来源于汽车尾气的颗粒物；</w:t>
            </w:r>
          </w:p>
          <w:p w14:paraId="5D53D064">
            <w:pPr>
              <w:keepNext w:val="0"/>
              <w:keepLines w:val="0"/>
              <w:suppressLineNumbers w:val="0"/>
              <w:spacing w:before="0" w:beforeAutospacing="0" w:after="0" w:afterAutospacing="0" w:line="560" w:lineRule="exact"/>
              <w:ind w:left="0" w:right="0" w:firstLine="720" w:firstLineChars="300"/>
              <w:rPr>
                <w:rFonts w:hint="default" w:cs="Times New Roman"/>
                <w:color w:val="auto"/>
                <w:kern w:val="0"/>
                <w:sz w:val="24"/>
                <w:szCs w:val="20"/>
                <w:lang w:val="en-US" w:eastAsia="zh-CN" w:bidi="ar-SA"/>
              </w:rPr>
            </w:pPr>
            <w:r>
              <w:rPr>
                <w:rFonts w:hint="eastAsia" w:cs="Times New Roman"/>
                <w:color w:val="auto"/>
                <w:kern w:val="0"/>
                <w:sz w:val="24"/>
                <w:szCs w:val="20"/>
                <w:lang w:val="en-US" w:eastAsia="zh-CN" w:bidi="ar-SA"/>
              </w:rPr>
              <w:t>T—平均每辆车的轮胎数。</w:t>
            </w:r>
          </w:p>
          <w:p w14:paraId="76076622">
            <w:pPr>
              <w:keepNext w:val="0"/>
              <w:keepLines w:val="0"/>
              <w:suppressLineNumbers w:val="0"/>
              <w:spacing w:before="0" w:beforeAutospacing="0" w:after="0" w:afterAutospacing="0" w:line="560" w:lineRule="exact"/>
              <w:ind w:left="0" w:right="0" w:firstLine="720" w:firstLineChars="300"/>
              <w:rPr>
                <w:rFonts w:hint="default" w:cs="Times New Roman"/>
                <w:color w:val="auto"/>
                <w:kern w:val="0"/>
                <w:sz w:val="24"/>
                <w:szCs w:val="20"/>
                <w:lang w:val="en-US" w:eastAsia="zh-CN" w:bidi="ar-SA"/>
              </w:rPr>
            </w:pPr>
            <w:r>
              <w:rPr>
                <w:rFonts w:hint="eastAsia" w:cs="Times New Roman"/>
                <w:color w:val="auto"/>
                <w:kern w:val="0"/>
                <w:sz w:val="24"/>
                <w:szCs w:val="20"/>
                <w:lang w:val="en-US" w:eastAsia="zh-CN" w:bidi="ar-SA"/>
              </w:rPr>
              <w:t>本项目P来自铺砌路面并保持悬浮状态的颗粒物（直径小</w:t>
            </w:r>
            <w:r>
              <w:rPr>
                <w:rFonts w:hint="eastAsia" w:ascii="Times New Roman" w:hAnsi="Times New Roman" w:eastAsia="宋体" w:cs="Times New Roman"/>
                <w:color w:val="auto"/>
                <w:kern w:val="0"/>
                <w:sz w:val="24"/>
                <w:szCs w:val="20"/>
                <w:lang w:val="en-US" w:eastAsia="zh-CN" w:bidi="ar-SA"/>
              </w:rPr>
              <w:t>于30</w:t>
            </w:r>
            <w:r>
              <w:rPr>
                <w:rFonts w:hint="default" w:ascii="Times New Roman" w:hAnsi="Times New Roman" w:eastAsia="宋体" w:cs="Times New Roman"/>
                <w:color w:val="auto"/>
                <w:kern w:val="0"/>
                <w:sz w:val="24"/>
                <w:szCs w:val="20"/>
                <w:lang w:val="en-US" w:eastAsia="zh-CN" w:bidi="ar-SA"/>
              </w:rPr>
              <w:t>μ</w:t>
            </w:r>
            <w:r>
              <w:rPr>
                <w:rFonts w:hint="eastAsia" w:ascii="Times New Roman" w:hAnsi="Times New Roman" w:eastAsia="宋体" w:cs="Times New Roman"/>
                <w:color w:val="auto"/>
                <w:kern w:val="0"/>
                <w:sz w:val="24"/>
                <w:szCs w:val="20"/>
                <w:lang w:val="en-US" w:eastAsia="zh-CN" w:bidi="ar-SA"/>
              </w:rPr>
              <w:t>m</w:t>
            </w:r>
            <w:r>
              <w:rPr>
                <w:rFonts w:hint="eastAsia" w:cs="Times New Roman"/>
                <w:color w:val="auto"/>
                <w:kern w:val="0"/>
                <w:sz w:val="24"/>
                <w:szCs w:val="20"/>
                <w:lang w:val="en-US" w:eastAsia="zh-CN" w:bidi="ar-SA"/>
              </w:rPr>
              <w:t>）的分数，取0.90；E来源于汽车尾气的颗粒物，根</w:t>
            </w:r>
            <w:r>
              <w:rPr>
                <w:rFonts w:hint="eastAsia" w:ascii="Times New Roman" w:hAnsi="Times New Roman" w:eastAsia="宋体" w:cs="Times New Roman"/>
                <w:color w:val="auto"/>
                <w:kern w:val="0"/>
                <w:sz w:val="24"/>
                <w:szCs w:val="20"/>
                <w:lang w:val="en-US" w:eastAsia="zh-CN" w:bidi="ar-SA"/>
              </w:rPr>
              <w:t>据《逸散性工业粉尘粉尘控制技术》“工厂道路和停车场”表1-1铺确路面来往车辆的</w:t>
            </w:r>
            <w:r>
              <w:rPr>
                <w:rFonts w:hint="eastAsia" w:cs="Times New Roman"/>
                <w:color w:val="auto"/>
                <w:kern w:val="0"/>
                <w:sz w:val="24"/>
                <w:szCs w:val="20"/>
                <w:lang w:val="en-US" w:eastAsia="zh-CN" w:bidi="ar-SA"/>
              </w:rPr>
              <w:t>排放因子，重载汽油车（10轮），取0.57g/km；T平均每辆车的轮胎数，取10。经计算EF排放因子为7.87g/km。本项目运输车共2辆，每辆车每天运输8车次，年运输210天，则运输车次为3360车次，原料</w:t>
            </w:r>
            <w:r>
              <w:rPr>
                <w:rFonts w:hint="eastAsia" w:hAnsi="宋体" w:cs="Times New Roman"/>
                <w:color w:val="auto"/>
                <w:sz w:val="24"/>
                <w:szCs w:val="24"/>
                <w:lang w:val="en-US" w:eastAsia="zh-CN"/>
              </w:rPr>
              <w:t>用量为</w:t>
            </w:r>
            <w:r>
              <w:rPr>
                <w:rFonts w:hint="eastAsia" w:cs="Times New Roman"/>
                <w:color w:val="auto"/>
                <w:kern w:val="0"/>
                <w:sz w:val="24"/>
                <w:szCs w:val="20"/>
                <w:lang w:val="en-US" w:eastAsia="zh-CN" w:bidi="ar-SA"/>
              </w:rPr>
              <w:t>50009.059t/a</w:t>
            </w:r>
            <w:r>
              <w:rPr>
                <w:rFonts w:hint="eastAsia" w:hAnsi="宋体" w:cs="Times New Roman"/>
                <w:color w:val="auto"/>
                <w:sz w:val="24"/>
                <w:szCs w:val="24"/>
                <w:lang w:val="en-US" w:eastAsia="zh-CN"/>
              </w:rPr>
              <w:t>，每天的运输量为246.694t/d</w:t>
            </w:r>
            <w:r>
              <w:rPr>
                <w:rFonts w:hint="eastAsia" w:cs="Times New Roman"/>
                <w:color w:val="auto"/>
                <w:kern w:val="0"/>
                <w:sz w:val="24"/>
                <w:szCs w:val="20"/>
                <w:lang w:val="en-US" w:eastAsia="zh-CN" w:bidi="ar-SA"/>
              </w:rPr>
              <w:t>。根据企业提供运输车运输路线，本项目厂区至331国道运输距离共0.310km，则本项目产品</w:t>
            </w:r>
            <w:r>
              <w:rPr>
                <w:rFonts w:hint="default" w:cs="Times New Roman"/>
                <w:color w:val="auto"/>
                <w:kern w:val="0"/>
                <w:sz w:val="24"/>
                <w:szCs w:val="20"/>
                <w:lang w:val="en-US" w:eastAsia="zh-CN" w:bidi="ar-SA"/>
              </w:rPr>
              <w:t>运输产生的颗粒物</w:t>
            </w:r>
            <w:r>
              <w:rPr>
                <w:rFonts w:hint="eastAsia" w:cs="Times New Roman"/>
                <w:color w:val="auto"/>
                <w:kern w:val="0"/>
                <w:sz w:val="24"/>
                <w:szCs w:val="20"/>
                <w:lang w:val="en-US" w:eastAsia="zh-CN" w:bidi="ar-SA"/>
              </w:rPr>
              <w:t>产生量为0.016t/a，排放速率为0.015kg/h。本项目</w:t>
            </w:r>
            <w:r>
              <w:rPr>
                <w:rFonts w:hint="default" w:cs="Times New Roman"/>
                <w:color w:val="auto"/>
                <w:kern w:val="0"/>
                <w:sz w:val="24"/>
                <w:szCs w:val="20"/>
                <w:lang w:val="en-US" w:eastAsia="zh-CN" w:bidi="ar-SA"/>
              </w:rPr>
              <w:t>要求</w:t>
            </w:r>
            <w:r>
              <w:rPr>
                <w:rFonts w:hint="eastAsia" w:cs="Times New Roman"/>
                <w:color w:val="auto"/>
                <w:kern w:val="0"/>
                <w:sz w:val="24"/>
                <w:szCs w:val="20"/>
                <w:lang w:val="en-US" w:eastAsia="zh-CN" w:bidi="ar-SA"/>
              </w:rPr>
              <w:t>煤炭运输过程中</w:t>
            </w:r>
            <w:r>
              <w:rPr>
                <w:rFonts w:hint="default" w:cs="Times New Roman"/>
                <w:color w:val="auto"/>
                <w:kern w:val="0"/>
                <w:sz w:val="24"/>
                <w:szCs w:val="20"/>
                <w:lang w:val="en-US" w:eastAsia="zh-CN" w:bidi="ar-SA"/>
              </w:rPr>
              <w:t>采用</w:t>
            </w:r>
            <w:r>
              <w:rPr>
                <w:rFonts w:hint="eastAsia" w:cs="Times New Roman"/>
                <w:color w:val="auto"/>
                <w:kern w:val="0"/>
                <w:sz w:val="24"/>
                <w:szCs w:val="20"/>
                <w:lang w:val="en-US" w:eastAsia="zh-CN" w:bidi="ar-SA"/>
              </w:rPr>
              <w:t>车辆苫盖+运输道路洒水降尘</w:t>
            </w:r>
            <w:r>
              <w:rPr>
                <w:rFonts w:hint="default" w:cs="Times New Roman"/>
                <w:color w:val="auto"/>
                <w:kern w:val="0"/>
                <w:sz w:val="24"/>
                <w:szCs w:val="20"/>
                <w:lang w:val="en-US" w:eastAsia="zh-CN" w:bidi="ar-SA"/>
              </w:rPr>
              <w:t>，</w:t>
            </w:r>
            <w:r>
              <w:rPr>
                <w:rFonts w:hint="eastAsia" w:cs="Times New Roman"/>
                <w:color w:val="auto"/>
                <w:kern w:val="0"/>
                <w:sz w:val="24"/>
                <w:szCs w:val="20"/>
                <w:lang w:val="en-US" w:eastAsia="zh-CN" w:bidi="ar-SA"/>
              </w:rPr>
              <w:t>防止物料洒落，</w:t>
            </w:r>
            <w:r>
              <w:rPr>
                <w:rFonts w:hint="default" w:cs="Times New Roman"/>
                <w:color w:val="auto"/>
                <w:kern w:val="0"/>
                <w:sz w:val="24"/>
                <w:szCs w:val="20"/>
                <w:lang w:val="en-US" w:eastAsia="zh-CN" w:bidi="ar-SA"/>
              </w:rPr>
              <w:t>减少运输过程中粉尘排放量</w:t>
            </w:r>
            <w:r>
              <w:rPr>
                <w:rFonts w:hint="eastAsia" w:cs="Times New Roman"/>
                <w:color w:val="auto"/>
                <w:kern w:val="0"/>
                <w:sz w:val="24"/>
                <w:szCs w:val="20"/>
                <w:lang w:val="en-US" w:eastAsia="zh-CN" w:bidi="ar-SA"/>
              </w:rPr>
              <w:t>，运输道路采用洒水降尘方式</w:t>
            </w:r>
            <w:r>
              <w:rPr>
                <w:rFonts w:hint="default"/>
                <w:color w:val="auto"/>
                <w:sz w:val="24"/>
              </w:rPr>
              <w:t>，</w:t>
            </w:r>
            <w:r>
              <w:rPr>
                <w:rFonts w:hint="eastAsia"/>
                <w:color w:val="auto"/>
                <w:sz w:val="24"/>
                <w:lang w:val="en-US" w:eastAsia="zh-CN"/>
              </w:rPr>
              <w:t>每天工作5h，年工作210天</w:t>
            </w:r>
            <w:r>
              <w:rPr>
                <w:rFonts w:hint="default" w:cs="Times New Roman"/>
                <w:color w:val="auto"/>
                <w:kern w:val="0"/>
                <w:sz w:val="24"/>
                <w:szCs w:val="20"/>
                <w:lang w:val="en-US" w:eastAsia="zh-CN" w:bidi="ar-SA"/>
              </w:rPr>
              <w:t>。</w:t>
            </w:r>
            <w:r>
              <w:rPr>
                <w:rFonts w:hint="eastAsia" w:cs="Times New Roman"/>
                <w:color w:val="auto"/>
                <w:kern w:val="0"/>
                <w:sz w:val="24"/>
                <w:szCs w:val="20"/>
                <w:lang w:val="en-US" w:eastAsia="zh-CN" w:bidi="ar-SA"/>
              </w:rPr>
              <w:t>则本项目综合去除效率为80%，则无组织颗粒物排放量为0.003t/a，排放速率为0.003kg/h。</w:t>
            </w:r>
          </w:p>
          <w:p w14:paraId="198FEFCB">
            <w:pPr>
              <w:keepNext w:val="0"/>
              <w:keepLines w:val="0"/>
              <w:suppressLineNumbers w:val="0"/>
              <w:spacing w:before="0" w:beforeAutospacing="0" w:after="0" w:afterAutospacing="0" w:line="560" w:lineRule="exact"/>
              <w:ind w:left="0" w:right="0" w:firstLine="720" w:firstLineChars="300"/>
              <w:rPr>
                <w:rFonts w:hint="default" w:cs="Times New Roman"/>
                <w:color w:val="auto"/>
                <w:kern w:val="0"/>
                <w:sz w:val="24"/>
                <w:szCs w:val="20"/>
                <w:lang w:val="en-US" w:eastAsia="zh-CN" w:bidi="ar-SA"/>
              </w:rPr>
            </w:pPr>
            <w:r>
              <w:rPr>
                <w:rFonts w:hint="eastAsia" w:cs="Times New Roman"/>
                <w:color w:val="auto"/>
                <w:kern w:val="0"/>
                <w:sz w:val="24"/>
                <w:szCs w:val="20"/>
                <w:lang w:val="en-US" w:eastAsia="zh-CN" w:bidi="ar-SA"/>
              </w:rPr>
              <w:t>（2）煤炭堆存装卸过程</w:t>
            </w:r>
            <w:r>
              <w:rPr>
                <w:rFonts w:hint="default" w:cs="Times New Roman"/>
                <w:color w:val="auto"/>
                <w:kern w:val="0"/>
                <w:sz w:val="24"/>
                <w:szCs w:val="20"/>
                <w:lang w:val="en-US" w:eastAsia="zh-CN" w:bidi="ar-SA"/>
              </w:rPr>
              <w:t>产生的颗粒物</w:t>
            </w:r>
          </w:p>
          <w:p w14:paraId="673CAAD1">
            <w:pPr>
              <w:keepNext w:val="0"/>
              <w:keepLines w:val="0"/>
              <w:suppressLineNumbers w:val="0"/>
              <w:spacing w:before="0" w:beforeAutospacing="0" w:after="0" w:afterAutospacing="0" w:line="560" w:lineRule="exact"/>
              <w:ind w:left="0" w:right="0" w:firstLine="720" w:firstLineChars="300"/>
              <w:rPr>
                <w:rFonts w:hint="default" w:cs="Times New Roman"/>
                <w:color w:val="auto"/>
                <w:kern w:val="0"/>
                <w:sz w:val="24"/>
                <w:szCs w:val="20"/>
                <w:lang w:val="en-US" w:eastAsia="zh-CN" w:bidi="ar-SA"/>
              </w:rPr>
            </w:pPr>
            <w:r>
              <w:rPr>
                <w:rFonts w:hint="default" w:cs="Times New Roman"/>
                <w:color w:val="auto"/>
                <w:kern w:val="0"/>
                <w:sz w:val="24"/>
                <w:szCs w:val="20"/>
                <w:lang w:val="en-US" w:eastAsia="zh-CN" w:bidi="ar-SA"/>
              </w:rPr>
              <w:t>本项目</w:t>
            </w:r>
            <w:r>
              <w:rPr>
                <w:rFonts w:hint="eastAsia" w:cs="Times New Roman"/>
                <w:color w:val="auto"/>
                <w:kern w:val="0"/>
                <w:sz w:val="24"/>
                <w:szCs w:val="20"/>
                <w:lang w:val="en-US" w:eastAsia="zh-CN" w:bidi="ar-SA"/>
              </w:rPr>
              <w:t>煤炭堆存装卸</w:t>
            </w:r>
            <w:r>
              <w:rPr>
                <w:rFonts w:hint="default" w:cs="Times New Roman"/>
                <w:color w:val="auto"/>
                <w:kern w:val="0"/>
                <w:sz w:val="24"/>
                <w:szCs w:val="20"/>
                <w:lang w:val="en-US" w:eastAsia="zh-CN" w:bidi="ar-SA"/>
              </w:rPr>
              <w:t>时会产生无组织颗粒物，根据《工业源固体物料堆场颗粒物核算系数手册》，工业企业固体物料堆存颗粒物包括装卸扬尘和风蚀扬尘，颗粒物产生量核算公式如下：</w:t>
            </w:r>
          </w:p>
          <w:p w14:paraId="01338952">
            <w:pPr>
              <w:keepNext w:val="0"/>
              <w:keepLines w:val="0"/>
              <w:suppressLineNumbers w:val="0"/>
              <w:spacing w:before="0" w:beforeAutospacing="0" w:after="0" w:afterAutospacing="0" w:line="240" w:lineRule="auto"/>
              <w:ind w:left="0" w:right="0"/>
              <w:jc w:val="center"/>
              <w:rPr>
                <w:rFonts w:hint="eastAsia" w:hAnsi="宋体" w:eastAsia="宋体"/>
                <w:color w:val="auto"/>
                <w:szCs w:val="21"/>
                <w:lang w:eastAsia="zh-CN"/>
              </w:rPr>
            </w:pPr>
            <w:r>
              <w:rPr>
                <w:rFonts w:hint="eastAsia" w:hAnsi="宋体" w:eastAsia="宋体"/>
                <w:color w:val="auto"/>
                <w:szCs w:val="21"/>
                <w:lang w:eastAsia="zh-CN"/>
              </w:rPr>
              <w:drawing>
                <wp:inline distT="0" distB="0" distL="114300" distR="114300">
                  <wp:extent cx="4019550" cy="447675"/>
                  <wp:effectExtent l="0" t="0" r="0" b="9525"/>
                  <wp:docPr id="49" name="图片 49" descr="167937711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1679377115864"/>
                          <pic:cNvPicPr>
                            <a:picLocks noChangeAspect="1"/>
                          </pic:cNvPicPr>
                        </pic:nvPicPr>
                        <pic:blipFill>
                          <a:blip r:embed="rId17"/>
                          <a:stretch>
                            <a:fillRect/>
                          </a:stretch>
                        </pic:blipFill>
                        <pic:spPr>
                          <a:xfrm>
                            <a:off x="0" y="0"/>
                            <a:ext cx="4019550" cy="447675"/>
                          </a:xfrm>
                          <a:prstGeom prst="rect">
                            <a:avLst/>
                          </a:prstGeom>
                        </pic:spPr>
                      </pic:pic>
                    </a:graphicData>
                  </a:graphic>
                </wp:inline>
              </w:drawing>
            </w:r>
          </w:p>
          <w:p w14:paraId="2AA666A4">
            <w:pPr>
              <w:keepNext w:val="0"/>
              <w:keepLines w:val="0"/>
              <w:suppressLineNumbers w:val="0"/>
              <w:spacing w:before="0" w:beforeAutospacing="0" w:after="0" w:afterAutospacing="0" w:line="560" w:lineRule="exact"/>
              <w:ind w:left="0" w:right="0"/>
              <w:rPr>
                <w:rFonts w:hint="default" w:ascii="Times New Roman" w:hAnsi="Times New Roman" w:eastAsia="宋体" w:cs="Times New Roman"/>
                <w:color w:val="auto"/>
                <w:kern w:val="0"/>
                <w:sz w:val="24"/>
                <w:szCs w:val="20"/>
                <w:lang w:val="en-US" w:eastAsia="zh-CN" w:bidi="ar-SA"/>
              </w:rPr>
            </w:pPr>
            <w:r>
              <w:rPr>
                <w:rFonts w:hint="default" w:ascii="Times New Roman" w:hAnsi="Times New Roman" w:eastAsia="宋体" w:cs="Times New Roman"/>
                <w:color w:val="auto"/>
                <w:kern w:val="0"/>
                <w:sz w:val="24"/>
                <w:szCs w:val="20"/>
                <w:lang w:val="en-US" w:eastAsia="zh-CN" w:bidi="ar-SA"/>
              </w:rPr>
              <w:t>式中：P指颗粒物产生量（单位：吨）；</w:t>
            </w:r>
          </w:p>
          <w:p w14:paraId="67B4C853">
            <w:pPr>
              <w:keepNext w:val="0"/>
              <w:keepLines w:val="0"/>
              <w:suppressLineNumbers w:val="0"/>
              <w:spacing w:before="0" w:beforeAutospacing="0" w:after="0" w:afterAutospacing="0" w:line="560" w:lineRule="exact"/>
              <w:ind w:left="0" w:right="0" w:firstLine="720" w:firstLineChars="300"/>
              <w:rPr>
                <w:rFonts w:hint="default" w:ascii="Times New Roman" w:hAnsi="Times New Roman" w:eastAsia="宋体" w:cs="Times New Roman"/>
                <w:color w:val="auto"/>
                <w:kern w:val="0"/>
                <w:sz w:val="24"/>
                <w:szCs w:val="20"/>
                <w:lang w:val="en-US" w:eastAsia="zh-CN" w:bidi="ar-SA"/>
              </w:rPr>
            </w:pPr>
            <w:r>
              <w:rPr>
                <w:rFonts w:hint="default" w:ascii="Times New Roman" w:hAnsi="Times New Roman" w:eastAsia="宋体" w:cs="Times New Roman"/>
                <w:color w:val="auto"/>
                <w:kern w:val="0"/>
                <w:sz w:val="24"/>
                <w:szCs w:val="20"/>
                <w:lang w:val="en-US" w:eastAsia="zh-CN" w:bidi="ar-SA"/>
              </w:rPr>
              <w:t>ZC</w:t>
            </w:r>
            <w:r>
              <w:rPr>
                <w:rFonts w:hint="default" w:ascii="Times New Roman" w:hAnsi="Times New Roman" w:eastAsia="宋体" w:cs="Times New Roman"/>
                <w:color w:val="auto"/>
                <w:kern w:val="0"/>
                <w:sz w:val="24"/>
                <w:szCs w:val="20"/>
                <w:vertAlign w:val="subscript"/>
                <w:lang w:val="en-US" w:eastAsia="zh-CN" w:bidi="ar-SA"/>
              </w:rPr>
              <w:t>y</w:t>
            </w:r>
            <w:r>
              <w:rPr>
                <w:rFonts w:hint="default" w:ascii="Times New Roman" w:hAnsi="Times New Roman" w:eastAsia="宋体" w:cs="Times New Roman"/>
                <w:color w:val="auto"/>
                <w:kern w:val="0"/>
                <w:sz w:val="24"/>
                <w:szCs w:val="20"/>
                <w:lang w:val="en-US" w:eastAsia="zh-CN" w:bidi="ar-SA"/>
              </w:rPr>
              <w:t>指装卸扬尘产生量（单位：吨）；</w:t>
            </w:r>
          </w:p>
          <w:p w14:paraId="3EECF920">
            <w:pPr>
              <w:keepNext w:val="0"/>
              <w:keepLines w:val="0"/>
              <w:suppressLineNumbers w:val="0"/>
              <w:spacing w:before="0" w:beforeAutospacing="0" w:after="0" w:afterAutospacing="0" w:line="560" w:lineRule="exact"/>
              <w:ind w:left="0" w:right="0" w:firstLine="720" w:firstLineChars="300"/>
              <w:rPr>
                <w:rFonts w:hint="default" w:ascii="Times New Roman" w:hAnsi="Times New Roman" w:eastAsia="宋体" w:cs="Times New Roman"/>
                <w:color w:val="auto"/>
                <w:kern w:val="0"/>
                <w:sz w:val="24"/>
                <w:szCs w:val="20"/>
                <w:lang w:val="en-US" w:eastAsia="zh-CN" w:bidi="ar-SA"/>
              </w:rPr>
            </w:pPr>
            <w:r>
              <w:rPr>
                <w:rFonts w:hint="default" w:ascii="Times New Roman" w:hAnsi="Times New Roman" w:eastAsia="宋体" w:cs="Times New Roman"/>
                <w:color w:val="auto"/>
                <w:kern w:val="0"/>
                <w:sz w:val="24"/>
                <w:szCs w:val="20"/>
                <w:lang w:val="en-US" w:eastAsia="zh-CN" w:bidi="ar-SA"/>
              </w:rPr>
              <w:t>FC</w:t>
            </w:r>
            <w:r>
              <w:rPr>
                <w:rFonts w:hint="default" w:ascii="Times New Roman" w:hAnsi="Times New Roman" w:eastAsia="宋体" w:cs="Times New Roman"/>
                <w:color w:val="auto"/>
                <w:kern w:val="0"/>
                <w:sz w:val="24"/>
                <w:szCs w:val="20"/>
                <w:vertAlign w:val="subscript"/>
                <w:lang w:val="en-US" w:eastAsia="zh-CN" w:bidi="ar-SA"/>
              </w:rPr>
              <w:t>y</w:t>
            </w:r>
            <w:r>
              <w:rPr>
                <w:rFonts w:hint="default" w:ascii="Times New Roman" w:hAnsi="Times New Roman" w:eastAsia="宋体" w:cs="Times New Roman"/>
                <w:color w:val="auto"/>
                <w:kern w:val="0"/>
                <w:sz w:val="24"/>
                <w:szCs w:val="20"/>
                <w:lang w:val="en-US" w:eastAsia="zh-CN" w:bidi="ar-SA"/>
              </w:rPr>
              <w:t>指风蚀扬尘产生量（单位：吨）；</w:t>
            </w:r>
          </w:p>
          <w:p w14:paraId="372A2D6C">
            <w:pPr>
              <w:keepNext w:val="0"/>
              <w:keepLines w:val="0"/>
              <w:suppressLineNumbers w:val="0"/>
              <w:spacing w:before="0" w:beforeAutospacing="0" w:after="0" w:afterAutospacing="0" w:line="560" w:lineRule="exact"/>
              <w:ind w:left="0" w:right="0" w:firstLine="720" w:firstLineChars="300"/>
              <w:rPr>
                <w:rFonts w:hint="default" w:ascii="Times New Roman" w:hAnsi="Times New Roman" w:eastAsia="宋体" w:cs="Times New Roman"/>
                <w:color w:val="auto"/>
                <w:kern w:val="0"/>
                <w:sz w:val="24"/>
                <w:szCs w:val="20"/>
                <w:lang w:val="en-US" w:eastAsia="zh-CN" w:bidi="ar-SA"/>
              </w:rPr>
            </w:pPr>
            <w:r>
              <w:rPr>
                <w:rFonts w:hint="default" w:ascii="Times New Roman" w:hAnsi="Times New Roman" w:eastAsia="宋体" w:cs="Times New Roman"/>
                <w:color w:val="auto"/>
                <w:kern w:val="0"/>
                <w:sz w:val="24"/>
                <w:szCs w:val="20"/>
                <w:lang w:val="en-US" w:eastAsia="zh-CN" w:bidi="ar-SA"/>
              </w:rPr>
              <w:t>N</w:t>
            </w:r>
            <w:r>
              <w:rPr>
                <w:rFonts w:hint="default" w:ascii="Times New Roman" w:hAnsi="Times New Roman" w:eastAsia="宋体" w:cs="Times New Roman"/>
                <w:color w:val="auto"/>
                <w:kern w:val="0"/>
                <w:sz w:val="24"/>
                <w:szCs w:val="20"/>
                <w:vertAlign w:val="subscript"/>
                <w:lang w:val="en-US" w:eastAsia="zh-CN" w:bidi="ar-SA"/>
              </w:rPr>
              <w:t>c</w:t>
            </w:r>
            <w:r>
              <w:rPr>
                <w:rFonts w:hint="default" w:ascii="Times New Roman" w:hAnsi="Times New Roman" w:eastAsia="宋体" w:cs="Times New Roman"/>
                <w:color w:val="auto"/>
                <w:kern w:val="0"/>
                <w:sz w:val="24"/>
                <w:szCs w:val="20"/>
                <w:lang w:val="en-US" w:eastAsia="zh-CN" w:bidi="ar-SA"/>
              </w:rPr>
              <w:t>指年物料运载车次（单位：车）；</w:t>
            </w:r>
          </w:p>
          <w:p w14:paraId="1A6D76EA">
            <w:pPr>
              <w:keepNext w:val="0"/>
              <w:keepLines w:val="0"/>
              <w:suppressLineNumbers w:val="0"/>
              <w:spacing w:before="0" w:beforeAutospacing="0" w:after="0" w:afterAutospacing="0" w:line="560" w:lineRule="exact"/>
              <w:ind w:left="0" w:right="0" w:firstLine="720" w:firstLineChars="300"/>
              <w:rPr>
                <w:rFonts w:hint="default" w:ascii="Times New Roman" w:hAnsi="Times New Roman" w:eastAsia="宋体" w:cs="Times New Roman"/>
                <w:color w:val="auto"/>
                <w:kern w:val="0"/>
                <w:sz w:val="24"/>
                <w:szCs w:val="20"/>
                <w:lang w:val="en-US" w:eastAsia="zh-CN" w:bidi="ar-SA"/>
              </w:rPr>
            </w:pPr>
            <w:r>
              <w:rPr>
                <w:rFonts w:hint="default" w:ascii="Times New Roman" w:hAnsi="Times New Roman" w:eastAsia="宋体" w:cs="Times New Roman"/>
                <w:color w:val="auto"/>
                <w:kern w:val="0"/>
                <w:sz w:val="24"/>
                <w:szCs w:val="20"/>
                <w:lang w:val="en-US" w:eastAsia="zh-CN" w:bidi="ar-SA"/>
              </w:rPr>
              <w:t>D指单车平均运载量（单位：吨/车）；</w:t>
            </w:r>
          </w:p>
          <w:p w14:paraId="32E3445B">
            <w:pPr>
              <w:keepNext w:val="0"/>
              <w:keepLines w:val="0"/>
              <w:suppressLineNumbers w:val="0"/>
              <w:spacing w:before="0" w:beforeAutospacing="0" w:after="0" w:afterAutospacing="0" w:line="560" w:lineRule="exact"/>
              <w:ind w:left="0" w:right="0" w:firstLine="480" w:firstLineChars="200"/>
              <w:rPr>
                <w:rFonts w:hint="eastAsia" w:ascii="Times New Roman" w:hAnsi="Times New Roman" w:eastAsia="宋体" w:cs="Times New Roman"/>
                <w:color w:val="auto"/>
                <w:kern w:val="0"/>
                <w:sz w:val="24"/>
                <w:szCs w:val="20"/>
                <w:lang w:val="en-US" w:eastAsia="zh-CN" w:bidi="ar-SA"/>
              </w:rPr>
            </w:pPr>
            <w:r>
              <w:rPr>
                <w:rFonts w:hint="eastAsia" w:ascii="Times New Roman" w:hAnsi="Times New Roman" w:eastAsia="宋体" w:cs="Times New Roman"/>
                <w:color w:val="auto"/>
                <w:kern w:val="0"/>
                <w:sz w:val="24"/>
                <w:szCs w:val="20"/>
                <w:lang w:val="en-US" w:eastAsia="zh-CN" w:bidi="ar-SA"/>
              </w:rPr>
              <w:t>（a/b）</w:t>
            </w:r>
            <w:r>
              <w:rPr>
                <w:rFonts w:hint="default" w:ascii="Times New Roman" w:hAnsi="Times New Roman" w:eastAsia="宋体" w:cs="Times New Roman"/>
                <w:color w:val="auto"/>
                <w:kern w:val="0"/>
                <w:sz w:val="24"/>
                <w:szCs w:val="20"/>
                <w:lang w:val="en-US" w:eastAsia="zh-CN" w:bidi="ar-SA"/>
              </w:rPr>
              <w:t>指装卸扬尘概化系数(单位</w:t>
            </w:r>
            <w:r>
              <w:rPr>
                <w:rFonts w:hint="eastAsia" w:ascii="Times New Roman" w:hAnsi="Times New Roman" w:eastAsia="宋体" w:cs="Times New Roman"/>
                <w:color w:val="auto"/>
                <w:kern w:val="0"/>
                <w:sz w:val="24"/>
                <w:szCs w:val="20"/>
                <w:lang w:val="en-US" w:eastAsia="zh-CN" w:bidi="ar-SA"/>
              </w:rPr>
              <w:t>：</w:t>
            </w:r>
            <w:r>
              <w:rPr>
                <w:rFonts w:hint="default" w:ascii="Times New Roman" w:hAnsi="Times New Roman" w:eastAsia="宋体" w:cs="Times New Roman"/>
                <w:color w:val="auto"/>
                <w:kern w:val="0"/>
                <w:sz w:val="24"/>
                <w:szCs w:val="20"/>
                <w:lang w:val="en-US" w:eastAsia="zh-CN" w:bidi="ar-SA"/>
              </w:rPr>
              <w:t>千克/吨)，a指各省风速概化系数</w:t>
            </w:r>
            <w:r>
              <w:rPr>
                <w:rFonts w:hint="eastAsia" w:ascii="Times New Roman" w:hAnsi="Times New Roman" w:eastAsia="宋体" w:cs="Times New Roman"/>
                <w:color w:val="auto"/>
                <w:kern w:val="0"/>
                <w:sz w:val="24"/>
                <w:szCs w:val="20"/>
                <w:lang w:val="en-US" w:eastAsia="zh-CN" w:bidi="ar-SA"/>
              </w:rPr>
              <w:t>，</w:t>
            </w:r>
            <w:r>
              <w:rPr>
                <w:rFonts w:hint="default" w:ascii="Times New Roman" w:hAnsi="Times New Roman" w:eastAsia="宋体" w:cs="Times New Roman"/>
                <w:color w:val="auto"/>
                <w:kern w:val="0"/>
                <w:sz w:val="24"/>
                <w:szCs w:val="20"/>
                <w:lang w:val="en-US" w:eastAsia="zh-CN" w:bidi="ar-SA"/>
              </w:rPr>
              <w:t>见附录1</w:t>
            </w:r>
            <w:r>
              <w:rPr>
                <w:rFonts w:hint="eastAsia" w:ascii="Times New Roman" w:hAnsi="Times New Roman" w:eastAsia="宋体" w:cs="Times New Roman"/>
                <w:color w:val="auto"/>
                <w:kern w:val="0"/>
                <w:sz w:val="24"/>
                <w:szCs w:val="20"/>
                <w:lang w:val="en-US" w:eastAsia="zh-CN" w:bidi="ar-SA"/>
              </w:rPr>
              <w:t>，</w:t>
            </w:r>
            <w:r>
              <w:rPr>
                <w:rFonts w:hint="default" w:ascii="Times New Roman" w:hAnsi="Times New Roman" w:eastAsia="宋体" w:cs="Times New Roman"/>
                <w:color w:val="auto"/>
                <w:kern w:val="0"/>
                <w:sz w:val="24"/>
                <w:szCs w:val="20"/>
                <w:lang w:val="en-US" w:eastAsia="zh-CN" w:bidi="ar-SA"/>
              </w:rPr>
              <w:t>b指物料含水率概化系数</w:t>
            </w:r>
            <w:r>
              <w:rPr>
                <w:rFonts w:hint="eastAsia" w:ascii="Times New Roman" w:hAnsi="Times New Roman" w:eastAsia="宋体" w:cs="Times New Roman"/>
                <w:color w:val="auto"/>
                <w:kern w:val="0"/>
                <w:sz w:val="24"/>
                <w:szCs w:val="20"/>
                <w:lang w:val="en-US" w:eastAsia="zh-CN" w:bidi="ar-SA"/>
              </w:rPr>
              <w:t>，</w:t>
            </w:r>
            <w:r>
              <w:rPr>
                <w:rFonts w:hint="default" w:ascii="Times New Roman" w:hAnsi="Times New Roman" w:eastAsia="宋体" w:cs="Times New Roman"/>
                <w:color w:val="auto"/>
                <w:kern w:val="0"/>
                <w:sz w:val="24"/>
                <w:szCs w:val="20"/>
                <w:lang w:val="en-US" w:eastAsia="zh-CN" w:bidi="ar-SA"/>
              </w:rPr>
              <w:t>见附录2</w:t>
            </w:r>
            <w:r>
              <w:rPr>
                <w:rFonts w:hint="eastAsia" w:ascii="Times New Roman" w:hAnsi="Times New Roman" w:eastAsia="宋体" w:cs="Times New Roman"/>
                <w:color w:val="auto"/>
                <w:kern w:val="0"/>
                <w:sz w:val="24"/>
                <w:szCs w:val="20"/>
                <w:lang w:val="en-US" w:eastAsia="zh-CN" w:bidi="ar-SA"/>
              </w:rPr>
              <w:t>；</w:t>
            </w:r>
          </w:p>
          <w:p w14:paraId="21D452EC">
            <w:pPr>
              <w:keepNext w:val="0"/>
              <w:keepLines w:val="0"/>
              <w:suppressLineNumbers w:val="0"/>
              <w:spacing w:before="0" w:beforeAutospacing="0" w:after="0" w:afterAutospacing="0" w:line="560" w:lineRule="exact"/>
              <w:ind w:left="0" w:right="0" w:firstLine="480" w:firstLineChars="200"/>
              <w:rPr>
                <w:rFonts w:hint="eastAsia" w:ascii="Times New Roman" w:hAnsi="Times New Roman" w:eastAsia="宋体" w:cs="Times New Roman"/>
                <w:color w:val="auto"/>
                <w:kern w:val="0"/>
                <w:sz w:val="24"/>
                <w:szCs w:val="20"/>
                <w:lang w:val="en-US" w:eastAsia="zh-CN" w:bidi="ar-SA"/>
              </w:rPr>
            </w:pPr>
            <w:r>
              <w:rPr>
                <w:rFonts w:hint="default" w:ascii="Times New Roman" w:hAnsi="Times New Roman" w:eastAsia="宋体" w:cs="Times New Roman"/>
                <w:color w:val="auto"/>
                <w:kern w:val="0"/>
                <w:sz w:val="24"/>
                <w:szCs w:val="20"/>
                <w:lang w:val="en-US" w:eastAsia="zh-CN" w:bidi="ar-SA"/>
              </w:rPr>
              <w:t>E</w:t>
            </w:r>
            <w:r>
              <w:rPr>
                <w:rFonts w:hint="eastAsia" w:ascii="Times New Roman" w:hAnsi="Times New Roman" w:eastAsia="宋体" w:cs="Times New Roman"/>
                <w:color w:val="auto"/>
                <w:kern w:val="0"/>
                <w:sz w:val="24"/>
                <w:szCs w:val="20"/>
                <w:vertAlign w:val="subscript"/>
                <w:lang w:val="en-US" w:eastAsia="zh-CN" w:bidi="ar-SA"/>
              </w:rPr>
              <w:t>f</w:t>
            </w:r>
            <w:r>
              <w:rPr>
                <w:rFonts w:hint="default" w:ascii="Times New Roman" w:hAnsi="Times New Roman" w:eastAsia="宋体" w:cs="Times New Roman"/>
                <w:color w:val="auto"/>
                <w:kern w:val="0"/>
                <w:sz w:val="24"/>
                <w:szCs w:val="20"/>
                <w:lang w:val="en-US" w:eastAsia="zh-CN" w:bidi="ar-SA"/>
              </w:rPr>
              <w:t>指堆场风蚀扬尘概化系数，见附录3(单位</w:t>
            </w:r>
            <w:r>
              <w:rPr>
                <w:rFonts w:hint="eastAsia" w:ascii="Times New Roman" w:hAnsi="Times New Roman" w:eastAsia="宋体" w:cs="Times New Roman"/>
                <w:color w:val="auto"/>
                <w:kern w:val="0"/>
                <w:sz w:val="24"/>
                <w:szCs w:val="20"/>
                <w:lang w:val="en-US" w:eastAsia="zh-CN" w:bidi="ar-SA"/>
              </w:rPr>
              <w:t>：</w:t>
            </w:r>
            <w:r>
              <w:rPr>
                <w:rFonts w:hint="default" w:ascii="Times New Roman" w:hAnsi="Times New Roman" w:eastAsia="宋体" w:cs="Times New Roman"/>
                <w:color w:val="auto"/>
                <w:kern w:val="0"/>
                <w:sz w:val="24"/>
                <w:szCs w:val="20"/>
                <w:lang w:val="en-US" w:eastAsia="zh-CN" w:bidi="ar-SA"/>
              </w:rPr>
              <w:t>千克/平方米)</w:t>
            </w:r>
            <w:r>
              <w:rPr>
                <w:rFonts w:hint="eastAsia" w:ascii="Times New Roman" w:hAnsi="Times New Roman" w:eastAsia="宋体" w:cs="Times New Roman"/>
                <w:color w:val="auto"/>
                <w:kern w:val="0"/>
                <w:sz w:val="24"/>
                <w:szCs w:val="20"/>
                <w:lang w:val="en-US" w:eastAsia="zh-CN" w:bidi="ar-SA"/>
              </w:rPr>
              <w:t>；</w:t>
            </w:r>
          </w:p>
          <w:p w14:paraId="29826D0C">
            <w:pPr>
              <w:keepNext w:val="0"/>
              <w:keepLines w:val="0"/>
              <w:suppressLineNumbers w:val="0"/>
              <w:spacing w:before="0" w:beforeAutospacing="0" w:after="0" w:afterAutospacing="0" w:line="560" w:lineRule="exact"/>
              <w:ind w:left="0" w:right="0" w:firstLine="480" w:firstLineChars="200"/>
              <w:rPr>
                <w:rFonts w:hint="default" w:ascii="Times New Roman" w:hAnsi="Times New Roman" w:eastAsia="宋体" w:cs="Times New Roman"/>
                <w:color w:val="auto"/>
                <w:kern w:val="0"/>
                <w:sz w:val="24"/>
                <w:szCs w:val="20"/>
                <w:lang w:val="en-US" w:eastAsia="zh-CN" w:bidi="ar-SA"/>
              </w:rPr>
            </w:pPr>
            <w:r>
              <w:rPr>
                <w:rFonts w:hint="default" w:ascii="Times New Roman" w:hAnsi="Times New Roman" w:eastAsia="宋体" w:cs="Times New Roman"/>
                <w:color w:val="auto"/>
                <w:kern w:val="0"/>
                <w:sz w:val="24"/>
                <w:szCs w:val="20"/>
                <w:lang w:val="en-US" w:eastAsia="zh-CN" w:bidi="ar-SA"/>
              </w:rPr>
              <w:t>S指堆场占地面积(单位</w:t>
            </w:r>
            <w:r>
              <w:rPr>
                <w:rFonts w:hint="eastAsia" w:ascii="Times New Roman" w:hAnsi="Times New Roman" w:eastAsia="宋体" w:cs="Times New Roman"/>
                <w:color w:val="auto"/>
                <w:kern w:val="0"/>
                <w:sz w:val="24"/>
                <w:szCs w:val="20"/>
                <w:lang w:val="en-US" w:eastAsia="zh-CN" w:bidi="ar-SA"/>
              </w:rPr>
              <w:t>：</w:t>
            </w:r>
            <w:r>
              <w:rPr>
                <w:rFonts w:hint="default" w:ascii="Times New Roman" w:hAnsi="Times New Roman" w:eastAsia="宋体" w:cs="Times New Roman"/>
                <w:color w:val="auto"/>
                <w:kern w:val="0"/>
                <w:sz w:val="24"/>
                <w:szCs w:val="20"/>
                <w:lang w:val="en-US" w:eastAsia="zh-CN" w:bidi="ar-SA"/>
              </w:rPr>
              <w:t>平方米)。</w:t>
            </w:r>
          </w:p>
          <w:p w14:paraId="1DDDB0E3">
            <w:pPr>
              <w:keepNext w:val="0"/>
              <w:keepLines w:val="0"/>
              <w:suppressLineNumbers w:val="0"/>
              <w:adjustRightInd w:val="0"/>
              <w:snapToGrid w:val="0"/>
              <w:spacing w:before="0" w:beforeAutospacing="0" w:after="0" w:afterAutospacing="0" w:line="520" w:lineRule="exact"/>
              <w:ind w:left="0" w:right="0" w:firstLine="480" w:firstLineChars="200"/>
              <w:rPr>
                <w:rFonts w:hint="default" w:hAnsi="宋体"/>
                <w:color w:val="auto"/>
                <w:sz w:val="24"/>
                <w:szCs w:val="24"/>
              </w:rPr>
            </w:pPr>
            <w:r>
              <w:rPr>
                <w:rFonts w:hint="default" w:hAnsi="宋体"/>
                <w:color w:val="auto"/>
                <w:sz w:val="24"/>
                <w:szCs w:val="24"/>
              </w:rPr>
              <w:t>本项目</w:t>
            </w:r>
            <w:r>
              <w:rPr>
                <w:rFonts w:hint="eastAsia" w:hAnsi="宋体"/>
                <w:color w:val="auto"/>
                <w:sz w:val="24"/>
                <w:szCs w:val="24"/>
                <w:lang w:val="en-US" w:eastAsia="zh-CN"/>
              </w:rPr>
              <w:t>D</w:t>
            </w:r>
            <w:r>
              <w:rPr>
                <w:rFonts w:hint="default" w:hAnsi="宋体"/>
                <w:color w:val="auto"/>
                <w:sz w:val="24"/>
                <w:szCs w:val="24"/>
              </w:rPr>
              <w:t>装载车单车平均运载量为</w:t>
            </w:r>
            <w:r>
              <w:rPr>
                <w:rFonts w:hint="eastAsia" w:hAnsi="宋体"/>
                <w:color w:val="auto"/>
                <w:sz w:val="24"/>
                <w:szCs w:val="24"/>
                <w:lang w:val="en-US" w:eastAsia="zh-CN"/>
              </w:rPr>
              <w:t>30</w:t>
            </w:r>
            <w:r>
              <w:rPr>
                <w:rFonts w:hint="default" w:hAnsi="宋体"/>
                <w:color w:val="auto"/>
                <w:sz w:val="24"/>
                <w:szCs w:val="24"/>
              </w:rPr>
              <w:t>吨/车，</w:t>
            </w:r>
            <w:r>
              <w:rPr>
                <w:rFonts w:hint="default" w:ascii="Times New Roman" w:hAnsi="Times New Roman" w:eastAsia="宋体" w:cs="Times New Roman"/>
                <w:color w:val="auto"/>
                <w:kern w:val="0"/>
                <w:sz w:val="24"/>
                <w:szCs w:val="20"/>
                <w:lang w:val="en-US" w:eastAsia="zh-CN" w:bidi="ar-SA"/>
              </w:rPr>
              <w:t>N</w:t>
            </w:r>
            <w:r>
              <w:rPr>
                <w:rFonts w:hint="default" w:ascii="Times New Roman" w:hAnsi="Times New Roman" w:eastAsia="宋体" w:cs="Times New Roman"/>
                <w:color w:val="auto"/>
                <w:kern w:val="0"/>
                <w:sz w:val="24"/>
                <w:szCs w:val="20"/>
                <w:vertAlign w:val="subscript"/>
                <w:lang w:val="en-US" w:eastAsia="zh-CN" w:bidi="ar-SA"/>
              </w:rPr>
              <w:t>c</w:t>
            </w:r>
            <w:r>
              <w:rPr>
                <w:rFonts w:hint="default" w:hAnsi="宋体"/>
                <w:color w:val="auto"/>
                <w:sz w:val="24"/>
                <w:szCs w:val="24"/>
              </w:rPr>
              <w:t>年物料运载车次为</w:t>
            </w:r>
            <w:r>
              <w:rPr>
                <w:rFonts w:hint="eastAsia" w:hAnsi="宋体"/>
                <w:color w:val="auto"/>
                <w:sz w:val="24"/>
                <w:szCs w:val="24"/>
                <w:lang w:val="en-US" w:eastAsia="zh-CN"/>
              </w:rPr>
              <w:t>3360</w:t>
            </w:r>
            <w:r>
              <w:rPr>
                <w:rFonts w:hint="default" w:hAnsi="宋体"/>
                <w:color w:val="auto"/>
                <w:sz w:val="24"/>
                <w:szCs w:val="24"/>
              </w:rPr>
              <w:t>车，根据附录1，黑龙江省a取0.0015；本项目</w:t>
            </w:r>
            <w:r>
              <w:rPr>
                <w:rFonts w:hint="eastAsia" w:hAnsi="宋体"/>
                <w:color w:val="auto"/>
                <w:sz w:val="24"/>
                <w:szCs w:val="24"/>
                <w:lang w:val="en-US" w:eastAsia="zh-CN"/>
              </w:rPr>
              <w:t>煤炭</w:t>
            </w:r>
            <w:r>
              <w:rPr>
                <w:rFonts w:hint="default" w:hAnsi="宋体"/>
                <w:color w:val="auto"/>
                <w:sz w:val="24"/>
                <w:szCs w:val="24"/>
              </w:rPr>
              <w:t>含水率</w:t>
            </w:r>
            <w:r>
              <w:rPr>
                <w:rFonts w:hint="eastAsia" w:hAnsi="宋体"/>
                <w:color w:val="auto"/>
                <w:sz w:val="24"/>
                <w:szCs w:val="24"/>
                <w:lang w:val="en-US" w:eastAsia="zh-CN"/>
              </w:rPr>
              <w:t>为4.8%</w:t>
            </w:r>
            <w:r>
              <w:rPr>
                <w:rFonts w:hint="default" w:hAnsi="宋体"/>
                <w:color w:val="auto"/>
                <w:sz w:val="24"/>
                <w:szCs w:val="24"/>
              </w:rPr>
              <w:t>，参考附录2</w:t>
            </w:r>
            <w:r>
              <w:rPr>
                <w:rFonts w:hint="eastAsia" w:hAnsi="宋体"/>
                <w:color w:val="auto"/>
                <w:sz w:val="24"/>
                <w:szCs w:val="24"/>
                <w:lang w:eastAsia="zh-CN"/>
              </w:rPr>
              <w:t>掺混</w:t>
            </w:r>
            <w:r>
              <w:rPr>
                <w:rFonts w:hint="default" w:hAnsi="宋体"/>
                <w:color w:val="auto"/>
                <w:sz w:val="24"/>
                <w:szCs w:val="24"/>
              </w:rPr>
              <w:t>矿石，b取0.00</w:t>
            </w:r>
            <w:r>
              <w:rPr>
                <w:rFonts w:hint="eastAsia" w:hAnsi="宋体"/>
                <w:color w:val="auto"/>
                <w:sz w:val="24"/>
                <w:szCs w:val="24"/>
                <w:lang w:val="en-US" w:eastAsia="zh-CN"/>
              </w:rPr>
              <w:t>5</w:t>
            </w:r>
            <w:r>
              <w:rPr>
                <w:rFonts w:hint="default" w:hAnsi="宋体"/>
                <w:color w:val="auto"/>
                <w:sz w:val="24"/>
                <w:szCs w:val="24"/>
              </w:rPr>
              <w:t>4；根据附录3，</w:t>
            </w:r>
            <w:r>
              <w:rPr>
                <w:rFonts w:hint="default" w:ascii="Times New Roman" w:hAnsi="Times New Roman" w:eastAsia="宋体" w:cs="Times New Roman"/>
                <w:color w:val="auto"/>
                <w:kern w:val="0"/>
                <w:sz w:val="24"/>
                <w:szCs w:val="20"/>
                <w:lang w:val="en-US" w:eastAsia="zh-CN" w:bidi="ar-SA"/>
              </w:rPr>
              <w:t>E</w:t>
            </w:r>
            <w:r>
              <w:rPr>
                <w:rFonts w:hint="eastAsia" w:ascii="Times New Roman" w:hAnsi="Times New Roman" w:eastAsia="宋体" w:cs="Times New Roman"/>
                <w:color w:val="auto"/>
                <w:kern w:val="0"/>
                <w:sz w:val="24"/>
                <w:szCs w:val="20"/>
                <w:vertAlign w:val="subscript"/>
                <w:lang w:val="en-US" w:eastAsia="zh-CN" w:bidi="ar-SA"/>
              </w:rPr>
              <w:t>f</w:t>
            </w:r>
            <w:r>
              <w:rPr>
                <w:rFonts w:hint="default" w:hAnsi="宋体"/>
                <w:color w:val="auto"/>
                <w:sz w:val="24"/>
                <w:szCs w:val="24"/>
              </w:rPr>
              <w:t>风蚀概化系数取</w:t>
            </w:r>
            <w:r>
              <w:rPr>
                <w:rFonts w:hint="eastAsia" w:hAnsi="宋体"/>
                <w:color w:val="auto"/>
                <w:sz w:val="24"/>
                <w:szCs w:val="24"/>
                <w:lang w:val="en-US" w:eastAsia="zh-CN"/>
              </w:rPr>
              <w:t>31.1418</w:t>
            </w:r>
            <w:r>
              <w:rPr>
                <w:rFonts w:hint="default" w:hAnsi="宋体"/>
                <w:color w:val="auto"/>
                <w:sz w:val="24"/>
                <w:szCs w:val="24"/>
              </w:rPr>
              <w:t>，</w:t>
            </w:r>
            <w:r>
              <w:rPr>
                <w:rFonts w:hint="default" w:ascii="Times New Roman" w:hAnsi="Times New Roman" w:eastAsia="宋体" w:cs="Times New Roman"/>
                <w:color w:val="auto"/>
                <w:kern w:val="0"/>
                <w:sz w:val="24"/>
                <w:szCs w:val="20"/>
                <w:lang w:val="en-US" w:eastAsia="zh-CN" w:bidi="ar-SA"/>
              </w:rPr>
              <w:t>S</w:t>
            </w:r>
            <w:r>
              <w:rPr>
                <w:rFonts w:hint="default" w:hAnsi="宋体"/>
                <w:color w:val="auto"/>
                <w:sz w:val="24"/>
                <w:szCs w:val="24"/>
              </w:rPr>
              <w:t>堆场占地面积取</w:t>
            </w:r>
            <w:r>
              <w:rPr>
                <w:rFonts w:hint="eastAsia" w:hAnsi="宋体"/>
                <w:color w:val="auto"/>
                <w:sz w:val="24"/>
                <w:szCs w:val="24"/>
                <w:lang w:val="en-US" w:eastAsia="zh-CN"/>
              </w:rPr>
              <w:t>11352</w:t>
            </w:r>
            <w:r>
              <w:rPr>
                <w:rFonts w:hint="default" w:hAnsi="宋体"/>
                <w:color w:val="auto"/>
                <w:sz w:val="24"/>
                <w:szCs w:val="24"/>
              </w:rPr>
              <w:t>m</w:t>
            </w:r>
            <w:r>
              <w:rPr>
                <w:rFonts w:hint="default" w:hAnsi="宋体"/>
                <w:color w:val="auto"/>
                <w:sz w:val="24"/>
                <w:szCs w:val="24"/>
                <w:vertAlign w:val="superscript"/>
              </w:rPr>
              <w:t>2</w:t>
            </w:r>
            <w:r>
              <w:rPr>
                <w:rFonts w:hint="default" w:hAnsi="宋体"/>
                <w:color w:val="auto"/>
                <w:sz w:val="24"/>
                <w:szCs w:val="24"/>
              </w:rPr>
              <w:t>，经计算，堆场颗粒物产生量P为</w:t>
            </w:r>
            <w:r>
              <w:rPr>
                <w:rFonts w:hint="eastAsia" w:hAnsi="宋体"/>
                <w:color w:val="auto"/>
                <w:sz w:val="24"/>
                <w:szCs w:val="24"/>
                <w:lang w:val="en-US" w:eastAsia="zh-CN"/>
              </w:rPr>
              <w:t>735.043</w:t>
            </w:r>
            <w:r>
              <w:rPr>
                <w:rFonts w:hint="default" w:hAnsi="宋体"/>
                <w:color w:val="auto"/>
                <w:sz w:val="24"/>
                <w:szCs w:val="24"/>
              </w:rPr>
              <w:t>t/a。</w:t>
            </w:r>
          </w:p>
          <w:p w14:paraId="259E8416">
            <w:pPr>
              <w:keepNext w:val="0"/>
              <w:keepLines w:val="0"/>
              <w:suppressLineNumbers w:val="0"/>
              <w:adjustRightInd w:val="0"/>
              <w:snapToGrid w:val="0"/>
              <w:spacing w:before="0" w:beforeAutospacing="0" w:after="0" w:afterAutospacing="0" w:line="520" w:lineRule="exact"/>
              <w:ind w:left="0" w:right="0" w:firstLine="480" w:firstLineChars="200"/>
              <w:rPr>
                <w:rFonts w:hint="default" w:ascii="Times New Roman" w:hAnsi="宋体" w:eastAsia="宋体" w:cs="Times New Roman"/>
                <w:color w:val="auto"/>
                <w:sz w:val="24"/>
                <w:szCs w:val="24"/>
              </w:rPr>
            </w:pPr>
            <w:r>
              <w:rPr>
                <w:rFonts w:hint="default" w:hAnsi="宋体"/>
                <w:color w:val="auto"/>
                <w:sz w:val="24"/>
                <w:szCs w:val="24"/>
              </w:rPr>
              <w:t>工业企业固体物料堆</w:t>
            </w:r>
            <w:r>
              <w:rPr>
                <w:rFonts w:hint="default" w:ascii="Times New Roman" w:hAnsi="宋体" w:eastAsia="宋体" w:cs="Times New Roman"/>
                <w:color w:val="auto"/>
                <w:sz w:val="24"/>
                <w:szCs w:val="24"/>
              </w:rPr>
              <w:t>场颗粒物排放量核算公式如下：</w:t>
            </w:r>
          </w:p>
          <w:p w14:paraId="30ADA1FE">
            <w:pPr>
              <w:pStyle w:val="18"/>
              <w:keepNext w:val="0"/>
              <w:keepLines w:val="0"/>
              <w:suppressLineNumbers w:val="0"/>
              <w:spacing w:before="0" w:beforeAutospacing="0" w:after="0" w:afterAutospacing="0" w:line="240" w:lineRule="auto"/>
              <w:ind w:left="0" w:right="0"/>
              <w:jc w:val="center"/>
              <w:rPr>
                <w:rFonts w:hint="eastAsia" w:eastAsia="宋体"/>
                <w:color w:val="auto"/>
                <w:lang w:eastAsia="zh-CN"/>
              </w:rPr>
            </w:pPr>
            <w:r>
              <w:rPr>
                <w:rFonts w:hint="eastAsia" w:eastAsia="宋体"/>
                <w:color w:val="auto"/>
                <w:lang w:eastAsia="zh-CN"/>
              </w:rPr>
              <w:drawing>
                <wp:inline distT="0" distB="0" distL="114300" distR="114300">
                  <wp:extent cx="2676525" cy="485775"/>
                  <wp:effectExtent l="0" t="0" r="9525" b="9525"/>
                  <wp:docPr id="50" name="图片 50" descr="167937825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1679378255988"/>
                          <pic:cNvPicPr>
                            <a:picLocks noChangeAspect="1"/>
                          </pic:cNvPicPr>
                        </pic:nvPicPr>
                        <pic:blipFill>
                          <a:blip r:embed="rId18"/>
                          <a:stretch>
                            <a:fillRect/>
                          </a:stretch>
                        </pic:blipFill>
                        <pic:spPr>
                          <a:xfrm>
                            <a:off x="0" y="0"/>
                            <a:ext cx="2676525" cy="485775"/>
                          </a:xfrm>
                          <a:prstGeom prst="rect">
                            <a:avLst/>
                          </a:prstGeom>
                        </pic:spPr>
                      </pic:pic>
                    </a:graphicData>
                  </a:graphic>
                </wp:inline>
              </w:drawing>
            </w:r>
          </w:p>
          <w:p w14:paraId="7D43BAB9">
            <w:pPr>
              <w:keepNext w:val="0"/>
              <w:keepLines w:val="0"/>
              <w:suppressLineNumbers w:val="0"/>
              <w:adjustRightInd w:val="0"/>
              <w:snapToGrid w:val="0"/>
              <w:spacing w:before="0" w:beforeAutospacing="0" w:after="0" w:afterAutospacing="0" w:line="520" w:lineRule="exact"/>
              <w:ind w:left="0" w:right="0"/>
              <w:rPr>
                <w:rFonts w:hint="default" w:ascii="Times New Roman" w:hAnsi="宋体" w:eastAsia="宋体" w:cs="Times New Roman"/>
                <w:color w:val="auto"/>
                <w:sz w:val="24"/>
                <w:szCs w:val="24"/>
              </w:rPr>
            </w:pPr>
            <w:r>
              <w:rPr>
                <w:rFonts w:hint="default" w:ascii="Times New Roman" w:hAnsi="宋体" w:eastAsia="宋体" w:cs="Times New Roman"/>
                <w:color w:val="auto"/>
                <w:sz w:val="24"/>
                <w:szCs w:val="24"/>
              </w:rPr>
              <w:t>式中：P指颗粒物产生量（单位：吨）；</w:t>
            </w:r>
          </w:p>
          <w:p w14:paraId="48E03C4E">
            <w:pPr>
              <w:keepNext w:val="0"/>
              <w:keepLines w:val="0"/>
              <w:suppressLineNumbers w:val="0"/>
              <w:adjustRightInd w:val="0"/>
              <w:snapToGrid w:val="0"/>
              <w:spacing w:before="0" w:beforeAutospacing="0" w:after="0" w:afterAutospacing="0" w:line="520" w:lineRule="exact"/>
              <w:ind w:left="0" w:right="0" w:firstLine="720" w:firstLineChars="300"/>
              <w:rPr>
                <w:rFonts w:hint="default" w:ascii="Times New Roman" w:hAnsi="宋体" w:eastAsia="宋体" w:cs="Times New Roman"/>
                <w:color w:val="auto"/>
                <w:sz w:val="24"/>
                <w:szCs w:val="24"/>
              </w:rPr>
            </w:pPr>
            <w:r>
              <w:rPr>
                <w:rFonts w:hint="default" w:ascii="Times New Roman" w:hAnsi="宋体" w:eastAsia="宋体" w:cs="Times New Roman"/>
                <w:color w:val="auto"/>
                <w:sz w:val="24"/>
                <w:szCs w:val="24"/>
              </w:rPr>
              <w:t>U</w:t>
            </w:r>
            <w:r>
              <w:rPr>
                <w:rFonts w:hint="default" w:ascii="Times New Roman" w:hAnsi="宋体" w:eastAsia="宋体" w:cs="Times New Roman"/>
                <w:color w:val="auto"/>
                <w:sz w:val="24"/>
                <w:szCs w:val="24"/>
                <w:vertAlign w:val="subscript"/>
              </w:rPr>
              <w:t>c</w:t>
            </w:r>
            <w:r>
              <w:rPr>
                <w:rFonts w:hint="default" w:ascii="Times New Roman" w:hAnsi="宋体" w:eastAsia="宋体" w:cs="Times New Roman"/>
                <w:color w:val="auto"/>
                <w:sz w:val="24"/>
                <w:szCs w:val="24"/>
              </w:rPr>
              <w:t>指颗粒物排放量（单位：吨）；</w:t>
            </w:r>
          </w:p>
          <w:p w14:paraId="0DFBC8DF">
            <w:pPr>
              <w:keepNext w:val="0"/>
              <w:keepLines w:val="0"/>
              <w:suppressLineNumbers w:val="0"/>
              <w:adjustRightInd w:val="0"/>
              <w:snapToGrid w:val="0"/>
              <w:spacing w:before="0" w:beforeAutospacing="0" w:after="0" w:afterAutospacing="0" w:line="520" w:lineRule="exact"/>
              <w:ind w:left="0" w:right="0" w:firstLine="720" w:firstLineChars="300"/>
              <w:rPr>
                <w:rFonts w:hint="default" w:ascii="Times New Roman" w:hAnsi="宋体" w:eastAsia="宋体" w:cs="Times New Roman"/>
                <w:color w:val="auto"/>
                <w:sz w:val="24"/>
                <w:szCs w:val="24"/>
              </w:rPr>
            </w:pPr>
            <w:r>
              <w:rPr>
                <w:rFonts w:hint="default" w:ascii="Times New Roman" w:hAnsi="宋体" w:eastAsia="宋体" w:cs="Times New Roman"/>
                <w:color w:val="auto"/>
                <w:sz w:val="24"/>
                <w:szCs w:val="24"/>
              </w:rPr>
              <w:t>C</w:t>
            </w:r>
            <w:r>
              <w:rPr>
                <w:rFonts w:hint="default" w:ascii="Times New Roman" w:hAnsi="宋体" w:eastAsia="宋体" w:cs="Times New Roman"/>
                <w:color w:val="auto"/>
                <w:sz w:val="24"/>
                <w:szCs w:val="24"/>
                <w:vertAlign w:val="subscript"/>
              </w:rPr>
              <w:t>m</w:t>
            </w:r>
            <w:r>
              <w:rPr>
                <w:rFonts w:hint="default" w:ascii="Times New Roman" w:hAnsi="宋体" w:eastAsia="宋体" w:cs="Times New Roman"/>
                <w:color w:val="auto"/>
                <w:sz w:val="24"/>
                <w:szCs w:val="24"/>
              </w:rPr>
              <w:t>指颗粒物控制措施控制效率（单位：%），见附录4；</w:t>
            </w:r>
          </w:p>
          <w:p w14:paraId="367456D9">
            <w:pPr>
              <w:keepNext w:val="0"/>
              <w:keepLines w:val="0"/>
              <w:suppressLineNumbers w:val="0"/>
              <w:adjustRightInd w:val="0"/>
              <w:snapToGrid w:val="0"/>
              <w:spacing w:before="0" w:beforeAutospacing="0" w:after="0" w:afterAutospacing="0" w:line="520" w:lineRule="exact"/>
              <w:ind w:left="0" w:right="0" w:firstLine="720" w:firstLineChars="300"/>
              <w:rPr>
                <w:rFonts w:hint="default" w:ascii="Times New Roman" w:hAnsi="宋体" w:eastAsia="宋体" w:cs="Times New Roman"/>
                <w:color w:val="auto"/>
                <w:sz w:val="24"/>
                <w:szCs w:val="24"/>
              </w:rPr>
            </w:pPr>
            <w:r>
              <w:rPr>
                <w:rFonts w:hint="default" w:ascii="Times New Roman" w:hAnsi="宋体" w:eastAsia="宋体" w:cs="Times New Roman"/>
                <w:color w:val="auto"/>
                <w:sz w:val="24"/>
                <w:szCs w:val="24"/>
              </w:rPr>
              <w:t>T</w:t>
            </w:r>
            <w:r>
              <w:rPr>
                <w:rFonts w:hint="default" w:ascii="Times New Roman" w:hAnsi="宋体" w:eastAsia="宋体" w:cs="Times New Roman"/>
                <w:color w:val="auto"/>
                <w:sz w:val="24"/>
                <w:szCs w:val="24"/>
                <w:vertAlign w:val="subscript"/>
              </w:rPr>
              <w:t>m</w:t>
            </w:r>
            <w:r>
              <w:rPr>
                <w:rFonts w:hint="default" w:ascii="Times New Roman" w:hAnsi="宋体" w:eastAsia="宋体" w:cs="Times New Roman"/>
                <w:color w:val="auto"/>
                <w:sz w:val="24"/>
                <w:szCs w:val="24"/>
              </w:rPr>
              <w:t>指堆场类型控制效率（单位：%），见附录5。</w:t>
            </w:r>
          </w:p>
          <w:p w14:paraId="1FE4CFA6">
            <w:pPr>
              <w:keepNext w:val="0"/>
              <w:keepLines w:val="0"/>
              <w:suppressLineNumbers w:val="0"/>
              <w:adjustRightInd w:val="0"/>
              <w:snapToGrid w:val="0"/>
              <w:spacing w:before="0" w:beforeAutospacing="0" w:after="0" w:afterAutospacing="0" w:line="520" w:lineRule="exact"/>
              <w:ind w:left="0" w:right="0" w:firstLine="480" w:firstLineChars="200"/>
              <w:rPr>
                <w:rFonts w:hint="default" w:ascii="Times New Roman" w:hAnsi="宋体" w:eastAsia="宋体" w:cs="Times New Roman"/>
                <w:color w:val="auto"/>
                <w:sz w:val="24"/>
                <w:szCs w:val="24"/>
              </w:rPr>
            </w:pPr>
            <w:r>
              <w:rPr>
                <w:rFonts w:hint="eastAsia" w:hAnsi="宋体" w:cs="Times New Roman"/>
                <w:color w:val="auto"/>
                <w:sz w:val="24"/>
                <w:szCs w:val="24"/>
                <w:vertAlign w:val="baseline"/>
                <w:lang w:val="en-US" w:eastAsia="zh-CN"/>
              </w:rPr>
              <w:t>本项目粉尘控制措施控制效率依据</w:t>
            </w:r>
            <w:r>
              <w:rPr>
                <w:rFonts w:hint="eastAsia" w:hAnsi="宋体" w:cs="Times New Roman"/>
                <w:color w:val="auto"/>
                <w:sz w:val="24"/>
                <w:szCs w:val="24"/>
                <w:vertAlign w:val="baseline"/>
                <w:lang w:eastAsia="zh-CN"/>
              </w:rPr>
              <w:t>《固体物料堆存颗粒物产排污核算系数手册》“附录4：粉尘控制措施控制效率”。</w:t>
            </w:r>
            <w:r>
              <w:rPr>
                <w:rFonts w:hint="default" w:ascii="Times New Roman" w:hAnsi="宋体" w:eastAsia="宋体" w:cs="Times New Roman"/>
                <w:color w:val="auto"/>
                <w:sz w:val="24"/>
                <w:szCs w:val="24"/>
              </w:rPr>
              <w:t>本项目</w:t>
            </w:r>
            <w:r>
              <w:rPr>
                <w:rFonts w:hint="eastAsia" w:hAnsi="宋体" w:cs="Times New Roman"/>
                <w:color w:val="auto"/>
                <w:sz w:val="24"/>
                <w:szCs w:val="24"/>
                <w:lang w:val="en-US" w:eastAsia="zh-CN"/>
              </w:rPr>
              <w:t>车辆出入冲洗（高压水枪），冲洗</w:t>
            </w:r>
            <w:r>
              <w:rPr>
                <w:rFonts w:hint="default" w:ascii="Times New Roman" w:hAnsi="宋体" w:eastAsia="宋体" w:cs="Times New Roman"/>
                <w:color w:val="auto"/>
                <w:sz w:val="24"/>
                <w:szCs w:val="24"/>
              </w:rPr>
              <w:t>C</w:t>
            </w:r>
            <w:r>
              <w:rPr>
                <w:rFonts w:hint="default" w:ascii="Times New Roman" w:hAnsi="宋体" w:eastAsia="宋体" w:cs="Times New Roman"/>
                <w:color w:val="auto"/>
                <w:sz w:val="24"/>
                <w:szCs w:val="24"/>
                <w:vertAlign w:val="subscript"/>
              </w:rPr>
              <w:t>m</w:t>
            </w:r>
            <w:r>
              <w:rPr>
                <w:rFonts w:hint="eastAsia" w:hAnsi="宋体" w:cs="Times New Roman"/>
                <w:color w:val="auto"/>
                <w:sz w:val="24"/>
                <w:szCs w:val="24"/>
                <w:vertAlign w:val="baseline"/>
                <w:lang w:val="en-US" w:eastAsia="zh-CN"/>
              </w:rPr>
              <w:t>取78%，</w:t>
            </w:r>
            <w:r>
              <w:rPr>
                <w:rFonts w:hint="eastAsia" w:hAnsi="宋体" w:cs="Times New Roman"/>
                <w:color w:val="auto"/>
                <w:sz w:val="24"/>
                <w:szCs w:val="24"/>
                <w:lang w:val="en-US" w:eastAsia="zh-CN"/>
              </w:rPr>
              <w:t>厂区</w:t>
            </w:r>
            <w:r>
              <w:rPr>
                <w:rFonts w:hint="default" w:ascii="Times New Roman" w:hAnsi="宋体" w:eastAsia="宋体" w:cs="Times New Roman"/>
                <w:color w:val="auto"/>
                <w:sz w:val="24"/>
                <w:szCs w:val="24"/>
              </w:rPr>
              <w:t>采用</w:t>
            </w:r>
            <w:r>
              <w:rPr>
                <w:rFonts w:hint="eastAsia" w:ascii="Times New Roman" w:hAnsi="宋体" w:eastAsia="宋体" w:cs="Times New Roman"/>
                <w:color w:val="auto"/>
                <w:sz w:val="24"/>
                <w:szCs w:val="24"/>
                <w:lang w:eastAsia="zh-CN"/>
              </w:rPr>
              <w:t>围挡</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防风抑尘网</w:t>
            </w:r>
            <w:r>
              <w:rPr>
                <w:rFonts w:hint="eastAsia" w:hAnsi="宋体" w:cs="Times New Roman"/>
                <w:color w:val="auto"/>
                <w:sz w:val="24"/>
                <w:szCs w:val="24"/>
                <w:lang w:eastAsia="zh-CN"/>
              </w:rPr>
              <w:t>）</w:t>
            </w:r>
            <w:r>
              <w:rPr>
                <w:rFonts w:hint="eastAsia" w:hAnsi="宋体" w:cs="Times New Roman"/>
                <w:color w:val="auto"/>
                <w:sz w:val="24"/>
                <w:szCs w:val="24"/>
                <w:lang w:val="en-US" w:eastAsia="zh-CN"/>
              </w:rPr>
              <w:t>，</w:t>
            </w:r>
            <w:r>
              <w:rPr>
                <w:rFonts w:hint="eastAsia" w:ascii="Times New Roman" w:hAnsi="宋体" w:eastAsia="宋体" w:cs="Times New Roman"/>
                <w:color w:val="auto"/>
                <w:sz w:val="24"/>
                <w:szCs w:val="24"/>
                <w:lang w:eastAsia="zh-CN"/>
              </w:rPr>
              <w:t>围挡</w:t>
            </w:r>
            <w:r>
              <w:rPr>
                <w:rFonts w:hint="default" w:ascii="Times New Roman" w:hAnsi="宋体" w:eastAsia="宋体" w:cs="Times New Roman"/>
                <w:color w:val="auto"/>
                <w:sz w:val="24"/>
                <w:szCs w:val="24"/>
              </w:rPr>
              <w:t>C</w:t>
            </w:r>
            <w:r>
              <w:rPr>
                <w:rFonts w:hint="default" w:ascii="Times New Roman" w:hAnsi="宋体" w:eastAsia="宋体" w:cs="Times New Roman"/>
                <w:color w:val="auto"/>
                <w:sz w:val="24"/>
                <w:szCs w:val="24"/>
                <w:vertAlign w:val="subscript"/>
              </w:rPr>
              <w:t>m</w:t>
            </w:r>
            <w:r>
              <w:rPr>
                <w:rFonts w:hint="default" w:ascii="Times New Roman" w:hAnsi="宋体" w:eastAsia="宋体" w:cs="Times New Roman"/>
                <w:color w:val="auto"/>
                <w:sz w:val="24"/>
                <w:szCs w:val="24"/>
              </w:rPr>
              <w:t>取</w:t>
            </w:r>
            <w:r>
              <w:rPr>
                <w:rFonts w:hint="eastAsia" w:hAnsi="宋体" w:cs="Times New Roman"/>
                <w:color w:val="auto"/>
                <w:sz w:val="24"/>
                <w:szCs w:val="24"/>
                <w:lang w:val="en-US" w:eastAsia="zh-CN"/>
              </w:rPr>
              <w:t>60</w:t>
            </w:r>
            <w:r>
              <w:rPr>
                <w:rFonts w:hint="default" w:ascii="Times New Roman" w:hAnsi="宋体" w:eastAsia="宋体" w:cs="Times New Roman"/>
                <w:color w:val="auto"/>
                <w:sz w:val="24"/>
                <w:szCs w:val="24"/>
              </w:rPr>
              <w:t>%</w:t>
            </w:r>
            <w:r>
              <w:rPr>
                <w:rFonts w:hint="eastAsia" w:hAnsi="宋体" w:cs="Times New Roman"/>
                <w:color w:val="auto"/>
                <w:sz w:val="24"/>
                <w:szCs w:val="24"/>
                <w:lang w:eastAsia="zh-CN"/>
              </w:rPr>
              <w:t>，</w:t>
            </w:r>
            <w:r>
              <w:rPr>
                <w:rFonts w:hint="eastAsia" w:hAnsi="宋体" w:cs="Times New Roman"/>
                <w:color w:val="auto"/>
                <w:sz w:val="24"/>
                <w:szCs w:val="24"/>
                <w:lang w:val="en-US" w:eastAsia="zh-CN"/>
              </w:rPr>
              <w:t>堆场采用</w:t>
            </w:r>
            <w:r>
              <w:rPr>
                <w:rFonts w:hint="eastAsia" w:ascii="Times New Roman" w:hAnsi="宋体" w:eastAsia="宋体" w:cs="Times New Roman"/>
                <w:color w:val="auto"/>
                <w:sz w:val="24"/>
                <w:szCs w:val="24"/>
                <w:lang w:eastAsia="zh-CN"/>
              </w:rPr>
              <w:t>编织覆盖</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防尘网</w:t>
            </w:r>
            <w:r>
              <w:rPr>
                <w:rFonts w:hint="eastAsia" w:hAnsi="宋体" w:cs="Times New Roman"/>
                <w:color w:val="auto"/>
                <w:sz w:val="24"/>
                <w:szCs w:val="24"/>
                <w:lang w:eastAsia="zh-CN"/>
              </w:rPr>
              <w:t>）</w:t>
            </w:r>
            <w:r>
              <w:rPr>
                <w:rFonts w:hint="eastAsia" w:ascii="Times New Roman" w:hAnsi="宋体" w:eastAsia="宋体" w:cs="Times New Roman"/>
                <w:color w:val="auto"/>
                <w:sz w:val="24"/>
                <w:szCs w:val="24"/>
                <w:lang w:eastAsia="zh-CN"/>
              </w:rPr>
              <w:t>方式降尘，编织覆盖</w:t>
            </w:r>
            <w:r>
              <w:rPr>
                <w:rFonts w:hint="default" w:ascii="Times New Roman" w:hAnsi="宋体" w:eastAsia="宋体" w:cs="Times New Roman"/>
                <w:color w:val="auto"/>
                <w:sz w:val="24"/>
                <w:szCs w:val="24"/>
              </w:rPr>
              <w:t>C</w:t>
            </w:r>
            <w:r>
              <w:rPr>
                <w:rFonts w:hint="default" w:ascii="Times New Roman" w:hAnsi="宋体" w:eastAsia="宋体" w:cs="Times New Roman"/>
                <w:color w:val="auto"/>
                <w:sz w:val="24"/>
                <w:szCs w:val="24"/>
                <w:vertAlign w:val="subscript"/>
              </w:rPr>
              <w:t>m</w:t>
            </w:r>
            <w:r>
              <w:rPr>
                <w:rFonts w:hint="default" w:ascii="Times New Roman" w:hAnsi="宋体" w:eastAsia="宋体" w:cs="Times New Roman"/>
                <w:color w:val="auto"/>
                <w:sz w:val="24"/>
                <w:szCs w:val="24"/>
              </w:rPr>
              <w:t>取</w:t>
            </w:r>
            <w:r>
              <w:rPr>
                <w:rFonts w:hint="eastAsia" w:ascii="Times New Roman" w:hAnsi="宋体" w:eastAsia="宋体" w:cs="Times New Roman"/>
                <w:color w:val="auto"/>
                <w:sz w:val="24"/>
                <w:szCs w:val="24"/>
                <w:lang w:val="en-US" w:eastAsia="zh-CN"/>
              </w:rPr>
              <w:t>86</w:t>
            </w:r>
            <w:r>
              <w:rPr>
                <w:rFonts w:hint="default" w:ascii="Times New Roman" w:hAnsi="宋体" w:eastAsia="宋体" w:cs="Times New Roman"/>
                <w:color w:val="auto"/>
                <w:sz w:val="24"/>
                <w:szCs w:val="24"/>
              </w:rPr>
              <w:t>%</w:t>
            </w:r>
            <w:r>
              <w:rPr>
                <w:rFonts w:hint="eastAsia" w:ascii="Times New Roman" w:hAnsi="宋体" w:eastAsia="宋体" w:cs="Times New Roman"/>
                <w:color w:val="auto"/>
                <w:sz w:val="24"/>
                <w:szCs w:val="24"/>
                <w:lang w:eastAsia="zh-CN"/>
              </w:rPr>
              <w:t>，</w:t>
            </w:r>
            <w:r>
              <w:rPr>
                <w:rFonts w:hint="default" w:ascii="Times New Roman" w:hAnsi="宋体" w:eastAsia="宋体" w:cs="Times New Roman"/>
                <w:color w:val="auto"/>
                <w:sz w:val="24"/>
                <w:szCs w:val="24"/>
              </w:rPr>
              <w:t>堆场为</w:t>
            </w:r>
            <w:r>
              <w:rPr>
                <w:rFonts w:hint="eastAsia" w:ascii="Times New Roman" w:hAnsi="宋体" w:eastAsia="宋体" w:cs="Times New Roman"/>
                <w:color w:val="auto"/>
                <w:sz w:val="24"/>
                <w:szCs w:val="24"/>
                <w:lang w:eastAsia="zh-CN"/>
              </w:rPr>
              <w:t>敞开式</w:t>
            </w:r>
            <w:r>
              <w:rPr>
                <w:rFonts w:hint="default" w:ascii="Times New Roman" w:hAnsi="宋体" w:eastAsia="宋体" w:cs="Times New Roman"/>
                <w:color w:val="auto"/>
                <w:sz w:val="24"/>
                <w:szCs w:val="24"/>
              </w:rPr>
              <w:t>，T</w:t>
            </w:r>
            <w:r>
              <w:rPr>
                <w:rFonts w:hint="default" w:ascii="Times New Roman" w:hAnsi="宋体" w:eastAsia="宋体" w:cs="Times New Roman"/>
                <w:color w:val="auto"/>
                <w:sz w:val="24"/>
                <w:szCs w:val="24"/>
                <w:vertAlign w:val="subscript"/>
              </w:rPr>
              <w:t>m</w:t>
            </w:r>
            <w:r>
              <w:rPr>
                <w:rFonts w:hint="default" w:ascii="Times New Roman" w:hAnsi="宋体" w:eastAsia="宋体" w:cs="Times New Roman"/>
                <w:color w:val="auto"/>
                <w:sz w:val="24"/>
                <w:szCs w:val="24"/>
              </w:rPr>
              <w:t>取</w:t>
            </w:r>
            <w:r>
              <w:rPr>
                <w:rFonts w:hint="eastAsia" w:ascii="Times New Roman" w:hAnsi="宋体" w:eastAsia="宋体" w:cs="Times New Roman"/>
                <w:color w:val="auto"/>
                <w:sz w:val="24"/>
                <w:szCs w:val="24"/>
                <w:lang w:val="en-US" w:eastAsia="zh-CN"/>
              </w:rPr>
              <w:t>0</w:t>
            </w:r>
            <w:r>
              <w:rPr>
                <w:rFonts w:hint="default" w:ascii="Times New Roman" w:hAnsi="宋体" w:eastAsia="宋体" w:cs="Times New Roman"/>
                <w:color w:val="auto"/>
                <w:sz w:val="24"/>
                <w:szCs w:val="24"/>
              </w:rPr>
              <w:t>%，经计算，颗粒物排放量为9.05</w:t>
            </w:r>
            <w:r>
              <w:rPr>
                <w:rFonts w:hint="eastAsia" w:hAnsi="宋体" w:cs="Times New Roman"/>
                <w:color w:val="auto"/>
                <w:sz w:val="24"/>
                <w:szCs w:val="24"/>
                <w:lang w:val="en-US" w:eastAsia="zh-CN"/>
              </w:rPr>
              <w:t>6</w:t>
            </w:r>
            <w:r>
              <w:rPr>
                <w:rFonts w:hint="default" w:ascii="Times New Roman" w:hAnsi="宋体" w:eastAsia="宋体" w:cs="Times New Roman"/>
                <w:color w:val="auto"/>
                <w:sz w:val="24"/>
                <w:szCs w:val="24"/>
              </w:rPr>
              <w:t>t/a，</w:t>
            </w:r>
            <w:r>
              <w:rPr>
                <w:rFonts w:hint="eastAsia" w:ascii="Times New Roman" w:hAnsi="宋体" w:eastAsia="宋体" w:cs="Times New Roman"/>
                <w:color w:val="auto"/>
                <w:sz w:val="24"/>
                <w:szCs w:val="24"/>
                <w:lang w:eastAsia="zh-CN"/>
              </w:rPr>
              <w:t>排放速率为</w:t>
            </w:r>
            <w:r>
              <w:rPr>
                <w:rFonts w:hint="eastAsia" w:hAnsi="宋体" w:cs="Times New Roman"/>
                <w:color w:val="auto"/>
                <w:sz w:val="24"/>
                <w:szCs w:val="24"/>
                <w:lang w:val="en-US" w:eastAsia="zh-CN"/>
              </w:rPr>
              <w:t>1.797</w:t>
            </w:r>
            <w:r>
              <w:rPr>
                <w:rFonts w:hint="eastAsia" w:ascii="Times New Roman" w:hAnsi="宋体" w:eastAsia="宋体" w:cs="Times New Roman"/>
                <w:color w:val="auto"/>
                <w:sz w:val="24"/>
                <w:szCs w:val="24"/>
                <w:lang w:val="en-US" w:eastAsia="zh-CN"/>
              </w:rPr>
              <w:t>kg/h，</w:t>
            </w:r>
            <w:r>
              <w:rPr>
                <w:rFonts w:hint="eastAsia" w:ascii="Times New Roman" w:hAnsi="宋体" w:eastAsia="宋体" w:cs="Times New Roman"/>
                <w:color w:val="auto"/>
                <w:sz w:val="24"/>
                <w:szCs w:val="24"/>
                <w:lang w:eastAsia="zh-CN"/>
              </w:rPr>
              <w:t>综合除尘效率为</w:t>
            </w:r>
            <w:r>
              <w:rPr>
                <w:rFonts w:hint="eastAsia" w:hAnsi="宋体" w:cs="Times New Roman"/>
                <w:color w:val="auto"/>
                <w:sz w:val="24"/>
                <w:szCs w:val="24"/>
                <w:lang w:val="en-US" w:eastAsia="zh-CN"/>
              </w:rPr>
              <w:t>90</w:t>
            </w:r>
            <w:r>
              <w:rPr>
                <w:rFonts w:hint="eastAsia" w:ascii="Times New Roman" w:hAnsi="宋体" w:eastAsia="宋体" w:cs="Times New Roman"/>
                <w:color w:val="auto"/>
                <w:sz w:val="24"/>
                <w:szCs w:val="24"/>
                <w:lang w:val="en-US" w:eastAsia="zh-CN"/>
              </w:rPr>
              <w:t>%，处理后颗粒物</w:t>
            </w:r>
            <w:r>
              <w:rPr>
                <w:rFonts w:hint="default" w:ascii="Times New Roman" w:hAnsi="宋体" w:eastAsia="宋体" w:cs="Times New Roman"/>
                <w:color w:val="auto"/>
                <w:sz w:val="24"/>
                <w:szCs w:val="24"/>
              </w:rPr>
              <w:t>以无组织</w:t>
            </w:r>
            <w:r>
              <w:rPr>
                <w:rFonts w:hint="eastAsia" w:ascii="Times New Roman" w:hAnsi="宋体" w:eastAsia="宋体" w:cs="Times New Roman"/>
                <w:color w:val="auto"/>
                <w:sz w:val="24"/>
                <w:szCs w:val="24"/>
                <w:lang w:eastAsia="zh-CN"/>
              </w:rPr>
              <w:t>方式</w:t>
            </w:r>
            <w:r>
              <w:rPr>
                <w:rFonts w:hint="default" w:ascii="Times New Roman" w:hAnsi="宋体" w:eastAsia="宋体" w:cs="Times New Roman"/>
                <w:color w:val="auto"/>
                <w:sz w:val="24"/>
                <w:szCs w:val="24"/>
              </w:rPr>
              <w:t>排放。</w:t>
            </w:r>
          </w:p>
          <w:p w14:paraId="3B7F2FB7">
            <w:pPr>
              <w:keepNext w:val="0"/>
              <w:keepLines w:val="0"/>
              <w:suppressLineNumbers w:val="0"/>
              <w:adjustRightInd w:val="0"/>
              <w:snapToGrid w:val="0"/>
              <w:spacing w:before="0" w:beforeAutospacing="0" w:after="0" w:afterAutospacing="0" w:line="520" w:lineRule="exact"/>
              <w:ind w:left="0" w:right="0" w:firstLine="480" w:firstLineChars="200"/>
              <w:rPr>
                <w:rFonts w:hint="default" w:ascii="Times New Roman" w:hAnsi="宋体" w:eastAsia="宋体" w:cs="Times New Roman"/>
                <w:color w:val="auto"/>
                <w:sz w:val="24"/>
                <w:szCs w:val="24"/>
              </w:rPr>
            </w:pPr>
            <w:r>
              <w:rPr>
                <w:rFonts w:hint="default" w:ascii="Times New Roman" w:hAnsi="宋体" w:eastAsia="宋体" w:cs="Times New Roman"/>
                <w:color w:val="auto"/>
                <w:sz w:val="24"/>
                <w:szCs w:val="24"/>
              </w:rPr>
              <w:t>综上，</w:t>
            </w:r>
            <w:r>
              <w:rPr>
                <w:rFonts w:hint="eastAsia" w:hAnsi="宋体" w:cs="Times New Roman"/>
                <w:color w:val="auto"/>
                <w:sz w:val="24"/>
                <w:szCs w:val="24"/>
                <w:lang w:val="en-US" w:eastAsia="zh-CN"/>
              </w:rPr>
              <w:t>本项目煤炭运输过程</w:t>
            </w:r>
            <w:r>
              <w:rPr>
                <w:rFonts w:hint="eastAsia" w:cs="Times New Roman"/>
                <w:color w:val="auto"/>
                <w:kern w:val="0"/>
                <w:sz w:val="24"/>
                <w:szCs w:val="20"/>
                <w:lang w:val="en-US" w:eastAsia="zh-CN" w:bidi="ar-SA"/>
              </w:rPr>
              <w:t>中</w:t>
            </w:r>
            <w:r>
              <w:rPr>
                <w:rFonts w:hint="default" w:cs="Times New Roman"/>
                <w:color w:val="auto"/>
                <w:kern w:val="0"/>
                <w:sz w:val="24"/>
                <w:szCs w:val="20"/>
                <w:lang w:val="en-US" w:eastAsia="zh-CN" w:bidi="ar-SA"/>
              </w:rPr>
              <w:t>采用苫布覆盖，</w:t>
            </w:r>
            <w:r>
              <w:rPr>
                <w:rFonts w:hint="eastAsia" w:cs="Times New Roman"/>
                <w:color w:val="auto"/>
                <w:kern w:val="0"/>
                <w:sz w:val="24"/>
                <w:szCs w:val="20"/>
                <w:lang w:val="en-US" w:eastAsia="zh-CN" w:bidi="ar-SA"/>
              </w:rPr>
              <w:t>出厂时车轮进行清洗，防止物料洒落，</w:t>
            </w:r>
            <w:r>
              <w:rPr>
                <w:rFonts w:hint="default" w:cs="Times New Roman"/>
                <w:color w:val="auto"/>
                <w:kern w:val="0"/>
                <w:sz w:val="24"/>
                <w:szCs w:val="20"/>
                <w:lang w:val="en-US" w:eastAsia="zh-CN" w:bidi="ar-SA"/>
              </w:rPr>
              <w:t>减少运输过程中粉尘排放量</w:t>
            </w:r>
            <w:r>
              <w:rPr>
                <w:rFonts w:hint="eastAsia" w:cs="Times New Roman"/>
                <w:color w:val="auto"/>
                <w:kern w:val="0"/>
                <w:sz w:val="24"/>
                <w:szCs w:val="20"/>
                <w:lang w:val="en-US" w:eastAsia="zh-CN" w:bidi="ar-SA"/>
              </w:rPr>
              <w:t>；</w:t>
            </w:r>
            <w:r>
              <w:rPr>
                <w:rFonts w:hint="eastAsia" w:hAnsi="宋体" w:cs="Times New Roman"/>
                <w:color w:val="auto"/>
                <w:sz w:val="24"/>
                <w:szCs w:val="24"/>
                <w:lang w:val="en-US" w:eastAsia="zh-CN"/>
              </w:rPr>
              <w:t>厂区采用</w:t>
            </w:r>
            <w:r>
              <w:rPr>
                <w:rFonts w:hint="eastAsia" w:ascii="Times New Roman" w:hAnsi="宋体" w:eastAsia="宋体" w:cs="Times New Roman"/>
                <w:color w:val="auto"/>
                <w:sz w:val="24"/>
                <w:szCs w:val="24"/>
                <w:lang w:eastAsia="zh-CN"/>
              </w:rPr>
              <w:t>围挡</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防风抑尘网</w:t>
            </w:r>
            <w:r>
              <w:rPr>
                <w:rFonts w:hint="eastAsia" w:hAnsi="宋体" w:cs="Times New Roman"/>
                <w:color w:val="auto"/>
                <w:sz w:val="24"/>
                <w:szCs w:val="24"/>
                <w:lang w:eastAsia="zh-CN"/>
              </w:rPr>
              <w:t>），</w:t>
            </w:r>
            <w:r>
              <w:rPr>
                <w:rFonts w:hint="eastAsia" w:hAnsi="宋体" w:cs="Times New Roman"/>
                <w:color w:val="auto"/>
                <w:sz w:val="24"/>
                <w:szCs w:val="24"/>
                <w:lang w:val="en-US" w:eastAsia="zh-CN"/>
              </w:rPr>
              <w:t>堆场采用</w:t>
            </w:r>
            <w:r>
              <w:rPr>
                <w:rFonts w:hint="eastAsia" w:ascii="Times New Roman" w:hAnsi="宋体" w:eastAsia="宋体" w:cs="Times New Roman"/>
                <w:color w:val="auto"/>
                <w:sz w:val="24"/>
                <w:szCs w:val="24"/>
                <w:lang w:eastAsia="zh-CN"/>
              </w:rPr>
              <w:t>编织覆盖</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防尘网</w:t>
            </w:r>
            <w:r>
              <w:rPr>
                <w:rFonts w:hint="eastAsia" w:hAnsi="宋体" w:cs="Times New Roman"/>
                <w:color w:val="auto"/>
                <w:sz w:val="24"/>
                <w:szCs w:val="24"/>
                <w:lang w:eastAsia="zh-CN"/>
              </w:rPr>
              <w:t>）</w:t>
            </w:r>
            <w:r>
              <w:rPr>
                <w:rFonts w:hint="eastAsia" w:ascii="Times New Roman" w:hAnsi="宋体" w:eastAsia="宋体" w:cs="Times New Roman"/>
                <w:color w:val="auto"/>
                <w:sz w:val="24"/>
                <w:szCs w:val="24"/>
                <w:lang w:eastAsia="zh-CN"/>
              </w:rPr>
              <w:t>方式</w:t>
            </w:r>
            <w:r>
              <w:rPr>
                <w:rFonts w:hint="eastAsia" w:hAnsi="宋体" w:cs="Times New Roman"/>
                <w:color w:val="auto"/>
                <w:sz w:val="24"/>
                <w:szCs w:val="24"/>
                <w:lang w:val="en-US" w:eastAsia="zh-CN"/>
              </w:rPr>
              <w:t>降尘，煤炭装车和卸车过程采用车辆出入冲洗（高压水枪）方式降尘，降尘后颗粒物以无组织形式排放，降尘后颗粒物以无组织形式排放。</w:t>
            </w:r>
            <w:r>
              <w:rPr>
                <w:rFonts w:hint="default" w:ascii="Times New Roman" w:hAnsi="宋体" w:eastAsia="宋体" w:cs="Times New Roman"/>
                <w:color w:val="auto"/>
                <w:sz w:val="24"/>
                <w:szCs w:val="24"/>
              </w:rPr>
              <w:t>本项目废气采用的处理设施均</w:t>
            </w:r>
            <w:r>
              <w:rPr>
                <w:rFonts w:hint="eastAsia" w:ascii="Times New Roman" w:hAnsi="宋体" w:eastAsia="宋体" w:cs="Times New Roman"/>
                <w:color w:val="auto"/>
                <w:sz w:val="24"/>
                <w:szCs w:val="24"/>
              </w:rPr>
              <w:t>符合相关要求</w:t>
            </w:r>
            <w:r>
              <w:rPr>
                <w:rFonts w:hint="default" w:ascii="Times New Roman" w:hAnsi="宋体" w:eastAsia="宋体" w:cs="Times New Roman"/>
                <w:color w:val="auto"/>
                <w:sz w:val="24"/>
                <w:szCs w:val="24"/>
              </w:rPr>
              <w:t>。</w:t>
            </w:r>
            <w:r>
              <w:rPr>
                <w:rFonts w:hint="eastAsia" w:ascii="Times New Roman" w:hAnsi="宋体" w:eastAsia="宋体" w:cs="Times New Roman"/>
                <w:color w:val="auto"/>
                <w:sz w:val="24"/>
                <w:szCs w:val="24"/>
                <w:lang w:val="en-US" w:eastAsia="zh-CN"/>
              </w:rPr>
              <w:t>本项目严禁在污染天气期间、大风天气时生产作业。</w:t>
            </w:r>
            <w:r>
              <w:rPr>
                <w:rFonts w:hint="eastAsia" w:ascii="Times New Roman" w:hAnsi="宋体" w:eastAsia="宋体" w:cs="Times New Roman"/>
                <w:color w:val="auto"/>
                <w:sz w:val="24"/>
                <w:szCs w:val="24"/>
              </w:rPr>
              <w:t>无组织颗粒物排放满足</w:t>
            </w:r>
            <w:r>
              <w:rPr>
                <w:rFonts w:hint="eastAsia" w:ascii="Times New Roman" w:hAnsi="宋体" w:eastAsia="宋体" w:cs="Times New Roman"/>
                <w:color w:val="auto"/>
                <w:sz w:val="24"/>
                <w:szCs w:val="24"/>
                <w:lang w:val="en-US" w:eastAsia="zh-CN"/>
              </w:rPr>
              <w:t>《煤炭工业污染物排放标准》（GB20426-2006）表5煤炭工业无组织排放限值</w:t>
            </w:r>
            <w:r>
              <w:rPr>
                <w:rFonts w:hint="eastAsia" w:ascii="Times New Roman" w:hAnsi="宋体" w:eastAsia="宋体" w:cs="Times New Roman"/>
                <w:color w:val="auto"/>
                <w:sz w:val="24"/>
                <w:szCs w:val="24"/>
              </w:rPr>
              <w:t>要求。对区域环境空气影响较小。</w:t>
            </w:r>
          </w:p>
          <w:p w14:paraId="0E3F5064">
            <w:pPr>
              <w:keepNext w:val="0"/>
              <w:keepLines w:val="0"/>
              <w:suppressLineNumbers w:val="0"/>
              <w:adjustRightInd w:val="0"/>
              <w:snapToGrid w:val="0"/>
              <w:spacing w:before="0" w:beforeAutospacing="0" w:after="0" w:afterAutospacing="0" w:line="520" w:lineRule="exact"/>
              <w:ind w:left="0" w:right="0" w:firstLine="480" w:firstLineChars="200"/>
              <w:rPr>
                <w:rFonts w:hint="default" w:ascii="Times New Roman" w:hAnsi="宋体" w:eastAsia="宋体" w:cs="Times New Roman"/>
                <w:color w:val="auto"/>
                <w:sz w:val="24"/>
                <w:szCs w:val="24"/>
              </w:rPr>
            </w:pPr>
            <w:r>
              <w:rPr>
                <w:rFonts w:hint="eastAsia" w:ascii="Times New Roman" w:hAnsi="宋体" w:eastAsia="宋体" w:cs="Times New Roman"/>
                <w:color w:val="auto"/>
                <w:sz w:val="24"/>
                <w:szCs w:val="24"/>
              </w:rPr>
              <w:t>本项目废气污染源源强核算结果及相关参数见表4-</w:t>
            </w:r>
            <w:r>
              <w:rPr>
                <w:rFonts w:hint="eastAsia" w:hAnsi="宋体" w:cs="Times New Roman"/>
                <w:color w:val="auto"/>
                <w:sz w:val="24"/>
                <w:szCs w:val="24"/>
                <w:lang w:val="en-US" w:eastAsia="zh-CN"/>
              </w:rPr>
              <w:t>1</w:t>
            </w:r>
            <w:r>
              <w:rPr>
                <w:rFonts w:hint="eastAsia" w:ascii="Times New Roman" w:hAnsi="宋体" w:eastAsia="宋体" w:cs="Times New Roman"/>
                <w:color w:val="auto"/>
                <w:sz w:val="24"/>
                <w:szCs w:val="24"/>
              </w:rPr>
              <w:t>，污染物排放量核算表见表4-</w:t>
            </w:r>
            <w:r>
              <w:rPr>
                <w:rFonts w:hint="eastAsia" w:hAnsi="宋体" w:cs="Times New Roman"/>
                <w:color w:val="auto"/>
                <w:sz w:val="24"/>
                <w:szCs w:val="24"/>
                <w:lang w:val="en-US" w:eastAsia="zh-CN"/>
              </w:rPr>
              <w:t>2</w:t>
            </w:r>
            <w:r>
              <w:rPr>
                <w:rFonts w:hint="eastAsia" w:ascii="Times New Roman" w:hAnsi="宋体" w:eastAsia="宋体" w:cs="Times New Roman"/>
                <w:color w:val="auto"/>
                <w:sz w:val="24"/>
                <w:szCs w:val="24"/>
              </w:rPr>
              <w:t>、4-</w:t>
            </w:r>
            <w:r>
              <w:rPr>
                <w:rFonts w:hint="eastAsia" w:hAnsi="宋体" w:cs="Times New Roman"/>
                <w:color w:val="auto"/>
                <w:sz w:val="24"/>
                <w:szCs w:val="24"/>
                <w:lang w:val="en-US" w:eastAsia="zh-CN"/>
              </w:rPr>
              <w:t>3</w:t>
            </w:r>
            <w:r>
              <w:rPr>
                <w:rFonts w:hint="eastAsia" w:ascii="Times New Roman" w:hAnsi="宋体" w:eastAsia="宋体" w:cs="Times New Roman"/>
                <w:color w:val="auto"/>
                <w:sz w:val="24"/>
                <w:szCs w:val="24"/>
              </w:rPr>
              <w:t>。</w:t>
            </w:r>
          </w:p>
          <w:p w14:paraId="2204DA27">
            <w:pPr>
              <w:pStyle w:val="18"/>
              <w:spacing w:line="240" w:lineRule="auto"/>
              <w:jc w:val="center"/>
              <w:rPr>
                <w:rFonts w:eastAsiaTheme="minorEastAsia"/>
                <w:b/>
                <w:bCs/>
                <w:color w:val="auto"/>
                <w:sz w:val="21"/>
              </w:rPr>
            </w:pPr>
            <w:r>
              <w:rPr>
                <w:rFonts w:hint="eastAsia" w:eastAsiaTheme="minorEastAsia"/>
                <w:b/>
                <w:bCs/>
                <w:color w:val="auto"/>
                <w:sz w:val="21"/>
              </w:rPr>
              <w:t>表4-</w:t>
            </w:r>
            <w:r>
              <w:rPr>
                <w:rFonts w:hint="eastAsia" w:eastAsiaTheme="minorEastAsia"/>
                <w:b/>
                <w:bCs/>
                <w:color w:val="auto"/>
                <w:sz w:val="21"/>
                <w:lang w:val="en-US" w:eastAsia="zh-CN"/>
              </w:rPr>
              <w:t>1</w:t>
            </w:r>
            <w:r>
              <w:rPr>
                <w:rFonts w:hint="eastAsia" w:eastAsiaTheme="minorEastAsia"/>
                <w:b/>
                <w:bCs/>
                <w:color w:val="auto"/>
                <w:sz w:val="21"/>
              </w:rPr>
              <w:t xml:space="preserve">  废气污染源源强核算结果及相关参数一览表</w:t>
            </w:r>
          </w:p>
          <w:tbl>
            <w:tblPr>
              <w:tblStyle w:val="3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76"/>
              <w:gridCol w:w="717"/>
              <w:gridCol w:w="557"/>
              <w:gridCol w:w="410"/>
              <w:gridCol w:w="420"/>
              <w:gridCol w:w="626"/>
              <w:gridCol w:w="667"/>
              <w:gridCol w:w="685"/>
              <w:gridCol w:w="574"/>
              <w:gridCol w:w="644"/>
              <w:gridCol w:w="579"/>
              <w:gridCol w:w="657"/>
              <w:gridCol w:w="696"/>
              <w:gridCol w:w="543"/>
            </w:tblGrid>
            <w:tr w14:paraId="70C775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0" w:type="pct"/>
                  <w:vMerge w:val="restart"/>
                  <w:vAlign w:val="center"/>
                </w:tcPr>
                <w:p w14:paraId="6A343583">
                  <w:pPr>
                    <w:spacing w:line="360" w:lineRule="auto"/>
                    <w:jc w:val="center"/>
                    <w:rPr>
                      <w:color w:val="auto"/>
                      <w:spacing w:val="-10"/>
                      <w:sz w:val="18"/>
                      <w:szCs w:val="18"/>
                    </w:rPr>
                  </w:pPr>
                  <w:r>
                    <w:rPr>
                      <w:color w:val="auto"/>
                      <w:spacing w:val="-10"/>
                      <w:kern w:val="0"/>
                      <w:sz w:val="18"/>
                      <w:szCs w:val="18"/>
                    </w:rPr>
                    <w:t>工序</w:t>
                  </w:r>
                </w:p>
              </w:tc>
              <w:tc>
                <w:tcPr>
                  <w:tcW w:w="439" w:type="pct"/>
                  <w:vMerge w:val="restart"/>
                  <w:vAlign w:val="center"/>
                </w:tcPr>
                <w:p w14:paraId="1A8F85AE">
                  <w:pPr>
                    <w:spacing w:line="360" w:lineRule="auto"/>
                    <w:jc w:val="center"/>
                    <w:rPr>
                      <w:color w:val="auto"/>
                      <w:spacing w:val="-10"/>
                      <w:sz w:val="18"/>
                      <w:szCs w:val="18"/>
                    </w:rPr>
                  </w:pPr>
                  <w:r>
                    <w:rPr>
                      <w:color w:val="auto"/>
                      <w:spacing w:val="-10"/>
                      <w:sz w:val="18"/>
                      <w:szCs w:val="18"/>
                    </w:rPr>
                    <w:t>装置</w:t>
                  </w:r>
                </w:p>
              </w:tc>
              <w:tc>
                <w:tcPr>
                  <w:tcW w:w="341" w:type="pct"/>
                  <w:vMerge w:val="restart"/>
                  <w:vAlign w:val="center"/>
                </w:tcPr>
                <w:p w14:paraId="78AE8A52">
                  <w:pPr>
                    <w:spacing w:line="360" w:lineRule="auto"/>
                    <w:jc w:val="center"/>
                    <w:rPr>
                      <w:color w:val="auto"/>
                      <w:spacing w:val="-10"/>
                      <w:sz w:val="18"/>
                      <w:szCs w:val="18"/>
                    </w:rPr>
                  </w:pPr>
                  <w:r>
                    <w:rPr>
                      <w:color w:val="auto"/>
                      <w:spacing w:val="-10"/>
                      <w:sz w:val="18"/>
                      <w:szCs w:val="18"/>
                    </w:rPr>
                    <w:t>污染源</w:t>
                  </w:r>
                </w:p>
              </w:tc>
              <w:tc>
                <w:tcPr>
                  <w:tcW w:w="251" w:type="pct"/>
                  <w:vMerge w:val="restart"/>
                  <w:vAlign w:val="center"/>
                </w:tcPr>
                <w:p w14:paraId="53255BC5">
                  <w:pPr>
                    <w:spacing w:line="360" w:lineRule="auto"/>
                    <w:jc w:val="center"/>
                    <w:rPr>
                      <w:color w:val="auto"/>
                      <w:spacing w:val="-10"/>
                      <w:sz w:val="18"/>
                      <w:szCs w:val="18"/>
                    </w:rPr>
                  </w:pPr>
                  <w:r>
                    <w:rPr>
                      <w:color w:val="auto"/>
                      <w:spacing w:val="-10"/>
                      <w:kern w:val="0"/>
                      <w:sz w:val="18"/>
                      <w:szCs w:val="18"/>
                    </w:rPr>
                    <w:t>污染物</w:t>
                  </w:r>
                </w:p>
              </w:tc>
              <w:tc>
                <w:tcPr>
                  <w:tcW w:w="1470" w:type="pct"/>
                  <w:gridSpan w:val="4"/>
                  <w:vAlign w:val="center"/>
                </w:tcPr>
                <w:p w14:paraId="378FCDC1">
                  <w:pPr>
                    <w:spacing w:line="360" w:lineRule="auto"/>
                    <w:jc w:val="center"/>
                    <w:rPr>
                      <w:color w:val="auto"/>
                      <w:spacing w:val="-10"/>
                      <w:sz w:val="18"/>
                      <w:szCs w:val="18"/>
                    </w:rPr>
                  </w:pPr>
                  <w:r>
                    <w:rPr>
                      <w:color w:val="auto"/>
                      <w:spacing w:val="-10"/>
                      <w:kern w:val="0"/>
                      <w:sz w:val="18"/>
                      <w:szCs w:val="18"/>
                    </w:rPr>
                    <w:t>污染物产生</w:t>
                  </w:r>
                </w:p>
              </w:tc>
              <w:tc>
                <w:tcPr>
                  <w:tcW w:w="747" w:type="pct"/>
                  <w:gridSpan w:val="2"/>
                  <w:vAlign w:val="center"/>
                </w:tcPr>
                <w:p w14:paraId="603AB4CC">
                  <w:pPr>
                    <w:spacing w:line="360" w:lineRule="auto"/>
                    <w:jc w:val="center"/>
                    <w:rPr>
                      <w:color w:val="auto"/>
                      <w:spacing w:val="-10"/>
                      <w:sz w:val="18"/>
                      <w:szCs w:val="18"/>
                    </w:rPr>
                  </w:pPr>
                  <w:r>
                    <w:rPr>
                      <w:color w:val="auto"/>
                      <w:spacing w:val="-10"/>
                      <w:kern w:val="0"/>
                      <w:sz w:val="18"/>
                      <w:szCs w:val="18"/>
                    </w:rPr>
                    <w:t>治理措施</w:t>
                  </w:r>
                </w:p>
              </w:tc>
              <w:tc>
                <w:tcPr>
                  <w:tcW w:w="1185" w:type="pct"/>
                  <w:gridSpan w:val="3"/>
                  <w:vAlign w:val="center"/>
                </w:tcPr>
                <w:p w14:paraId="7466854D">
                  <w:pPr>
                    <w:spacing w:line="360" w:lineRule="auto"/>
                    <w:jc w:val="center"/>
                    <w:rPr>
                      <w:color w:val="auto"/>
                      <w:spacing w:val="-10"/>
                      <w:sz w:val="18"/>
                      <w:szCs w:val="18"/>
                    </w:rPr>
                  </w:pPr>
                  <w:r>
                    <w:rPr>
                      <w:color w:val="auto"/>
                      <w:spacing w:val="-10"/>
                      <w:kern w:val="0"/>
                      <w:sz w:val="18"/>
                      <w:szCs w:val="18"/>
                    </w:rPr>
                    <w:t>污染物排放</w:t>
                  </w:r>
                </w:p>
              </w:tc>
              <w:tc>
                <w:tcPr>
                  <w:tcW w:w="333" w:type="pct"/>
                  <w:vMerge w:val="restart"/>
                  <w:vAlign w:val="center"/>
                </w:tcPr>
                <w:p w14:paraId="1959C5F7">
                  <w:pPr>
                    <w:spacing w:line="360" w:lineRule="auto"/>
                    <w:jc w:val="center"/>
                    <w:rPr>
                      <w:color w:val="auto"/>
                      <w:spacing w:val="-10"/>
                      <w:kern w:val="0"/>
                      <w:sz w:val="18"/>
                      <w:szCs w:val="18"/>
                    </w:rPr>
                  </w:pPr>
                  <w:r>
                    <w:rPr>
                      <w:color w:val="auto"/>
                      <w:spacing w:val="-10"/>
                      <w:kern w:val="0"/>
                      <w:sz w:val="18"/>
                      <w:szCs w:val="18"/>
                    </w:rPr>
                    <w:t>排放时间/h</w:t>
                  </w:r>
                </w:p>
              </w:tc>
            </w:tr>
            <w:tr w14:paraId="534F29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0" w:type="pct"/>
                  <w:vMerge w:val="continue"/>
                  <w:vAlign w:val="center"/>
                </w:tcPr>
                <w:p w14:paraId="6EF1F0D1">
                  <w:pPr>
                    <w:spacing w:line="360" w:lineRule="auto"/>
                    <w:jc w:val="center"/>
                    <w:rPr>
                      <w:color w:val="auto"/>
                      <w:spacing w:val="-10"/>
                      <w:sz w:val="18"/>
                      <w:szCs w:val="18"/>
                    </w:rPr>
                  </w:pPr>
                </w:p>
              </w:tc>
              <w:tc>
                <w:tcPr>
                  <w:tcW w:w="439" w:type="pct"/>
                  <w:vMerge w:val="continue"/>
                  <w:vAlign w:val="center"/>
                </w:tcPr>
                <w:p w14:paraId="3D50E669">
                  <w:pPr>
                    <w:spacing w:line="360" w:lineRule="auto"/>
                    <w:jc w:val="center"/>
                    <w:rPr>
                      <w:color w:val="auto"/>
                      <w:spacing w:val="-10"/>
                      <w:sz w:val="18"/>
                      <w:szCs w:val="18"/>
                    </w:rPr>
                  </w:pPr>
                </w:p>
              </w:tc>
              <w:tc>
                <w:tcPr>
                  <w:tcW w:w="341" w:type="pct"/>
                  <w:vMerge w:val="continue"/>
                  <w:vAlign w:val="center"/>
                </w:tcPr>
                <w:p w14:paraId="123D72D0">
                  <w:pPr>
                    <w:spacing w:line="360" w:lineRule="auto"/>
                    <w:jc w:val="center"/>
                    <w:rPr>
                      <w:color w:val="auto"/>
                      <w:spacing w:val="-10"/>
                      <w:sz w:val="18"/>
                      <w:szCs w:val="18"/>
                    </w:rPr>
                  </w:pPr>
                </w:p>
              </w:tc>
              <w:tc>
                <w:tcPr>
                  <w:tcW w:w="251" w:type="pct"/>
                  <w:vMerge w:val="continue"/>
                  <w:vAlign w:val="center"/>
                </w:tcPr>
                <w:p w14:paraId="0485E039">
                  <w:pPr>
                    <w:spacing w:line="360" w:lineRule="auto"/>
                    <w:jc w:val="center"/>
                    <w:rPr>
                      <w:color w:val="auto"/>
                      <w:spacing w:val="-10"/>
                      <w:sz w:val="18"/>
                      <w:szCs w:val="18"/>
                    </w:rPr>
                  </w:pPr>
                </w:p>
              </w:tc>
              <w:tc>
                <w:tcPr>
                  <w:tcW w:w="257" w:type="pct"/>
                  <w:vAlign w:val="center"/>
                </w:tcPr>
                <w:p w14:paraId="1B444B9D">
                  <w:pPr>
                    <w:spacing w:line="360" w:lineRule="auto"/>
                    <w:jc w:val="center"/>
                    <w:rPr>
                      <w:color w:val="auto"/>
                      <w:spacing w:val="-10"/>
                      <w:kern w:val="0"/>
                      <w:sz w:val="18"/>
                      <w:szCs w:val="18"/>
                    </w:rPr>
                  </w:pPr>
                  <w:r>
                    <w:rPr>
                      <w:color w:val="auto"/>
                      <w:spacing w:val="-10"/>
                      <w:kern w:val="0"/>
                      <w:sz w:val="18"/>
                      <w:szCs w:val="18"/>
                    </w:rPr>
                    <w:t>核算</w:t>
                  </w:r>
                </w:p>
                <w:p w14:paraId="062DF34D">
                  <w:pPr>
                    <w:spacing w:line="360" w:lineRule="auto"/>
                    <w:jc w:val="center"/>
                    <w:rPr>
                      <w:color w:val="auto"/>
                      <w:spacing w:val="-10"/>
                      <w:sz w:val="18"/>
                      <w:szCs w:val="18"/>
                    </w:rPr>
                  </w:pPr>
                  <w:r>
                    <w:rPr>
                      <w:color w:val="auto"/>
                      <w:spacing w:val="-10"/>
                      <w:kern w:val="0"/>
                      <w:sz w:val="18"/>
                      <w:szCs w:val="18"/>
                    </w:rPr>
                    <w:t>方法</w:t>
                  </w:r>
                </w:p>
              </w:tc>
              <w:tc>
                <w:tcPr>
                  <w:tcW w:w="384" w:type="pct"/>
                  <w:vAlign w:val="center"/>
                </w:tcPr>
                <w:p w14:paraId="49F5DD98">
                  <w:pPr>
                    <w:spacing w:line="360" w:lineRule="auto"/>
                    <w:jc w:val="center"/>
                    <w:rPr>
                      <w:color w:val="auto"/>
                      <w:spacing w:val="-10"/>
                      <w:sz w:val="18"/>
                      <w:szCs w:val="18"/>
                    </w:rPr>
                  </w:pPr>
                  <w:r>
                    <w:rPr>
                      <w:color w:val="auto"/>
                      <w:spacing w:val="-10"/>
                      <w:kern w:val="0"/>
                      <w:sz w:val="18"/>
                      <w:szCs w:val="18"/>
                    </w:rPr>
                    <w:t>产生废气量m</w:t>
                  </w:r>
                  <w:r>
                    <w:rPr>
                      <w:color w:val="auto"/>
                      <w:spacing w:val="-10"/>
                      <w:kern w:val="0"/>
                      <w:sz w:val="18"/>
                      <w:szCs w:val="18"/>
                      <w:vertAlign w:val="superscript"/>
                    </w:rPr>
                    <w:t>3</w:t>
                  </w:r>
                  <w:r>
                    <w:rPr>
                      <w:color w:val="auto"/>
                      <w:spacing w:val="-10"/>
                      <w:kern w:val="0"/>
                      <w:sz w:val="18"/>
                      <w:szCs w:val="18"/>
                    </w:rPr>
                    <w:t>/h</w:t>
                  </w:r>
                </w:p>
              </w:tc>
              <w:tc>
                <w:tcPr>
                  <w:tcW w:w="409" w:type="pct"/>
                  <w:vAlign w:val="center"/>
                </w:tcPr>
                <w:p w14:paraId="7247EAE1">
                  <w:pPr>
                    <w:spacing w:line="360" w:lineRule="auto"/>
                    <w:jc w:val="center"/>
                    <w:rPr>
                      <w:color w:val="auto"/>
                      <w:spacing w:val="-10"/>
                      <w:sz w:val="18"/>
                      <w:szCs w:val="18"/>
                    </w:rPr>
                  </w:pPr>
                  <w:r>
                    <w:rPr>
                      <w:color w:val="auto"/>
                      <w:spacing w:val="-10"/>
                      <w:kern w:val="0"/>
                      <w:sz w:val="18"/>
                      <w:szCs w:val="18"/>
                    </w:rPr>
                    <w:t>产生浓度mg/m</w:t>
                  </w:r>
                  <w:r>
                    <w:rPr>
                      <w:color w:val="auto"/>
                      <w:spacing w:val="-10"/>
                      <w:kern w:val="0"/>
                      <w:sz w:val="18"/>
                      <w:szCs w:val="18"/>
                      <w:vertAlign w:val="superscript"/>
                    </w:rPr>
                    <w:t>3</w:t>
                  </w:r>
                </w:p>
              </w:tc>
              <w:tc>
                <w:tcPr>
                  <w:tcW w:w="420" w:type="pct"/>
                  <w:vAlign w:val="center"/>
                </w:tcPr>
                <w:p w14:paraId="2486CDEB">
                  <w:pPr>
                    <w:spacing w:line="360" w:lineRule="auto"/>
                    <w:jc w:val="center"/>
                    <w:rPr>
                      <w:color w:val="auto"/>
                      <w:spacing w:val="-10"/>
                      <w:sz w:val="18"/>
                      <w:szCs w:val="18"/>
                    </w:rPr>
                  </w:pPr>
                  <w:r>
                    <w:rPr>
                      <w:color w:val="auto"/>
                      <w:spacing w:val="-10"/>
                      <w:kern w:val="0"/>
                      <w:sz w:val="18"/>
                      <w:szCs w:val="18"/>
                    </w:rPr>
                    <w:t>产生量kg/h</w:t>
                  </w:r>
                </w:p>
              </w:tc>
              <w:tc>
                <w:tcPr>
                  <w:tcW w:w="352" w:type="pct"/>
                  <w:vAlign w:val="center"/>
                </w:tcPr>
                <w:p w14:paraId="327F517E">
                  <w:pPr>
                    <w:spacing w:line="360" w:lineRule="auto"/>
                    <w:jc w:val="center"/>
                    <w:rPr>
                      <w:color w:val="auto"/>
                      <w:spacing w:val="-10"/>
                      <w:sz w:val="18"/>
                      <w:szCs w:val="18"/>
                    </w:rPr>
                  </w:pPr>
                  <w:r>
                    <w:rPr>
                      <w:color w:val="auto"/>
                      <w:spacing w:val="-10"/>
                      <w:kern w:val="0"/>
                      <w:sz w:val="18"/>
                      <w:szCs w:val="18"/>
                    </w:rPr>
                    <w:t>工艺</w:t>
                  </w:r>
                </w:p>
              </w:tc>
              <w:tc>
                <w:tcPr>
                  <w:tcW w:w="395" w:type="pct"/>
                  <w:vAlign w:val="center"/>
                </w:tcPr>
                <w:p w14:paraId="057EE0FA">
                  <w:pPr>
                    <w:spacing w:line="360" w:lineRule="auto"/>
                    <w:jc w:val="center"/>
                    <w:rPr>
                      <w:color w:val="auto"/>
                      <w:spacing w:val="-10"/>
                      <w:sz w:val="18"/>
                      <w:szCs w:val="18"/>
                    </w:rPr>
                  </w:pPr>
                  <w:r>
                    <w:rPr>
                      <w:color w:val="auto"/>
                      <w:spacing w:val="-10"/>
                      <w:kern w:val="0"/>
                      <w:sz w:val="18"/>
                      <w:szCs w:val="18"/>
                    </w:rPr>
                    <w:t>效率（%）</w:t>
                  </w:r>
                </w:p>
              </w:tc>
              <w:tc>
                <w:tcPr>
                  <w:tcW w:w="355" w:type="pct"/>
                  <w:vAlign w:val="center"/>
                </w:tcPr>
                <w:p w14:paraId="276EE635">
                  <w:pPr>
                    <w:spacing w:line="360" w:lineRule="auto"/>
                    <w:jc w:val="center"/>
                    <w:rPr>
                      <w:color w:val="auto"/>
                      <w:spacing w:val="-10"/>
                      <w:sz w:val="18"/>
                      <w:szCs w:val="18"/>
                    </w:rPr>
                  </w:pPr>
                  <w:r>
                    <w:rPr>
                      <w:color w:val="auto"/>
                      <w:spacing w:val="-10"/>
                      <w:kern w:val="0"/>
                      <w:sz w:val="18"/>
                      <w:szCs w:val="18"/>
                    </w:rPr>
                    <w:t>排放废气量m</w:t>
                  </w:r>
                  <w:r>
                    <w:rPr>
                      <w:color w:val="auto"/>
                      <w:spacing w:val="-10"/>
                      <w:kern w:val="0"/>
                      <w:sz w:val="18"/>
                      <w:szCs w:val="18"/>
                      <w:vertAlign w:val="superscript"/>
                    </w:rPr>
                    <w:t>3</w:t>
                  </w:r>
                  <w:r>
                    <w:rPr>
                      <w:color w:val="auto"/>
                      <w:spacing w:val="-10"/>
                      <w:kern w:val="0"/>
                      <w:sz w:val="18"/>
                      <w:szCs w:val="18"/>
                    </w:rPr>
                    <w:t>/h</w:t>
                  </w:r>
                </w:p>
              </w:tc>
              <w:tc>
                <w:tcPr>
                  <w:tcW w:w="403" w:type="pct"/>
                  <w:vAlign w:val="center"/>
                </w:tcPr>
                <w:p w14:paraId="665D6408">
                  <w:pPr>
                    <w:spacing w:line="360" w:lineRule="auto"/>
                    <w:jc w:val="center"/>
                    <w:rPr>
                      <w:color w:val="auto"/>
                      <w:spacing w:val="-10"/>
                      <w:sz w:val="18"/>
                      <w:szCs w:val="18"/>
                    </w:rPr>
                  </w:pPr>
                  <w:r>
                    <w:rPr>
                      <w:color w:val="auto"/>
                      <w:spacing w:val="-10"/>
                      <w:kern w:val="0"/>
                      <w:sz w:val="18"/>
                      <w:szCs w:val="18"/>
                    </w:rPr>
                    <w:t>排放浓度mg/m</w:t>
                  </w:r>
                  <w:r>
                    <w:rPr>
                      <w:color w:val="auto"/>
                      <w:spacing w:val="-10"/>
                      <w:kern w:val="0"/>
                      <w:sz w:val="18"/>
                      <w:szCs w:val="18"/>
                      <w:vertAlign w:val="superscript"/>
                    </w:rPr>
                    <w:t>3</w:t>
                  </w:r>
                </w:p>
              </w:tc>
              <w:tc>
                <w:tcPr>
                  <w:tcW w:w="426" w:type="pct"/>
                  <w:vAlign w:val="center"/>
                </w:tcPr>
                <w:p w14:paraId="13379E69">
                  <w:pPr>
                    <w:spacing w:line="360" w:lineRule="auto"/>
                    <w:jc w:val="center"/>
                    <w:rPr>
                      <w:color w:val="auto"/>
                      <w:spacing w:val="-10"/>
                      <w:sz w:val="18"/>
                      <w:szCs w:val="18"/>
                    </w:rPr>
                  </w:pPr>
                  <w:r>
                    <w:rPr>
                      <w:color w:val="auto"/>
                      <w:spacing w:val="-10"/>
                      <w:kern w:val="0"/>
                      <w:sz w:val="18"/>
                      <w:szCs w:val="18"/>
                    </w:rPr>
                    <w:t>排放量kg/h</w:t>
                  </w:r>
                </w:p>
              </w:tc>
              <w:tc>
                <w:tcPr>
                  <w:tcW w:w="333" w:type="pct"/>
                  <w:vMerge w:val="continue"/>
                  <w:vAlign w:val="center"/>
                </w:tcPr>
                <w:p w14:paraId="3AA62AFF">
                  <w:pPr>
                    <w:spacing w:line="360" w:lineRule="auto"/>
                    <w:jc w:val="center"/>
                    <w:rPr>
                      <w:color w:val="auto"/>
                      <w:spacing w:val="-10"/>
                      <w:kern w:val="0"/>
                      <w:sz w:val="18"/>
                      <w:szCs w:val="18"/>
                    </w:rPr>
                  </w:pPr>
                </w:p>
              </w:tc>
            </w:tr>
            <w:tr w14:paraId="4BD808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0" w:type="pct"/>
                  <w:vAlign w:val="center"/>
                </w:tcPr>
                <w:p w14:paraId="2E4F8F5D">
                  <w:pPr>
                    <w:pStyle w:val="74"/>
                    <w:spacing w:line="360" w:lineRule="auto"/>
                    <w:jc w:val="both"/>
                    <w:rPr>
                      <w:rFonts w:hint="default" w:ascii="Times New Roman" w:hAnsi="Times New Roman" w:eastAsia="宋体" w:cs="Times New Roman"/>
                      <w:color w:val="auto"/>
                      <w:kern w:val="0"/>
                      <w:sz w:val="18"/>
                      <w:szCs w:val="18"/>
                      <w:lang w:val="en-US" w:eastAsia="zh-CN" w:bidi="ar-SA"/>
                    </w:rPr>
                  </w:pPr>
                  <w:r>
                    <w:rPr>
                      <w:rFonts w:hint="eastAsia"/>
                      <w:color w:val="auto"/>
                      <w:sz w:val="18"/>
                      <w:szCs w:val="18"/>
                      <w:lang w:val="en-US" w:eastAsia="zh-CN"/>
                    </w:rPr>
                    <w:t>运输</w:t>
                  </w:r>
                </w:p>
              </w:tc>
              <w:tc>
                <w:tcPr>
                  <w:tcW w:w="439" w:type="pct"/>
                  <w:vAlign w:val="center"/>
                </w:tcPr>
                <w:p w14:paraId="72A974DA">
                  <w:pPr>
                    <w:pStyle w:val="74"/>
                    <w:spacing w:line="360" w:lineRule="auto"/>
                    <w:rPr>
                      <w:rFonts w:hint="eastAsia" w:ascii="Times New Roman" w:hAnsi="Times New Roman" w:eastAsia="宋体" w:cs="Times New Roman"/>
                      <w:color w:val="auto"/>
                      <w:kern w:val="0"/>
                      <w:sz w:val="18"/>
                      <w:szCs w:val="18"/>
                      <w:lang w:val="en-US" w:eastAsia="zh-CN" w:bidi="ar-SA"/>
                    </w:rPr>
                  </w:pPr>
                  <w:r>
                    <w:rPr>
                      <w:rFonts w:hint="eastAsia"/>
                      <w:color w:val="auto"/>
                      <w:sz w:val="18"/>
                      <w:szCs w:val="18"/>
                      <w:lang w:val="en-US" w:eastAsia="zh-CN"/>
                    </w:rPr>
                    <w:t>车辆运输过程</w:t>
                  </w:r>
                </w:p>
              </w:tc>
              <w:tc>
                <w:tcPr>
                  <w:tcW w:w="341" w:type="pct"/>
                  <w:vAlign w:val="center"/>
                </w:tcPr>
                <w:p w14:paraId="1990C575">
                  <w:pPr>
                    <w:pStyle w:val="74"/>
                    <w:spacing w:line="360" w:lineRule="auto"/>
                    <w:rPr>
                      <w:rFonts w:hint="eastAsia" w:ascii="Times New Roman" w:hAnsi="Times New Roman" w:eastAsia="宋体" w:cs="Times New Roman"/>
                      <w:color w:val="auto"/>
                      <w:kern w:val="0"/>
                      <w:sz w:val="18"/>
                      <w:szCs w:val="18"/>
                      <w:lang w:val="en-US" w:eastAsia="zh-CN" w:bidi="ar-SA"/>
                    </w:rPr>
                  </w:pPr>
                  <w:r>
                    <w:rPr>
                      <w:rFonts w:hint="eastAsia"/>
                      <w:color w:val="auto"/>
                      <w:sz w:val="18"/>
                      <w:szCs w:val="18"/>
                      <w:lang w:val="en-US" w:eastAsia="zh-CN"/>
                    </w:rPr>
                    <w:t>无组织</w:t>
                  </w:r>
                </w:p>
              </w:tc>
              <w:tc>
                <w:tcPr>
                  <w:tcW w:w="251" w:type="pct"/>
                  <w:vAlign w:val="center"/>
                </w:tcPr>
                <w:p w14:paraId="777581F8">
                  <w:pPr>
                    <w:widowControl/>
                    <w:spacing w:line="360" w:lineRule="auto"/>
                    <w:jc w:val="center"/>
                    <w:textAlignment w:val="center"/>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lang w:val="en-US" w:eastAsia="zh-CN"/>
                    </w:rPr>
                    <w:t>颗粒物</w:t>
                  </w:r>
                </w:p>
              </w:tc>
              <w:tc>
                <w:tcPr>
                  <w:tcW w:w="257" w:type="pct"/>
                  <w:vAlign w:val="center"/>
                </w:tcPr>
                <w:p w14:paraId="5F4B7905">
                  <w:pPr>
                    <w:pStyle w:val="74"/>
                    <w:spacing w:line="360" w:lineRule="auto"/>
                    <w:rPr>
                      <w:rFonts w:hint="eastAsia" w:ascii="Times New Roman" w:hAnsi="Times New Roman" w:eastAsia="宋体" w:cs="Times New Roman"/>
                      <w:color w:val="auto"/>
                      <w:kern w:val="0"/>
                      <w:sz w:val="18"/>
                      <w:szCs w:val="18"/>
                      <w:lang w:val="en-US" w:eastAsia="zh-CN" w:bidi="ar-SA"/>
                    </w:rPr>
                  </w:pPr>
                  <w:r>
                    <w:rPr>
                      <w:rFonts w:hint="eastAsia"/>
                      <w:color w:val="auto"/>
                      <w:sz w:val="18"/>
                      <w:szCs w:val="18"/>
                      <w:lang w:val="en-US" w:eastAsia="zh-CN"/>
                    </w:rPr>
                    <w:t>系数法</w:t>
                  </w:r>
                </w:p>
              </w:tc>
              <w:tc>
                <w:tcPr>
                  <w:tcW w:w="384" w:type="pct"/>
                  <w:vAlign w:val="center"/>
                </w:tcPr>
                <w:p w14:paraId="56DB64E1">
                  <w:pPr>
                    <w:pStyle w:val="74"/>
                    <w:spacing w:line="360" w:lineRule="auto"/>
                    <w:rPr>
                      <w:rFonts w:hint="eastAsia" w:ascii="Times New Roman" w:hAnsi="Times New Roman" w:eastAsia="宋体" w:cs="Times New Roman"/>
                      <w:color w:val="auto"/>
                      <w:kern w:val="0"/>
                      <w:sz w:val="18"/>
                      <w:szCs w:val="18"/>
                      <w:lang w:val="en-US" w:eastAsia="zh-CN" w:bidi="ar-SA"/>
                    </w:rPr>
                  </w:pPr>
                  <w:r>
                    <w:rPr>
                      <w:rFonts w:hint="eastAsia"/>
                      <w:color w:val="auto"/>
                      <w:sz w:val="18"/>
                      <w:szCs w:val="18"/>
                      <w:lang w:val="en-US" w:eastAsia="zh-CN"/>
                    </w:rPr>
                    <w:t>/</w:t>
                  </w:r>
                </w:p>
              </w:tc>
              <w:tc>
                <w:tcPr>
                  <w:tcW w:w="409" w:type="pct"/>
                  <w:vAlign w:val="center"/>
                </w:tcPr>
                <w:p w14:paraId="45819DB9">
                  <w:pPr>
                    <w:widowControl/>
                    <w:spacing w:line="360" w:lineRule="auto"/>
                    <w:jc w:val="center"/>
                    <w:textAlignment w:val="center"/>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lang w:val="en-US" w:eastAsia="zh-CN"/>
                    </w:rPr>
                    <w:t>/</w:t>
                  </w:r>
                </w:p>
              </w:tc>
              <w:tc>
                <w:tcPr>
                  <w:tcW w:w="420" w:type="pct"/>
                  <w:vAlign w:val="center"/>
                </w:tcPr>
                <w:p w14:paraId="518B3C99">
                  <w:pPr>
                    <w:pStyle w:val="74"/>
                    <w:spacing w:line="360" w:lineRule="auto"/>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0"/>
                      <w:sz w:val="18"/>
                      <w:szCs w:val="18"/>
                      <w:lang w:val="en-US" w:eastAsia="zh-CN" w:bidi="ar-SA"/>
                    </w:rPr>
                    <w:t>0.015</w:t>
                  </w:r>
                </w:p>
              </w:tc>
              <w:tc>
                <w:tcPr>
                  <w:tcW w:w="352" w:type="pct"/>
                  <w:vAlign w:val="center"/>
                </w:tcPr>
                <w:p w14:paraId="087B92FC">
                  <w:pPr>
                    <w:pStyle w:val="74"/>
                    <w:spacing w:line="360" w:lineRule="auto"/>
                    <w:rPr>
                      <w:rFonts w:hint="eastAsia" w:ascii="Times New Roman" w:hAnsi="Times New Roman" w:eastAsia="宋体" w:cs="Times New Roman"/>
                      <w:color w:val="auto"/>
                      <w:kern w:val="0"/>
                      <w:sz w:val="18"/>
                      <w:szCs w:val="18"/>
                      <w:lang w:val="en-US" w:eastAsia="zh-CN" w:bidi="ar-SA"/>
                    </w:rPr>
                  </w:pPr>
                  <w:r>
                    <w:rPr>
                      <w:rFonts w:hint="eastAsia"/>
                      <w:color w:val="auto"/>
                      <w:sz w:val="18"/>
                      <w:szCs w:val="18"/>
                      <w:lang w:val="en-US" w:eastAsia="zh-CN"/>
                    </w:rPr>
                    <w:t>车辆出入冲洗</w:t>
                  </w:r>
                </w:p>
              </w:tc>
              <w:tc>
                <w:tcPr>
                  <w:tcW w:w="395" w:type="pct"/>
                  <w:vAlign w:val="center"/>
                </w:tcPr>
                <w:p w14:paraId="1ACCDAAE">
                  <w:pPr>
                    <w:pStyle w:val="74"/>
                    <w:spacing w:line="360" w:lineRule="auto"/>
                    <w:rPr>
                      <w:rFonts w:hint="default" w:ascii="Times New Roman" w:hAnsi="Times New Roman" w:eastAsia="宋体" w:cs="Times New Roman"/>
                      <w:color w:val="auto"/>
                      <w:kern w:val="0"/>
                      <w:sz w:val="18"/>
                      <w:szCs w:val="18"/>
                      <w:lang w:val="en-US" w:eastAsia="zh-CN" w:bidi="ar-SA"/>
                    </w:rPr>
                  </w:pPr>
                  <w:r>
                    <w:rPr>
                      <w:rFonts w:hint="eastAsia"/>
                      <w:color w:val="auto"/>
                      <w:sz w:val="18"/>
                      <w:szCs w:val="18"/>
                      <w:lang w:val="en-US" w:eastAsia="zh-CN"/>
                    </w:rPr>
                    <w:t>80</w:t>
                  </w:r>
                </w:p>
              </w:tc>
              <w:tc>
                <w:tcPr>
                  <w:tcW w:w="355" w:type="pct"/>
                  <w:vAlign w:val="center"/>
                </w:tcPr>
                <w:p w14:paraId="0FC1E398">
                  <w:pPr>
                    <w:pStyle w:val="74"/>
                    <w:spacing w:line="360" w:lineRule="auto"/>
                    <w:rPr>
                      <w:rFonts w:hint="eastAsia" w:ascii="Times New Roman" w:hAnsi="Times New Roman" w:eastAsia="宋体" w:cs="Times New Roman"/>
                      <w:color w:val="auto"/>
                      <w:kern w:val="0"/>
                      <w:sz w:val="18"/>
                      <w:szCs w:val="18"/>
                      <w:lang w:val="en-US" w:eastAsia="zh-CN" w:bidi="ar-SA"/>
                    </w:rPr>
                  </w:pPr>
                  <w:r>
                    <w:rPr>
                      <w:rFonts w:hint="eastAsia"/>
                      <w:color w:val="auto"/>
                      <w:sz w:val="18"/>
                      <w:szCs w:val="18"/>
                      <w:lang w:val="en-US" w:eastAsia="zh-CN"/>
                    </w:rPr>
                    <w:t>/</w:t>
                  </w:r>
                </w:p>
              </w:tc>
              <w:tc>
                <w:tcPr>
                  <w:tcW w:w="403" w:type="pct"/>
                  <w:vAlign w:val="center"/>
                </w:tcPr>
                <w:p w14:paraId="5DF524A4">
                  <w:pPr>
                    <w:widowControl/>
                    <w:spacing w:line="360" w:lineRule="auto"/>
                    <w:jc w:val="center"/>
                    <w:textAlignment w:val="center"/>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lang w:val="en-US" w:eastAsia="zh-CN"/>
                    </w:rPr>
                    <w:t>/</w:t>
                  </w:r>
                </w:p>
              </w:tc>
              <w:tc>
                <w:tcPr>
                  <w:tcW w:w="426" w:type="pct"/>
                  <w:vAlign w:val="center"/>
                </w:tcPr>
                <w:p w14:paraId="53C28382">
                  <w:pPr>
                    <w:pStyle w:val="74"/>
                    <w:spacing w:line="360" w:lineRule="auto"/>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0"/>
                      <w:sz w:val="18"/>
                      <w:szCs w:val="18"/>
                      <w:lang w:val="en-US" w:eastAsia="zh-CN" w:bidi="ar-SA"/>
                    </w:rPr>
                    <w:t>0.003</w:t>
                  </w:r>
                </w:p>
              </w:tc>
              <w:tc>
                <w:tcPr>
                  <w:tcW w:w="333" w:type="pct"/>
                  <w:vAlign w:val="center"/>
                </w:tcPr>
                <w:p w14:paraId="3A082F3C">
                  <w:pPr>
                    <w:spacing w:line="360" w:lineRule="auto"/>
                    <w:jc w:val="center"/>
                    <w:textAlignment w:val="center"/>
                    <w:rPr>
                      <w:rFonts w:hint="default" w:ascii="Times New Roman" w:hAnsi="Times New Roman" w:eastAsia="宋体" w:cs="Times New Roman"/>
                      <w:color w:val="auto"/>
                      <w:spacing w:val="-10"/>
                      <w:kern w:val="2"/>
                      <w:sz w:val="18"/>
                      <w:szCs w:val="18"/>
                      <w:lang w:val="en-US" w:eastAsia="zh-CN" w:bidi="ar-SA"/>
                    </w:rPr>
                  </w:pPr>
                  <w:r>
                    <w:rPr>
                      <w:rFonts w:hint="eastAsia"/>
                      <w:color w:val="auto"/>
                      <w:spacing w:val="-10"/>
                      <w:sz w:val="18"/>
                      <w:szCs w:val="18"/>
                      <w:lang w:val="en-US" w:eastAsia="zh-CN"/>
                    </w:rPr>
                    <w:t>1050</w:t>
                  </w:r>
                </w:p>
              </w:tc>
            </w:tr>
            <w:tr w14:paraId="6EFA96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0" w:type="pct"/>
                  <w:vAlign w:val="center"/>
                </w:tcPr>
                <w:p w14:paraId="183497FF">
                  <w:pPr>
                    <w:pStyle w:val="74"/>
                    <w:spacing w:line="360" w:lineRule="auto"/>
                    <w:jc w:val="both"/>
                    <w:rPr>
                      <w:rFonts w:hint="default" w:eastAsia="宋体"/>
                      <w:color w:val="auto"/>
                      <w:sz w:val="18"/>
                      <w:szCs w:val="18"/>
                      <w:lang w:val="en-US" w:eastAsia="zh-CN"/>
                    </w:rPr>
                  </w:pPr>
                  <w:r>
                    <w:rPr>
                      <w:rFonts w:hint="eastAsia"/>
                      <w:color w:val="auto"/>
                      <w:sz w:val="18"/>
                      <w:szCs w:val="18"/>
                      <w:lang w:val="en-US" w:eastAsia="zh-CN"/>
                    </w:rPr>
                    <w:t>堆存、装卸</w:t>
                  </w:r>
                </w:p>
              </w:tc>
              <w:tc>
                <w:tcPr>
                  <w:tcW w:w="439" w:type="pct"/>
                  <w:vAlign w:val="center"/>
                </w:tcPr>
                <w:p w14:paraId="0A18750F">
                  <w:pPr>
                    <w:pStyle w:val="74"/>
                    <w:spacing w:line="360" w:lineRule="auto"/>
                    <w:rPr>
                      <w:rFonts w:hint="default" w:eastAsia="宋体"/>
                      <w:color w:val="auto"/>
                      <w:sz w:val="18"/>
                      <w:szCs w:val="18"/>
                      <w:lang w:val="en-US" w:eastAsia="zh-CN"/>
                    </w:rPr>
                  </w:pPr>
                  <w:r>
                    <w:rPr>
                      <w:rFonts w:hint="eastAsia"/>
                      <w:color w:val="auto"/>
                      <w:sz w:val="18"/>
                      <w:szCs w:val="18"/>
                      <w:lang w:val="en-US" w:eastAsia="zh-CN"/>
                    </w:rPr>
                    <w:t>堆场及原料、产品装卸过程</w:t>
                  </w:r>
                </w:p>
              </w:tc>
              <w:tc>
                <w:tcPr>
                  <w:tcW w:w="341" w:type="pct"/>
                  <w:vAlign w:val="center"/>
                </w:tcPr>
                <w:p w14:paraId="43DB3C1F">
                  <w:pPr>
                    <w:pStyle w:val="74"/>
                    <w:spacing w:line="360" w:lineRule="auto"/>
                    <w:rPr>
                      <w:rFonts w:hint="eastAsia" w:eastAsia="宋体"/>
                      <w:color w:val="auto"/>
                      <w:sz w:val="18"/>
                      <w:szCs w:val="18"/>
                      <w:lang w:val="en-US" w:eastAsia="zh-CN"/>
                    </w:rPr>
                  </w:pPr>
                  <w:r>
                    <w:rPr>
                      <w:rFonts w:hint="eastAsia"/>
                      <w:color w:val="auto"/>
                      <w:sz w:val="18"/>
                      <w:szCs w:val="18"/>
                      <w:lang w:val="en-US" w:eastAsia="zh-CN"/>
                    </w:rPr>
                    <w:t>无组织</w:t>
                  </w:r>
                </w:p>
              </w:tc>
              <w:tc>
                <w:tcPr>
                  <w:tcW w:w="251" w:type="pct"/>
                  <w:vAlign w:val="center"/>
                </w:tcPr>
                <w:p w14:paraId="74183AAE">
                  <w:pPr>
                    <w:widowControl/>
                    <w:spacing w:line="360" w:lineRule="auto"/>
                    <w:jc w:val="center"/>
                    <w:textAlignment w:val="center"/>
                    <w:rPr>
                      <w:rFonts w:hint="eastAsia" w:eastAsia="宋体"/>
                      <w:color w:val="auto"/>
                      <w:kern w:val="0"/>
                      <w:sz w:val="18"/>
                      <w:szCs w:val="18"/>
                      <w:lang w:val="en-US" w:eastAsia="zh-CN"/>
                    </w:rPr>
                  </w:pPr>
                  <w:r>
                    <w:rPr>
                      <w:rFonts w:hint="eastAsia"/>
                      <w:color w:val="auto"/>
                      <w:kern w:val="0"/>
                      <w:sz w:val="18"/>
                      <w:szCs w:val="18"/>
                      <w:lang w:val="en-US" w:eastAsia="zh-CN"/>
                    </w:rPr>
                    <w:t>颗粒物</w:t>
                  </w:r>
                </w:p>
              </w:tc>
              <w:tc>
                <w:tcPr>
                  <w:tcW w:w="257" w:type="pct"/>
                  <w:vAlign w:val="center"/>
                </w:tcPr>
                <w:p w14:paraId="422CD2FA">
                  <w:pPr>
                    <w:pStyle w:val="74"/>
                    <w:spacing w:line="360" w:lineRule="auto"/>
                    <w:rPr>
                      <w:rFonts w:hint="eastAsia" w:eastAsia="宋体"/>
                      <w:color w:val="auto"/>
                      <w:sz w:val="18"/>
                      <w:szCs w:val="18"/>
                      <w:lang w:val="en-US" w:eastAsia="zh-CN"/>
                    </w:rPr>
                  </w:pPr>
                  <w:r>
                    <w:rPr>
                      <w:rFonts w:hint="eastAsia"/>
                      <w:color w:val="auto"/>
                      <w:sz w:val="18"/>
                      <w:szCs w:val="18"/>
                      <w:lang w:val="en-US" w:eastAsia="zh-CN"/>
                    </w:rPr>
                    <w:t>系数法</w:t>
                  </w:r>
                </w:p>
              </w:tc>
              <w:tc>
                <w:tcPr>
                  <w:tcW w:w="384" w:type="pct"/>
                  <w:vAlign w:val="center"/>
                </w:tcPr>
                <w:p w14:paraId="551B2559">
                  <w:pPr>
                    <w:pStyle w:val="74"/>
                    <w:spacing w:line="360" w:lineRule="auto"/>
                    <w:rPr>
                      <w:rFonts w:hint="eastAsia" w:eastAsia="宋体"/>
                      <w:color w:val="auto"/>
                      <w:sz w:val="18"/>
                      <w:szCs w:val="18"/>
                      <w:lang w:val="en-US" w:eastAsia="zh-CN"/>
                    </w:rPr>
                  </w:pPr>
                  <w:r>
                    <w:rPr>
                      <w:rFonts w:hint="eastAsia"/>
                      <w:color w:val="auto"/>
                      <w:sz w:val="18"/>
                      <w:szCs w:val="18"/>
                      <w:lang w:val="en-US" w:eastAsia="zh-CN"/>
                    </w:rPr>
                    <w:t>/</w:t>
                  </w:r>
                </w:p>
              </w:tc>
              <w:tc>
                <w:tcPr>
                  <w:tcW w:w="409" w:type="pct"/>
                  <w:vAlign w:val="center"/>
                </w:tcPr>
                <w:p w14:paraId="1292AF8D">
                  <w:pPr>
                    <w:widowControl/>
                    <w:spacing w:line="360" w:lineRule="auto"/>
                    <w:jc w:val="center"/>
                    <w:textAlignment w:val="center"/>
                    <w:rPr>
                      <w:rFonts w:hint="eastAsia" w:eastAsia="宋体"/>
                      <w:color w:val="auto"/>
                      <w:kern w:val="0"/>
                      <w:sz w:val="18"/>
                      <w:szCs w:val="18"/>
                      <w:lang w:val="en-US" w:eastAsia="zh-CN"/>
                    </w:rPr>
                  </w:pPr>
                  <w:r>
                    <w:rPr>
                      <w:rFonts w:hint="eastAsia"/>
                      <w:color w:val="auto"/>
                      <w:kern w:val="0"/>
                      <w:sz w:val="18"/>
                      <w:szCs w:val="18"/>
                      <w:lang w:val="en-US" w:eastAsia="zh-CN"/>
                    </w:rPr>
                    <w:t>/</w:t>
                  </w:r>
                </w:p>
              </w:tc>
              <w:tc>
                <w:tcPr>
                  <w:tcW w:w="420" w:type="pct"/>
                  <w:vAlign w:val="center"/>
                </w:tcPr>
                <w:p w14:paraId="1C2389AB">
                  <w:pPr>
                    <w:pStyle w:val="74"/>
                    <w:spacing w:line="360" w:lineRule="auto"/>
                    <w:rPr>
                      <w:rFonts w:hint="default" w:eastAsia="宋体"/>
                      <w:color w:val="auto"/>
                      <w:sz w:val="18"/>
                      <w:szCs w:val="18"/>
                      <w:lang w:val="en-US" w:eastAsia="zh-CN"/>
                    </w:rPr>
                  </w:pPr>
                  <w:r>
                    <w:rPr>
                      <w:rFonts w:hint="eastAsia"/>
                      <w:color w:val="auto"/>
                      <w:sz w:val="18"/>
                      <w:szCs w:val="18"/>
                      <w:lang w:val="en-US" w:eastAsia="zh-CN"/>
                    </w:rPr>
                    <w:t>145.842</w:t>
                  </w:r>
                </w:p>
              </w:tc>
              <w:tc>
                <w:tcPr>
                  <w:tcW w:w="352" w:type="pct"/>
                  <w:vAlign w:val="center"/>
                </w:tcPr>
                <w:p w14:paraId="24993DF9">
                  <w:pPr>
                    <w:pStyle w:val="74"/>
                    <w:spacing w:line="360" w:lineRule="auto"/>
                    <w:rPr>
                      <w:rFonts w:hint="default" w:eastAsia="宋体"/>
                      <w:color w:val="auto"/>
                      <w:sz w:val="18"/>
                      <w:szCs w:val="18"/>
                      <w:lang w:val="en-US" w:eastAsia="zh-CN"/>
                    </w:rPr>
                  </w:pPr>
                  <w:r>
                    <w:rPr>
                      <w:rFonts w:hint="eastAsia"/>
                      <w:color w:val="auto"/>
                      <w:sz w:val="18"/>
                      <w:szCs w:val="18"/>
                      <w:lang w:val="en-US" w:eastAsia="zh-CN"/>
                    </w:rPr>
                    <w:t>车辆出入冲洗+围挡+编织覆盖</w:t>
                  </w:r>
                </w:p>
              </w:tc>
              <w:tc>
                <w:tcPr>
                  <w:tcW w:w="395" w:type="pct"/>
                  <w:vAlign w:val="center"/>
                </w:tcPr>
                <w:p w14:paraId="12F917F0">
                  <w:pPr>
                    <w:pStyle w:val="74"/>
                    <w:spacing w:line="360" w:lineRule="auto"/>
                    <w:rPr>
                      <w:rFonts w:hint="default" w:eastAsia="宋体"/>
                      <w:color w:val="auto"/>
                      <w:sz w:val="18"/>
                      <w:szCs w:val="18"/>
                      <w:lang w:val="en-US" w:eastAsia="zh-CN"/>
                    </w:rPr>
                  </w:pPr>
                  <w:r>
                    <w:rPr>
                      <w:rFonts w:hint="eastAsia"/>
                      <w:color w:val="auto"/>
                      <w:sz w:val="18"/>
                      <w:szCs w:val="18"/>
                      <w:lang w:val="en-US" w:eastAsia="zh-CN"/>
                    </w:rPr>
                    <w:t>90</w:t>
                  </w:r>
                </w:p>
              </w:tc>
              <w:tc>
                <w:tcPr>
                  <w:tcW w:w="355" w:type="pct"/>
                  <w:vAlign w:val="center"/>
                </w:tcPr>
                <w:p w14:paraId="556F81C4">
                  <w:pPr>
                    <w:pStyle w:val="74"/>
                    <w:spacing w:line="360" w:lineRule="auto"/>
                    <w:rPr>
                      <w:rFonts w:hint="eastAsia" w:eastAsia="宋体"/>
                      <w:color w:val="auto"/>
                      <w:sz w:val="18"/>
                      <w:szCs w:val="18"/>
                      <w:lang w:val="en-US" w:eastAsia="zh-CN"/>
                    </w:rPr>
                  </w:pPr>
                  <w:r>
                    <w:rPr>
                      <w:rFonts w:hint="eastAsia"/>
                      <w:color w:val="auto"/>
                      <w:sz w:val="18"/>
                      <w:szCs w:val="18"/>
                      <w:lang w:val="en-US" w:eastAsia="zh-CN"/>
                    </w:rPr>
                    <w:t>/</w:t>
                  </w:r>
                </w:p>
              </w:tc>
              <w:tc>
                <w:tcPr>
                  <w:tcW w:w="403" w:type="pct"/>
                  <w:vAlign w:val="center"/>
                </w:tcPr>
                <w:p w14:paraId="768A16A9">
                  <w:pPr>
                    <w:widowControl/>
                    <w:spacing w:line="360" w:lineRule="auto"/>
                    <w:jc w:val="center"/>
                    <w:textAlignment w:val="center"/>
                    <w:rPr>
                      <w:rFonts w:hint="eastAsia" w:ascii="Times New Roman" w:hAnsi="Times New Roman" w:eastAsia="宋体" w:cs="Times New Roman"/>
                      <w:color w:val="auto"/>
                      <w:kern w:val="0"/>
                      <w:sz w:val="18"/>
                      <w:szCs w:val="18"/>
                      <w:lang w:val="en-US" w:eastAsia="zh-CN" w:bidi="ar-SA"/>
                    </w:rPr>
                  </w:pPr>
                  <w:r>
                    <w:rPr>
                      <w:rFonts w:hint="eastAsia" w:ascii="Times New Roman" w:hAnsi="Times New Roman" w:eastAsia="宋体" w:cs="Times New Roman"/>
                      <w:color w:val="auto"/>
                      <w:kern w:val="0"/>
                      <w:sz w:val="18"/>
                      <w:szCs w:val="18"/>
                      <w:lang w:val="en-US" w:eastAsia="zh-CN" w:bidi="ar-SA"/>
                    </w:rPr>
                    <w:t>/</w:t>
                  </w:r>
                </w:p>
              </w:tc>
              <w:tc>
                <w:tcPr>
                  <w:tcW w:w="426" w:type="pct"/>
                  <w:vAlign w:val="center"/>
                </w:tcPr>
                <w:p w14:paraId="78A522D5">
                  <w:pPr>
                    <w:pStyle w:val="74"/>
                    <w:spacing w:line="360" w:lineRule="auto"/>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0"/>
                      <w:sz w:val="18"/>
                      <w:szCs w:val="18"/>
                      <w:lang w:val="en-US" w:eastAsia="zh-CN" w:bidi="ar-SA"/>
                    </w:rPr>
                    <w:t>1.797</w:t>
                  </w:r>
                </w:p>
              </w:tc>
              <w:tc>
                <w:tcPr>
                  <w:tcW w:w="333" w:type="pct"/>
                  <w:vAlign w:val="center"/>
                </w:tcPr>
                <w:p w14:paraId="093D4020">
                  <w:pPr>
                    <w:spacing w:line="360" w:lineRule="auto"/>
                    <w:jc w:val="center"/>
                    <w:textAlignment w:val="center"/>
                    <w:rPr>
                      <w:rFonts w:hint="default" w:eastAsia="宋体"/>
                      <w:color w:val="auto"/>
                      <w:spacing w:val="-10"/>
                      <w:sz w:val="18"/>
                      <w:szCs w:val="18"/>
                      <w:lang w:val="en-US" w:eastAsia="zh-CN"/>
                    </w:rPr>
                  </w:pPr>
                  <w:r>
                    <w:rPr>
                      <w:rFonts w:hint="eastAsia"/>
                      <w:color w:val="auto"/>
                      <w:spacing w:val="-10"/>
                      <w:sz w:val="18"/>
                      <w:szCs w:val="18"/>
                      <w:lang w:val="en-US" w:eastAsia="zh-CN"/>
                    </w:rPr>
                    <w:t>5040</w:t>
                  </w:r>
                </w:p>
              </w:tc>
            </w:tr>
          </w:tbl>
          <w:p w14:paraId="1CE71E65">
            <w:pPr>
              <w:pStyle w:val="82"/>
              <w:spacing w:line="240" w:lineRule="auto"/>
              <w:rPr>
                <w:rFonts w:ascii="Times New Roman" w:eastAsiaTheme="minorEastAsia"/>
                <w:bCs/>
                <w:color w:val="auto"/>
                <w:kern w:val="2"/>
                <w:sz w:val="21"/>
                <w:szCs w:val="24"/>
              </w:rPr>
            </w:pPr>
            <w:r>
              <w:rPr>
                <w:rFonts w:ascii="Times New Roman" w:eastAsiaTheme="minorEastAsia"/>
                <w:bCs/>
                <w:color w:val="auto"/>
                <w:kern w:val="2"/>
                <w:sz w:val="21"/>
                <w:szCs w:val="24"/>
              </w:rPr>
              <w:t>表</w:t>
            </w:r>
            <w:r>
              <w:rPr>
                <w:rFonts w:hint="eastAsia" w:ascii="Times New Roman" w:eastAsiaTheme="minorEastAsia"/>
                <w:bCs/>
                <w:color w:val="auto"/>
                <w:kern w:val="2"/>
                <w:sz w:val="21"/>
                <w:szCs w:val="24"/>
              </w:rPr>
              <w:t>4-</w:t>
            </w:r>
            <w:r>
              <w:rPr>
                <w:rFonts w:hint="eastAsia" w:ascii="Times New Roman" w:eastAsiaTheme="minorEastAsia"/>
                <w:bCs/>
                <w:color w:val="auto"/>
                <w:kern w:val="2"/>
                <w:sz w:val="21"/>
                <w:szCs w:val="24"/>
                <w:lang w:val="en-US" w:eastAsia="zh-CN"/>
              </w:rPr>
              <w:t xml:space="preserve">2 </w:t>
            </w:r>
            <w:r>
              <w:rPr>
                <w:rFonts w:ascii="Times New Roman" w:eastAsiaTheme="minorEastAsia"/>
                <w:bCs/>
                <w:color w:val="auto"/>
                <w:kern w:val="2"/>
                <w:sz w:val="21"/>
                <w:szCs w:val="24"/>
              </w:rPr>
              <w:t xml:space="preserve"> 大气污染物无组织排放量核算表</w:t>
            </w:r>
          </w:p>
          <w:tbl>
            <w:tblPr>
              <w:tblStyle w:val="38"/>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02"/>
              <w:gridCol w:w="869"/>
              <w:gridCol w:w="790"/>
              <w:gridCol w:w="865"/>
              <w:gridCol w:w="1215"/>
              <w:gridCol w:w="1751"/>
              <w:gridCol w:w="1140"/>
              <w:gridCol w:w="1115"/>
            </w:tblGrid>
            <w:tr w14:paraId="5FC917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6" w:type="pct"/>
                  <w:vMerge w:val="restart"/>
                  <w:vAlign w:val="center"/>
                </w:tcPr>
                <w:p w14:paraId="58080C4C">
                  <w:pPr>
                    <w:spacing w:line="360" w:lineRule="auto"/>
                    <w:jc w:val="center"/>
                    <w:rPr>
                      <w:bCs/>
                      <w:color w:val="auto"/>
                    </w:rPr>
                  </w:pPr>
                  <w:r>
                    <w:rPr>
                      <w:bCs/>
                      <w:color w:val="auto"/>
                    </w:rPr>
                    <w:t>序号</w:t>
                  </w:r>
                </w:p>
              </w:tc>
              <w:tc>
                <w:tcPr>
                  <w:tcW w:w="533" w:type="pct"/>
                  <w:vMerge w:val="restart"/>
                  <w:vAlign w:val="center"/>
                </w:tcPr>
                <w:p w14:paraId="495343FD">
                  <w:pPr>
                    <w:spacing w:line="360" w:lineRule="auto"/>
                    <w:jc w:val="center"/>
                    <w:rPr>
                      <w:bCs/>
                      <w:color w:val="auto"/>
                    </w:rPr>
                  </w:pPr>
                  <w:r>
                    <w:rPr>
                      <w:bCs/>
                      <w:color w:val="auto"/>
                    </w:rPr>
                    <w:t>排放口</w:t>
                  </w:r>
                </w:p>
                <w:p w14:paraId="17E2FD0D">
                  <w:pPr>
                    <w:spacing w:line="360" w:lineRule="auto"/>
                    <w:jc w:val="center"/>
                    <w:rPr>
                      <w:bCs/>
                      <w:color w:val="auto"/>
                    </w:rPr>
                  </w:pPr>
                  <w:r>
                    <w:rPr>
                      <w:bCs/>
                      <w:color w:val="auto"/>
                    </w:rPr>
                    <w:t>编号</w:t>
                  </w:r>
                </w:p>
              </w:tc>
              <w:tc>
                <w:tcPr>
                  <w:tcW w:w="484" w:type="pct"/>
                  <w:vMerge w:val="restart"/>
                  <w:vAlign w:val="center"/>
                </w:tcPr>
                <w:p w14:paraId="5494DAF6">
                  <w:pPr>
                    <w:spacing w:line="360" w:lineRule="auto"/>
                    <w:jc w:val="center"/>
                    <w:rPr>
                      <w:bCs/>
                      <w:color w:val="auto"/>
                    </w:rPr>
                  </w:pPr>
                  <w:r>
                    <w:rPr>
                      <w:bCs/>
                      <w:color w:val="auto"/>
                    </w:rPr>
                    <w:t>产污环节</w:t>
                  </w:r>
                </w:p>
              </w:tc>
              <w:tc>
                <w:tcPr>
                  <w:tcW w:w="530" w:type="pct"/>
                  <w:vMerge w:val="restart"/>
                  <w:vAlign w:val="center"/>
                </w:tcPr>
                <w:p w14:paraId="3F47172D">
                  <w:pPr>
                    <w:spacing w:line="360" w:lineRule="auto"/>
                    <w:jc w:val="center"/>
                    <w:rPr>
                      <w:bCs/>
                      <w:color w:val="auto"/>
                    </w:rPr>
                  </w:pPr>
                  <w:r>
                    <w:rPr>
                      <w:bCs/>
                      <w:color w:val="auto"/>
                    </w:rPr>
                    <w:t>污染物</w:t>
                  </w:r>
                </w:p>
              </w:tc>
              <w:tc>
                <w:tcPr>
                  <w:tcW w:w="745" w:type="pct"/>
                  <w:vMerge w:val="restart"/>
                  <w:vAlign w:val="center"/>
                </w:tcPr>
                <w:p w14:paraId="19F6872F">
                  <w:pPr>
                    <w:spacing w:line="360" w:lineRule="auto"/>
                    <w:jc w:val="center"/>
                    <w:rPr>
                      <w:bCs/>
                      <w:color w:val="auto"/>
                    </w:rPr>
                  </w:pPr>
                  <w:r>
                    <w:rPr>
                      <w:bCs/>
                      <w:color w:val="auto"/>
                    </w:rPr>
                    <w:t>主要污染防治措施</w:t>
                  </w:r>
                </w:p>
              </w:tc>
              <w:tc>
                <w:tcPr>
                  <w:tcW w:w="1774" w:type="pct"/>
                  <w:gridSpan w:val="2"/>
                  <w:vAlign w:val="center"/>
                </w:tcPr>
                <w:p w14:paraId="7B4CF08F">
                  <w:pPr>
                    <w:spacing w:line="360" w:lineRule="auto"/>
                    <w:jc w:val="center"/>
                    <w:rPr>
                      <w:bCs/>
                      <w:color w:val="auto"/>
                    </w:rPr>
                  </w:pPr>
                  <w:r>
                    <w:rPr>
                      <w:bCs/>
                      <w:color w:val="auto"/>
                    </w:rPr>
                    <w:t>污染物排放标准</w:t>
                  </w:r>
                </w:p>
              </w:tc>
              <w:tc>
                <w:tcPr>
                  <w:tcW w:w="684" w:type="pct"/>
                  <w:vMerge w:val="restart"/>
                  <w:vAlign w:val="center"/>
                </w:tcPr>
                <w:p w14:paraId="088CE58D">
                  <w:pPr>
                    <w:spacing w:line="360" w:lineRule="auto"/>
                    <w:jc w:val="center"/>
                    <w:rPr>
                      <w:bCs/>
                      <w:color w:val="auto"/>
                    </w:rPr>
                  </w:pPr>
                  <w:r>
                    <w:rPr>
                      <w:bCs/>
                      <w:color w:val="auto"/>
                    </w:rPr>
                    <w:t>年排放量</w:t>
                  </w:r>
                </w:p>
                <w:p w14:paraId="6FC5243D">
                  <w:pPr>
                    <w:spacing w:line="360" w:lineRule="auto"/>
                    <w:jc w:val="center"/>
                    <w:rPr>
                      <w:bCs/>
                      <w:color w:val="auto"/>
                    </w:rPr>
                  </w:pPr>
                  <w:r>
                    <w:rPr>
                      <w:bCs/>
                      <w:color w:val="auto"/>
                    </w:rPr>
                    <w:t>（t/a）</w:t>
                  </w:r>
                </w:p>
              </w:tc>
            </w:tr>
            <w:tr w14:paraId="751A86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6" w:type="pct"/>
                  <w:vMerge w:val="continue"/>
                  <w:vAlign w:val="center"/>
                </w:tcPr>
                <w:p w14:paraId="45C18D28">
                  <w:pPr>
                    <w:spacing w:line="360" w:lineRule="auto"/>
                    <w:jc w:val="center"/>
                    <w:rPr>
                      <w:bCs/>
                      <w:color w:val="auto"/>
                    </w:rPr>
                  </w:pPr>
                </w:p>
              </w:tc>
              <w:tc>
                <w:tcPr>
                  <w:tcW w:w="533" w:type="pct"/>
                  <w:vMerge w:val="continue"/>
                  <w:vAlign w:val="center"/>
                </w:tcPr>
                <w:p w14:paraId="1C10F8FB">
                  <w:pPr>
                    <w:spacing w:line="360" w:lineRule="auto"/>
                    <w:jc w:val="center"/>
                    <w:rPr>
                      <w:bCs/>
                      <w:color w:val="auto"/>
                    </w:rPr>
                  </w:pPr>
                </w:p>
              </w:tc>
              <w:tc>
                <w:tcPr>
                  <w:tcW w:w="484" w:type="pct"/>
                  <w:vMerge w:val="continue"/>
                  <w:vAlign w:val="center"/>
                </w:tcPr>
                <w:p w14:paraId="3CF72FC4">
                  <w:pPr>
                    <w:spacing w:line="360" w:lineRule="auto"/>
                    <w:jc w:val="center"/>
                    <w:rPr>
                      <w:bCs/>
                      <w:color w:val="auto"/>
                    </w:rPr>
                  </w:pPr>
                </w:p>
              </w:tc>
              <w:tc>
                <w:tcPr>
                  <w:tcW w:w="530" w:type="pct"/>
                  <w:vMerge w:val="continue"/>
                  <w:vAlign w:val="center"/>
                </w:tcPr>
                <w:p w14:paraId="406AEF46">
                  <w:pPr>
                    <w:spacing w:line="360" w:lineRule="auto"/>
                    <w:jc w:val="center"/>
                    <w:rPr>
                      <w:bCs/>
                      <w:color w:val="auto"/>
                    </w:rPr>
                  </w:pPr>
                </w:p>
              </w:tc>
              <w:tc>
                <w:tcPr>
                  <w:tcW w:w="745" w:type="pct"/>
                  <w:vMerge w:val="continue"/>
                  <w:vAlign w:val="center"/>
                </w:tcPr>
                <w:p w14:paraId="687C92F4">
                  <w:pPr>
                    <w:spacing w:line="360" w:lineRule="auto"/>
                    <w:jc w:val="center"/>
                    <w:rPr>
                      <w:bCs/>
                      <w:color w:val="auto"/>
                    </w:rPr>
                  </w:pPr>
                </w:p>
              </w:tc>
              <w:tc>
                <w:tcPr>
                  <w:tcW w:w="1074" w:type="pct"/>
                  <w:vAlign w:val="center"/>
                </w:tcPr>
                <w:p w14:paraId="39F31675">
                  <w:pPr>
                    <w:spacing w:line="360" w:lineRule="auto"/>
                    <w:jc w:val="center"/>
                    <w:rPr>
                      <w:bCs/>
                      <w:color w:val="auto"/>
                    </w:rPr>
                  </w:pPr>
                  <w:r>
                    <w:rPr>
                      <w:bCs/>
                      <w:color w:val="auto"/>
                    </w:rPr>
                    <w:t>标准名称</w:t>
                  </w:r>
                </w:p>
              </w:tc>
              <w:tc>
                <w:tcPr>
                  <w:tcW w:w="699" w:type="pct"/>
                  <w:vAlign w:val="center"/>
                </w:tcPr>
                <w:p w14:paraId="4C1A18DA">
                  <w:pPr>
                    <w:spacing w:line="360" w:lineRule="auto"/>
                    <w:jc w:val="center"/>
                    <w:rPr>
                      <w:bCs/>
                      <w:color w:val="auto"/>
                    </w:rPr>
                  </w:pPr>
                  <w:r>
                    <w:rPr>
                      <w:bCs/>
                      <w:color w:val="auto"/>
                    </w:rPr>
                    <w:t>浓度限值（mg/m</w:t>
                  </w:r>
                  <w:r>
                    <w:rPr>
                      <w:bCs/>
                      <w:color w:val="auto"/>
                      <w:vertAlign w:val="superscript"/>
                    </w:rPr>
                    <w:t>3</w:t>
                  </w:r>
                  <w:r>
                    <w:rPr>
                      <w:bCs/>
                      <w:color w:val="auto"/>
                    </w:rPr>
                    <w:t>）</w:t>
                  </w:r>
                </w:p>
              </w:tc>
              <w:tc>
                <w:tcPr>
                  <w:tcW w:w="684" w:type="pct"/>
                  <w:vMerge w:val="continue"/>
                  <w:vAlign w:val="center"/>
                </w:tcPr>
                <w:p w14:paraId="2A6A155C">
                  <w:pPr>
                    <w:spacing w:line="360" w:lineRule="auto"/>
                    <w:jc w:val="center"/>
                    <w:rPr>
                      <w:bCs/>
                      <w:color w:val="auto"/>
                    </w:rPr>
                  </w:pPr>
                </w:p>
              </w:tc>
            </w:tr>
            <w:tr w14:paraId="79A671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6" w:type="pct"/>
                  <w:vAlign w:val="center"/>
                </w:tcPr>
                <w:p w14:paraId="0F317BCC">
                  <w:pPr>
                    <w:spacing w:line="360" w:lineRule="auto"/>
                    <w:jc w:val="center"/>
                    <w:rPr>
                      <w:bCs/>
                      <w:color w:val="auto"/>
                    </w:rPr>
                  </w:pPr>
                  <w:r>
                    <w:rPr>
                      <w:rFonts w:hint="eastAsia"/>
                      <w:bCs/>
                      <w:color w:val="auto"/>
                      <w:lang w:val="en-US" w:eastAsia="zh-CN"/>
                    </w:rPr>
                    <w:t>1</w:t>
                  </w:r>
                </w:p>
              </w:tc>
              <w:tc>
                <w:tcPr>
                  <w:tcW w:w="533" w:type="pct"/>
                  <w:vAlign w:val="center"/>
                </w:tcPr>
                <w:p w14:paraId="155B55FA">
                  <w:pPr>
                    <w:spacing w:line="360" w:lineRule="auto"/>
                    <w:jc w:val="center"/>
                    <w:rPr>
                      <w:rFonts w:hint="eastAsia"/>
                      <w:bCs/>
                      <w:color w:val="auto"/>
                      <w:lang w:val="en-US" w:eastAsia="zh-CN"/>
                    </w:rPr>
                  </w:pPr>
                  <w:r>
                    <w:rPr>
                      <w:rFonts w:hint="eastAsia"/>
                      <w:bCs/>
                      <w:color w:val="auto"/>
                      <w:lang w:val="en-US" w:eastAsia="zh-CN"/>
                    </w:rPr>
                    <w:t>/</w:t>
                  </w:r>
                </w:p>
              </w:tc>
              <w:tc>
                <w:tcPr>
                  <w:tcW w:w="484" w:type="pct"/>
                  <w:vAlign w:val="center"/>
                </w:tcPr>
                <w:p w14:paraId="13B15430">
                  <w:pPr>
                    <w:spacing w:line="360" w:lineRule="auto"/>
                    <w:jc w:val="center"/>
                    <w:rPr>
                      <w:rFonts w:hint="default"/>
                      <w:bCs/>
                      <w:color w:val="auto"/>
                      <w:lang w:val="en-US" w:eastAsia="zh-CN"/>
                    </w:rPr>
                  </w:pPr>
                  <w:r>
                    <w:rPr>
                      <w:rFonts w:hint="eastAsia"/>
                      <w:bCs/>
                      <w:color w:val="auto"/>
                      <w:lang w:val="en-US" w:eastAsia="zh-CN"/>
                    </w:rPr>
                    <w:t>运输过程</w:t>
                  </w:r>
                </w:p>
              </w:tc>
              <w:tc>
                <w:tcPr>
                  <w:tcW w:w="530" w:type="pct"/>
                  <w:vAlign w:val="center"/>
                </w:tcPr>
                <w:p w14:paraId="3EC2FC6C">
                  <w:pPr>
                    <w:spacing w:line="360" w:lineRule="auto"/>
                    <w:jc w:val="center"/>
                    <w:rPr>
                      <w:bCs/>
                      <w:color w:val="auto"/>
                    </w:rPr>
                  </w:pPr>
                  <w:r>
                    <w:rPr>
                      <w:rFonts w:hint="eastAsia"/>
                      <w:bCs/>
                      <w:color w:val="auto"/>
                      <w:lang w:val="en-US" w:eastAsia="zh-CN"/>
                    </w:rPr>
                    <w:t>颗粒物</w:t>
                  </w:r>
                </w:p>
              </w:tc>
              <w:tc>
                <w:tcPr>
                  <w:tcW w:w="745" w:type="pct"/>
                  <w:vAlign w:val="center"/>
                </w:tcPr>
                <w:p w14:paraId="480DF2A6">
                  <w:pPr>
                    <w:spacing w:line="360" w:lineRule="auto"/>
                    <w:jc w:val="center"/>
                    <w:rPr>
                      <w:rFonts w:hint="eastAsia"/>
                      <w:bCs/>
                      <w:color w:val="auto"/>
                      <w:lang w:val="en-US" w:eastAsia="zh-CN"/>
                    </w:rPr>
                  </w:pPr>
                  <w:r>
                    <w:rPr>
                      <w:rFonts w:hint="eastAsia"/>
                      <w:bCs/>
                      <w:color w:val="auto"/>
                      <w:lang w:val="en-US" w:eastAsia="zh-CN"/>
                    </w:rPr>
                    <w:t>车辆出入冲洗</w:t>
                  </w:r>
                </w:p>
              </w:tc>
              <w:tc>
                <w:tcPr>
                  <w:tcW w:w="1074" w:type="pct"/>
                  <w:vMerge w:val="restart"/>
                  <w:vAlign w:val="center"/>
                </w:tcPr>
                <w:p w14:paraId="0ADDB788">
                  <w:pPr>
                    <w:spacing w:line="360" w:lineRule="auto"/>
                    <w:jc w:val="center"/>
                    <w:rPr>
                      <w:bCs/>
                      <w:color w:val="auto"/>
                    </w:rPr>
                  </w:pPr>
                  <w:r>
                    <w:rPr>
                      <w:rFonts w:hint="eastAsia"/>
                      <w:bCs/>
                      <w:color w:val="auto"/>
                    </w:rPr>
                    <w:t>《煤炭工业污染物排放标准》（GB20426-2006）</w:t>
                  </w:r>
                </w:p>
              </w:tc>
              <w:tc>
                <w:tcPr>
                  <w:tcW w:w="699" w:type="pct"/>
                  <w:vMerge w:val="restart"/>
                  <w:vAlign w:val="center"/>
                </w:tcPr>
                <w:p w14:paraId="05E89A35">
                  <w:pPr>
                    <w:spacing w:line="360" w:lineRule="auto"/>
                    <w:jc w:val="center"/>
                    <w:rPr>
                      <w:bCs/>
                      <w:color w:val="auto"/>
                    </w:rPr>
                  </w:pPr>
                  <w:r>
                    <w:rPr>
                      <w:rFonts w:hint="eastAsia"/>
                      <w:bCs/>
                      <w:color w:val="auto"/>
                    </w:rPr>
                    <w:t>1.0</w:t>
                  </w:r>
                </w:p>
              </w:tc>
              <w:tc>
                <w:tcPr>
                  <w:tcW w:w="684" w:type="pct"/>
                  <w:vAlign w:val="center"/>
                </w:tcPr>
                <w:p w14:paraId="60D92A88">
                  <w:pPr>
                    <w:spacing w:line="360" w:lineRule="auto"/>
                    <w:jc w:val="center"/>
                    <w:rPr>
                      <w:rFonts w:hint="default"/>
                      <w:bCs/>
                      <w:color w:val="auto"/>
                      <w:lang w:val="en-US" w:eastAsia="zh-CN"/>
                    </w:rPr>
                  </w:pPr>
                  <w:r>
                    <w:rPr>
                      <w:rFonts w:hint="eastAsia"/>
                      <w:bCs/>
                      <w:color w:val="auto"/>
                      <w:lang w:val="en-US" w:eastAsia="zh-CN"/>
                    </w:rPr>
                    <w:t>0.003</w:t>
                  </w:r>
                </w:p>
              </w:tc>
            </w:tr>
            <w:tr w14:paraId="12CE66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6" w:type="pct"/>
                  <w:vAlign w:val="center"/>
                </w:tcPr>
                <w:p w14:paraId="61F2B56B">
                  <w:pPr>
                    <w:spacing w:line="360" w:lineRule="auto"/>
                    <w:jc w:val="center"/>
                    <w:rPr>
                      <w:bCs/>
                      <w:color w:val="auto"/>
                    </w:rPr>
                  </w:pPr>
                  <w:r>
                    <w:rPr>
                      <w:rFonts w:hint="eastAsia"/>
                      <w:bCs/>
                      <w:color w:val="auto"/>
                      <w:lang w:val="en-US" w:eastAsia="zh-CN"/>
                    </w:rPr>
                    <w:t>2</w:t>
                  </w:r>
                </w:p>
              </w:tc>
              <w:tc>
                <w:tcPr>
                  <w:tcW w:w="533" w:type="pct"/>
                  <w:vAlign w:val="center"/>
                </w:tcPr>
                <w:p w14:paraId="7E918A02">
                  <w:pPr>
                    <w:spacing w:line="360" w:lineRule="auto"/>
                    <w:jc w:val="center"/>
                    <w:rPr>
                      <w:rFonts w:hint="eastAsia"/>
                      <w:bCs/>
                      <w:color w:val="auto"/>
                      <w:lang w:val="en-US" w:eastAsia="zh-CN"/>
                    </w:rPr>
                  </w:pPr>
                  <w:r>
                    <w:rPr>
                      <w:rFonts w:hint="eastAsia"/>
                      <w:bCs/>
                      <w:color w:val="auto"/>
                      <w:lang w:val="en-US" w:eastAsia="zh-CN"/>
                    </w:rPr>
                    <w:t>/</w:t>
                  </w:r>
                </w:p>
              </w:tc>
              <w:tc>
                <w:tcPr>
                  <w:tcW w:w="484" w:type="pct"/>
                  <w:vAlign w:val="center"/>
                </w:tcPr>
                <w:p w14:paraId="1AC3F81D">
                  <w:pPr>
                    <w:spacing w:line="360" w:lineRule="auto"/>
                    <w:jc w:val="center"/>
                    <w:rPr>
                      <w:rFonts w:hint="eastAsia"/>
                      <w:bCs/>
                      <w:color w:val="auto"/>
                      <w:lang w:eastAsia="zh-CN"/>
                    </w:rPr>
                  </w:pPr>
                  <w:r>
                    <w:rPr>
                      <w:rFonts w:hint="eastAsia"/>
                      <w:bCs/>
                      <w:color w:val="auto"/>
                      <w:lang w:val="en-US" w:eastAsia="zh-CN"/>
                    </w:rPr>
                    <w:t>堆存和装卸过程</w:t>
                  </w:r>
                </w:p>
              </w:tc>
              <w:tc>
                <w:tcPr>
                  <w:tcW w:w="530" w:type="pct"/>
                  <w:vAlign w:val="center"/>
                </w:tcPr>
                <w:p w14:paraId="0F912C63">
                  <w:pPr>
                    <w:spacing w:line="360" w:lineRule="auto"/>
                    <w:jc w:val="center"/>
                    <w:rPr>
                      <w:bCs/>
                      <w:color w:val="auto"/>
                    </w:rPr>
                  </w:pPr>
                  <w:r>
                    <w:rPr>
                      <w:bCs/>
                      <w:color w:val="auto"/>
                    </w:rPr>
                    <w:t>颗粒物</w:t>
                  </w:r>
                </w:p>
              </w:tc>
              <w:tc>
                <w:tcPr>
                  <w:tcW w:w="745" w:type="pct"/>
                  <w:vAlign w:val="center"/>
                </w:tcPr>
                <w:p w14:paraId="6DB8A6DF">
                  <w:pPr>
                    <w:spacing w:line="360" w:lineRule="auto"/>
                    <w:jc w:val="center"/>
                    <w:rPr>
                      <w:bCs/>
                      <w:color w:val="auto"/>
                    </w:rPr>
                  </w:pPr>
                  <w:r>
                    <w:rPr>
                      <w:rFonts w:hint="eastAsia"/>
                      <w:bCs/>
                      <w:color w:val="auto"/>
                      <w:lang w:val="en-US" w:eastAsia="zh-CN"/>
                    </w:rPr>
                    <w:t>车辆出入冲洗+围挡+编织覆盖</w:t>
                  </w:r>
                </w:p>
              </w:tc>
              <w:tc>
                <w:tcPr>
                  <w:tcW w:w="1074" w:type="pct"/>
                  <w:vMerge w:val="continue"/>
                  <w:vAlign w:val="center"/>
                </w:tcPr>
                <w:p w14:paraId="0339B591">
                  <w:pPr>
                    <w:spacing w:line="360" w:lineRule="auto"/>
                    <w:jc w:val="center"/>
                    <w:rPr>
                      <w:bCs/>
                      <w:color w:val="auto"/>
                    </w:rPr>
                  </w:pPr>
                </w:p>
              </w:tc>
              <w:tc>
                <w:tcPr>
                  <w:tcW w:w="699" w:type="pct"/>
                  <w:vMerge w:val="continue"/>
                  <w:vAlign w:val="center"/>
                </w:tcPr>
                <w:p w14:paraId="0E26AC8E">
                  <w:pPr>
                    <w:spacing w:line="360" w:lineRule="auto"/>
                    <w:jc w:val="center"/>
                    <w:rPr>
                      <w:bCs/>
                      <w:color w:val="auto"/>
                    </w:rPr>
                  </w:pPr>
                </w:p>
              </w:tc>
              <w:tc>
                <w:tcPr>
                  <w:tcW w:w="684" w:type="pct"/>
                  <w:vAlign w:val="center"/>
                </w:tcPr>
                <w:p w14:paraId="2D9507CF">
                  <w:pPr>
                    <w:spacing w:line="360" w:lineRule="auto"/>
                    <w:jc w:val="center"/>
                    <w:rPr>
                      <w:rFonts w:hint="default" w:eastAsia="宋体"/>
                      <w:bCs/>
                      <w:color w:val="auto"/>
                      <w:lang w:val="en-US" w:eastAsia="zh-CN"/>
                    </w:rPr>
                  </w:pPr>
                  <w:r>
                    <w:rPr>
                      <w:rFonts w:hint="eastAsia"/>
                      <w:bCs/>
                      <w:color w:val="auto"/>
                      <w:lang w:val="en-US" w:eastAsia="zh-CN"/>
                    </w:rPr>
                    <w:t>9.056</w:t>
                  </w:r>
                </w:p>
              </w:tc>
            </w:tr>
            <w:tr w14:paraId="57E26B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4" w:type="pct"/>
                  <w:gridSpan w:val="3"/>
                  <w:vAlign w:val="center"/>
                </w:tcPr>
                <w:p w14:paraId="70BBA473">
                  <w:pPr>
                    <w:spacing w:line="360" w:lineRule="auto"/>
                    <w:jc w:val="center"/>
                    <w:rPr>
                      <w:bCs/>
                      <w:color w:val="auto"/>
                    </w:rPr>
                  </w:pPr>
                  <w:r>
                    <w:rPr>
                      <w:bCs/>
                      <w:color w:val="auto"/>
                    </w:rPr>
                    <w:t>无组织排放总计</w:t>
                  </w:r>
                </w:p>
              </w:tc>
              <w:tc>
                <w:tcPr>
                  <w:tcW w:w="3050" w:type="pct"/>
                  <w:gridSpan w:val="4"/>
                  <w:vAlign w:val="center"/>
                </w:tcPr>
                <w:p w14:paraId="1C26838D">
                  <w:pPr>
                    <w:spacing w:line="360" w:lineRule="auto"/>
                    <w:jc w:val="center"/>
                    <w:rPr>
                      <w:bCs/>
                      <w:color w:val="auto"/>
                    </w:rPr>
                  </w:pPr>
                  <w:r>
                    <w:rPr>
                      <w:color w:val="auto"/>
                      <w:kern w:val="0"/>
                    </w:rPr>
                    <w:t>颗粒物</w:t>
                  </w:r>
                </w:p>
              </w:tc>
              <w:tc>
                <w:tcPr>
                  <w:tcW w:w="684" w:type="pct"/>
                  <w:vAlign w:val="center"/>
                </w:tcPr>
                <w:p w14:paraId="3C3A857B">
                  <w:pPr>
                    <w:spacing w:line="360" w:lineRule="auto"/>
                    <w:jc w:val="center"/>
                    <w:rPr>
                      <w:rFonts w:hint="default" w:eastAsia="宋体"/>
                      <w:color w:val="auto"/>
                      <w:lang w:val="en-US" w:eastAsia="zh-CN"/>
                    </w:rPr>
                  </w:pPr>
                  <w:r>
                    <w:rPr>
                      <w:rFonts w:hint="eastAsia"/>
                      <w:color w:val="auto"/>
                      <w:lang w:val="en-US" w:eastAsia="zh-CN"/>
                    </w:rPr>
                    <w:t>9.059</w:t>
                  </w:r>
                </w:p>
              </w:tc>
            </w:tr>
          </w:tbl>
          <w:p w14:paraId="4D47C824">
            <w:pPr>
              <w:pStyle w:val="82"/>
              <w:spacing w:line="240" w:lineRule="auto"/>
              <w:rPr>
                <w:rFonts w:ascii="Times New Roman" w:eastAsiaTheme="minorEastAsia"/>
                <w:bCs/>
                <w:color w:val="auto"/>
                <w:kern w:val="2"/>
                <w:sz w:val="21"/>
                <w:szCs w:val="24"/>
              </w:rPr>
            </w:pPr>
            <w:r>
              <w:rPr>
                <w:rFonts w:hint="eastAsia" w:ascii="Times New Roman" w:eastAsiaTheme="minorEastAsia"/>
                <w:bCs/>
                <w:color w:val="auto"/>
                <w:kern w:val="2"/>
                <w:sz w:val="21"/>
                <w:szCs w:val="24"/>
              </w:rPr>
              <w:t>表4-</w:t>
            </w:r>
            <w:r>
              <w:rPr>
                <w:rFonts w:hint="eastAsia" w:ascii="Times New Roman" w:eastAsiaTheme="minorEastAsia"/>
                <w:bCs/>
                <w:color w:val="auto"/>
                <w:kern w:val="2"/>
                <w:sz w:val="21"/>
                <w:szCs w:val="24"/>
                <w:lang w:val="en-US" w:eastAsia="zh-CN"/>
              </w:rPr>
              <w:t>3</w:t>
            </w:r>
            <w:r>
              <w:rPr>
                <w:rFonts w:hint="eastAsia" w:ascii="Times New Roman" w:eastAsiaTheme="minorEastAsia"/>
                <w:bCs/>
                <w:color w:val="auto"/>
                <w:kern w:val="2"/>
                <w:sz w:val="21"/>
                <w:szCs w:val="24"/>
              </w:rPr>
              <w:t xml:space="preserve">  大气污染物年排放量核算表</w:t>
            </w:r>
          </w:p>
          <w:tbl>
            <w:tblPr>
              <w:tblStyle w:val="3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2575"/>
              <w:gridCol w:w="4289"/>
            </w:tblGrid>
            <w:tr w14:paraId="7CDD44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1" w:type="pct"/>
                  <w:vAlign w:val="center"/>
                </w:tcPr>
                <w:p w14:paraId="74F48F43">
                  <w:pPr>
                    <w:pStyle w:val="74"/>
                    <w:spacing w:line="360" w:lineRule="auto"/>
                    <w:rPr>
                      <w:color w:val="auto"/>
                      <w:szCs w:val="21"/>
                    </w:rPr>
                  </w:pPr>
                  <w:r>
                    <w:rPr>
                      <w:color w:val="auto"/>
                      <w:szCs w:val="21"/>
                    </w:rPr>
                    <w:t>序号</w:t>
                  </w:r>
                </w:p>
              </w:tc>
              <w:tc>
                <w:tcPr>
                  <w:tcW w:w="1578" w:type="pct"/>
                  <w:vAlign w:val="center"/>
                </w:tcPr>
                <w:p w14:paraId="42FB4F1F">
                  <w:pPr>
                    <w:pStyle w:val="74"/>
                    <w:spacing w:line="360" w:lineRule="auto"/>
                    <w:rPr>
                      <w:color w:val="auto"/>
                      <w:szCs w:val="21"/>
                    </w:rPr>
                  </w:pPr>
                  <w:r>
                    <w:rPr>
                      <w:color w:val="auto"/>
                      <w:szCs w:val="21"/>
                    </w:rPr>
                    <w:t>污染物</w:t>
                  </w:r>
                </w:p>
              </w:tc>
              <w:tc>
                <w:tcPr>
                  <w:tcW w:w="2629" w:type="pct"/>
                  <w:vAlign w:val="center"/>
                </w:tcPr>
                <w:p w14:paraId="7B26B2D7">
                  <w:pPr>
                    <w:pStyle w:val="74"/>
                    <w:spacing w:line="360" w:lineRule="auto"/>
                    <w:rPr>
                      <w:color w:val="auto"/>
                      <w:szCs w:val="21"/>
                    </w:rPr>
                  </w:pPr>
                  <w:r>
                    <w:rPr>
                      <w:color w:val="auto"/>
                      <w:szCs w:val="21"/>
                    </w:rPr>
                    <w:t>核算年排放量（t/a）</w:t>
                  </w:r>
                </w:p>
              </w:tc>
            </w:tr>
            <w:tr w14:paraId="7A8345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1" w:type="pct"/>
                  <w:vAlign w:val="center"/>
                </w:tcPr>
                <w:p w14:paraId="34655600">
                  <w:pPr>
                    <w:pStyle w:val="74"/>
                    <w:spacing w:line="360" w:lineRule="auto"/>
                    <w:rPr>
                      <w:color w:val="auto"/>
                      <w:szCs w:val="21"/>
                    </w:rPr>
                  </w:pPr>
                  <w:r>
                    <w:rPr>
                      <w:rFonts w:hint="eastAsia"/>
                      <w:color w:val="auto"/>
                      <w:szCs w:val="21"/>
                    </w:rPr>
                    <w:t>1</w:t>
                  </w:r>
                </w:p>
              </w:tc>
              <w:tc>
                <w:tcPr>
                  <w:tcW w:w="1578" w:type="pct"/>
                  <w:vAlign w:val="center"/>
                </w:tcPr>
                <w:p w14:paraId="624827CC">
                  <w:pPr>
                    <w:pStyle w:val="74"/>
                    <w:spacing w:line="360" w:lineRule="auto"/>
                    <w:rPr>
                      <w:color w:val="auto"/>
                      <w:spacing w:val="-10"/>
                      <w:szCs w:val="21"/>
                    </w:rPr>
                  </w:pPr>
                  <w:r>
                    <w:rPr>
                      <w:rFonts w:hint="eastAsia"/>
                      <w:color w:val="auto"/>
                      <w:spacing w:val="-10"/>
                      <w:szCs w:val="21"/>
                    </w:rPr>
                    <w:t>工业粉尘</w:t>
                  </w:r>
                </w:p>
              </w:tc>
              <w:tc>
                <w:tcPr>
                  <w:tcW w:w="2629" w:type="pct"/>
                  <w:vAlign w:val="center"/>
                </w:tcPr>
                <w:p w14:paraId="2DAB3AF7">
                  <w:pPr>
                    <w:pStyle w:val="74"/>
                    <w:spacing w:line="360" w:lineRule="auto"/>
                    <w:rPr>
                      <w:rFonts w:hint="default" w:eastAsia="宋体"/>
                      <w:color w:val="auto"/>
                      <w:spacing w:val="-10"/>
                      <w:szCs w:val="21"/>
                      <w:lang w:val="en-US" w:eastAsia="zh-CN"/>
                    </w:rPr>
                  </w:pPr>
                  <w:r>
                    <w:rPr>
                      <w:rFonts w:hint="eastAsia"/>
                      <w:color w:val="auto"/>
                      <w:spacing w:val="-10"/>
                      <w:szCs w:val="21"/>
                      <w:lang w:val="en-US" w:eastAsia="zh-CN"/>
                    </w:rPr>
                    <w:t>9.059</w:t>
                  </w:r>
                </w:p>
              </w:tc>
            </w:tr>
          </w:tbl>
          <w:p w14:paraId="4AE61185">
            <w:pPr>
              <w:pStyle w:val="54"/>
              <w:spacing w:line="360" w:lineRule="auto"/>
              <w:ind w:firstLine="480" w:firstLineChars="200"/>
              <w:jc w:val="both"/>
              <w:rPr>
                <w:color w:val="auto"/>
              </w:rPr>
            </w:pPr>
            <w:r>
              <w:rPr>
                <w:rFonts w:hint="eastAsia"/>
                <w:color w:val="auto"/>
              </w:rPr>
              <w:t>2、非正常工况</w:t>
            </w:r>
          </w:p>
          <w:p w14:paraId="1E615EA9">
            <w:pPr>
              <w:pStyle w:val="104"/>
              <w:ind w:firstLine="480" w:firstLineChars="200"/>
              <w:rPr>
                <w:color w:val="auto"/>
                <w:sz w:val="24"/>
                <w:szCs w:val="24"/>
              </w:rPr>
            </w:pPr>
            <w:r>
              <w:rPr>
                <w:rFonts w:hint="eastAsia"/>
                <w:color w:val="auto"/>
                <w:sz w:val="24"/>
                <w:szCs w:val="24"/>
              </w:rPr>
              <w:t>当</w:t>
            </w:r>
            <w:r>
              <w:rPr>
                <w:rFonts w:hint="eastAsia"/>
                <w:color w:val="auto"/>
                <w:sz w:val="24"/>
                <w:szCs w:val="24"/>
                <w:lang w:val="en-US" w:eastAsia="zh-CN"/>
              </w:rPr>
              <w:t>围挡和编织网</w:t>
            </w:r>
            <w:r>
              <w:rPr>
                <w:rFonts w:hint="eastAsia"/>
                <w:color w:val="auto"/>
                <w:sz w:val="24"/>
                <w:szCs w:val="24"/>
              </w:rPr>
              <w:t>出现</w:t>
            </w:r>
            <w:r>
              <w:rPr>
                <w:rFonts w:hint="eastAsia"/>
                <w:color w:val="auto"/>
                <w:sz w:val="24"/>
                <w:szCs w:val="24"/>
                <w:lang w:val="en-US" w:eastAsia="zh-CN"/>
              </w:rPr>
              <w:t>破损</w:t>
            </w:r>
            <w:r>
              <w:rPr>
                <w:rFonts w:hint="eastAsia"/>
                <w:color w:val="auto"/>
                <w:sz w:val="24"/>
                <w:szCs w:val="24"/>
              </w:rPr>
              <w:t>时，去除效率降为</w:t>
            </w:r>
            <w:r>
              <w:rPr>
                <w:rFonts w:hint="eastAsia"/>
                <w:color w:val="auto"/>
                <w:sz w:val="24"/>
                <w:szCs w:val="24"/>
                <w:lang w:val="en-US" w:eastAsia="zh-CN"/>
              </w:rPr>
              <w:t>50</w:t>
            </w:r>
            <w:r>
              <w:rPr>
                <w:rFonts w:hint="eastAsia"/>
                <w:color w:val="auto"/>
                <w:sz w:val="24"/>
                <w:szCs w:val="24"/>
              </w:rPr>
              <w:t>%</w:t>
            </w:r>
            <w:r>
              <w:rPr>
                <w:rFonts w:hint="eastAsia"/>
                <w:color w:val="auto"/>
                <w:sz w:val="24"/>
                <w:szCs w:val="24"/>
                <w:lang w:val="en-US" w:eastAsia="zh-CN"/>
              </w:rPr>
              <w:t>。</w:t>
            </w:r>
            <w:r>
              <w:rPr>
                <w:rFonts w:hint="default" w:ascii="Times New Roman" w:hAnsi="Times New Roman" w:eastAsia="宋体" w:cs="Times New Roman"/>
                <w:color w:val="auto"/>
                <w:sz w:val="24"/>
                <w:szCs w:val="24"/>
              </w:rPr>
              <w:t>在生产过程中当</w:t>
            </w:r>
            <w:r>
              <w:rPr>
                <w:rFonts w:hint="eastAsia" w:ascii="Times New Roman" w:hAnsi="Times New Roman" w:eastAsia="宋体" w:cs="Times New Roman"/>
                <w:color w:val="auto"/>
                <w:sz w:val="24"/>
                <w:szCs w:val="24"/>
                <w:lang w:val="en-US" w:eastAsia="zh-CN"/>
              </w:rPr>
              <w:t>废</w:t>
            </w:r>
            <w:r>
              <w:rPr>
                <w:rFonts w:hint="default" w:ascii="Times New Roman" w:hAnsi="Times New Roman" w:eastAsia="宋体" w:cs="Times New Roman"/>
                <w:color w:val="auto"/>
                <w:sz w:val="24"/>
                <w:szCs w:val="24"/>
              </w:rPr>
              <w:t>气处理装置处理效率无法达到设计效率时，企业应立即停产，对废气处理装置进行检修，避免废气在未经有效处理的情况下非法排放环评要求企业实行定期检查尾气处理装置，严格管理，避免失效工况发生。检修期间，生产设备停止运行</w:t>
            </w:r>
            <w:r>
              <w:rPr>
                <w:rFonts w:hint="eastAsia" w:cs="Times New Roman"/>
                <w:color w:val="auto"/>
                <w:sz w:val="24"/>
                <w:szCs w:val="24"/>
                <w:lang w:eastAsia="zh-CN"/>
              </w:rPr>
              <w:t>，</w:t>
            </w:r>
            <w:r>
              <w:rPr>
                <w:rFonts w:hint="default" w:ascii="Times New Roman" w:hAnsi="Times New Roman" w:eastAsia="宋体" w:cs="Times New Roman"/>
                <w:color w:val="auto"/>
                <w:kern w:val="0"/>
                <w:sz w:val="24"/>
                <w:szCs w:val="24"/>
                <w:highlight w:val="none"/>
                <w:lang w:val="en-US" w:eastAsia="zh-CN" w:bidi="ar-SA"/>
              </w:rPr>
              <w:t>非正常工况下废气污染源强核算结果及相关参数</w:t>
            </w:r>
            <w:r>
              <w:rPr>
                <w:rFonts w:hint="eastAsia" w:ascii="Times New Roman" w:hAnsi="Times New Roman" w:eastAsia="宋体" w:cs="Times New Roman"/>
                <w:color w:val="auto"/>
                <w:kern w:val="0"/>
                <w:sz w:val="24"/>
                <w:szCs w:val="24"/>
                <w:highlight w:val="none"/>
                <w:lang w:val="en-US" w:eastAsia="zh-CN" w:bidi="ar-SA"/>
              </w:rPr>
              <w:t>见</w:t>
            </w:r>
            <w:r>
              <w:rPr>
                <w:rFonts w:hint="default" w:ascii="Times New Roman" w:hAnsi="Times New Roman" w:eastAsia="宋体" w:cs="Times New Roman"/>
                <w:color w:val="auto"/>
                <w:kern w:val="0"/>
                <w:sz w:val="24"/>
                <w:szCs w:val="24"/>
                <w:highlight w:val="none"/>
                <w:lang w:val="en-US" w:eastAsia="zh-CN" w:bidi="ar-SA"/>
              </w:rPr>
              <w:t>表</w:t>
            </w:r>
            <w:r>
              <w:rPr>
                <w:rFonts w:hint="eastAsia" w:ascii="Times New Roman" w:hAnsi="Times New Roman" w:eastAsia="宋体" w:cs="Times New Roman"/>
                <w:color w:val="auto"/>
                <w:kern w:val="0"/>
                <w:sz w:val="24"/>
                <w:szCs w:val="24"/>
                <w:highlight w:val="none"/>
                <w:lang w:val="en-US" w:eastAsia="zh-CN" w:bidi="ar-SA"/>
              </w:rPr>
              <w:t>4-4</w:t>
            </w:r>
            <w:r>
              <w:rPr>
                <w:rFonts w:hint="default" w:ascii="Times New Roman" w:hAnsi="Times New Roman" w:eastAsia="宋体" w:cs="Times New Roman"/>
                <w:color w:val="auto"/>
                <w:sz w:val="24"/>
                <w:szCs w:val="24"/>
              </w:rPr>
              <w:t>。</w:t>
            </w:r>
          </w:p>
          <w:p w14:paraId="18CA2B73">
            <w:pPr>
              <w:pStyle w:val="92"/>
              <w:adjustRightInd w:val="0"/>
              <w:snapToGrid w:val="0"/>
              <w:spacing w:line="240" w:lineRule="auto"/>
              <w:ind w:firstLine="422" w:firstLineChars="200"/>
              <w:rPr>
                <w:rFonts w:ascii="Times New Roman" w:hAnsi="Times New Roman" w:cs="Times New Roman" w:eastAsiaTheme="minorEastAsia"/>
                <w:b/>
                <w:bCs/>
                <w:color w:val="auto"/>
              </w:rPr>
            </w:pPr>
            <w:r>
              <w:rPr>
                <w:rFonts w:ascii="Times New Roman" w:hAnsi="Times New Roman" w:cs="Times New Roman" w:eastAsiaTheme="minorEastAsia"/>
                <w:b/>
                <w:bCs/>
                <w:color w:val="auto"/>
              </w:rPr>
              <w:t>表4-</w:t>
            </w:r>
            <w:r>
              <w:rPr>
                <w:rFonts w:hint="eastAsia" w:ascii="Times New Roman" w:hAnsi="Times New Roman" w:cs="Times New Roman" w:eastAsiaTheme="minorEastAsia"/>
                <w:b/>
                <w:bCs/>
                <w:color w:val="auto"/>
                <w:lang w:val="en-US" w:eastAsia="zh-CN"/>
              </w:rPr>
              <w:t>4</w:t>
            </w:r>
            <w:r>
              <w:rPr>
                <w:rFonts w:ascii="Times New Roman" w:hAnsi="Times New Roman" w:cs="Times New Roman" w:eastAsiaTheme="minorEastAsia"/>
                <w:b/>
                <w:bCs/>
                <w:color w:val="auto"/>
              </w:rPr>
              <w:t xml:space="preserve">  非正常工况下废气污染源强核算结果及相关参数一览表</w:t>
            </w:r>
          </w:p>
          <w:tbl>
            <w:tblPr>
              <w:tblStyle w:val="38"/>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11"/>
              <w:gridCol w:w="767"/>
              <w:gridCol w:w="1061"/>
              <w:gridCol w:w="939"/>
              <w:gridCol w:w="1162"/>
              <w:gridCol w:w="934"/>
              <w:gridCol w:w="890"/>
              <w:gridCol w:w="890"/>
              <w:gridCol w:w="1093"/>
            </w:tblGrid>
            <w:tr w14:paraId="040382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52" w:type="pct"/>
                  <w:tcBorders>
                    <w:tl2br w:val="nil"/>
                    <w:tr2bl w:val="nil"/>
                  </w:tcBorders>
                  <w:noWrap/>
                  <w:vAlign w:val="center"/>
                </w:tcPr>
                <w:p w14:paraId="4E25BF27">
                  <w:pPr>
                    <w:spacing w:line="360" w:lineRule="auto"/>
                    <w:jc w:val="center"/>
                    <w:rPr>
                      <w:color w:val="auto"/>
                      <w:kern w:val="0"/>
                      <w:szCs w:val="21"/>
                    </w:rPr>
                  </w:pPr>
                  <w:r>
                    <w:rPr>
                      <w:color w:val="auto"/>
                      <w:kern w:val="0"/>
                      <w:szCs w:val="21"/>
                    </w:rPr>
                    <w:t>序号</w:t>
                  </w:r>
                </w:p>
              </w:tc>
              <w:tc>
                <w:tcPr>
                  <w:tcW w:w="470" w:type="pct"/>
                  <w:tcBorders>
                    <w:tl2br w:val="nil"/>
                    <w:tr2bl w:val="nil"/>
                  </w:tcBorders>
                  <w:noWrap/>
                  <w:vAlign w:val="center"/>
                </w:tcPr>
                <w:p w14:paraId="37468C3D">
                  <w:pPr>
                    <w:spacing w:line="360" w:lineRule="auto"/>
                    <w:jc w:val="center"/>
                    <w:rPr>
                      <w:color w:val="auto"/>
                      <w:kern w:val="0"/>
                      <w:szCs w:val="21"/>
                    </w:rPr>
                  </w:pPr>
                  <w:r>
                    <w:rPr>
                      <w:color w:val="auto"/>
                      <w:kern w:val="0"/>
                      <w:szCs w:val="21"/>
                    </w:rPr>
                    <w:t>污染源</w:t>
                  </w:r>
                </w:p>
              </w:tc>
              <w:tc>
                <w:tcPr>
                  <w:tcW w:w="651" w:type="pct"/>
                  <w:tcBorders>
                    <w:tl2br w:val="nil"/>
                    <w:tr2bl w:val="nil"/>
                  </w:tcBorders>
                  <w:noWrap/>
                  <w:vAlign w:val="center"/>
                </w:tcPr>
                <w:p w14:paraId="4EE4ABBD">
                  <w:pPr>
                    <w:spacing w:line="360" w:lineRule="auto"/>
                    <w:jc w:val="center"/>
                    <w:rPr>
                      <w:color w:val="auto"/>
                      <w:kern w:val="0"/>
                      <w:szCs w:val="21"/>
                    </w:rPr>
                  </w:pPr>
                  <w:r>
                    <w:rPr>
                      <w:color w:val="auto"/>
                      <w:kern w:val="0"/>
                      <w:szCs w:val="21"/>
                    </w:rPr>
                    <w:t>非正常排放原因</w:t>
                  </w:r>
                </w:p>
              </w:tc>
              <w:tc>
                <w:tcPr>
                  <w:tcW w:w="576" w:type="pct"/>
                  <w:tcBorders>
                    <w:tl2br w:val="nil"/>
                    <w:tr2bl w:val="nil"/>
                  </w:tcBorders>
                  <w:noWrap/>
                  <w:vAlign w:val="center"/>
                </w:tcPr>
                <w:p w14:paraId="195F396F">
                  <w:pPr>
                    <w:spacing w:line="360" w:lineRule="auto"/>
                    <w:jc w:val="center"/>
                    <w:rPr>
                      <w:color w:val="auto"/>
                      <w:kern w:val="0"/>
                      <w:szCs w:val="21"/>
                    </w:rPr>
                  </w:pPr>
                  <w:r>
                    <w:rPr>
                      <w:color w:val="auto"/>
                      <w:kern w:val="0"/>
                      <w:szCs w:val="21"/>
                    </w:rPr>
                    <w:t>污染物</w:t>
                  </w:r>
                </w:p>
              </w:tc>
              <w:tc>
                <w:tcPr>
                  <w:tcW w:w="713" w:type="pct"/>
                  <w:tcBorders>
                    <w:tl2br w:val="nil"/>
                    <w:tr2bl w:val="nil"/>
                  </w:tcBorders>
                  <w:noWrap/>
                  <w:vAlign w:val="center"/>
                </w:tcPr>
                <w:p w14:paraId="733AF9FE">
                  <w:pPr>
                    <w:spacing w:line="360" w:lineRule="auto"/>
                    <w:jc w:val="center"/>
                    <w:rPr>
                      <w:color w:val="auto"/>
                      <w:kern w:val="0"/>
                      <w:szCs w:val="21"/>
                    </w:rPr>
                  </w:pPr>
                  <w:r>
                    <w:rPr>
                      <w:color w:val="auto"/>
                      <w:kern w:val="0"/>
                      <w:szCs w:val="21"/>
                    </w:rPr>
                    <w:t>非正常排放浓度/（mg/m</w:t>
                  </w:r>
                  <w:r>
                    <w:rPr>
                      <w:color w:val="auto"/>
                      <w:kern w:val="0"/>
                      <w:szCs w:val="21"/>
                      <w:vertAlign w:val="superscript"/>
                    </w:rPr>
                    <w:t>3</w:t>
                  </w:r>
                  <w:r>
                    <w:rPr>
                      <w:color w:val="auto"/>
                      <w:kern w:val="0"/>
                      <w:szCs w:val="21"/>
                    </w:rPr>
                    <w:t>）</w:t>
                  </w:r>
                </w:p>
              </w:tc>
              <w:tc>
                <w:tcPr>
                  <w:tcW w:w="573" w:type="pct"/>
                  <w:tcBorders>
                    <w:tl2br w:val="nil"/>
                    <w:tr2bl w:val="nil"/>
                  </w:tcBorders>
                  <w:noWrap/>
                  <w:vAlign w:val="center"/>
                </w:tcPr>
                <w:p w14:paraId="7CFFB5CF">
                  <w:pPr>
                    <w:spacing w:line="360" w:lineRule="auto"/>
                    <w:jc w:val="center"/>
                    <w:rPr>
                      <w:color w:val="auto"/>
                      <w:kern w:val="0"/>
                      <w:szCs w:val="21"/>
                    </w:rPr>
                  </w:pPr>
                  <w:r>
                    <w:rPr>
                      <w:color w:val="auto"/>
                      <w:kern w:val="0"/>
                      <w:szCs w:val="21"/>
                    </w:rPr>
                    <w:t>非正常排放速率/（kg/h）</w:t>
                  </w:r>
                </w:p>
              </w:tc>
              <w:tc>
                <w:tcPr>
                  <w:tcW w:w="546" w:type="pct"/>
                  <w:tcBorders>
                    <w:tl2br w:val="nil"/>
                    <w:tr2bl w:val="nil"/>
                  </w:tcBorders>
                  <w:noWrap/>
                  <w:vAlign w:val="center"/>
                </w:tcPr>
                <w:p w14:paraId="7D93DF65">
                  <w:pPr>
                    <w:spacing w:line="360" w:lineRule="auto"/>
                    <w:jc w:val="center"/>
                    <w:rPr>
                      <w:color w:val="auto"/>
                      <w:kern w:val="0"/>
                      <w:szCs w:val="21"/>
                    </w:rPr>
                  </w:pPr>
                  <w:r>
                    <w:rPr>
                      <w:color w:val="auto"/>
                      <w:kern w:val="0"/>
                      <w:szCs w:val="21"/>
                    </w:rPr>
                    <w:t>单次持续时间/h</w:t>
                  </w:r>
                </w:p>
              </w:tc>
              <w:tc>
                <w:tcPr>
                  <w:tcW w:w="546" w:type="pct"/>
                  <w:tcBorders>
                    <w:tl2br w:val="nil"/>
                    <w:tr2bl w:val="nil"/>
                  </w:tcBorders>
                  <w:noWrap/>
                  <w:vAlign w:val="center"/>
                </w:tcPr>
                <w:p w14:paraId="166FDD52">
                  <w:pPr>
                    <w:spacing w:line="360" w:lineRule="auto"/>
                    <w:jc w:val="center"/>
                    <w:rPr>
                      <w:color w:val="auto"/>
                      <w:kern w:val="0"/>
                      <w:szCs w:val="21"/>
                    </w:rPr>
                  </w:pPr>
                  <w:r>
                    <w:rPr>
                      <w:color w:val="auto"/>
                      <w:kern w:val="0"/>
                      <w:szCs w:val="21"/>
                    </w:rPr>
                    <w:t>年发生频次/次</w:t>
                  </w:r>
                </w:p>
              </w:tc>
              <w:tc>
                <w:tcPr>
                  <w:tcW w:w="670" w:type="pct"/>
                  <w:tcBorders>
                    <w:tl2br w:val="nil"/>
                    <w:tr2bl w:val="nil"/>
                  </w:tcBorders>
                  <w:noWrap/>
                  <w:vAlign w:val="center"/>
                </w:tcPr>
                <w:p w14:paraId="3F6BF7B0">
                  <w:pPr>
                    <w:spacing w:line="360" w:lineRule="auto"/>
                    <w:jc w:val="center"/>
                    <w:rPr>
                      <w:color w:val="auto"/>
                      <w:kern w:val="0"/>
                      <w:szCs w:val="21"/>
                    </w:rPr>
                  </w:pPr>
                  <w:r>
                    <w:rPr>
                      <w:color w:val="auto"/>
                      <w:kern w:val="0"/>
                      <w:szCs w:val="21"/>
                    </w:rPr>
                    <w:t>应对</w:t>
                  </w:r>
                </w:p>
                <w:p w14:paraId="2FA2CCE8">
                  <w:pPr>
                    <w:spacing w:line="360" w:lineRule="auto"/>
                    <w:jc w:val="center"/>
                    <w:rPr>
                      <w:color w:val="auto"/>
                      <w:kern w:val="0"/>
                      <w:szCs w:val="21"/>
                    </w:rPr>
                  </w:pPr>
                  <w:r>
                    <w:rPr>
                      <w:color w:val="auto"/>
                      <w:kern w:val="0"/>
                      <w:szCs w:val="21"/>
                    </w:rPr>
                    <w:t>措施</w:t>
                  </w:r>
                </w:p>
              </w:tc>
            </w:tr>
            <w:tr w14:paraId="415D8E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52" w:type="pct"/>
                  <w:tcBorders>
                    <w:tl2br w:val="nil"/>
                    <w:tr2bl w:val="nil"/>
                  </w:tcBorders>
                  <w:noWrap/>
                  <w:vAlign w:val="center"/>
                </w:tcPr>
                <w:p w14:paraId="17F4DDDE">
                  <w:pPr>
                    <w:spacing w:line="360" w:lineRule="auto"/>
                    <w:jc w:val="center"/>
                    <w:rPr>
                      <w:rFonts w:hint="eastAsia"/>
                      <w:color w:val="auto"/>
                      <w:kern w:val="0"/>
                      <w:szCs w:val="21"/>
                    </w:rPr>
                  </w:pPr>
                  <w:r>
                    <w:rPr>
                      <w:rFonts w:hint="eastAsia"/>
                      <w:color w:val="auto"/>
                      <w:kern w:val="0"/>
                      <w:szCs w:val="21"/>
                      <w:lang w:val="en-US" w:eastAsia="zh-CN"/>
                    </w:rPr>
                    <w:t>1</w:t>
                  </w:r>
                </w:p>
              </w:tc>
              <w:tc>
                <w:tcPr>
                  <w:tcW w:w="470" w:type="pct"/>
                  <w:tcBorders>
                    <w:tl2br w:val="nil"/>
                    <w:tr2bl w:val="nil"/>
                  </w:tcBorders>
                  <w:shd w:val="clear" w:color="auto" w:fill="auto"/>
                  <w:noWrap/>
                  <w:vAlign w:val="center"/>
                </w:tcPr>
                <w:p w14:paraId="669449CA">
                  <w:pPr>
                    <w:spacing w:line="360" w:lineRule="auto"/>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原料及产品堆存和装卸过程</w:t>
                  </w:r>
                </w:p>
              </w:tc>
              <w:tc>
                <w:tcPr>
                  <w:tcW w:w="651" w:type="pct"/>
                  <w:tcBorders>
                    <w:tl2br w:val="nil"/>
                    <w:tr2bl w:val="nil"/>
                  </w:tcBorders>
                  <w:shd w:val="clear" w:color="auto" w:fill="auto"/>
                  <w:noWrap/>
                  <w:vAlign w:val="center"/>
                </w:tcPr>
                <w:p w14:paraId="411F6F51">
                  <w:pPr>
                    <w:spacing w:line="360" w:lineRule="auto"/>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围挡和编织网</w:t>
                  </w:r>
                  <w:r>
                    <w:rPr>
                      <w:rFonts w:hint="eastAsia"/>
                      <w:color w:val="auto"/>
                    </w:rPr>
                    <w:t>出现</w:t>
                  </w:r>
                  <w:r>
                    <w:rPr>
                      <w:rFonts w:hint="eastAsia"/>
                      <w:color w:val="auto"/>
                      <w:lang w:val="en-US" w:eastAsia="zh-CN"/>
                    </w:rPr>
                    <w:t>破损</w:t>
                  </w:r>
                </w:p>
              </w:tc>
              <w:tc>
                <w:tcPr>
                  <w:tcW w:w="576" w:type="pct"/>
                  <w:tcBorders>
                    <w:tl2br w:val="nil"/>
                    <w:tr2bl w:val="nil"/>
                  </w:tcBorders>
                  <w:shd w:val="clear" w:color="auto" w:fill="auto"/>
                  <w:noWrap/>
                  <w:vAlign w:val="center"/>
                </w:tcPr>
                <w:p w14:paraId="4991F1C7">
                  <w:pPr>
                    <w:spacing w:line="360" w:lineRule="auto"/>
                    <w:jc w:val="center"/>
                    <w:rPr>
                      <w:rFonts w:ascii="Times New Roman" w:hAnsi="Times New Roman" w:eastAsia="宋体" w:cs="Times New Roman"/>
                      <w:color w:val="auto"/>
                      <w:kern w:val="2"/>
                      <w:sz w:val="21"/>
                      <w:szCs w:val="24"/>
                      <w:lang w:val="en-US" w:eastAsia="zh-CN" w:bidi="ar-SA"/>
                    </w:rPr>
                  </w:pPr>
                  <w:r>
                    <w:rPr>
                      <w:color w:val="auto"/>
                    </w:rPr>
                    <w:t>颗粒物</w:t>
                  </w:r>
                </w:p>
              </w:tc>
              <w:tc>
                <w:tcPr>
                  <w:tcW w:w="713" w:type="pct"/>
                  <w:tcBorders>
                    <w:tl2br w:val="nil"/>
                    <w:tr2bl w:val="nil"/>
                  </w:tcBorders>
                  <w:shd w:val="clear" w:color="auto" w:fill="auto"/>
                  <w:noWrap/>
                  <w:vAlign w:val="center"/>
                </w:tcPr>
                <w:p w14:paraId="59552372">
                  <w:pPr>
                    <w:spacing w:line="360" w:lineRule="auto"/>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w:t>
                  </w:r>
                </w:p>
              </w:tc>
              <w:tc>
                <w:tcPr>
                  <w:tcW w:w="573" w:type="pct"/>
                  <w:tcBorders>
                    <w:tl2br w:val="nil"/>
                    <w:tr2bl w:val="nil"/>
                  </w:tcBorders>
                  <w:shd w:val="clear" w:color="auto" w:fill="auto"/>
                  <w:noWrap/>
                  <w:vAlign w:val="center"/>
                </w:tcPr>
                <w:p w14:paraId="1781338C">
                  <w:pPr>
                    <w:pStyle w:val="194"/>
                    <w:spacing w:line="360" w:lineRule="auto"/>
                    <w:rPr>
                      <w:rFonts w:hint="default"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8.021</w:t>
                  </w:r>
                </w:p>
              </w:tc>
              <w:tc>
                <w:tcPr>
                  <w:tcW w:w="546" w:type="pct"/>
                  <w:tcBorders>
                    <w:tl2br w:val="nil"/>
                    <w:tr2bl w:val="nil"/>
                  </w:tcBorders>
                  <w:shd w:val="clear" w:color="auto" w:fill="auto"/>
                  <w:noWrap/>
                  <w:vAlign w:val="center"/>
                </w:tcPr>
                <w:p w14:paraId="017320DB">
                  <w:pPr>
                    <w:pStyle w:val="194"/>
                    <w:spacing w:line="360" w:lineRule="auto"/>
                    <w:rPr>
                      <w:rFonts w:hint="default" w:ascii="Times New Roman" w:hAnsi="Times New Roman" w:eastAsia="宋体" w:cs="Times New Roman"/>
                      <w:color w:val="auto"/>
                      <w:kern w:val="0"/>
                      <w:sz w:val="21"/>
                      <w:szCs w:val="21"/>
                      <w:lang w:val="en-US" w:eastAsia="zh-CN" w:bidi="ar-SA"/>
                    </w:rPr>
                  </w:pPr>
                  <w:r>
                    <w:rPr>
                      <w:rFonts w:hint="default" w:eastAsia="宋体"/>
                      <w:color w:val="auto"/>
                      <w:kern w:val="0"/>
                      <w:szCs w:val="21"/>
                      <w:lang w:val="en-US" w:eastAsia="zh-CN"/>
                    </w:rPr>
                    <w:t>1h</w:t>
                  </w:r>
                </w:p>
              </w:tc>
              <w:tc>
                <w:tcPr>
                  <w:tcW w:w="546" w:type="pct"/>
                  <w:tcBorders>
                    <w:tl2br w:val="nil"/>
                    <w:tr2bl w:val="nil"/>
                  </w:tcBorders>
                  <w:shd w:val="clear" w:color="auto" w:fill="auto"/>
                  <w:noWrap/>
                  <w:vAlign w:val="center"/>
                </w:tcPr>
                <w:p w14:paraId="64927275">
                  <w:pPr>
                    <w:spacing w:line="360" w:lineRule="auto"/>
                    <w:jc w:val="center"/>
                    <w:rPr>
                      <w:rFonts w:ascii="Times New Roman" w:hAnsi="Times New Roman" w:eastAsia="宋体" w:cs="Times New Roman"/>
                      <w:color w:val="auto"/>
                      <w:kern w:val="2"/>
                      <w:sz w:val="21"/>
                      <w:szCs w:val="24"/>
                      <w:lang w:val="en-US" w:eastAsia="zh-CN" w:bidi="ar-SA"/>
                    </w:rPr>
                  </w:pPr>
                  <w:r>
                    <w:rPr>
                      <w:color w:val="auto"/>
                    </w:rPr>
                    <w:t>1</w:t>
                  </w:r>
                  <w:r>
                    <w:rPr>
                      <w:rFonts w:hint="eastAsia"/>
                      <w:color w:val="auto"/>
                    </w:rPr>
                    <w:t>次</w:t>
                  </w:r>
                </w:p>
              </w:tc>
              <w:tc>
                <w:tcPr>
                  <w:tcW w:w="670" w:type="pct"/>
                  <w:tcBorders>
                    <w:tl2br w:val="nil"/>
                    <w:tr2bl w:val="nil"/>
                  </w:tcBorders>
                  <w:shd w:val="clear" w:color="auto" w:fill="auto"/>
                  <w:noWrap/>
                  <w:vAlign w:val="center"/>
                </w:tcPr>
                <w:p w14:paraId="25B2D0E0">
                  <w:pPr>
                    <w:spacing w:line="360" w:lineRule="auto"/>
                    <w:jc w:val="center"/>
                    <w:rPr>
                      <w:rFonts w:ascii="Times New Roman" w:hAnsi="Times New Roman" w:eastAsia="宋体" w:cs="Times New Roman"/>
                      <w:color w:val="auto"/>
                      <w:kern w:val="0"/>
                      <w:sz w:val="21"/>
                      <w:szCs w:val="21"/>
                      <w:lang w:val="en-US" w:eastAsia="zh-CN" w:bidi="ar-SA"/>
                    </w:rPr>
                  </w:pPr>
                  <w:r>
                    <w:rPr>
                      <w:color w:val="auto"/>
                      <w:kern w:val="0"/>
                      <w:szCs w:val="21"/>
                    </w:rPr>
                    <w:t>停止生产及时检修</w:t>
                  </w:r>
                </w:p>
              </w:tc>
            </w:tr>
          </w:tbl>
          <w:p w14:paraId="79D975B9">
            <w:pPr>
              <w:numPr>
                <w:ilvl w:val="0"/>
                <w:numId w:val="2"/>
              </w:numPr>
              <w:tabs>
                <w:tab w:val="left" w:pos="1291"/>
              </w:tabs>
              <w:spacing w:line="360" w:lineRule="auto"/>
              <w:ind w:firstLine="480" w:firstLineChars="200"/>
              <w:jc w:val="left"/>
              <w:rPr>
                <w:bCs/>
                <w:color w:val="auto"/>
                <w:sz w:val="24"/>
              </w:rPr>
            </w:pPr>
            <w:r>
              <w:rPr>
                <w:rFonts w:hint="eastAsia"/>
                <w:bCs/>
                <w:color w:val="auto"/>
                <w:sz w:val="24"/>
              </w:rPr>
              <w:t>环保措施可行性</w:t>
            </w:r>
            <w:r>
              <w:rPr>
                <w:rFonts w:hint="eastAsia"/>
                <w:bCs/>
                <w:color w:val="auto"/>
                <w:sz w:val="24"/>
                <w:lang w:val="en-US" w:eastAsia="zh-CN"/>
              </w:rPr>
              <w:t>分析</w:t>
            </w:r>
          </w:p>
          <w:p w14:paraId="093EF1D8">
            <w:pPr>
              <w:tabs>
                <w:tab w:val="left" w:pos="1291"/>
              </w:tabs>
              <w:spacing w:line="360" w:lineRule="auto"/>
              <w:ind w:firstLine="480" w:firstLineChars="200"/>
              <w:jc w:val="left"/>
              <w:rPr>
                <w:color w:val="auto"/>
                <w:kern w:val="0"/>
                <w:sz w:val="24"/>
              </w:rPr>
            </w:pPr>
            <w:r>
              <w:rPr>
                <w:rFonts w:hint="eastAsia" w:hAnsi="宋体" w:cs="Times New Roman"/>
                <w:color w:val="auto"/>
                <w:sz w:val="24"/>
                <w:szCs w:val="24"/>
                <w:lang w:val="en-US" w:eastAsia="zh-CN"/>
              </w:rPr>
              <w:t>本项目煤炭运输</w:t>
            </w:r>
            <w:r>
              <w:rPr>
                <w:rFonts w:hint="eastAsia" w:cs="Times New Roman"/>
                <w:color w:val="auto"/>
                <w:kern w:val="0"/>
                <w:sz w:val="24"/>
                <w:szCs w:val="20"/>
                <w:lang w:val="en-US" w:eastAsia="zh-CN" w:bidi="ar-SA"/>
              </w:rPr>
              <w:t>过程中</w:t>
            </w:r>
            <w:r>
              <w:rPr>
                <w:rFonts w:hint="default" w:cs="Times New Roman"/>
                <w:color w:val="auto"/>
                <w:kern w:val="0"/>
                <w:sz w:val="24"/>
                <w:szCs w:val="20"/>
                <w:lang w:val="en-US" w:eastAsia="zh-CN" w:bidi="ar-SA"/>
              </w:rPr>
              <w:t>采用苫布覆盖，</w:t>
            </w:r>
            <w:r>
              <w:rPr>
                <w:rFonts w:hint="eastAsia" w:cs="Times New Roman"/>
                <w:color w:val="auto"/>
                <w:kern w:val="0"/>
                <w:sz w:val="24"/>
                <w:szCs w:val="20"/>
                <w:lang w:val="en-US" w:eastAsia="zh-CN" w:bidi="ar-SA"/>
              </w:rPr>
              <w:t>出厂时车轮进行清洗，防止物料洒落，</w:t>
            </w:r>
            <w:r>
              <w:rPr>
                <w:rFonts w:hint="default" w:cs="Times New Roman"/>
                <w:color w:val="auto"/>
                <w:kern w:val="0"/>
                <w:sz w:val="24"/>
                <w:szCs w:val="20"/>
                <w:lang w:val="en-US" w:eastAsia="zh-CN" w:bidi="ar-SA"/>
              </w:rPr>
              <w:t>减少运输过程中粉尘排放量</w:t>
            </w:r>
            <w:r>
              <w:rPr>
                <w:rFonts w:hint="eastAsia" w:cs="Times New Roman"/>
                <w:color w:val="auto"/>
                <w:kern w:val="0"/>
                <w:sz w:val="24"/>
                <w:szCs w:val="20"/>
                <w:lang w:val="en-US" w:eastAsia="zh-CN" w:bidi="ar-SA"/>
              </w:rPr>
              <w:t>；</w:t>
            </w:r>
            <w:r>
              <w:rPr>
                <w:rFonts w:hint="eastAsia" w:hAnsi="宋体" w:cs="Times New Roman"/>
                <w:color w:val="auto"/>
                <w:sz w:val="24"/>
                <w:szCs w:val="24"/>
                <w:lang w:val="en-US" w:eastAsia="zh-CN"/>
              </w:rPr>
              <w:t>厂区采用</w:t>
            </w:r>
            <w:r>
              <w:rPr>
                <w:rFonts w:hint="eastAsia" w:ascii="Times New Roman" w:hAnsi="宋体" w:eastAsia="宋体" w:cs="Times New Roman"/>
                <w:color w:val="auto"/>
                <w:sz w:val="24"/>
                <w:szCs w:val="24"/>
                <w:lang w:eastAsia="zh-CN"/>
              </w:rPr>
              <w:t>围挡</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防风抑尘网</w:t>
            </w:r>
            <w:r>
              <w:rPr>
                <w:rFonts w:hint="eastAsia" w:hAnsi="宋体" w:cs="Times New Roman"/>
                <w:color w:val="auto"/>
                <w:sz w:val="24"/>
                <w:szCs w:val="24"/>
                <w:lang w:eastAsia="zh-CN"/>
              </w:rPr>
              <w:t>），</w:t>
            </w:r>
            <w:r>
              <w:rPr>
                <w:rFonts w:hint="eastAsia" w:hAnsi="宋体" w:cs="Times New Roman"/>
                <w:color w:val="auto"/>
                <w:sz w:val="24"/>
                <w:szCs w:val="24"/>
                <w:lang w:val="en-US" w:eastAsia="zh-CN"/>
              </w:rPr>
              <w:t>堆场采用</w:t>
            </w:r>
            <w:r>
              <w:rPr>
                <w:rFonts w:hint="eastAsia" w:ascii="Times New Roman" w:hAnsi="宋体" w:eastAsia="宋体" w:cs="Times New Roman"/>
                <w:color w:val="auto"/>
                <w:sz w:val="24"/>
                <w:szCs w:val="24"/>
                <w:lang w:eastAsia="zh-CN"/>
              </w:rPr>
              <w:t>编织覆盖</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防尘网</w:t>
            </w:r>
            <w:r>
              <w:rPr>
                <w:rFonts w:hint="eastAsia" w:hAnsi="宋体" w:cs="Times New Roman"/>
                <w:color w:val="auto"/>
                <w:sz w:val="24"/>
                <w:szCs w:val="24"/>
                <w:lang w:eastAsia="zh-CN"/>
              </w:rPr>
              <w:t>）</w:t>
            </w:r>
            <w:r>
              <w:rPr>
                <w:rFonts w:hint="eastAsia" w:ascii="Times New Roman" w:hAnsi="宋体" w:eastAsia="宋体" w:cs="Times New Roman"/>
                <w:color w:val="auto"/>
                <w:sz w:val="24"/>
                <w:szCs w:val="24"/>
                <w:lang w:eastAsia="zh-CN"/>
              </w:rPr>
              <w:t>方式</w:t>
            </w:r>
            <w:r>
              <w:rPr>
                <w:rFonts w:hint="eastAsia" w:hAnsi="宋体" w:cs="Times New Roman"/>
                <w:color w:val="auto"/>
                <w:sz w:val="24"/>
                <w:szCs w:val="24"/>
                <w:lang w:val="en-US" w:eastAsia="zh-CN"/>
              </w:rPr>
              <w:t>降尘，煤炭装车和卸车过程采用车辆出入冲洗（高压水枪）方式降尘，降尘后颗粒物以无组织形式排放。根据</w:t>
            </w:r>
            <w:r>
              <w:rPr>
                <w:rFonts w:hint="default" w:hAnsi="宋体" w:cs="Times New Roman"/>
                <w:color w:val="auto"/>
                <w:sz w:val="24"/>
                <w:szCs w:val="24"/>
                <w:lang w:val="en-US" w:eastAsia="zh-CN"/>
              </w:rPr>
              <w:t>《工业源固体物料堆场颗粒物核算系数手册》</w:t>
            </w:r>
            <w:r>
              <w:rPr>
                <w:rFonts w:hint="eastAsia" w:hAnsi="宋体" w:cs="Times New Roman"/>
                <w:color w:val="auto"/>
                <w:sz w:val="24"/>
                <w:szCs w:val="24"/>
                <w:lang w:val="en-US" w:eastAsia="zh-CN"/>
              </w:rPr>
              <w:t>“</w:t>
            </w:r>
            <w:r>
              <w:rPr>
                <w:rFonts w:hint="default" w:hAnsi="宋体" w:cs="Times New Roman"/>
                <w:color w:val="auto"/>
                <w:sz w:val="24"/>
                <w:szCs w:val="24"/>
                <w:lang w:val="en-US" w:eastAsia="zh-CN"/>
              </w:rPr>
              <w:t>附录 4</w:t>
            </w:r>
            <w:r>
              <w:rPr>
                <w:rFonts w:hint="eastAsia" w:hAnsi="宋体" w:cs="Times New Roman"/>
                <w:color w:val="auto"/>
                <w:sz w:val="24"/>
                <w:szCs w:val="24"/>
                <w:lang w:val="en-US" w:eastAsia="zh-CN"/>
              </w:rPr>
              <w:t>：</w:t>
            </w:r>
            <w:r>
              <w:rPr>
                <w:rFonts w:hint="default" w:hAnsi="宋体" w:cs="Times New Roman"/>
                <w:color w:val="auto"/>
                <w:sz w:val="24"/>
                <w:szCs w:val="24"/>
                <w:lang w:val="en-US" w:eastAsia="zh-CN"/>
              </w:rPr>
              <w:t>粉尘控制措施控制效率</w:t>
            </w:r>
            <w:r>
              <w:rPr>
                <w:rFonts w:hint="eastAsia" w:hAnsi="宋体" w:cs="Times New Roman"/>
                <w:color w:val="auto"/>
                <w:sz w:val="24"/>
                <w:szCs w:val="24"/>
                <w:lang w:val="en-US" w:eastAsia="zh-CN"/>
              </w:rPr>
              <w:t>”中围挡控制效率为60%，本项目取60%；编制覆盖控制效率为86%，本项目取86%；车辆出入冲洗控制效率78%，本项目取78%；洒水控制效率为74%，本项目取50%。本项目煤炭运输</w:t>
            </w:r>
            <w:r>
              <w:rPr>
                <w:rFonts w:hint="eastAsia" w:cs="Times New Roman"/>
                <w:color w:val="auto"/>
                <w:kern w:val="0"/>
                <w:sz w:val="24"/>
                <w:szCs w:val="20"/>
                <w:lang w:val="en-US" w:eastAsia="zh-CN" w:bidi="ar-SA"/>
              </w:rPr>
              <w:t>过程中</w:t>
            </w:r>
            <w:r>
              <w:rPr>
                <w:rFonts w:hint="default" w:cs="Times New Roman"/>
                <w:color w:val="auto"/>
                <w:kern w:val="0"/>
                <w:sz w:val="24"/>
                <w:szCs w:val="20"/>
                <w:lang w:val="en-US" w:eastAsia="zh-CN" w:bidi="ar-SA"/>
              </w:rPr>
              <w:t>采用苫布覆盖，</w:t>
            </w:r>
            <w:r>
              <w:rPr>
                <w:rFonts w:hint="eastAsia" w:cs="Times New Roman"/>
                <w:color w:val="auto"/>
                <w:kern w:val="0"/>
                <w:sz w:val="24"/>
                <w:szCs w:val="20"/>
                <w:lang w:val="en-US" w:eastAsia="zh-CN" w:bidi="ar-SA"/>
              </w:rPr>
              <w:t>出厂时车轮进行清洗，防止物料洒落，</w:t>
            </w:r>
            <w:r>
              <w:rPr>
                <w:rFonts w:hint="default" w:cs="Times New Roman"/>
                <w:color w:val="auto"/>
                <w:kern w:val="0"/>
                <w:sz w:val="24"/>
                <w:szCs w:val="20"/>
                <w:lang w:val="en-US" w:eastAsia="zh-CN" w:bidi="ar-SA"/>
              </w:rPr>
              <w:t>减少运输过程中粉尘排放量</w:t>
            </w:r>
            <w:r>
              <w:rPr>
                <w:rFonts w:hint="eastAsia" w:cs="Times New Roman"/>
                <w:color w:val="auto"/>
                <w:kern w:val="0"/>
                <w:sz w:val="24"/>
                <w:szCs w:val="20"/>
                <w:lang w:val="en-US" w:eastAsia="zh-CN" w:bidi="ar-SA"/>
              </w:rPr>
              <w:t>；</w:t>
            </w:r>
            <w:r>
              <w:rPr>
                <w:rFonts w:hint="eastAsia" w:hAnsi="宋体" w:cs="Times New Roman"/>
                <w:color w:val="auto"/>
                <w:sz w:val="24"/>
                <w:szCs w:val="24"/>
                <w:lang w:val="en-US" w:eastAsia="zh-CN"/>
              </w:rPr>
              <w:t>厂区采用</w:t>
            </w:r>
            <w:r>
              <w:rPr>
                <w:rFonts w:hint="eastAsia" w:ascii="Times New Roman" w:hAnsi="宋体" w:eastAsia="宋体" w:cs="Times New Roman"/>
                <w:color w:val="auto"/>
                <w:sz w:val="24"/>
                <w:szCs w:val="24"/>
                <w:lang w:eastAsia="zh-CN"/>
              </w:rPr>
              <w:t>围挡</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防风抑尘网</w:t>
            </w:r>
            <w:r>
              <w:rPr>
                <w:rFonts w:hint="eastAsia" w:hAnsi="宋体" w:cs="Times New Roman"/>
                <w:color w:val="auto"/>
                <w:sz w:val="24"/>
                <w:szCs w:val="24"/>
                <w:lang w:eastAsia="zh-CN"/>
              </w:rPr>
              <w:t>），</w:t>
            </w:r>
            <w:r>
              <w:rPr>
                <w:rFonts w:hint="eastAsia" w:hAnsi="宋体" w:cs="Times New Roman"/>
                <w:color w:val="auto"/>
                <w:sz w:val="24"/>
                <w:szCs w:val="24"/>
                <w:lang w:val="en-US" w:eastAsia="zh-CN"/>
              </w:rPr>
              <w:t>堆场采用</w:t>
            </w:r>
            <w:r>
              <w:rPr>
                <w:rFonts w:hint="eastAsia" w:ascii="Times New Roman" w:hAnsi="宋体" w:eastAsia="宋体" w:cs="Times New Roman"/>
                <w:color w:val="auto"/>
                <w:sz w:val="24"/>
                <w:szCs w:val="24"/>
                <w:lang w:eastAsia="zh-CN"/>
              </w:rPr>
              <w:t>编织覆盖</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防尘网</w:t>
            </w:r>
            <w:r>
              <w:rPr>
                <w:rFonts w:hint="eastAsia" w:hAnsi="宋体" w:cs="Times New Roman"/>
                <w:color w:val="auto"/>
                <w:sz w:val="24"/>
                <w:szCs w:val="24"/>
                <w:lang w:eastAsia="zh-CN"/>
              </w:rPr>
              <w:t>）</w:t>
            </w:r>
            <w:r>
              <w:rPr>
                <w:rFonts w:hint="eastAsia" w:ascii="Times New Roman" w:hAnsi="宋体" w:eastAsia="宋体" w:cs="Times New Roman"/>
                <w:color w:val="auto"/>
                <w:sz w:val="24"/>
                <w:szCs w:val="24"/>
                <w:lang w:eastAsia="zh-CN"/>
              </w:rPr>
              <w:t>方式</w:t>
            </w:r>
            <w:r>
              <w:rPr>
                <w:rFonts w:hint="eastAsia" w:hAnsi="宋体" w:cs="Times New Roman"/>
                <w:color w:val="auto"/>
                <w:sz w:val="24"/>
                <w:szCs w:val="24"/>
                <w:lang w:val="en-US" w:eastAsia="zh-CN"/>
              </w:rPr>
              <w:t>降尘，煤炭装车和卸车过程采用车辆出入冲洗（高压水枪）方式降尘</w:t>
            </w:r>
            <w:r>
              <w:rPr>
                <w:rFonts w:hint="eastAsia"/>
                <w:bCs/>
                <w:color w:val="auto"/>
                <w:sz w:val="24"/>
              </w:rPr>
              <w:t>符合可行性技术要求。颗粒物排放浓度满足</w:t>
            </w:r>
            <w:r>
              <w:rPr>
                <w:rFonts w:hint="eastAsia"/>
                <w:bCs/>
                <w:color w:val="auto"/>
                <w:sz w:val="24"/>
                <w:lang w:val="en-US" w:eastAsia="zh-CN"/>
              </w:rPr>
              <w:t>《煤炭工业污染物排放标准》（</w:t>
            </w:r>
            <w:r>
              <w:rPr>
                <w:rFonts w:hint="eastAsia"/>
                <w:bCs/>
                <w:color w:val="auto"/>
                <w:sz w:val="24"/>
              </w:rPr>
              <w:t>GB20426-2006</w:t>
            </w:r>
            <w:r>
              <w:rPr>
                <w:rFonts w:hint="eastAsia"/>
                <w:bCs/>
                <w:color w:val="auto"/>
                <w:sz w:val="24"/>
                <w:lang w:val="en-US" w:eastAsia="zh-CN"/>
              </w:rPr>
              <w:t>）表5煤炭工业无组织排放限值</w:t>
            </w:r>
            <w:r>
              <w:rPr>
                <w:rFonts w:hint="eastAsia"/>
                <w:bCs/>
                <w:color w:val="auto"/>
                <w:sz w:val="24"/>
              </w:rPr>
              <w:t>要求，</w:t>
            </w:r>
            <w:r>
              <w:rPr>
                <w:rFonts w:hint="eastAsia" w:hAnsi="宋体" w:cs="Times New Roman"/>
                <w:color w:val="auto"/>
                <w:sz w:val="24"/>
                <w:szCs w:val="24"/>
                <w:lang w:val="en-US" w:eastAsia="zh-CN"/>
              </w:rPr>
              <w:t>本项目煤炭运输</w:t>
            </w:r>
            <w:r>
              <w:rPr>
                <w:rFonts w:hint="eastAsia" w:cs="Times New Roman"/>
                <w:color w:val="auto"/>
                <w:kern w:val="0"/>
                <w:sz w:val="24"/>
                <w:szCs w:val="20"/>
                <w:lang w:val="en-US" w:eastAsia="zh-CN" w:bidi="ar-SA"/>
              </w:rPr>
              <w:t>过程中</w:t>
            </w:r>
            <w:r>
              <w:rPr>
                <w:rFonts w:hint="default" w:cs="Times New Roman"/>
                <w:color w:val="auto"/>
                <w:kern w:val="0"/>
                <w:sz w:val="24"/>
                <w:szCs w:val="20"/>
                <w:lang w:val="en-US" w:eastAsia="zh-CN" w:bidi="ar-SA"/>
              </w:rPr>
              <w:t>采用苫布覆盖，</w:t>
            </w:r>
            <w:r>
              <w:rPr>
                <w:rFonts w:hint="eastAsia" w:cs="Times New Roman"/>
                <w:color w:val="auto"/>
                <w:kern w:val="0"/>
                <w:sz w:val="24"/>
                <w:szCs w:val="20"/>
                <w:lang w:val="en-US" w:eastAsia="zh-CN" w:bidi="ar-SA"/>
              </w:rPr>
              <w:t>出厂时车轮进行清洗，防止物料洒落，</w:t>
            </w:r>
            <w:r>
              <w:rPr>
                <w:rFonts w:hint="default" w:cs="Times New Roman"/>
                <w:color w:val="auto"/>
                <w:kern w:val="0"/>
                <w:sz w:val="24"/>
                <w:szCs w:val="20"/>
                <w:lang w:val="en-US" w:eastAsia="zh-CN" w:bidi="ar-SA"/>
              </w:rPr>
              <w:t>减少运输过程中粉尘排放量</w:t>
            </w:r>
            <w:r>
              <w:rPr>
                <w:rFonts w:hint="eastAsia" w:cs="Times New Roman"/>
                <w:color w:val="auto"/>
                <w:kern w:val="0"/>
                <w:sz w:val="24"/>
                <w:szCs w:val="20"/>
                <w:lang w:val="en-US" w:eastAsia="zh-CN" w:bidi="ar-SA"/>
              </w:rPr>
              <w:t>；</w:t>
            </w:r>
            <w:r>
              <w:rPr>
                <w:rFonts w:hint="eastAsia" w:hAnsi="宋体" w:cs="Times New Roman"/>
                <w:color w:val="auto"/>
                <w:sz w:val="24"/>
                <w:szCs w:val="24"/>
                <w:lang w:val="en-US" w:eastAsia="zh-CN"/>
              </w:rPr>
              <w:t>厂区采用</w:t>
            </w:r>
            <w:r>
              <w:rPr>
                <w:rFonts w:hint="eastAsia" w:ascii="Times New Roman" w:hAnsi="宋体" w:eastAsia="宋体" w:cs="Times New Roman"/>
                <w:color w:val="auto"/>
                <w:sz w:val="24"/>
                <w:szCs w:val="24"/>
                <w:lang w:eastAsia="zh-CN"/>
              </w:rPr>
              <w:t>围挡</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防风抑尘网</w:t>
            </w:r>
            <w:r>
              <w:rPr>
                <w:rFonts w:hint="eastAsia" w:hAnsi="宋体" w:cs="Times New Roman"/>
                <w:color w:val="auto"/>
                <w:sz w:val="24"/>
                <w:szCs w:val="24"/>
                <w:lang w:eastAsia="zh-CN"/>
              </w:rPr>
              <w:t>），</w:t>
            </w:r>
            <w:r>
              <w:rPr>
                <w:rFonts w:hint="eastAsia" w:hAnsi="宋体" w:cs="Times New Roman"/>
                <w:color w:val="auto"/>
                <w:sz w:val="24"/>
                <w:szCs w:val="24"/>
                <w:lang w:val="en-US" w:eastAsia="zh-CN"/>
              </w:rPr>
              <w:t>堆场采用</w:t>
            </w:r>
            <w:r>
              <w:rPr>
                <w:rFonts w:hint="eastAsia" w:ascii="Times New Roman" w:hAnsi="宋体" w:eastAsia="宋体" w:cs="Times New Roman"/>
                <w:color w:val="auto"/>
                <w:sz w:val="24"/>
                <w:szCs w:val="24"/>
                <w:lang w:eastAsia="zh-CN"/>
              </w:rPr>
              <w:t>编织覆盖</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防尘网</w:t>
            </w:r>
            <w:r>
              <w:rPr>
                <w:rFonts w:hint="eastAsia" w:hAnsi="宋体" w:cs="Times New Roman"/>
                <w:color w:val="auto"/>
                <w:sz w:val="24"/>
                <w:szCs w:val="24"/>
                <w:lang w:eastAsia="zh-CN"/>
              </w:rPr>
              <w:t>）</w:t>
            </w:r>
            <w:r>
              <w:rPr>
                <w:rFonts w:hint="eastAsia" w:ascii="Times New Roman" w:hAnsi="宋体" w:eastAsia="宋体" w:cs="Times New Roman"/>
                <w:color w:val="auto"/>
                <w:sz w:val="24"/>
                <w:szCs w:val="24"/>
                <w:lang w:eastAsia="zh-CN"/>
              </w:rPr>
              <w:t>方式</w:t>
            </w:r>
            <w:r>
              <w:rPr>
                <w:rFonts w:hint="eastAsia" w:hAnsi="宋体" w:cs="Times New Roman"/>
                <w:color w:val="auto"/>
                <w:sz w:val="24"/>
                <w:szCs w:val="24"/>
                <w:lang w:val="en-US" w:eastAsia="zh-CN"/>
              </w:rPr>
              <w:t>降尘，煤炭装车和卸车过程采用车辆出入冲洗（高压水枪）方式降尘</w:t>
            </w:r>
            <w:r>
              <w:rPr>
                <w:rFonts w:hint="eastAsia"/>
                <w:bCs/>
                <w:color w:val="auto"/>
                <w:sz w:val="24"/>
              </w:rPr>
              <w:t>处理是可行的。</w:t>
            </w:r>
          </w:p>
          <w:p w14:paraId="19A2A471">
            <w:pPr>
              <w:pStyle w:val="9"/>
              <w:spacing w:after="0" w:line="360" w:lineRule="auto"/>
              <w:ind w:firstLine="480" w:firstLineChars="200"/>
              <w:rPr>
                <w:bCs/>
                <w:color w:val="auto"/>
                <w:sz w:val="24"/>
              </w:rPr>
            </w:pPr>
            <w:r>
              <w:rPr>
                <w:rFonts w:hint="eastAsia"/>
                <w:bCs/>
                <w:color w:val="auto"/>
                <w:sz w:val="24"/>
                <w:lang w:val="en-US" w:eastAsia="zh-CN"/>
              </w:rPr>
              <w:t>5</w:t>
            </w:r>
            <w:r>
              <w:rPr>
                <w:rFonts w:hint="eastAsia"/>
                <w:bCs/>
                <w:color w:val="auto"/>
                <w:sz w:val="24"/>
              </w:rPr>
              <w:t>、</w:t>
            </w:r>
            <w:r>
              <w:rPr>
                <w:bCs/>
                <w:color w:val="auto"/>
                <w:sz w:val="24"/>
              </w:rPr>
              <w:t>大气监测计划</w:t>
            </w:r>
          </w:p>
          <w:p w14:paraId="5B582788">
            <w:pPr>
              <w:pStyle w:val="49"/>
              <w:ind w:firstLine="480"/>
              <w:rPr>
                <w:rFonts w:ascii="Times New Roman" w:hAnsi="Times New Roman"/>
                <w:color w:val="auto"/>
              </w:rPr>
            </w:pPr>
            <w:r>
              <w:rPr>
                <w:rFonts w:ascii="Times New Roman" w:hAnsi="Times New Roman"/>
                <w:color w:val="auto"/>
              </w:rPr>
              <w:t>本项目运行期污染源监测计划按照《排污单位自行监测技术指南 总则》（HJ 819-2017）中的监测要求制定，具体监测计划见下表</w:t>
            </w:r>
            <w:r>
              <w:rPr>
                <w:rFonts w:hint="eastAsia" w:ascii="Times New Roman" w:hAnsi="Times New Roman"/>
                <w:color w:val="auto"/>
              </w:rPr>
              <w:t>4-</w:t>
            </w:r>
            <w:r>
              <w:rPr>
                <w:rFonts w:hint="eastAsia" w:ascii="Times New Roman" w:hAnsi="Times New Roman"/>
                <w:color w:val="auto"/>
                <w:lang w:val="en-US" w:eastAsia="zh-CN"/>
              </w:rPr>
              <w:t>5</w:t>
            </w:r>
            <w:r>
              <w:rPr>
                <w:rFonts w:ascii="Times New Roman" w:hAnsi="Times New Roman"/>
                <w:color w:val="auto"/>
              </w:rPr>
              <w:t>。若企业不具备监测条件进行上述污染源及环境质量监测，可委托有资质的环境监测单位进行监测。</w:t>
            </w:r>
          </w:p>
          <w:p w14:paraId="49328EA5">
            <w:pPr>
              <w:jc w:val="center"/>
              <w:rPr>
                <w:b/>
                <w:bCs/>
                <w:iCs/>
                <w:color w:val="auto"/>
                <w:kern w:val="0"/>
                <w:szCs w:val="21"/>
              </w:rPr>
            </w:pPr>
            <w:r>
              <w:rPr>
                <w:b/>
                <w:bCs/>
                <w:iCs/>
                <w:color w:val="auto"/>
                <w:kern w:val="0"/>
                <w:szCs w:val="21"/>
              </w:rPr>
              <w:t>表4-</w:t>
            </w:r>
            <w:r>
              <w:rPr>
                <w:rFonts w:hint="eastAsia"/>
                <w:b/>
                <w:bCs/>
                <w:iCs/>
                <w:color w:val="auto"/>
                <w:kern w:val="0"/>
                <w:szCs w:val="21"/>
                <w:lang w:val="en-US" w:eastAsia="zh-CN"/>
              </w:rPr>
              <w:t>5</w:t>
            </w:r>
            <w:r>
              <w:rPr>
                <w:b/>
                <w:bCs/>
                <w:iCs/>
                <w:color w:val="auto"/>
                <w:kern w:val="0"/>
                <w:szCs w:val="21"/>
              </w:rPr>
              <w:t xml:space="preserve">  大气监测计划</w:t>
            </w:r>
          </w:p>
          <w:tbl>
            <w:tblPr>
              <w:tblStyle w:val="3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196"/>
              <w:gridCol w:w="1393"/>
              <w:gridCol w:w="1708"/>
              <w:gridCol w:w="1632"/>
              <w:gridCol w:w="2222"/>
            </w:tblGrid>
            <w:tr w14:paraId="0191E2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733" w:type="pct"/>
                  <w:vAlign w:val="center"/>
                </w:tcPr>
                <w:p w14:paraId="193136C1">
                  <w:pPr>
                    <w:pStyle w:val="190"/>
                    <w:snapToGrid w:val="0"/>
                    <w:ind w:firstLine="0" w:firstLineChars="0"/>
                    <w:jc w:val="center"/>
                    <w:rPr>
                      <w:rFonts w:ascii="Times New Roman" w:eastAsia="宋体"/>
                      <w:color w:val="auto"/>
                      <w:sz w:val="21"/>
                      <w:szCs w:val="21"/>
                      <w:lang w:val="zh-CN"/>
                    </w:rPr>
                  </w:pPr>
                  <w:r>
                    <w:rPr>
                      <w:rFonts w:ascii="Times New Roman" w:eastAsia="宋体"/>
                      <w:color w:val="auto"/>
                      <w:sz w:val="21"/>
                      <w:szCs w:val="21"/>
                      <w:lang w:val="zh-CN"/>
                    </w:rPr>
                    <w:t>环境要素</w:t>
                  </w:r>
                </w:p>
              </w:tc>
              <w:tc>
                <w:tcPr>
                  <w:tcW w:w="854" w:type="pct"/>
                  <w:vAlign w:val="center"/>
                </w:tcPr>
                <w:p w14:paraId="12D30332">
                  <w:pPr>
                    <w:pStyle w:val="190"/>
                    <w:snapToGrid w:val="0"/>
                    <w:ind w:firstLine="0" w:firstLineChars="0"/>
                    <w:jc w:val="center"/>
                    <w:rPr>
                      <w:rFonts w:ascii="Times New Roman" w:eastAsia="宋体"/>
                      <w:color w:val="auto"/>
                      <w:sz w:val="21"/>
                      <w:szCs w:val="21"/>
                      <w:lang w:val="zh-CN"/>
                    </w:rPr>
                  </w:pPr>
                  <w:r>
                    <w:rPr>
                      <w:rFonts w:ascii="Times New Roman" w:eastAsia="宋体"/>
                      <w:color w:val="auto"/>
                      <w:sz w:val="21"/>
                      <w:szCs w:val="21"/>
                      <w:lang w:val="zh-CN"/>
                    </w:rPr>
                    <w:t>监测项目</w:t>
                  </w:r>
                </w:p>
              </w:tc>
              <w:tc>
                <w:tcPr>
                  <w:tcW w:w="1047" w:type="pct"/>
                  <w:vAlign w:val="center"/>
                </w:tcPr>
                <w:p w14:paraId="666A7EBF">
                  <w:pPr>
                    <w:pStyle w:val="190"/>
                    <w:snapToGrid w:val="0"/>
                    <w:ind w:firstLine="0" w:firstLineChars="0"/>
                    <w:jc w:val="center"/>
                    <w:rPr>
                      <w:rFonts w:ascii="Times New Roman" w:eastAsia="宋体"/>
                      <w:color w:val="auto"/>
                      <w:sz w:val="21"/>
                      <w:szCs w:val="21"/>
                      <w:lang w:val="zh-CN"/>
                    </w:rPr>
                  </w:pPr>
                  <w:r>
                    <w:rPr>
                      <w:rFonts w:ascii="Times New Roman" w:eastAsia="宋体"/>
                      <w:color w:val="auto"/>
                      <w:sz w:val="21"/>
                      <w:szCs w:val="21"/>
                      <w:lang w:val="zh-CN"/>
                    </w:rPr>
                    <w:t>监测点</w:t>
                  </w:r>
                </w:p>
              </w:tc>
              <w:tc>
                <w:tcPr>
                  <w:tcW w:w="1001" w:type="pct"/>
                  <w:vAlign w:val="center"/>
                </w:tcPr>
                <w:p w14:paraId="5EEF3022">
                  <w:pPr>
                    <w:pStyle w:val="190"/>
                    <w:snapToGrid w:val="0"/>
                    <w:ind w:firstLine="0" w:firstLineChars="0"/>
                    <w:jc w:val="center"/>
                    <w:rPr>
                      <w:rFonts w:ascii="Times New Roman" w:eastAsia="宋体"/>
                      <w:color w:val="auto"/>
                      <w:sz w:val="21"/>
                      <w:szCs w:val="21"/>
                      <w:lang w:val="zh-CN"/>
                    </w:rPr>
                  </w:pPr>
                  <w:r>
                    <w:rPr>
                      <w:rFonts w:ascii="Times New Roman" w:eastAsia="宋体"/>
                      <w:color w:val="auto"/>
                      <w:sz w:val="21"/>
                      <w:szCs w:val="21"/>
                      <w:lang w:val="zh-CN"/>
                    </w:rPr>
                    <w:t>监测时间及频率</w:t>
                  </w:r>
                </w:p>
              </w:tc>
              <w:tc>
                <w:tcPr>
                  <w:tcW w:w="1363" w:type="pct"/>
                  <w:vAlign w:val="center"/>
                </w:tcPr>
                <w:p w14:paraId="73687886">
                  <w:pPr>
                    <w:pStyle w:val="190"/>
                    <w:snapToGrid w:val="0"/>
                    <w:ind w:firstLine="0" w:firstLineChars="0"/>
                    <w:jc w:val="center"/>
                    <w:rPr>
                      <w:rFonts w:ascii="Times New Roman" w:eastAsia="宋体"/>
                      <w:color w:val="auto"/>
                      <w:sz w:val="21"/>
                      <w:szCs w:val="21"/>
                      <w:lang w:val="zh-CN"/>
                    </w:rPr>
                  </w:pPr>
                  <w:r>
                    <w:rPr>
                      <w:rFonts w:hint="eastAsia" w:ascii="Times New Roman" w:eastAsia="宋体"/>
                      <w:color w:val="auto"/>
                      <w:sz w:val="21"/>
                      <w:szCs w:val="21"/>
                      <w:lang w:val="zh-CN"/>
                    </w:rPr>
                    <w:t>执行标准</w:t>
                  </w:r>
                </w:p>
              </w:tc>
            </w:tr>
            <w:tr w14:paraId="172B44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607" w:hRule="exact"/>
                <w:jc w:val="center"/>
              </w:trPr>
              <w:tc>
                <w:tcPr>
                  <w:tcW w:w="733" w:type="pct"/>
                  <w:vAlign w:val="center"/>
                </w:tcPr>
                <w:p w14:paraId="492422AA">
                  <w:pPr>
                    <w:pStyle w:val="190"/>
                    <w:snapToGrid w:val="0"/>
                    <w:ind w:firstLine="0" w:firstLineChars="0"/>
                    <w:jc w:val="center"/>
                    <w:rPr>
                      <w:rFonts w:ascii="Times New Roman" w:eastAsia="宋体"/>
                      <w:color w:val="auto"/>
                      <w:sz w:val="21"/>
                      <w:szCs w:val="21"/>
                      <w:lang w:val="zh-CN"/>
                    </w:rPr>
                  </w:pPr>
                  <w:r>
                    <w:rPr>
                      <w:rFonts w:ascii="Times New Roman" w:eastAsia="宋体"/>
                      <w:color w:val="auto"/>
                      <w:sz w:val="21"/>
                      <w:szCs w:val="21"/>
                    </w:rPr>
                    <w:t>废气</w:t>
                  </w:r>
                </w:p>
              </w:tc>
              <w:tc>
                <w:tcPr>
                  <w:tcW w:w="854" w:type="pct"/>
                  <w:vAlign w:val="center"/>
                </w:tcPr>
                <w:p w14:paraId="74CAE17E">
                  <w:pPr>
                    <w:pStyle w:val="190"/>
                    <w:snapToGrid w:val="0"/>
                    <w:ind w:firstLine="0" w:firstLineChars="0"/>
                    <w:jc w:val="center"/>
                    <w:rPr>
                      <w:rFonts w:ascii="Times New Roman" w:eastAsiaTheme="minorEastAsia"/>
                      <w:color w:val="auto"/>
                      <w:kern w:val="2"/>
                      <w:sz w:val="21"/>
                      <w:szCs w:val="21"/>
                    </w:rPr>
                  </w:pPr>
                  <w:r>
                    <w:rPr>
                      <w:rFonts w:hint="eastAsia" w:ascii="Times New Roman" w:eastAsiaTheme="minorEastAsia"/>
                      <w:color w:val="auto"/>
                      <w:kern w:val="2"/>
                      <w:sz w:val="21"/>
                      <w:szCs w:val="21"/>
                    </w:rPr>
                    <w:t>颗粒物</w:t>
                  </w:r>
                </w:p>
              </w:tc>
              <w:tc>
                <w:tcPr>
                  <w:tcW w:w="1047" w:type="pct"/>
                  <w:vAlign w:val="center"/>
                </w:tcPr>
                <w:p w14:paraId="068F8E02">
                  <w:pPr>
                    <w:pStyle w:val="190"/>
                    <w:snapToGrid w:val="0"/>
                    <w:ind w:firstLine="0" w:firstLineChars="0"/>
                    <w:jc w:val="center"/>
                    <w:rPr>
                      <w:rFonts w:ascii="Times New Roman" w:eastAsiaTheme="minorEastAsia"/>
                      <w:color w:val="auto"/>
                      <w:kern w:val="2"/>
                      <w:sz w:val="21"/>
                      <w:szCs w:val="21"/>
                      <w:lang w:val="zh-CN"/>
                    </w:rPr>
                  </w:pPr>
                  <w:r>
                    <w:rPr>
                      <w:rFonts w:ascii="Times New Roman" w:eastAsiaTheme="minorEastAsia"/>
                      <w:color w:val="auto"/>
                      <w:kern w:val="2"/>
                      <w:sz w:val="21"/>
                      <w:szCs w:val="21"/>
                      <w:lang w:val="zh-CN"/>
                    </w:rPr>
                    <w:t>厂界上风向设参照点，下风向设监控点</w:t>
                  </w:r>
                </w:p>
              </w:tc>
              <w:tc>
                <w:tcPr>
                  <w:tcW w:w="1001" w:type="pct"/>
                  <w:vAlign w:val="center"/>
                </w:tcPr>
                <w:p w14:paraId="53631DA2">
                  <w:pPr>
                    <w:pStyle w:val="190"/>
                    <w:snapToGrid w:val="0"/>
                    <w:ind w:firstLine="0" w:firstLineChars="0"/>
                    <w:jc w:val="center"/>
                    <w:rPr>
                      <w:rFonts w:ascii="Times New Roman" w:hAnsi="Times New Roman" w:eastAsia="宋体" w:cs="Times New Roman"/>
                      <w:color w:val="auto"/>
                      <w:sz w:val="21"/>
                      <w:szCs w:val="21"/>
                      <w:lang w:val="zh-CN"/>
                    </w:rPr>
                  </w:pPr>
                  <w:r>
                    <w:rPr>
                      <w:rFonts w:ascii="Times New Roman" w:hAnsi="Times New Roman" w:eastAsia="宋体" w:cs="Times New Roman"/>
                      <w:color w:val="auto"/>
                      <w:sz w:val="21"/>
                      <w:szCs w:val="21"/>
                    </w:rPr>
                    <w:t>每</w:t>
                  </w:r>
                  <w:r>
                    <w:rPr>
                      <w:rFonts w:hint="eastAsia" w:ascii="Times New Roman" w:hAnsi="Times New Roman" w:eastAsia="宋体" w:cs="Times New Roman"/>
                      <w:color w:val="auto"/>
                      <w:sz w:val="21"/>
                      <w:szCs w:val="21"/>
                    </w:rPr>
                    <w:t>年</w:t>
                  </w:r>
                  <w:r>
                    <w:rPr>
                      <w:rFonts w:ascii="Times New Roman" w:hAnsi="Times New Roman" w:eastAsia="宋体" w:cs="Times New Roman"/>
                      <w:color w:val="auto"/>
                      <w:sz w:val="21"/>
                      <w:szCs w:val="21"/>
                    </w:rPr>
                    <w:t>1次</w:t>
                  </w:r>
                </w:p>
              </w:tc>
              <w:tc>
                <w:tcPr>
                  <w:tcW w:w="1363" w:type="pct"/>
                  <w:vAlign w:val="center"/>
                </w:tcPr>
                <w:p w14:paraId="3A7689EB">
                  <w:pPr>
                    <w:pStyle w:val="190"/>
                    <w:snapToGrid w:val="0"/>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《煤炭工业污染物排放标准》（</w:t>
                  </w:r>
                  <w:r>
                    <w:rPr>
                      <w:rFonts w:hint="eastAsia" w:ascii="Times New Roman" w:hAnsi="Times New Roman" w:eastAsia="宋体" w:cs="Times New Roman"/>
                      <w:color w:val="auto"/>
                      <w:sz w:val="21"/>
                      <w:szCs w:val="21"/>
                    </w:rPr>
                    <w:t>GB20426-2006</w:t>
                  </w:r>
                  <w:r>
                    <w:rPr>
                      <w:rFonts w:hint="eastAsia" w:ascii="Times New Roman" w:hAnsi="Times New Roman" w:eastAsia="宋体" w:cs="Times New Roman"/>
                      <w:color w:val="auto"/>
                      <w:sz w:val="21"/>
                      <w:szCs w:val="21"/>
                      <w:lang w:val="en-US" w:eastAsia="zh-CN"/>
                    </w:rPr>
                    <w:t>）表5煤炭工业无组织排放限值</w:t>
                  </w:r>
                </w:p>
              </w:tc>
            </w:tr>
          </w:tbl>
          <w:p w14:paraId="184AA693">
            <w:pPr>
              <w:pStyle w:val="59"/>
              <w:kinsoku w:val="0"/>
              <w:overflowPunct w:val="0"/>
              <w:autoSpaceDE w:val="0"/>
              <w:autoSpaceDN w:val="0"/>
              <w:spacing w:line="360" w:lineRule="auto"/>
              <w:ind w:firstLine="480"/>
              <w:rPr>
                <w:rFonts w:eastAsiaTheme="minorEastAsia"/>
                <w:color w:val="auto"/>
              </w:rPr>
            </w:pPr>
            <w:r>
              <w:rPr>
                <w:rFonts w:eastAsiaTheme="minorEastAsia"/>
                <w:color w:val="auto"/>
              </w:rPr>
              <w:t>（</w:t>
            </w:r>
            <w:r>
              <w:rPr>
                <w:rFonts w:hint="eastAsia" w:eastAsiaTheme="minorEastAsia"/>
                <w:color w:val="auto"/>
                <w:lang w:val="en-US" w:eastAsia="zh-CN"/>
              </w:rPr>
              <w:t>二</w:t>
            </w:r>
            <w:r>
              <w:rPr>
                <w:rFonts w:eastAsiaTheme="minorEastAsia"/>
                <w:color w:val="auto"/>
              </w:rPr>
              <w:t>）环境影响分析</w:t>
            </w:r>
          </w:p>
          <w:p w14:paraId="3B3FD3AE">
            <w:pPr>
              <w:pStyle w:val="59"/>
              <w:kinsoku w:val="0"/>
              <w:overflowPunct w:val="0"/>
              <w:autoSpaceDE w:val="0"/>
              <w:autoSpaceDN w:val="0"/>
              <w:spacing w:line="360" w:lineRule="auto"/>
              <w:ind w:firstLine="480"/>
              <w:rPr>
                <w:rFonts w:hint="eastAsia" w:hAnsi="宋体" w:eastAsia="宋体"/>
                <w:color w:val="auto"/>
                <w:sz w:val="24"/>
                <w:lang w:eastAsia="zh-CN"/>
              </w:rPr>
            </w:pPr>
            <w:r>
              <w:rPr>
                <w:rFonts w:hint="eastAsia" w:hAnsi="宋体" w:cs="Times New Roman"/>
                <w:color w:val="auto"/>
                <w:sz w:val="24"/>
                <w:szCs w:val="24"/>
                <w:lang w:val="en-US" w:eastAsia="zh-CN"/>
              </w:rPr>
              <w:t>本项目煤炭运输</w:t>
            </w:r>
            <w:r>
              <w:rPr>
                <w:rFonts w:hint="eastAsia" w:cs="Times New Roman"/>
                <w:color w:val="auto"/>
                <w:kern w:val="0"/>
                <w:sz w:val="24"/>
                <w:szCs w:val="20"/>
                <w:lang w:val="en-US" w:eastAsia="zh-CN" w:bidi="ar-SA"/>
              </w:rPr>
              <w:t>过程中</w:t>
            </w:r>
            <w:r>
              <w:rPr>
                <w:rFonts w:hint="default" w:cs="Times New Roman"/>
                <w:color w:val="auto"/>
                <w:kern w:val="0"/>
                <w:sz w:val="24"/>
                <w:szCs w:val="20"/>
                <w:lang w:val="en-US" w:eastAsia="zh-CN" w:bidi="ar-SA"/>
              </w:rPr>
              <w:t>采用苫布覆盖，</w:t>
            </w:r>
            <w:r>
              <w:rPr>
                <w:rFonts w:hint="eastAsia" w:cs="Times New Roman"/>
                <w:color w:val="auto"/>
                <w:kern w:val="0"/>
                <w:sz w:val="24"/>
                <w:szCs w:val="20"/>
                <w:lang w:val="en-US" w:eastAsia="zh-CN" w:bidi="ar-SA"/>
              </w:rPr>
              <w:t>出厂时车轮进行清洗，防止物料洒落，</w:t>
            </w:r>
            <w:r>
              <w:rPr>
                <w:rFonts w:hint="default" w:cs="Times New Roman"/>
                <w:color w:val="auto"/>
                <w:kern w:val="0"/>
                <w:sz w:val="24"/>
                <w:szCs w:val="20"/>
                <w:lang w:val="en-US" w:eastAsia="zh-CN" w:bidi="ar-SA"/>
              </w:rPr>
              <w:t>减少运输过程中粉尘排放量</w:t>
            </w:r>
            <w:r>
              <w:rPr>
                <w:rFonts w:hint="eastAsia" w:cs="Times New Roman"/>
                <w:color w:val="auto"/>
                <w:kern w:val="0"/>
                <w:sz w:val="24"/>
                <w:szCs w:val="20"/>
                <w:lang w:val="en-US" w:eastAsia="zh-CN" w:bidi="ar-SA"/>
              </w:rPr>
              <w:t>；</w:t>
            </w:r>
            <w:r>
              <w:rPr>
                <w:rFonts w:hint="eastAsia" w:hAnsi="宋体" w:cs="Times New Roman"/>
                <w:color w:val="auto"/>
                <w:sz w:val="24"/>
                <w:szCs w:val="24"/>
                <w:lang w:val="en-US" w:eastAsia="zh-CN"/>
              </w:rPr>
              <w:t>厂区采用</w:t>
            </w:r>
            <w:r>
              <w:rPr>
                <w:rFonts w:hint="eastAsia" w:ascii="Times New Roman" w:hAnsi="宋体" w:eastAsia="宋体" w:cs="Times New Roman"/>
                <w:color w:val="auto"/>
                <w:sz w:val="24"/>
                <w:szCs w:val="24"/>
                <w:lang w:eastAsia="zh-CN"/>
              </w:rPr>
              <w:t>围挡</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防风抑尘网</w:t>
            </w:r>
            <w:r>
              <w:rPr>
                <w:rFonts w:hint="eastAsia" w:hAnsi="宋体" w:cs="Times New Roman"/>
                <w:color w:val="auto"/>
                <w:sz w:val="24"/>
                <w:szCs w:val="24"/>
                <w:lang w:eastAsia="zh-CN"/>
              </w:rPr>
              <w:t>），</w:t>
            </w:r>
            <w:r>
              <w:rPr>
                <w:rFonts w:hint="eastAsia" w:hAnsi="宋体" w:cs="Times New Roman"/>
                <w:color w:val="auto"/>
                <w:sz w:val="24"/>
                <w:szCs w:val="24"/>
                <w:lang w:val="en-US" w:eastAsia="zh-CN"/>
              </w:rPr>
              <w:t>堆场采用</w:t>
            </w:r>
            <w:r>
              <w:rPr>
                <w:rFonts w:hint="eastAsia" w:ascii="Times New Roman" w:hAnsi="宋体" w:eastAsia="宋体" w:cs="Times New Roman"/>
                <w:color w:val="auto"/>
                <w:sz w:val="24"/>
                <w:szCs w:val="24"/>
                <w:lang w:eastAsia="zh-CN"/>
              </w:rPr>
              <w:t>编织覆盖</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防尘网</w:t>
            </w:r>
            <w:r>
              <w:rPr>
                <w:rFonts w:hint="eastAsia" w:hAnsi="宋体" w:cs="Times New Roman"/>
                <w:color w:val="auto"/>
                <w:sz w:val="24"/>
                <w:szCs w:val="24"/>
                <w:lang w:eastAsia="zh-CN"/>
              </w:rPr>
              <w:t>）</w:t>
            </w:r>
            <w:r>
              <w:rPr>
                <w:rFonts w:hint="eastAsia" w:ascii="Times New Roman" w:hAnsi="宋体" w:eastAsia="宋体" w:cs="Times New Roman"/>
                <w:color w:val="auto"/>
                <w:sz w:val="24"/>
                <w:szCs w:val="24"/>
                <w:lang w:eastAsia="zh-CN"/>
              </w:rPr>
              <w:t>方式</w:t>
            </w:r>
            <w:r>
              <w:rPr>
                <w:rFonts w:hint="eastAsia" w:hAnsi="宋体" w:cs="Times New Roman"/>
                <w:color w:val="auto"/>
                <w:sz w:val="24"/>
                <w:szCs w:val="24"/>
                <w:lang w:val="en-US" w:eastAsia="zh-CN"/>
              </w:rPr>
              <w:t>降尘，煤炭装车和卸车过程采用车辆出入冲洗（高压水枪）方式降尘，降尘后颗粒物以无组织形式排放。</w:t>
            </w:r>
            <w:r>
              <w:rPr>
                <w:rFonts w:hint="eastAsia"/>
                <w:color w:val="auto"/>
                <w:szCs w:val="21"/>
                <w:lang w:val="en-US" w:eastAsia="zh-CN"/>
              </w:rPr>
              <w:t>本项目严禁在重污染天气期间、大风天气时生产作业。</w:t>
            </w:r>
            <w:r>
              <w:rPr>
                <w:rFonts w:hint="eastAsia"/>
                <w:color w:val="auto"/>
                <w:szCs w:val="24"/>
              </w:rPr>
              <w:t>本项目</w:t>
            </w:r>
            <w:r>
              <w:rPr>
                <w:rFonts w:hint="eastAsia" w:ascii="Times New Roman" w:hAnsi="宋体" w:eastAsia="宋体" w:cs="Times New Roman"/>
                <w:color w:val="auto"/>
                <w:sz w:val="24"/>
                <w:szCs w:val="24"/>
              </w:rPr>
              <w:t>无组织颗粒物排放满足</w:t>
            </w:r>
            <w:r>
              <w:rPr>
                <w:rFonts w:hint="eastAsia"/>
                <w:bCs/>
                <w:color w:val="auto"/>
                <w:sz w:val="24"/>
                <w:lang w:val="en-US" w:eastAsia="zh-CN"/>
              </w:rPr>
              <w:t>《煤炭工业污染物排放标准》（</w:t>
            </w:r>
            <w:r>
              <w:rPr>
                <w:rFonts w:hint="eastAsia"/>
                <w:bCs/>
                <w:color w:val="auto"/>
                <w:sz w:val="24"/>
              </w:rPr>
              <w:t>GB20426-2006</w:t>
            </w:r>
            <w:r>
              <w:rPr>
                <w:rFonts w:hint="eastAsia"/>
                <w:bCs/>
                <w:color w:val="auto"/>
                <w:sz w:val="24"/>
                <w:lang w:val="en-US" w:eastAsia="zh-CN"/>
              </w:rPr>
              <w:t>）表5煤炭工业无组织排放限值</w:t>
            </w:r>
            <w:r>
              <w:rPr>
                <w:rFonts w:hint="eastAsia" w:ascii="Times New Roman" w:hAnsi="宋体" w:eastAsia="宋体" w:cs="Times New Roman"/>
                <w:color w:val="auto"/>
                <w:sz w:val="24"/>
                <w:szCs w:val="24"/>
              </w:rPr>
              <w:t>要求。</w:t>
            </w:r>
            <w:r>
              <w:rPr>
                <w:rFonts w:hint="eastAsia"/>
                <w:color w:val="auto"/>
                <w:lang w:val="en-US" w:eastAsia="zh-CN"/>
              </w:rPr>
              <w:t>本项目运输路线途径民房，运输过程采用车辆苫盖+道路洒水降尘方式，防止物料洒落，可减少运输过程中粉尘排放。敏感目标处环境空气可满足</w:t>
            </w:r>
            <w:r>
              <w:rPr>
                <w:rFonts w:hint="eastAsia" w:hAnsi="宋体"/>
                <w:color w:val="auto"/>
                <w:sz w:val="24"/>
              </w:rPr>
              <w:t>《环境空气质量标准》</w:t>
            </w:r>
            <w:r>
              <w:rPr>
                <w:rFonts w:hint="eastAsia" w:hAnsi="宋体"/>
                <w:color w:val="auto"/>
                <w:sz w:val="24"/>
                <w:lang w:eastAsia="zh-CN"/>
              </w:rPr>
              <w:t>（</w:t>
            </w:r>
            <w:r>
              <w:rPr>
                <w:rFonts w:hint="eastAsia" w:hAnsi="宋体"/>
                <w:color w:val="auto"/>
                <w:sz w:val="24"/>
              </w:rPr>
              <w:t>GB3095-2026</w:t>
            </w:r>
            <w:r>
              <w:rPr>
                <w:rFonts w:hint="eastAsia" w:hAnsi="宋体"/>
                <w:color w:val="auto"/>
                <w:sz w:val="24"/>
                <w:lang w:eastAsia="zh-CN"/>
              </w:rPr>
              <w:t>）</w:t>
            </w:r>
            <w:r>
              <w:rPr>
                <w:rFonts w:hint="eastAsia"/>
                <w:color w:val="auto"/>
                <w:kern w:val="2"/>
                <w:sz w:val="24"/>
                <w:szCs w:val="24"/>
                <w:lang w:val="en-US" w:eastAsia="zh-CN"/>
              </w:rPr>
              <w:t>表1中</w:t>
            </w:r>
            <w:r>
              <w:rPr>
                <w:rFonts w:hint="default"/>
                <w:color w:val="auto"/>
                <w:kern w:val="2"/>
                <w:sz w:val="24"/>
                <w:szCs w:val="24"/>
              </w:rPr>
              <w:t>二级</w:t>
            </w:r>
            <w:r>
              <w:rPr>
                <w:rFonts w:hint="eastAsia"/>
                <w:color w:val="auto"/>
                <w:kern w:val="2"/>
                <w:sz w:val="24"/>
                <w:szCs w:val="24"/>
                <w:lang w:val="en-US" w:eastAsia="zh-CN"/>
              </w:rPr>
              <w:t>过渡阶段浓度限值</w:t>
            </w:r>
            <w:r>
              <w:rPr>
                <w:rFonts w:hint="eastAsia" w:hAnsi="宋体"/>
                <w:color w:val="auto"/>
                <w:sz w:val="24"/>
              </w:rPr>
              <w:t>要求</w:t>
            </w:r>
            <w:r>
              <w:rPr>
                <w:rFonts w:hint="eastAsia" w:hAnsi="宋体"/>
                <w:color w:val="auto"/>
                <w:sz w:val="24"/>
                <w:lang w:eastAsia="zh-CN"/>
              </w:rPr>
              <w:t>。</w:t>
            </w:r>
          </w:p>
          <w:p w14:paraId="1344DC43">
            <w:pPr>
              <w:pStyle w:val="59"/>
              <w:kinsoku w:val="0"/>
              <w:overflowPunct w:val="0"/>
              <w:autoSpaceDE w:val="0"/>
              <w:autoSpaceDN w:val="0"/>
              <w:spacing w:line="360" w:lineRule="auto"/>
              <w:ind w:firstLine="480"/>
              <w:rPr>
                <w:rFonts w:ascii="Times New Roman" w:hAnsi="Times New Roman"/>
                <w:b/>
                <w:bCs/>
                <w:color w:val="auto"/>
                <w:szCs w:val="24"/>
              </w:rPr>
            </w:pPr>
            <w:r>
              <w:rPr>
                <w:rFonts w:ascii="Times New Roman" w:hAnsi="Times New Roman"/>
                <w:color w:val="auto"/>
              </w:rPr>
              <w:t>综上所述，</w:t>
            </w:r>
            <w:r>
              <w:rPr>
                <w:rFonts w:ascii="Times New Roman" w:hAnsi="Times New Roman" w:eastAsiaTheme="minorEastAsia"/>
                <w:color w:val="auto"/>
              </w:rPr>
              <w:t>从环境空气的角度，本项目的建设是可行的。</w:t>
            </w:r>
          </w:p>
          <w:p w14:paraId="7A2DB52B">
            <w:pPr>
              <w:pStyle w:val="35"/>
              <w:spacing w:before="0" w:beforeAutospacing="0" w:after="0" w:afterAutospacing="0" w:line="360" w:lineRule="auto"/>
              <w:ind w:firstLine="482" w:firstLineChars="200"/>
              <w:rPr>
                <w:rFonts w:ascii="Times New Roman" w:hAnsi="Times New Roman"/>
                <w:b/>
                <w:bCs/>
                <w:color w:val="auto"/>
                <w:szCs w:val="24"/>
              </w:rPr>
            </w:pPr>
            <w:r>
              <w:rPr>
                <w:rFonts w:hint="eastAsia" w:ascii="Times New Roman" w:hAnsi="Times New Roman"/>
                <w:b/>
                <w:bCs/>
                <w:color w:val="auto"/>
                <w:szCs w:val="24"/>
              </w:rPr>
              <w:t>二、</w:t>
            </w:r>
            <w:r>
              <w:rPr>
                <w:rFonts w:ascii="Times New Roman" w:hAnsi="Times New Roman"/>
                <w:b/>
                <w:bCs/>
                <w:color w:val="auto"/>
                <w:szCs w:val="24"/>
              </w:rPr>
              <w:t>废水</w:t>
            </w:r>
          </w:p>
          <w:p w14:paraId="2F86B4C5">
            <w:pPr>
              <w:pStyle w:val="35"/>
              <w:spacing w:before="0" w:beforeAutospacing="0" w:after="0" w:afterAutospacing="0" w:line="360" w:lineRule="auto"/>
              <w:ind w:firstLine="480"/>
              <w:rPr>
                <w:rFonts w:ascii="Times New Roman" w:hAnsi="Times New Roman"/>
                <w:color w:val="auto"/>
                <w:szCs w:val="24"/>
              </w:rPr>
            </w:pPr>
            <w:r>
              <w:rPr>
                <w:rFonts w:hint="eastAsia" w:ascii="Times New Roman" w:hAnsi="Times New Roman"/>
                <w:color w:val="auto"/>
                <w:szCs w:val="24"/>
              </w:rPr>
              <w:t>1、源强核算及达标排放情况</w:t>
            </w:r>
          </w:p>
          <w:p w14:paraId="49ACFBF8">
            <w:pPr>
              <w:spacing w:line="360" w:lineRule="auto"/>
              <w:ind w:firstLine="620" w:firstLineChars="250"/>
              <w:rPr>
                <w:rFonts w:hint="default" w:eastAsia="宋体"/>
                <w:color w:val="auto"/>
                <w:sz w:val="24"/>
                <w:lang w:val="en-US" w:eastAsia="zh-CN"/>
              </w:rPr>
            </w:pPr>
            <w:r>
              <w:rPr>
                <w:rFonts w:hint="eastAsia"/>
                <w:color w:val="auto"/>
                <w:spacing w:val="4"/>
                <w:sz w:val="24"/>
              </w:rPr>
              <w:t>本项目运营期废水主要为生活污水</w:t>
            </w:r>
            <w:r>
              <w:rPr>
                <w:rFonts w:hint="eastAsia"/>
                <w:color w:val="auto"/>
                <w:spacing w:val="4"/>
                <w:sz w:val="24"/>
                <w:lang w:eastAsia="zh-CN"/>
              </w:rPr>
              <w:t>、</w:t>
            </w:r>
            <w:r>
              <w:rPr>
                <w:rFonts w:hint="eastAsia"/>
                <w:color w:val="auto"/>
                <w:spacing w:val="4"/>
                <w:sz w:val="24"/>
                <w:lang w:val="en-US" w:eastAsia="zh-CN"/>
              </w:rPr>
              <w:t>车辆冲洗废水和降尘用水和厂区初期雨水</w:t>
            </w:r>
            <w:r>
              <w:rPr>
                <w:rFonts w:hint="eastAsia"/>
                <w:color w:val="auto"/>
                <w:spacing w:val="4"/>
                <w:sz w:val="24"/>
              </w:rPr>
              <w:t>，</w:t>
            </w:r>
            <w:r>
              <w:rPr>
                <w:color w:val="auto"/>
                <w:spacing w:val="4"/>
                <w:sz w:val="24"/>
              </w:rPr>
              <w:t>生活污水排放量按照员工生活用水量的80%计算，则项目产生生活污水量为</w:t>
            </w:r>
            <w:r>
              <w:rPr>
                <w:rFonts w:hint="eastAsia"/>
                <w:color w:val="auto"/>
                <w:kern w:val="0"/>
                <w:sz w:val="24"/>
                <w:lang w:val="en-US" w:eastAsia="zh-CN"/>
              </w:rPr>
              <w:t>94.08t</w:t>
            </w:r>
            <w:r>
              <w:rPr>
                <w:color w:val="auto"/>
                <w:kern w:val="0"/>
                <w:sz w:val="24"/>
              </w:rPr>
              <w:t>/a</w:t>
            </w:r>
            <w:r>
              <w:rPr>
                <w:bCs/>
                <w:color w:val="auto"/>
                <w:spacing w:val="4"/>
                <w:sz w:val="24"/>
              </w:rPr>
              <w:t>。废水主要污染物为COD、氨氮，水质浓度为COD</w:t>
            </w:r>
            <w:r>
              <w:rPr>
                <w:rFonts w:hint="eastAsia"/>
                <w:bCs/>
                <w:color w:val="auto"/>
                <w:spacing w:val="4"/>
                <w:sz w:val="24"/>
              </w:rPr>
              <w:t>300</w:t>
            </w:r>
            <w:r>
              <w:rPr>
                <w:bCs/>
                <w:color w:val="auto"/>
                <w:spacing w:val="4"/>
                <w:sz w:val="24"/>
              </w:rPr>
              <w:t>mg/L，氨氮</w:t>
            </w:r>
            <w:r>
              <w:rPr>
                <w:rFonts w:hint="eastAsia"/>
                <w:bCs/>
                <w:color w:val="auto"/>
                <w:spacing w:val="4"/>
                <w:sz w:val="24"/>
              </w:rPr>
              <w:t>25</w:t>
            </w:r>
            <w:r>
              <w:rPr>
                <w:bCs/>
                <w:color w:val="auto"/>
                <w:spacing w:val="4"/>
                <w:sz w:val="24"/>
              </w:rPr>
              <w:t>mg/L。</w:t>
            </w:r>
            <w:r>
              <w:rPr>
                <w:color w:val="auto"/>
                <w:sz w:val="24"/>
              </w:rPr>
              <w:t>生活污水排入</w:t>
            </w:r>
            <w:r>
              <w:rPr>
                <w:rFonts w:hint="eastAsia"/>
                <w:color w:val="auto"/>
                <w:sz w:val="24"/>
              </w:rPr>
              <w:t>防渗旱厕，定期清掏，外运堆肥，不外排</w:t>
            </w:r>
            <w:r>
              <w:rPr>
                <w:rFonts w:hint="eastAsia"/>
                <w:color w:val="auto"/>
                <w:sz w:val="24"/>
                <w:lang w:eastAsia="zh-CN"/>
              </w:rPr>
              <w:t>；</w:t>
            </w:r>
            <w:r>
              <w:rPr>
                <w:rFonts w:hint="default" w:ascii="Times New Roman" w:hAnsi="Times New Roman" w:eastAsia="宋体" w:cs="Times New Roman"/>
                <w:color w:val="auto"/>
                <w:sz w:val="24"/>
              </w:rPr>
              <w:t>运输车辆冲洗废水产生量按用水量的</w:t>
            </w:r>
            <w:r>
              <w:rPr>
                <w:rFonts w:hint="eastAsia" w:cs="Times New Roman"/>
                <w:color w:val="auto"/>
                <w:sz w:val="24"/>
                <w:lang w:val="en-US" w:eastAsia="zh-CN"/>
              </w:rPr>
              <w:t>7</w:t>
            </w:r>
            <w:r>
              <w:rPr>
                <w:rFonts w:hint="default" w:ascii="Times New Roman" w:hAnsi="Times New Roman" w:eastAsia="宋体" w:cs="Times New Roman"/>
                <w:color w:val="auto"/>
                <w:sz w:val="24"/>
              </w:rPr>
              <w:t>0%计，则运输车辆冲洗废水量为</w:t>
            </w:r>
            <w:r>
              <w:rPr>
                <w:rFonts w:hint="eastAsia" w:ascii="Times New Roman" w:hAnsi="Times New Roman" w:eastAsia="宋体" w:cs="Times New Roman"/>
                <w:color w:val="auto"/>
                <w:sz w:val="24"/>
                <w:lang w:val="en-US" w:eastAsia="zh-CN"/>
              </w:rPr>
              <w:t>1411.2</w:t>
            </w:r>
            <w:r>
              <w:rPr>
                <w:rFonts w:hint="eastAsia" w:cs="Times New Roman"/>
                <w:color w:val="auto"/>
                <w:sz w:val="24"/>
                <w:lang w:val="en-US" w:eastAsia="zh-CN"/>
              </w:rPr>
              <w:t>t</w:t>
            </w:r>
            <w:r>
              <w:rPr>
                <w:rFonts w:hint="default" w:ascii="Times New Roman" w:hAnsi="Times New Roman" w:eastAsia="宋体" w:cs="Times New Roman"/>
                <w:color w:val="auto"/>
                <w:sz w:val="24"/>
              </w:rPr>
              <w:t>/a</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废水主要污染物为SS，水质浓度为SS</w:t>
            </w:r>
            <w:r>
              <w:rPr>
                <w:rFonts w:hint="eastAsia" w:cs="Times New Roman"/>
                <w:color w:val="auto"/>
                <w:sz w:val="24"/>
                <w:lang w:val="en-US" w:eastAsia="zh-CN"/>
              </w:rPr>
              <w:t>280</w:t>
            </w:r>
            <w:r>
              <w:rPr>
                <w:rFonts w:hint="eastAsia" w:ascii="Times New Roman" w:hAnsi="Times New Roman" w:eastAsia="宋体" w:cs="Times New Roman"/>
                <w:color w:val="auto"/>
                <w:sz w:val="24"/>
                <w:lang w:val="en-US" w:eastAsia="zh-CN"/>
              </w:rPr>
              <w:t>mg/L。</w:t>
            </w:r>
            <w:r>
              <w:rPr>
                <w:rFonts w:hint="eastAsia"/>
                <w:color w:val="auto"/>
                <w:sz w:val="24"/>
                <w:lang w:val="en-US" w:eastAsia="zh-CN"/>
              </w:rPr>
              <w:t>车辆冲洗废水集中收集经沉淀池沉淀后用于厂区道路降尘，自然蒸发，不外排；厂区雨季径流水总量为</w:t>
            </w:r>
            <w:r>
              <w:rPr>
                <w:rFonts w:hint="eastAsia" w:ascii="Times New Roman" w:hAnsi="Times New Roman" w:eastAsia="宋体" w:cs="Times New Roman"/>
                <w:color w:val="auto"/>
                <w:kern w:val="2"/>
                <w:sz w:val="24"/>
                <w:szCs w:val="20"/>
                <w:lang w:val="en-US" w:eastAsia="zh-CN" w:bidi="ar-SA"/>
              </w:rPr>
              <w:t>5515.02</w:t>
            </w:r>
            <w:r>
              <w:rPr>
                <w:rFonts w:hint="eastAsia" w:ascii="Times New Roman" w:hAnsi="Times New Roman" w:eastAsia="宋体" w:cs="Times New Roman"/>
                <w:color w:val="auto"/>
                <w:sz w:val="24"/>
                <w:lang w:val="en-US" w:eastAsia="zh-CN"/>
              </w:rPr>
              <w:t>‬t/</w:t>
            </w:r>
            <w:r>
              <w:rPr>
                <w:rFonts w:hint="eastAsia" w:ascii="Times New Roman" w:hAnsi="Times New Roman" w:eastAsia="宋体" w:cs="Times New Roman"/>
                <w:color w:val="auto"/>
                <w:sz w:val="24"/>
              </w:rPr>
              <w:t>a</w:t>
            </w:r>
            <w:r>
              <w:rPr>
                <w:rFonts w:hint="eastAsia" w:ascii="Times New Roman" w:hAnsi="Times New Roman" w:eastAsia="宋体" w:cs="Times New Roman"/>
                <w:color w:val="auto"/>
                <w:sz w:val="24"/>
                <w:lang w:val="en-US" w:eastAsia="zh-CN"/>
              </w:rPr>
              <w:t>。废</w:t>
            </w:r>
            <w:r>
              <w:rPr>
                <w:rFonts w:hint="eastAsia"/>
                <w:color w:val="auto"/>
                <w:sz w:val="24"/>
                <w:lang w:val="en-US" w:eastAsia="zh-CN"/>
              </w:rPr>
              <w:t>水主</w:t>
            </w:r>
            <w:r>
              <w:rPr>
                <w:rFonts w:hint="eastAsia" w:ascii="Times New Roman" w:hAnsi="Times New Roman" w:eastAsia="宋体" w:cs="Times New Roman"/>
                <w:color w:val="auto"/>
                <w:sz w:val="24"/>
                <w:lang w:val="en-US" w:eastAsia="zh-CN"/>
              </w:rPr>
              <w:t>要污染物为SS，水质浓度为SS1100mg/L。厂区初期雨水经过</w:t>
            </w:r>
            <w:r>
              <w:rPr>
                <w:rFonts w:hint="eastAsia" w:cs="Times New Roman"/>
                <w:color w:val="auto"/>
                <w:sz w:val="24"/>
                <w:lang w:val="en-US" w:eastAsia="zh-CN"/>
              </w:rPr>
              <w:t>雨水导流槽收集至雨水收集池，</w:t>
            </w:r>
            <w:r>
              <w:rPr>
                <w:rFonts w:hint="eastAsia" w:ascii="Times New Roman" w:hAnsi="Times New Roman" w:eastAsia="宋体" w:cs="Times New Roman"/>
                <w:color w:val="auto"/>
                <w:sz w:val="24"/>
                <w:lang w:val="en-US" w:eastAsia="zh-CN"/>
              </w:rPr>
              <w:t>沉淀后</w:t>
            </w:r>
            <w:r>
              <w:rPr>
                <w:rFonts w:hint="eastAsia"/>
                <w:color w:val="auto"/>
                <w:sz w:val="24"/>
                <w:lang w:val="en-US" w:eastAsia="zh-CN"/>
              </w:rPr>
              <w:t>全部用于车辆冲洗、厂区道路降尘，不外排；降尘用水全部自然蒸发，不外排。</w:t>
            </w:r>
          </w:p>
          <w:p w14:paraId="279DD9DC">
            <w:pPr>
              <w:spacing w:line="360" w:lineRule="auto"/>
              <w:ind w:firstLine="600" w:firstLineChars="250"/>
              <w:rPr>
                <w:bCs/>
                <w:color w:val="auto"/>
                <w:spacing w:val="4"/>
                <w:sz w:val="24"/>
              </w:rPr>
            </w:pPr>
            <w:r>
              <w:rPr>
                <w:rFonts w:hint="eastAsia"/>
                <w:color w:val="auto"/>
                <w:sz w:val="24"/>
              </w:rPr>
              <w:t>本项目废水产生及排放情况见表</w:t>
            </w:r>
            <w:r>
              <w:rPr>
                <w:color w:val="auto"/>
                <w:sz w:val="24"/>
              </w:rPr>
              <w:t>4-</w:t>
            </w:r>
            <w:r>
              <w:rPr>
                <w:rFonts w:hint="eastAsia"/>
                <w:color w:val="auto"/>
                <w:sz w:val="24"/>
                <w:lang w:val="en-US" w:eastAsia="zh-CN"/>
              </w:rPr>
              <w:t>6</w:t>
            </w:r>
            <w:r>
              <w:rPr>
                <w:rFonts w:hint="eastAsia"/>
                <w:color w:val="auto"/>
                <w:sz w:val="24"/>
              </w:rPr>
              <w:t>。</w:t>
            </w:r>
          </w:p>
          <w:p w14:paraId="1ADC0E88">
            <w:pPr>
              <w:jc w:val="center"/>
              <w:rPr>
                <w:b/>
                <w:bCs/>
                <w:iCs/>
                <w:color w:val="auto"/>
                <w:kern w:val="0"/>
                <w:szCs w:val="21"/>
              </w:rPr>
            </w:pPr>
            <w:r>
              <w:rPr>
                <w:b/>
                <w:bCs/>
                <w:iCs/>
                <w:color w:val="auto"/>
                <w:kern w:val="0"/>
                <w:szCs w:val="21"/>
              </w:rPr>
              <w:t>表4</w:t>
            </w:r>
            <w:r>
              <w:rPr>
                <w:rFonts w:hint="eastAsia"/>
                <w:b/>
                <w:bCs/>
                <w:iCs/>
                <w:color w:val="auto"/>
                <w:kern w:val="0"/>
                <w:szCs w:val="21"/>
              </w:rPr>
              <w:t>-</w:t>
            </w:r>
            <w:r>
              <w:rPr>
                <w:rFonts w:hint="eastAsia"/>
                <w:b/>
                <w:bCs/>
                <w:iCs/>
                <w:color w:val="auto"/>
                <w:kern w:val="0"/>
                <w:szCs w:val="21"/>
                <w:lang w:val="en-US" w:eastAsia="zh-CN"/>
              </w:rPr>
              <w:t>6</w:t>
            </w:r>
            <w:r>
              <w:rPr>
                <w:rFonts w:hint="eastAsia"/>
                <w:b/>
                <w:bCs/>
                <w:iCs/>
                <w:color w:val="auto"/>
                <w:kern w:val="0"/>
                <w:szCs w:val="21"/>
              </w:rPr>
              <w:t xml:space="preserve"> </w:t>
            </w:r>
            <w:r>
              <w:rPr>
                <w:b/>
                <w:bCs/>
                <w:iCs/>
                <w:color w:val="auto"/>
                <w:kern w:val="0"/>
                <w:szCs w:val="21"/>
              </w:rPr>
              <w:t xml:space="preserve"> 废水污染源源强核算结果及相关参数一览表</w:t>
            </w:r>
          </w:p>
          <w:tbl>
            <w:tblPr>
              <w:tblStyle w:val="3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47"/>
              <w:gridCol w:w="347"/>
              <w:gridCol w:w="611"/>
              <w:gridCol w:w="347"/>
              <w:gridCol w:w="759"/>
              <w:gridCol w:w="801"/>
              <w:gridCol w:w="755"/>
              <w:gridCol w:w="346"/>
              <w:gridCol w:w="613"/>
              <w:gridCol w:w="346"/>
              <w:gridCol w:w="752"/>
              <w:gridCol w:w="718"/>
              <w:gridCol w:w="755"/>
              <w:gridCol w:w="657"/>
            </w:tblGrid>
            <w:tr w14:paraId="2252D8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2" w:type="pct"/>
                  <w:vMerge w:val="restart"/>
                  <w:vAlign w:val="center"/>
                </w:tcPr>
                <w:p w14:paraId="7C632ACE">
                  <w:pPr>
                    <w:spacing w:line="360" w:lineRule="auto"/>
                    <w:jc w:val="center"/>
                    <w:rPr>
                      <w:color w:val="auto"/>
                      <w:sz w:val="18"/>
                      <w:szCs w:val="18"/>
                    </w:rPr>
                  </w:pPr>
                  <w:r>
                    <w:rPr>
                      <w:color w:val="auto"/>
                      <w:sz w:val="18"/>
                      <w:szCs w:val="18"/>
                    </w:rPr>
                    <w:t>工序</w:t>
                  </w:r>
                </w:p>
              </w:tc>
              <w:tc>
                <w:tcPr>
                  <w:tcW w:w="212" w:type="pct"/>
                  <w:vMerge w:val="restart"/>
                  <w:vAlign w:val="center"/>
                </w:tcPr>
                <w:p w14:paraId="75DF501C">
                  <w:pPr>
                    <w:spacing w:line="360" w:lineRule="auto"/>
                    <w:jc w:val="center"/>
                    <w:rPr>
                      <w:color w:val="auto"/>
                      <w:sz w:val="18"/>
                      <w:szCs w:val="18"/>
                    </w:rPr>
                  </w:pPr>
                  <w:r>
                    <w:rPr>
                      <w:color w:val="auto"/>
                      <w:sz w:val="18"/>
                      <w:szCs w:val="18"/>
                    </w:rPr>
                    <w:t>污染源</w:t>
                  </w:r>
                </w:p>
              </w:tc>
              <w:tc>
                <w:tcPr>
                  <w:tcW w:w="374" w:type="pct"/>
                  <w:vMerge w:val="restart"/>
                  <w:vAlign w:val="center"/>
                </w:tcPr>
                <w:p w14:paraId="02A160DF">
                  <w:pPr>
                    <w:spacing w:line="360" w:lineRule="auto"/>
                    <w:jc w:val="center"/>
                    <w:rPr>
                      <w:color w:val="auto"/>
                      <w:sz w:val="18"/>
                      <w:szCs w:val="18"/>
                    </w:rPr>
                  </w:pPr>
                  <w:r>
                    <w:rPr>
                      <w:color w:val="auto"/>
                      <w:sz w:val="18"/>
                      <w:szCs w:val="18"/>
                    </w:rPr>
                    <w:t>污染物</w:t>
                  </w:r>
                </w:p>
              </w:tc>
              <w:tc>
                <w:tcPr>
                  <w:tcW w:w="1632" w:type="pct"/>
                  <w:gridSpan w:val="4"/>
                  <w:vAlign w:val="center"/>
                </w:tcPr>
                <w:p w14:paraId="16C35108">
                  <w:pPr>
                    <w:spacing w:line="360" w:lineRule="auto"/>
                    <w:jc w:val="center"/>
                    <w:rPr>
                      <w:color w:val="auto"/>
                      <w:sz w:val="18"/>
                      <w:szCs w:val="18"/>
                    </w:rPr>
                  </w:pPr>
                  <w:r>
                    <w:rPr>
                      <w:color w:val="auto"/>
                      <w:sz w:val="18"/>
                      <w:szCs w:val="18"/>
                    </w:rPr>
                    <w:t>污染物产生</w:t>
                  </w:r>
                </w:p>
              </w:tc>
              <w:tc>
                <w:tcPr>
                  <w:tcW w:w="588" w:type="pct"/>
                  <w:gridSpan w:val="2"/>
                  <w:vAlign w:val="center"/>
                </w:tcPr>
                <w:p w14:paraId="0E8F9E1A">
                  <w:pPr>
                    <w:spacing w:line="360" w:lineRule="auto"/>
                    <w:jc w:val="center"/>
                    <w:rPr>
                      <w:color w:val="auto"/>
                      <w:sz w:val="18"/>
                      <w:szCs w:val="18"/>
                    </w:rPr>
                  </w:pPr>
                  <w:r>
                    <w:rPr>
                      <w:color w:val="auto"/>
                      <w:sz w:val="18"/>
                      <w:szCs w:val="18"/>
                    </w:rPr>
                    <w:t>治理措施</w:t>
                  </w:r>
                </w:p>
              </w:tc>
              <w:tc>
                <w:tcPr>
                  <w:tcW w:w="1576" w:type="pct"/>
                  <w:gridSpan w:val="4"/>
                  <w:vAlign w:val="center"/>
                </w:tcPr>
                <w:p w14:paraId="646BF68B">
                  <w:pPr>
                    <w:spacing w:line="360" w:lineRule="auto"/>
                    <w:jc w:val="center"/>
                    <w:rPr>
                      <w:color w:val="auto"/>
                      <w:sz w:val="18"/>
                      <w:szCs w:val="18"/>
                    </w:rPr>
                  </w:pPr>
                  <w:r>
                    <w:rPr>
                      <w:color w:val="auto"/>
                      <w:sz w:val="18"/>
                      <w:szCs w:val="18"/>
                    </w:rPr>
                    <w:t>污染物排放</w:t>
                  </w:r>
                </w:p>
              </w:tc>
              <w:tc>
                <w:tcPr>
                  <w:tcW w:w="402" w:type="pct"/>
                  <w:vMerge w:val="restart"/>
                  <w:vAlign w:val="center"/>
                </w:tcPr>
                <w:p w14:paraId="6E050A4C">
                  <w:pPr>
                    <w:spacing w:line="360" w:lineRule="auto"/>
                    <w:jc w:val="center"/>
                    <w:rPr>
                      <w:color w:val="auto"/>
                      <w:sz w:val="18"/>
                      <w:szCs w:val="18"/>
                    </w:rPr>
                  </w:pPr>
                  <w:r>
                    <w:rPr>
                      <w:color w:val="auto"/>
                      <w:sz w:val="18"/>
                      <w:szCs w:val="18"/>
                    </w:rPr>
                    <w:t>排放时数（h）</w:t>
                  </w:r>
                </w:p>
              </w:tc>
            </w:tr>
            <w:tr w14:paraId="286EB4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2" w:type="pct"/>
                  <w:vMerge w:val="continue"/>
                  <w:vAlign w:val="center"/>
                </w:tcPr>
                <w:p w14:paraId="7039BCC7">
                  <w:pPr>
                    <w:spacing w:line="360" w:lineRule="auto"/>
                    <w:jc w:val="center"/>
                    <w:rPr>
                      <w:color w:val="auto"/>
                      <w:sz w:val="18"/>
                      <w:szCs w:val="18"/>
                    </w:rPr>
                  </w:pPr>
                </w:p>
              </w:tc>
              <w:tc>
                <w:tcPr>
                  <w:tcW w:w="212" w:type="pct"/>
                  <w:vMerge w:val="continue"/>
                  <w:vAlign w:val="center"/>
                </w:tcPr>
                <w:p w14:paraId="0D95E630">
                  <w:pPr>
                    <w:spacing w:line="360" w:lineRule="auto"/>
                    <w:jc w:val="center"/>
                    <w:rPr>
                      <w:color w:val="auto"/>
                      <w:sz w:val="18"/>
                      <w:szCs w:val="18"/>
                    </w:rPr>
                  </w:pPr>
                </w:p>
              </w:tc>
              <w:tc>
                <w:tcPr>
                  <w:tcW w:w="374" w:type="pct"/>
                  <w:vMerge w:val="continue"/>
                  <w:vAlign w:val="center"/>
                </w:tcPr>
                <w:p w14:paraId="4732A6FD">
                  <w:pPr>
                    <w:spacing w:line="360" w:lineRule="auto"/>
                    <w:jc w:val="center"/>
                    <w:rPr>
                      <w:color w:val="auto"/>
                      <w:sz w:val="18"/>
                      <w:szCs w:val="18"/>
                    </w:rPr>
                  </w:pPr>
                </w:p>
              </w:tc>
              <w:tc>
                <w:tcPr>
                  <w:tcW w:w="212" w:type="pct"/>
                  <w:vAlign w:val="center"/>
                </w:tcPr>
                <w:p w14:paraId="7666D99C">
                  <w:pPr>
                    <w:spacing w:line="360" w:lineRule="auto"/>
                    <w:jc w:val="center"/>
                    <w:rPr>
                      <w:color w:val="auto"/>
                      <w:sz w:val="18"/>
                      <w:szCs w:val="18"/>
                    </w:rPr>
                  </w:pPr>
                  <w:r>
                    <w:rPr>
                      <w:color w:val="auto"/>
                      <w:sz w:val="18"/>
                      <w:szCs w:val="18"/>
                    </w:rPr>
                    <w:t>核算</w:t>
                  </w:r>
                </w:p>
                <w:p w14:paraId="6EF095D5">
                  <w:pPr>
                    <w:spacing w:line="360" w:lineRule="auto"/>
                    <w:jc w:val="center"/>
                    <w:rPr>
                      <w:color w:val="auto"/>
                      <w:sz w:val="18"/>
                      <w:szCs w:val="18"/>
                    </w:rPr>
                  </w:pPr>
                  <w:r>
                    <w:rPr>
                      <w:color w:val="auto"/>
                      <w:sz w:val="18"/>
                      <w:szCs w:val="18"/>
                    </w:rPr>
                    <w:t>方法</w:t>
                  </w:r>
                </w:p>
              </w:tc>
              <w:tc>
                <w:tcPr>
                  <w:tcW w:w="465" w:type="pct"/>
                  <w:vAlign w:val="center"/>
                </w:tcPr>
                <w:p w14:paraId="348E278A">
                  <w:pPr>
                    <w:spacing w:line="360" w:lineRule="auto"/>
                    <w:jc w:val="center"/>
                    <w:rPr>
                      <w:color w:val="auto"/>
                      <w:sz w:val="18"/>
                      <w:szCs w:val="18"/>
                    </w:rPr>
                  </w:pPr>
                  <w:r>
                    <w:rPr>
                      <w:color w:val="auto"/>
                      <w:sz w:val="18"/>
                      <w:szCs w:val="18"/>
                    </w:rPr>
                    <w:t>产生废水量（m</w:t>
                  </w:r>
                  <w:r>
                    <w:rPr>
                      <w:color w:val="auto"/>
                      <w:sz w:val="18"/>
                      <w:szCs w:val="18"/>
                      <w:vertAlign w:val="superscript"/>
                    </w:rPr>
                    <w:t>3</w:t>
                  </w:r>
                  <w:r>
                    <w:rPr>
                      <w:color w:val="auto"/>
                      <w:sz w:val="18"/>
                      <w:szCs w:val="18"/>
                    </w:rPr>
                    <w:t>/</w:t>
                  </w:r>
                  <w:r>
                    <w:rPr>
                      <w:rFonts w:hint="eastAsia"/>
                      <w:color w:val="auto"/>
                      <w:sz w:val="18"/>
                      <w:szCs w:val="18"/>
                    </w:rPr>
                    <w:t>a</w:t>
                  </w:r>
                  <w:r>
                    <w:rPr>
                      <w:color w:val="auto"/>
                      <w:sz w:val="18"/>
                      <w:szCs w:val="18"/>
                    </w:rPr>
                    <w:t>）</w:t>
                  </w:r>
                </w:p>
              </w:tc>
              <w:tc>
                <w:tcPr>
                  <w:tcW w:w="491" w:type="pct"/>
                  <w:vAlign w:val="center"/>
                </w:tcPr>
                <w:p w14:paraId="75C3737A">
                  <w:pPr>
                    <w:spacing w:line="360" w:lineRule="auto"/>
                    <w:jc w:val="center"/>
                    <w:rPr>
                      <w:color w:val="auto"/>
                      <w:sz w:val="18"/>
                      <w:szCs w:val="18"/>
                    </w:rPr>
                  </w:pPr>
                  <w:r>
                    <w:rPr>
                      <w:color w:val="auto"/>
                      <w:sz w:val="18"/>
                      <w:szCs w:val="18"/>
                    </w:rPr>
                    <w:t>产生浓度（mg/L）</w:t>
                  </w:r>
                </w:p>
              </w:tc>
              <w:tc>
                <w:tcPr>
                  <w:tcW w:w="462" w:type="pct"/>
                  <w:vAlign w:val="center"/>
                </w:tcPr>
                <w:p w14:paraId="19085105">
                  <w:pPr>
                    <w:spacing w:line="360" w:lineRule="auto"/>
                    <w:jc w:val="center"/>
                    <w:rPr>
                      <w:color w:val="auto"/>
                      <w:sz w:val="18"/>
                      <w:szCs w:val="18"/>
                    </w:rPr>
                  </w:pPr>
                  <w:r>
                    <w:rPr>
                      <w:color w:val="auto"/>
                      <w:sz w:val="18"/>
                      <w:szCs w:val="18"/>
                    </w:rPr>
                    <w:t>产生量（</w:t>
                  </w:r>
                  <w:r>
                    <w:rPr>
                      <w:rFonts w:hint="eastAsia"/>
                      <w:color w:val="auto"/>
                      <w:sz w:val="18"/>
                      <w:szCs w:val="18"/>
                    </w:rPr>
                    <w:t>t</w:t>
                  </w:r>
                  <w:r>
                    <w:rPr>
                      <w:color w:val="auto"/>
                      <w:sz w:val="18"/>
                      <w:szCs w:val="18"/>
                    </w:rPr>
                    <w:t>/</w:t>
                  </w:r>
                  <w:r>
                    <w:rPr>
                      <w:rFonts w:hint="eastAsia"/>
                      <w:color w:val="auto"/>
                      <w:sz w:val="18"/>
                      <w:szCs w:val="18"/>
                    </w:rPr>
                    <w:t>a</w:t>
                  </w:r>
                  <w:r>
                    <w:rPr>
                      <w:color w:val="auto"/>
                      <w:sz w:val="18"/>
                      <w:szCs w:val="18"/>
                    </w:rPr>
                    <w:t>）</w:t>
                  </w:r>
                </w:p>
              </w:tc>
              <w:tc>
                <w:tcPr>
                  <w:tcW w:w="212" w:type="pct"/>
                  <w:vAlign w:val="center"/>
                </w:tcPr>
                <w:p w14:paraId="4E12AF1F">
                  <w:pPr>
                    <w:spacing w:line="360" w:lineRule="auto"/>
                    <w:jc w:val="center"/>
                    <w:rPr>
                      <w:color w:val="auto"/>
                      <w:sz w:val="18"/>
                      <w:szCs w:val="18"/>
                    </w:rPr>
                  </w:pPr>
                  <w:r>
                    <w:rPr>
                      <w:color w:val="auto"/>
                      <w:sz w:val="18"/>
                      <w:szCs w:val="18"/>
                    </w:rPr>
                    <w:t>工艺</w:t>
                  </w:r>
                </w:p>
              </w:tc>
              <w:tc>
                <w:tcPr>
                  <w:tcW w:w="375" w:type="pct"/>
                  <w:vAlign w:val="center"/>
                </w:tcPr>
                <w:p w14:paraId="06F482BC">
                  <w:pPr>
                    <w:spacing w:line="360" w:lineRule="auto"/>
                    <w:jc w:val="center"/>
                    <w:rPr>
                      <w:color w:val="auto"/>
                      <w:sz w:val="18"/>
                      <w:szCs w:val="18"/>
                    </w:rPr>
                  </w:pPr>
                  <w:r>
                    <w:rPr>
                      <w:color w:val="auto"/>
                      <w:sz w:val="18"/>
                      <w:szCs w:val="18"/>
                    </w:rPr>
                    <w:t>效率（%）</w:t>
                  </w:r>
                </w:p>
              </w:tc>
              <w:tc>
                <w:tcPr>
                  <w:tcW w:w="212" w:type="pct"/>
                  <w:vAlign w:val="center"/>
                </w:tcPr>
                <w:p w14:paraId="7125FE1F">
                  <w:pPr>
                    <w:spacing w:line="360" w:lineRule="auto"/>
                    <w:jc w:val="center"/>
                    <w:rPr>
                      <w:color w:val="auto"/>
                      <w:sz w:val="18"/>
                      <w:szCs w:val="18"/>
                    </w:rPr>
                  </w:pPr>
                  <w:r>
                    <w:rPr>
                      <w:color w:val="auto"/>
                      <w:sz w:val="18"/>
                      <w:szCs w:val="18"/>
                    </w:rPr>
                    <w:t>核算</w:t>
                  </w:r>
                </w:p>
                <w:p w14:paraId="6151C1B8">
                  <w:pPr>
                    <w:spacing w:line="360" w:lineRule="auto"/>
                    <w:jc w:val="center"/>
                    <w:rPr>
                      <w:color w:val="auto"/>
                      <w:sz w:val="18"/>
                      <w:szCs w:val="18"/>
                    </w:rPr>
                  </w:pPr>
                  <w:r>
                    <w:rPr>
                      <w:color w:val="auto"/>
                      <w:sz w:val="18"/>
                      <w:szCs w:val="18"/>
                    </w:rPr>
                    <w:t>方法</w:t>
                  </w:r>
                </w:p>
              </w:tc>
              <w:tc>
                <w:tcPr>
                  <w:tcW w:w="461" w:type="pct"/>
                  <w:vAlign w:val="center"/>
                </w:tcPr>
                <w:p w14:paraId="5683C323">
                  <w:pPr>
                    <w:spacing w:line="360" w:lineRule="auto"/>
                    <w:jc w:val="center"/>
                    <w:rPr>
                      <w:color w:val="auto"/>
                      <w:sz w:val="18"/>
                      <w:szCs w:val="18"/>
                    </w:rPr>
                  </w:pPr>
                  <w:r>
                    <w:rPr>
                      <w:color w:val="auto"/>
                      <w:sz w:val="18"/>
                      <w:szCs w:val="18"/>
                    </w:rPr>
                    <w:t>排放废水量（m</w:t>
                  </w:r>
                  <w:r>
                    <w:rPr>
                      <w:color w:val="auto"/>
                      <w:sz w:val="18"/>
                      <w:szCs w:val="18"/>
                      <w:vertAlign w:val="superscript"/>
                    </w:rPr>
                    <w:t>3</w:t>
                  </w:r>
                  <w:r>
                    <w:rPr>
                      <w:rFonts w:hint="eastAsia"/>
                      <w:color w:val="auto"/>
                      <w:sz w:val="18"/>
                      <w:szCs w:val="18"/>
                      <w:vertAlign w:val="superscript"/>
                    </w:rPr>
                    <w:t>/</w:t>
                  </w:r>
                  <w:r>
                    <w:rPr>
                      <w:rFonts w:hint="eastAsia"/>
                      <w:color w:val="auto"/>
                      <w:sz w:val="18"/>
                      <w:szCs w:val="18"/>
                    </w:rPr>
                    <w:t>a</w:t>
                  </w:r>
                  <w:r>
                    <w:rPr>
                      <w:color w:val="auto"/>
                      <w:sz w:val="18"/>
                      <w:szCs w:val="18"/>
                    </w:rPr>
                    <w:t>）</w:t>
                  </w:r>
                </w:p>
              </w:tc>
              <w:tc>
                <w:tcPr>
                  <w:tcW w:w="440" w:type="pct"/>
                  <w:vAlign w:val="center"/>
                </w:tcPr>
                <w:p w14:paraId="4EC8BA30">
                  <w:pPr>
                    <w:spacing w:line="360" w:lineRule="auto"/>
                    <w:jc w:val="center"/>
                    <w:rPr>
                      <w:color w:val="auto"/>
                      <w:sz w:val="18"/>
                      <w:szCs w:val="18"/>
                    </w:rPr>
                  </w:pPr>
                  <w:r>
                    <w:rPr>
                      <w:color w:val="auto"/>
                      <w:sz w:val="18"/>
                      <w:szCs w:val="18"/>
                    </w:rPr>
                    <w:t>排放浓度（mg/L）</w:t>
                  </w:r>
                </w:p>
              </w:tc>
              <w:tc>
                <w:tcPr>
                  <w:tcW w:w="462" w:type="pct"/>
                  <w:vAlign w:val="center"/>
                </w:tcPr>
                <w:p w14:paraId="0A9539F9">
                  <w:pPr>
                    <w:spacing w:line="360" w:lineRule="auto"/>
                    <w:jc w:val="center"/>
                    <w:rPr>
                      <w:color w:val="auto"/>
                      <w:sz w:val="18"/>
                      <w:szCs w:val="18"/>
                    </w:rPr>
                  </w:pPr>
                  <w:r>
                    <w:rPr>
                      <w:color w:val="auto"/>
                      <w:sz w:val="18"/>
                      <w:szCs w:val="18"/>
                    </w:rPr>
                    <w:t>排放量（</w:t>
                  </w:r>
                  <w:r>
                    <w:rPr>
                      <w:rFonts w:hint="eastAsia"/>
                      <w:color w:val="auto"/>
                      <w:sz w:val="18"/>
                      <w:szCs w:val="18"/>
                    </w:rPr>
                    <w:t>t</w:t>
                  </w:r>
                  <w:r>
                    <w:rPr>
                      <w:color w:val="auto"/>
                      <w:sz w:val="18"/>
                      <w:szCs w:val="18"/>
                    </w:rPr>
                    <w:t>/</w:t>
                  </w:r>
                  <w:r>
                    <w:rPr>
                      <w:rFonts w:hint="eastAsia"/>
                      <w:color w:val="auto"/>
                      <w:sz w:val="18"/>
                      <w:szCs w:val="18"/>
                    </w:rPr>
                    <w:t>a</w:t>
                  </w:r>
                  <w:r>
                    <w:rPr>
                      <w:color w:val="auto"/>
                      <w:sz w:val="18"/>
                      <w:szCs w:val="18"/>
                    </w:rPr>
                    <w:t>）</w:t>
                  </w:r>
                </w:p>
              </w:tc>
              <w:tc>
                <w:tcPr>
                  <w:tcW w:w="402" w:type="pct"/>
                  <w:vMerge w:val="continue"/>
                  <w:vAlign w:val="center"/>
                </w:tcPr>
                <w:p w14:paraId="1AE7F2B3">
                  <w:pPr>
                    <w:spacing w:line="360" w:lineRule="auto"/>
                    <w:jc w:val="center"/>
                    <w:rPr>
                      <w:color w:val="auto"/>
                      <w:sz w:val="18"/>
                      <w:szCs w:val="18"/>
                    </w:rPr>
                  </w:pPr>
                </w:p>
              </w:tc>
            </w:tr>
            <w:tr w14:paraId="14D102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2" w:type="pct"/>
                  <w:vMerge w:val="restart"/>
                  <w:vAlign w:val="center"/>
                </w:tcPr>
                <w:p w14:paraId="21534C6A">
                  <w:pPr>
                    <w:spacing w:line="360" w:lineRule="auto"/>
                    <w:jc w:val="center"/>
                    <w:rPr>
                      <w:color w:val="auto"/>
                      <w:sz w:val="18"/>
                      <w:szCs w:val="18"/>
                    </w:rPr>
                  </w:pPr>
                  <w:r>
                    <w:rPr>
                      <w:color w:val="auto"/>
                      <w:sz w:val="18"/>
                      <w:szCs w:val="18"/>
                    </w:rPr>
                    <w:t>职工</w:t>
                  </w:r>
                </w:p>
                <w:p w14:paraId="0B67EC34">
                  <w:pPr>
                    <w:spacing w:line="360" w:lineRule="auto"/>
                    <w:jc w:val="center"/>
                    <w:rPr>
                      <w:color w:val="auto"/>
                      <w:sz w:val="18"/>
                      <w:szCs w:val="18"/>
                    </w:rPr>
                  </w:pPr>
                  <w:r>
                    <w:rPr>
                      <w:color w:val="auto"/>
                      <w:sz w:val="18"/>
                      <w:szCs w:val="18"/>
                    </w:rPr>
                    <w:t>生活</w:t>
                  </w:r>
                </w:p>
              </w:tc>
              <w:tc>
                <w:tcPr>
                  <w:tcW w:w="212" w:type="pct"/>
                  <w:vMerge w:val="restart"/>
                  <w:vAlign w:val="center"/>
                </w:tcPr>
                <w:p w14:paraId="7F501F17">
                  <w:pPr>
                    <w:spacing w:line="360" w:lineRule="auto"/>
                    <w:jc w:val="center"/>
                    <w:rPr>
                      <w:color w:val="auto"/>
                      <w:sz w:val="18"/>
                      <w:szCs w:val="18"/>
                    </w:rPr>
                  </w:pPr>
                  <w:r>
                    <w:rPr>
                      <w:color w:val="auto"/>
                      <w:sz w:val="18"/>
                      <w:szCs w:val="18"/>
                    </w:rPr>
                    <w:t>生活</w:t>
                  </w:r>
                </w:p>
                <w:p w14:paraId="619156B2">
                  <w:pPr>
                    <w:spacing w:line="360" w:lineRule="auto"/>
                    <w:jc w:val="center"/>
                    <w:rPr>
                      <w:color w:val="auto"/>
                      <w:sz w:val="18"/>
                      <w:szCs w:val="18"/>
                    </w:rPr>
                  </w:pPr>
                  <w:r>
                    <w:rPr>
                      <w:color w:val="auto"/>
                      <w:sz w:val="18"/>
                      <w:szCs w:val="18"/>
                    </w:rPr>
                    <w:t>污水</w:t>
                  </w:r>
                </w:p>
              </w:tc>
              <w:tc>
                <w:tcPr>
                  <w:tcW w:w="374" w:type="pct"/>
                  <w:vAlign w:val="center"/>
                </w:tcPr>
                <w:p w14:paraId="1987062F">
                  <w:pPr>
                    <w:spacing w:line="360" w:lineRule="auto"/>
                    <w:jc w:val="center"/>
                    <w:rPr>
                      <w:color w:val="auto"/>
                      <w:sz w:val="18"/>
                      <w:szCs w:val="18"/>
                    </w:rPr>
                  </w:pPr>
                  <w:r>
                    <w:rPr>
                      <w:color w:val="auto"/>
                      <w:sz w:val="18"/>
                      <w:szCs w:val="18"/>
                    </w:rPr>
                    <w:t>COD</w:t>
                  </w:r>
                </w:p>
              </w:tc>
              <w:tc>
                <w:tcPr>
                  <w:tcW w:w="212" w:type="pct"/>
                  <w:vMerge w:val="restart"/>
                  <w:vAlign w:val="center"/>
                </w:tcPr>
                <w:p w14:paraId="606B6681">
                  <w:pPr>
                    <w:spacing w:line="360" w:lineRule="auto"/>
                    <w:jc w:val="center"/>
                    <w:rPr>
                      <w:color w:val="auto"/>
                      <w:sz w:val="18"/>
                      <w:szCs w:val="18"/>
                    </w:rPr>
                  </w:pPr>
                  <w:r>
                    <w:rPr>
                      <w:color w:val="auto"/>
                      <w:sz w:val="18"/>
                      <w:szCs w:val="18"/>
                    </w:rPr>
                    <w:t>类比</w:t>
                  </w:r>
                  <w:r>
                    <w:rPr>
                      <w:rFonts w:hint="eastAsia"/>
                      <w:color w:val="auto"/>
                      <w:sz w:val="18"/>
                      <w:szCs w:val="18"/>
                    </w:rPr>
                    <w:t>法</w:t>
                  </w:r>
                </w:p>
              </w:tc>
              <w:tc>
                <w:tcPr>
                  <w:tcW w:w="465" w:type="pct"/>
                  <w:vMerge w:val="restart"/>
                  <w:vAlign w:val="center"/>
                </w:tcPr>
                <w:p w14:paraId="67DFF2ED">
                  <w:pPr>
                    <w:spacing w:line="360" w:lineRule="auto"/>
                    <w:jc w:val="center"/>
                    <w:rPr>
                      <w:rFonts w:hint="default"/>
                      <w:color w:val="auto"/>
                      <w:sz w:val="18"/>
                      <w:szCs w:val="18"/>
                      <w:lang w:val="en-US" w:eastAsia="zh-CN"/>
                    </w:rPr>
                  </w:pPr>
                  <w:r>
                    <w:rPr>
                      <w:rFonts w:hint="eastAsia"/>
                      <w:color w:val="auto"/>
                      <w:sz w:val="18"/>
                      <w:szCs w:val="18"/>
                      <w:lang w:val="en-US" w:eastAsia="zh-CN"/>
                    </w:rPr>
                    <w:t>94.08</w:t>
                  </w:r>
                </w:p>
              </w:tc>
              <w:tc>
                <w:tcPr>
                  <w:tcW w:w="491" w:type="pct"/>
                  <w:vAlign w:val="center"/>
                </w:tcPr>
                <w:p w14:paraId="7075824C">
                  <w:pPr>
                    <w:spacing w:line="360" w:lineRule="auto"/>
                    <w:jc w:val="center"/>
                    <w:rPr>
                      <w:color w:val="auto"/>
                      <w:sz w:val="18"/>
                      <w:szCs w:val="18"/>
                    </w:rPr>
                  </w:pPr>
                  <w:r>
                    <w:rPr>
                      <w:rFonts w:hint="eastAsia"/>
                      <w:color w:val="auto"/>
                      <w:sz w:val="18"/>
                      <w:szCs w:val="18"/>
                    </w:rPr>
                    <w:t>300</w:t>
                  </w:r>
                </w:p>
              </w:tc>
              <w:tc>
                <w:tcPr>
                  <w:tcW w:w="462" w:type="pct"/>
                  <w:vAlign w:val="center"/>
                </w:tcPr>
                <w:p w14:paraId="79D74C4A">
                  <w:pPr>
                    <w:spacing w:line="360" w:lineRule="auto"/>
                    <w:jc w:val="center"/>
                    <w:rPr>
                      <w:color w:val="auto"/>
                      <w:sz w:val="18"/>
                      <w:szCs w:val="18"/>
                    </w:rPr>
                  </w:pPr>
                  <w:r>
                    <w:rPr>
                      <w:rFonts w:hint="eastAsia"/>
                      <w:color w:val="auto"/>
                      <w:sz w:val="18"/>
                      <w:szCs w:val="18"/>
                    </w:rPr>
                    <w:t>0.028</w:t>
                  </w:r>
                </w:p>
              </w:tc>
              <w:tc>
                <w:tcPr>
                  <w:tcW w:w="212" w:type="pct"/>
                  <w:vMerge w:val="restart"/>
                  <w:vAlign w:val="center"/>
                </w:tcPr>
                <w:p w14:paraId="1D1C6328">
                  <w:pPr>
                    <w:spacing w:line="360" w:lineRule="auto"/>
                    <w:jc w:val="center"/>
                    <w:rPr>
                      <w:color w:val="auto"/>
                      <w:sz w:val="18"/>
                      <w:szCs w:val="18"/>
                    </w:rPr>
                  </w:pPr>
                  <w:r>
                    <w:rPr>
                      <w:rFonts w:hint="eastAsia"/>
                      <w:color w:val="auto"/>
                      <w:sz w:val="18"/>
                      <w:szCs w:val="18"/>
                    </w:rPr>
                    <w:t>/</w:t>
                  </w:r>
                </w:p>
              </w:tc>
              <w:tc>
                <w:tcPr>
                  <w:tcW w:w="375" w:type="pct"/>
                  <w:vAlign w:val="center"/>
                </w:tcPr>
                <w:p w14:paraId="7D202567">
                  <w:pPr>
                    <w:spacing w:line="360" w:lineRule="auto"/>
                    <w:jc w:val="center"/>
                    <w:rPr>
                      <w:color w:val="auto"/>
                      <w:sz w:val="18"/>
                      <w:szCs w:val="18"/>
                    </w:rPr>
                  </w:pPr>
                  <w:r>
                    <w:rPr>
                      <w:rFonts w:hint="eastAsia"/>
                      <w:color w:val="auto"/>
                      <w:sz w:val="18"/>
                      <w:szCs w:val="18"/>
                    </w:rPr>
                    <w:t>/</w:t>
                  </w:r>
                </w:p>
              </w:tc>
              <w:tc>
                <w:tcPr>
                  <w:tcW w:w="212" w:type="pct"/>
                  <w:vMerge w:val="restart"/>
                  <w:vAlign w:val="center"/>
                </w:tcPr>
                <w:p w14:paraId="6B220CA1">
                  <w:pPr>
                    <w:spacing w:line="360" w:lineRule="auto"/>
                    <w:jc w:val="center"/>
                    <w:rPr>
                      <w:rFonts w:hint="eastAsia" w:eastAsia="宋体"/>
                      <w:color w:val="auto"/>
                      <w:sz w:val="18"/>
                      <w:szCs w:val="18"/>
                      <w:lang w:eastAsia="zh-CN"/>
                    </w:rPr>
                  </w:pPr>
                  <w:r>
                    <w:rPr>
                      <w:rFonts w:hint="eastAsia"/>
                      <w:color w:val="auto"/>
                      <w:sz w:val="18"/>
                      <w:szCs w:val="18"/>
                      <w:lang w:val="en-US" w:eastAsia="zh-CN"/>
                    </w:rPr>
                    <w:t>/</w:t>
                  </w:r>
                </w:p>
              </w:tc>
              <w:tc>
                <w:tcPr>
                  <w:tcW w:w="461" w:type="pct"/>
                  <w:vMerge w:val="restart"/>
                  <w:vAlign w:val="center"/>
                </w:tcPr>
                <w:p w14:paraId="7202AB5A">
                  <w:pPr>
                    <w:spacing w:line="360" w:lineRule="auto"/>
                    <w:jc w:val="center"/>
                    <w:rPr>
                      <w:color w:val="auto"/>
                      <w:sz w:val="18"/>
                      <w:szCs w:val="18"/>
                    </w:rPr>
                  </w:pPr>
                </w:p>
              </w:tc>
              <w:tc>
                <w:tcPr>
                  <w:tcW w:w="440" w:type="pct"/>
                  <w:vAlign w:val="center"/>
                </w:tcPr>
                <w:p w14:paraId="652D135F">
                  <w:pPr>
                    <w:spacing w:line="360" w:lineRule="auto"/>
                    <w:jc w:val="center"/>
                    <w:rPr>
                      <w:color w:val="auto"/>
                      <w:sz w:val="18"/>
                      <w:szCs w:val="18"/>
                    </w:rPr>
                  </w:pPr>
                  <w:r>
                    <w:rPr>
                      <w:rFonts w:hint="eastAsia"/>
                      <w:color w:val="auto"/>
                      <w:sz w:val="18"/>
                      <w:szCs w:val="18"/>
                    </w:rPr>
                    <w:t>/</w:t>
                  </w:r>
                </w:p>
              </w:tc>
              <w:tc>
                <w:tcPr>
                  <w:tcW w:w="462" w:type="pct"/>
                  <w:vAlign w:val="center"/>
                </w:tcPr>
                <w:p w14:paraId="6A1B749D">
                  <w:pPr>
                    <w:spacing w:line="360" w:lineRule="auto"/>
                    <w:jc w:val="center"/>
                    <w:rPr>
                      <w:color w:val="auto"/>
                      <w:sz w:val="18"/>
                      <w:szCs w:val="18"/>
                    </w:rPr>
                  </w:pPr>
                  <w:r>
                    <w:rPr>
                      <w:rFonts w:hint="eastAsia"/>
                      <w:color w:val="auto"/>
                      <w:sz w:val="18"/>
                      <w:szCs w:val="18"/>
                    </w:rPr>
                    <w:t>/</w:t>
                  </w:r>
                </w:p>
              </w:tc>
              <w:tc>
                <w:tcPr>
                  <w:tcW w:w="402" w:type="pct"/>
                  <w:vMerge w:val="restart"/>
                  <w:vAlign w:val="center"/>
                </w:tcPr>
                <w:p w14:paraId="291DEFEE">
                  <w:pPr>
                    <w:spacing w:line="360" w:lineRule="auto"/>
                    <w:jc w:val="center"/>
                    <w:rPr>
                      <w:rFonts w:hint="default" w:eastAsia="宋体"/>
                      <w:color w:val="auto"/>
                      <w:sz w:val="18"/>
                      <w:szCs w:val="18"/>
                      <w:lang w:val="en-US" w:eastAsia="zh-CN"/>
                    </w:rPr>
                  </w:pPr>
                  <w:r>
                    <w:rPr>
                      <w:rFonts w:hint="eastAsia"/>
                      <w:color w:val="auto"/>
                      <w:sz w:val="18"/>
                      <w:szCs w:val="18"/>
                      <w:lang w:val="en-US" w:eastAsia="zh-CN"/>
                    </w:rPr>
                    <w:t>1680</w:t>
                  </w:r>
                </w:p>
              </w:tc>
            </w:tr>
            <w:tr w14:paraId="6D6C98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12" w:type="pct"/>
                  <w:vMerge w:val="continue"/>
                  <w:vAlign w:val="center"/>
                </w:tcPr>
                <w:p w14:paraId="5EF446B0">
                  <w:pPr>
                    <w:spacing w:line="360" w:lineRule="auto"/>
                    <w:jc w:val="center"/>
                    <w:rPr>
                      <w:color w:val="auto"/>
                      <w:sz w:val="18"/>
                      <w:szCs w:val="18"/>
                    </w:rPr>
                  </w:pPr>
                </w:p>
              </w:tc>
              <w:tc>
                <w:tcPr>
                  <w:tcW w:w="212" w:type="pct"/>
                  <w:vMerge w:val="continue"/>
                  <w:vAlign w:val="center"/>
                </w:tcPr>
                <w:p w14:paraId="793D93AB">
                  <w:pPr>
                    <w:spacing w:line="360" w:lineRule="auto"/>
                    <w:jc w:val="center"/>
                    <w:rPr>
                      <w:color w:val="auto"/>
                      <w:sz w:val="18"/>
                      <w:szCs w:val="18"/>
                    </w:rPr>
                  </w:pPr>
                </w:p>
              </w:tc>
              <w:tc>
                <w:tcPr>
                  <w:tcW w:w="374" w:type="pct"/>
                  <w:vAlign w:val="center"/>
                </w:tcPr>
                <w:p w14:paraId="3D3380D9">
                  <w:pPr>
                    <w:spacing w:line="360" w:lineRule="auto"/>
                    <w:jc w:val="center"/>
                    <w:rPr>
                      <w:color w:val="auto"/>
                      <w:sz w:val="18"/>
                      <w:szCs w:val="18"/>
                    </w:rPr>
                  </w:pPr>
                  <w:r>
                    <w:rPr>
                      <w:color w:val="auto"/>
                      <w:sz w:val="18"/>
                      <w:szCs w:val="18"/>
                    </w:rPr>
                    <w:t>NH</w:t>
                  </w:r>
                  <w:r>
                    <w:rPr>
                      <w:color w:val="auto"/>
                      <w:sz w:val="18"/>
                      <w:szCs w:val="18"/>
                      <w:vertAlign w:val="subscript"/>
                    </w:rPr>
                    <w:t>3</w:t>
                  </w:r>
                  <w:r>
                    <w:rPr>
                      <w:color w:val="auto"/>
                      <w:sz w:val="18"/>
                      <w:szCs w:val="18"/>
                    </w:rPr>
                    <w:t>-N</w:t>
                  </w:r>
                </w:p>
              </w:tc>
              <w:tc>
                <w:tcPr>
                  <w:tcW w:w="212" w:type="pct"/>
                  <w:vMerge w:val="continue"/>
                  <w:vAlign w:val="center"/>
                </w:tcPr>
                <w:p w14:paraId="184CE01A">
                  <w:pPr>
                    <w:spacing w:line="360" w:lineRule="auto"/>
                    <w:jc w:val="center"/>
                    <w:rPr>
                      <w:color w:val="auto"/>
                      <w:sz w:val="18"/>
                      <w:szCs w:val="18"/>
                    </w:rPr>
                  </w:pPr>
                </w:p>
              </w:tc>
              <w:tc>
                <w:tcPr>
                  <w:tcW w:w="465" w:type="pct"/>
                  <w:vMerge w:val="continue"/>
                  <w:vAlign w:val="center"/>
                </w:tcPr>
                <w:p w14:paraId="5AF83EF4">
                  <w:pPr>
                    <w:spacing w:line="360" w:lineRule="auto"/>
                    <w:jc w:val="center"/>
                    <w:rPr>
                      <w:rFonts w:hint="eastAsia"/>
                      <w:color w:val="auto"/>
                      <w:sz w:val="18"/>
                      <w:szCs w:val="18"/>
                    </w:rPr>
                  </w:pPr>
                </w:p>
              </w:tc>
              <w:tc>
                <w:tcPr>
                  <w:tcW w:w="491" w:type="pct"/>
                  <w:vAlign w:val="center"/>
                </w:tcPr>
                <w:p w14:paraId="3149FDF0">
                  <w:pPr>
                    <w:spacing w:line="360" w:lineRule="auto"/>
                    <w:jc w:val="center"/>
                    <w:rPr>
                      <w:color w:val="auto"/>
                      <w:sz w:val="18"/>
                      <w:szCs w:val="18"/>
                    </w:rPr>
                  </w:pPr>
                  <w:r>
                    <w:rPr>
                      <w:rFonts w:hint="eastAsia"/>
                      <w:color w:val="auto"/>
                      <w:sz w:val="18"/>
                      <w:szCs w:val="18"/>
                    </w:rPr>
                    <w:t>25</w:t>
                  </w:r>
                </w:p>
              </w:tc>
              <w:tc>
                <w:tcPr>
                  <w:tcW w:w="462" w:type="pct"/>
                  <w:vAlign w:val="center"/>
                </w:tcPr>
                <w:p w14:paraId="13A491E7">
                  <w:pPr>
                    <w:spacing w:line="360" w:lineRule="auto"/>
                    <w:jc w:val="center"/>
                    <w:rPr>
                      <w:color w:val="auto"/>
                      <w:sz w:val="18"/>
                      <w:szCs w:val="18"/>
                    </w:rPr>
                  </w:pPr>
                  <w:r>
                    <w:rPr>
                      <w:rFonts w:hint="eastAsia"/>
                      <w:color w:val="auto"/>
                      <w:sz w:val="18"/>
                      <w:szCs w:val="18"/>
                    </w:rPr>
                    <w:t>0.002</w:t>
                  </w:r>
                </w:p>
              </w:tc>
              <w:tc>
                <w:tcPr>
                  <w:tcW w:w="212" w:type="pct"/>
                  <w:vMerge w:val="continue"/>
                  <w:vAlign w:val="center"/>
                </w:tcPr>
                <w:p w14:paraId="556CDD4F">
                  <w:pPr>
                    <w:spacing w:line="360" w:lineRule="auto"/>
                    <w:jc w:val="center"/>
                    <w:rPr>
                      <w:color w:val="auto"/>
                      <w:sz w:val="18"/>
                      <w:szCs w:val="18"/>
                    </w:rPr>
                  </w:pPr>
                </w:p>
              </w:tc>
              <w:tc>
                <w:tcPr>
                  <w:tcW w:w="375" w:type="pct"/>
                  <w:vAlign w:val="center"/>
                </w:tcPr>
                <w:p w14:paraId="2BEE33F0">
                  <w:pPr>
                    <w:spacing w:line="360" w:lineRule="auto"/>
                    <w:jc w:val="center"/>
                    <w:rPr>
                      <w:color w:val="auto"/>
                      <w:sz w:val="18"/>
                      <w:szCs w:val="18"/>
                    </w:rPr>
                  </w:pPr>
                  <w:r>
                    <w:rPr>
                      <w:rFonts w:hint="eastAsia"/>
                      <w:color w:val="auto"/>
                      <w:sz w:val="18"/>
                      <w:szCs w:val="18"/>
                    </w:rPr>
                    <w:t>/</w:t>
                  </w:r>
                </w:p>
              </w:tc>
              <w:tc>
                <w:tcPr>
                  <w:tcW w:w="212" w:type="pct"/>
                  <w:vMerge w:val="continue"/>
                  <w:vAlign w:val="center"/>
                </w:tcPr>
                <w:p w14:paraId="204C3AE6">
                  <w:pPr>
                    <w:spacing w:line="360" w:lineRule="auto"/>
                    <w:jc w:val="center"/>
                    <w:rPr>
                      <w:color w:val="auto"/>
                      <w:sz w:val="18"/>
                      <w:szCs w:val="18"/>
                    </w:rPr>
                  </w:pPr>
                </w:p>
              </w:tc>
              <w:tc>
                <w:tcPr>
                  <w:tcW w:w="461" w:type="pct"/>
                  <w:vMerge w:val="continue"/>
                  <w:vAlign w:val="center"/>
                </w:tcPr>
                <w:p w14:paraId="65DCF4BC">
                  <w:pPr>
                    <w:spacing w:line="360" w:lineRule="auto"/>
                    <w:jc w:val="center"/>
                    <w:rPr>
                      <w:color w:val="auto"/>
                      <w:sz w:val="18"/>
                      <w:szCs w:val="18"/>
                    </w:rPr>
                  </w:pPr>
                </w:p>
              </w:tc>
              <w:tc>
                <w:tcPr>
                  <w:tcW w:w="440" w:type="pct"/>
                  <w:vAlign w:val="center"/>
                </w:tcPr>
                <w:p w14:paraId="4CF521B5">
                  <w:pPr>
                    <w:spacing w:line="360" w:lineRule="auto"/>
                    <w:jc w:val="center"/>
                    <w:rPr>
                      <w:color w:val="auto"/>
                      <w:sz w:val="18"/>
                      <w:szCs w:val="18"/>
                    </w:rPr>
                  </w:pPr>
                  <w:r>
                    <w:rPr>
                      <w:rFonts w:hint="eastAsia"/>
                      <w:color w:val="auto"/>
                      <w:sz w:val="18"/>
                      <w:szCs w:val="18"/>
                    </w:rPr>
                    <w:t>/</w:t>
                  </w:r>
                </w:p>
              </w:tc>
              <w:tc>
                <w:tcPr>
                  <w:tcW w:w="462" w:type="pct"/>
                  <w:vAlign w:val="center"/>
                </w:tcPr>
                <w:p w14:paraId="5763E445">
                  <w:pPr>
                    <w:spacing w:line="360" w:lineRule="auto"/>
                    <w:jc w:val="center"/>
                    <w:rPr>
                      <w:color w:val="auto"/>
                      <w:sz w:val="18"/>
                      <w:szCs w:val="18"/>
                    </w:rPr>
                  </w:pPr>
                  <w:r>
                    <w:rPr>
                      <w:rFonts w:hint="eastAsia"/>
                      <w:color w:val="auto"/>
                      <w:sz w:val="18"/>
                      <w:szCs w:val="18"/>
                    </w:rPr>
                    <w:t>/</w:t>
                  </w:r>
                </w:p>
              </w:tc>
              <w:tc>
                <w:tcPr>
                  <w:tcW w:w="402" w:type="pct"/>
                  <w:vMerge w:val="continue"/>
                  <w:vAlign w:val="center"/>
                </w:tcPr>
                <w:p w14:paraId="5BE2782B">
                  <w:pPr>
                    <w:spacing w:line="360" w:lineRule="auto"/>
                    <w:jc w:val="center"/>
                    <w:rPr>
                      <w:color w:val="auto"/>
                      <w:sz w:val="18"/>
                      <w:szCs w:val="18"/>
                    </w:rPr>
                  </w:pPr>
                </w:p>
              </w:tc>
            </w:tr>
            <w:tr w14:paraId="057F40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12" w:type="pct"/>
                  <w:vAlign w:val="center"/>
                </w:tcPr>
                <w:p w14:paraId="048FBD42">
                  <w:pPr>
                    <w:spacing w:line="360" w:lineRule="auto"/>
                    <w:jc w:val="center"/>
                    <w:rPr>
                      <w:color w:val="auto"/>
                      <w:sz w:val="18"/>
                      <w:szCs w:val="18"/>
                    </w:rPr>
                  </w:pPr>
                  <w:r>
                    <w:rPr>
                      <w:rFonts w:hint="eastAsia"/>
                      <w:color w:val="auto"/>
                      <w:sz w:val="18"/>
                      <w:szCs w:val="18"/>
                      <w:lang w:val="en-US" w:eastAsia="zh-CN"/>
                    </w:rPr>
                    <w:t>车辆冲洗</w:t>
                  </w:r>
                </w:p>
              </w:tc>
              <w:tc>
                <w:tcPr>
                  <w:tcW w:w="212" w:type="pct"/>
                  <w:vAlign w:val="center"/>
                </w:tcPr>
                <w:p w14:paraId="133962FC">
                  <w:pPr>
                    <w:spacing w:line="360" w:lineRule="auto"/>
                    <w:jc w:val="center"/>
                    <w:rPr>
                      <w:color w:val="auto"/>
                      <w:sz w:val="18"/>
                      <w:szCs w:val="18"/>
                    </w:rPr>
                  </w:pPr>
                  <w:r>
                    <w:rPr>
                      <w:rFonts w:hint="eastAsia"/>
                      <w:color w:val="auto"/>
                      <w:sz w:val="18"/>
                      <w:szCs w:val="18"/>
                      <w:lang w:val="en-US" w:eastAsia="zh-CN"/>
                    </w:rPr>
                    <w:t>车辆冲洗废水</w:t>
                  </w:r>
                </w:p>
              </w:tc>
              <w:tc>
                <w:tcPr>
                  <w:tcW w:w="374" w:type="pct"/>
                  <w:vAlign w:val="center"/>
                </w:tcPr>
                <w:p w14:paraId="66567293">
                  <w:pPr>
                    <w:spacing w:line="360" w:lineRule="auto"/>
                    <w:jc w:val="center"/>
                    <w:rPr>
                      <w:color w:val="auto"/>
                      <w:sz w:val="18"/>
                      <w:szCs w:val="18"/>
                    </w:rPr>
                  </w:pPr>
                  <w:r>
                    <w:rPr>
                      <w:rFonts w:hint="eastAsia"/>
                      <w:color w:val="auto"/>
                      <w:sz w:val="18"/>
                      <w:szCs w:val="18"/>
                      <w:lang w:val="en-US" w:eastAsia="zh-CN"/>
                    </w:rPr>
                    <w:t>SS</w:t>
                  </w:r>
                </w:p>
              </w:tc>
              <w:tc>
                <w:tcPr>
                  <w:tcW w:w="212" w:type="pct"/>
                  <w:vAlign w:val="center"/>
                </w:tcPr>
                <w:p w14:paraId="326DDC94">
                  <w:pPr>
                    <w:spacing w:line="360" w:lineRule="auto"/>
                    <w:jc w:val="center"/>
                    <w:rPr>
                      <w:color w:val="auto"/>
                      <w:sz w:val="18"/>
                      <w:szCs w:val="18"/>
                    </w:rPr>
                  </w:pPr>
                  <w:r>
                    <w:rPr>
                      <w:rFonts w:hint="eastAsia"/>
                      <w:color w:val="auto"/>
                      <w:sz w:val="18"/>
                      <w:szCs w:val="18"/>
                      <w:lang w:val="en-US" w:eastAsia="zh-CN"/>
                    </w:rPr>
                    <w:t>类比法</w:t>
                  </w:r>
                </w:p>
              </w:tc>
              <w:tc>
                <w:tcPr>
                  <w:tcW w:w="465" w:type="pct"/>
                  <w:vAlign w:val="center"/>
                </w:tcPr>
                <w:p w14:paraId="41285106">
                  <w:pPr>
                    <w:spacing w:line="360" w:lineRule="auto"/>
                    <w:jc w:val="center"/>
                    <w:rPr>
                      <w:rFonts w:hint="default"/>
                      <w:color w:val="auto"/>
                      <w:sz w:val="18"/>
                      <w:szCs w:val="18"/>
                      <w:lang w:val="en-US" w:eastAsia="zh-CN"/>
                    </w:rPr>
                  </w:pPr>
                  <w:r>
                    <w:rPr>
                      <w:rFonts w:hint="eastAsia"/>
                      <w:color w:val="auto"/>
                      <w:sz w:val="18"/>
                      <w:szCs w:val="18"/>
                      <w:lang w:val="en-US" w:eastAsia="zh-CN"/>
                    </w:rPr>
                    <w:t>1411.2</w:t>
                  </w:r>
                </w:p>
              </w:tc>
              <w:tc>
                <w:tcPr>
                  <w:tcW w:w="491" w:type="pct"/>
                  <w:vAlign w:val="center"/>
                </w:tcPr>
                <w:p w14:paraId="7C3F941E">
                  <w:pPr>
                    <w:spacing w:line="360" w:lineRule="auto"/>
                    <w:jc w:val="center"/>
                    <w:rPr>
                      <w:rFonts w:hint="default"/>
                      <w:color w:val="auto"/>
                      <w:sz w:val="18"/>
                      <w:szCs w:val="18"/>
                      <w:lang w:val="en-US"/>
                    </w:rPr>
                  </w:pPr>
                  <w:r>
                    <w:rPr>
                      <w:rFonts w:hint="eastAsia"/>
                      <w:color w:val="auto"/>
                      <w:sz w:val="18"/>
                      <w:szCs w:val="18"/>
                      <w:lang w:val="en-US" w:eastAsia="zh-CN"/>
                    </w:rPr>
                    <w:t>280</w:t>
                  </w:r>
                </w:p>
              </w:tc>
              <w:tc>
                <w:tcPr>
                  <w:tcW w:w="462" w:type="pct"/>
                  <w:vAlign w:val="center"/>
                </w:tcPr>
                <w:p w14:paraId="54D61AD8">
                  <w:pPr>
                    <w:spacing w:line="360" w:lineRule="auto"/>
                    <w:jc w:val="center"/>
                    <w:rPr>
                      <w:rFonts w:hint="default" w:eastAsia="宋体"/>
                      <w:color w:val="auto"/>
                      <w:sz w:val="18"/>
                      <w:szCs w:val="18"/>
                      <w:lang w:val="en-US" w:eastAsia="zh-CN"/>
                    </w:rPr>
                  </w:pPr>
                  <w:r>
                    <w:rPr>
                      <w:rFonts w:hint="eastAsia"/>
                      <w:color w:val="auto"/>
                      <w:sz w:val="18"/>
                      <w:szCs w:val="18"/>
                      <w:lang w:val="en-US" w:eastAsia="zh-CN"/>
                    </w:rPr>
                    <w:t>0.395</w:t>
                  </w:r>
                </w:p>
              </w:tc>
              <w:tc>
                <w:tcPr>
                  <w:tcW w:w="212" w:type="pct"/>
                  <w:vAlign w:val="center"/>
                </w:tcPr>
                <w:p w14:paraId="371B1A38">
                  <w:pPr>
                    <w:spacing w:line="360" w:lineRule="auto"/>
                    <w:jc w:val="center"/>
                    <w:rPr>
                      <w:color w:val="auto"/>
                      <w:sz w:val="18"/>
                      <w:szCs w:val="18"/>
                    </w:rPr>
                  </w:pPr>
                  <w:r>
                    <w:rPr>
                      <w:rFonts w:hint="eastAsia"/>
                      <w:color w:val="auto"/>
                      <w:sz w:val="18"/>
                      <w:szCs w:val="18"/>
                      <w:lang w:val="en-US" w:eastAsia="zh-CN"/>
                    </w:rPr>
                    <w:t>沉淀池</w:t>
                  </w:r>
                </w:p>
              </w:tc>
              <w:tc>
                <w:tcPr>
                  <w:tcW w:w="375" w:type="pct"/>
                  <w:vAlign w:val="center"/>
                </w:tcPr>
                <w:p w14:paraId="2A461279">
                  <w:pPr>
                    <w:spacing w:line="360" w:lineRule="auto"/>
                    <w:jc w:val="center"/>
                    <w:rPr>
                      <w:rFonts w:hint="eastAsia"/>
                      <w:color w:val="auto"/>
                      <w:sz w:val="18"/>
                      <w:szCs w:val="18"/>
                    </w:rPr>
                  </w:pPr>
                  <w:r>
                    <w:rPr>
                      <w:rFonts w:hint="eastAsia"/>
                      <w:color w:val="auto"/>
                      <w:sz w:val="18"/>
                      <w:szCs w:val="18"/>
                    </w:rPr>
                    <w:t>/</w:t>
                  </w:r>
                </w:p>
              </w:tc>
              <w:tc>
                <w:tcPr>
                  <w:tcW w:w="212" w:type="pct"/>
                  <w:vAlign w:val="center"/>
                </w:tcPr>
                <w:p w14:paraId="66E062F7">
                  <w:pPr>
                    <w:spacing w:line="360" w:lineRule="auto"/>
                    <w:jc w:val="center"/>
                    <w:rPr>
                      <w:color w:val="auto"/>
                      <w:sz w:val="18"/>
                      <w:szCs w:val="18"/>
                    </w:rPr>
                  </w:pPr>
                  <w:r>
                    <w:rPr>
                      <w:rFonts w:hint="eastAsia"/>
                      <w:color w:val="auto"/>
                      <w:sz w:val="18"/>
                      <w:szCs w:val="18"/>
                    </w:rPr>
                    <w:t>/</w:t>
                  </w:r>
                </w:p>
              </w:tc>
              <w:tc>
                <w:tcPr>
                  <w:tcW w:w="461" w:type="pct"/>
                  <w:vAlign w:val="center"/>
                </w:tcPr>
                <w:p w14:paraId="15B20335">
                  <w:pPr>
                    <w:spacing w:line="360" w:lineRule="auto"/>
                    <w:jc w:val="center"/>
                    <w:rPr>
                      <w:color w:val="auto"/>
                      <w:sz w:val="18"/>
                      <w:szCs w:val="18"/>
                    </w:rPr>
                  </w:pPr>
                  <w:r>
                    <w:rPr>
                      <w:rFonts w:hint="eastAsia"/>
                      <w:color w:val="auto"/>
                      <w:sz w:val="18"/>
                      <w:szCs w:val="18"/>
                    </w:rPr>
                    <w:t>/</w:t>
                  </w:r>
                </w:p>
              </w:tc>
              <w:tc>
                <w:tcPr>
                  <w:tcW w:w="440" w:type="pct"/>
                  <w:vAlign w:val="center"/>
                </w:tcPr>
                <w:p w14:paraId="227A683C">
                  <w:pPr>
                    <w:spacing w:line="360" w:lineRule="auto"/>
                    <w:jc w:val="center"/>
                    <w:rPr>
                      <w:rFonts w:hint="eastAsia"/>
                      <w:color w:val="auto"/>
                      <w:sz w:val="18"/>
                      <w:szCs w:val="18"/>
                    </w:rPr>
                  </w:pPr>
                  <w:r>
                    <w:rPr>
                      <w:rFonts w:hint="eastAsia"/>
                      <w:color w:val="auto"/>
                      <w:sz w:val="18"/>
                      <w:szCs w:val="18"/>
                    </w:rPr>
                    <w:t>/</w:t>
                  </w:r>
                </w:p>
              </w:tc>
              <w:tc>
                <w:tcPr>
                  <w:tcW w:w="462" w:type="pct"/>
                  <w:vAlign w:val="center"/>
                </w:tcPr>
                <w:p w14:paraId="1F5E61A6">
                  <w:pPr>
                    <w:spacing w:line="360" w:lineRule="auto"/>
                    <w:jc w:val="center"/>
                    <w:rPr>
                      <w:rFonts w:hint="eastAsia"/>
                      <w:color w:val="auto"/>
                      <w:sz w:val="18"/>
                      <w:szCs w:val="18"/>
                    </w:rPr>
                  </w:pPr>
                  <w:r>
                    <w:rPr>
                      <w:rFonts w:hint="eastAsia"/>
                      <w:color w:val="auto"/>
                      <w:sz w:val="18"/>
                      <w:szCs w:val="18"/>
                    </w:rPr>
                    <w:t>/</w:t>
                  </w:r>
                </w:p>
              </w:tc>
              <w:tc>
                <w:tcPr>
                  <w:tcW w:w="402" w:type="pct"/>
                  <w:vAlign w:val="center"/>
                </w:tcPr>
                <w:p w14:paraId="35C83AFE">
                  <w:pPr>
                    <w:spacing w:line="360" w:lineRule="auto"/>
                    <w:jc w:val="center"/>
                    <w:rPr>
                      <w:rFonts w:hint="default" w:eastAsia="宋体"/>
                      <w:color w:val="auto"/>
                      <w:sz w:val="18"/>
                      <w:szCs w:val="18"/>
                      <w:lang w:val="en-US" w:eastAsia="zh-CN"/>
                    </w:rPr>
                  </w:pPr>
                  <w:r>
                    <w:rPr>
                      <w:rFonts w:hint="eastAsia"/>
                      <w:color w:val="auto"/>
                      <w:sz w:val="18"/>
                      <w:szCs w:val="18"/>
                      <w:lang w:val="en-US" w:eastAsia="zh-CN"/>
                    </w:rPr>
                    <w:t>630</w:t>
                  </w:r>
                </w:p>
              </w:tc>
            </w:tr>
            <w:tr w14:paraId="6CF11B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12" w:type="pct"/>
                  <w:vAlign w:val="center"/>
                </w:tcPr>
                <w:p w14:paraId="08F87205">
                  <w:pPr>
                    <w:spacing w:line="360" w:lineRule="auto"/>
                    <w:jc w:val="center"/>
                    <w:rPr>
                      <w:color w:val="auto"/>
                      <w:sz w:val="18"/>
                      <w:szCs w:val="18"/>
                    </w:rPr>
                  </w:pPr>
                  <w:r>
                    <w:rPr>
                      <w:rFonts w:hint="eastAsia"/>
                      <w:color w:val="auto"/>
                      <w:sz w:val="18"/>
                      <w:szCs w:val="18"/>
                      <w:lang w:val="en-US" w:eastAsia="zh-CN"/>
                    </w:rPr>
                    <w:t>初期雨水</w:t>
                  </w:r>
                </w:p>
              </w:tc>
              <w:tc>
                <w:tcPr>
                  <w:tcW w:w="212" w:type="pct"/>
                  <w:vAlign w:val="center"/>
                </w:tcPr>
                <w:p w14:paraId="529A1142">
                  <w:pPr>
                    <w:spacing w:line="360" w:lineRule="auto"/>
                    <w:jc w:val="center"/>
                    <w:rPr>
                      <w:color w:val="auto"/>
                      <w:sz w:val="18"/>
                      <w:szCs w:val="18"/>
                    </w:rPr>
                  </w:pPr>
                  <w:r>
                    <w:rPr>
                      <w:rFonts w:hint="eastAsia"/>
                      <w:color w:val="auto"/>
                      <w:sz w:val="18"/>
                      <w:szCs w:val="18"/>
                      <w:lang w:val="en-US" w:eastAsia="zh-CN"/>
                    </w:rPr>
                    <w:t>初期雨水</w:t>
                  </w:r>
                </w:p>
              </w:tc>
              <w:tc>
                <w:tcPr>
                  <w:tcW w:w="374" w:type="pct"/>
                  <w:vAlign w:val="center"/>
                </w:tcPr>
                <w:p w14:paraId="6EE86ECA">
                  <w:pPr>
                    <w:spacing w:line="360" w:lineRule="auto"/>
                    <w:jc w:val="center"/>
                    <w:rPr>
                      <w:color w:val="auto"/>
                      <w:sz w:val="18"/>
                      <w:szCs w:val="18"/>
                    </w:rPr>
                  </w:pPr>
                  <w:r>
                    <w:rPr>
                      <w:rFonts w:hint="eastAsia"/>
                      <w:color w:val="auto"/>
                      <w:sz w:val="18"/>
                      <w:szCs w:val="18"/>
                      <w:lang w:val="en-US" w:eastAsia="zh-CN"/>
                    </w:rPr>
                    <w:t>SS</w:t>
                  </w:r>
                </w:p>
              </w:tc>
              <w:tc>
                <w:tcPr>
                  <w:tcW w:w="212" w:type="pct"/>
                  <w:vAlign w:val="center"/>
                </w:tcPr>
                <w:p w14:paraId="3FF18EF6">
                  <w:pPr>
                    <w:spacing w:line="360" w:lineRule="auto"/>
                    <w:jc w:val="center"/>
                    <w:rPr>
                      <w:color w:val="auto"/>
                      <w:sz w:val="18"/>
                      <w:szCs w:val="18"/>
                    </w:rPr>
                  </w:pPr>
                  <w:r>
                    <w:rPr>
                      <w:rFonts w:hint="eastAsia"/>
                      <w:color w:val="auto"/>
                      <w:sz w:val="18"/>
                      <w:szCs w:val="18"/>
                      <w:lang w:val="en-US" w:eastAsia="zh-CN"/>
                    </w:rPr>
                    <w:t>类比法</w:t>
                  </w:r>
                </w:p>
              </w:tc>
              <w:tc>
                <w:tcPr>
                  <w:tcW w:w="465" w:type="pct"/>
                  <w:vAlign w:val="center"/>
                </w:tcPr>
                <w:p w14:paraId="04E163C7">
                  <w:pPr>
                    <w:spacing w:line="360" w:lineRule="auto"/>
                    <w:jc w:val="center"/>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5515.02</w:t>
                  </w:r>
                </w:p>
              </w:tc>
              <w:tc>
                <w:tcPr>
                  <w:tcW w:w="491" w:type="pct"/>
                  <w:vAlign w:val="center"/>
                </w:tcPr>
                <w:p w14:paraId="33C6E8B9">
                  <w:pPr>
                    <w:spacing w:line="360" w:lineRule="auto"/>
                    <w:jc w:val="center"/>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280</w:t>
                  </w:r>
                </w:p>
              </w:tc>
              <w:tc>
                <w:tcPr>
                  <w:tcW w:w="462" w:type="pct"/>
                  <w:vAlign w:val="center"/>
                </w:tcPr>
                <w:p w14:paraId="19A41BBB">
                  <w:pPr>
                    <w:spacing w:line="360" w:lineRule="auto"/>
                    <w:jc w:val="center"/>
                    <w:rPr>
                      <w:rFonts w:hint="default" w:eastAsia="宋体"/>
                      <w:color w:val="auto"/>
                      <w:sz w:val="18"/>
                      <w:szCs w:val="18"/>
                      <w:lang w:val="en-US" w:eastAsia="zh-CN"/>
                    </w:rPr>
                  </w:pPr>
                  <w:r>
                    <w:rPr>
                      <w:rFonts w:hint="eastAsia"/>
                      <w:color w:val="auto"/>
                      <w:sz w:val="18"/>
                      <w:szCs w:val="18"/>
                      <w:lang w:val="en-US" w:eastAsia="zh-CN"/>
                    </w:rPr>
                    <w:t>1.544</w:t>
                  </w:r>
                </w:p>
              </w:tc>
              <w:tc>
                <w:tcPr>
                  <w:tcW w:w="212" w:type="pct"/>
                  <w:vAlign w:val="center"/>
                </w:tcPr>
                <w:p w14:paraId="7C7B6D49">
                  <w:pPr>
                    <w:spacing w:line="360" w:lineRule="auto"/>
                    <w:jc w:val="center"/>
                    <w:rPr>
                      <w:color w:val="auto"/>
                      <w:sz w:val="18"/>
                      <w:szCs w:val="18"/>
                    </w:rPr>
                  </w:pPr>
                  <w:r>
                    <w:rPr>
                      <w:rFonts w:hint="eastAsia"/>
                      <w:color w:val="auto"/>
                      <w:sz w:val="18"/>
                      <w:szCs w:val="18"/>
                      <w:lang w:val="en-US" w:eastAsia="zh-CN"/>
                    </w:rPr>
                    <w:t>沉淀池</w:t>
                  </w:r>
                </w:p>
              </w:tc>
              <w:tc>
                <w:tcPr>
                  <w:tcW w:w="375" w:type="pct"/>
                  <w:vAlign w:val="center"/>
                </w:tcPr>
                <w:p w14:paraId="5B697AF4">
                  <w:pPr>
                    <w:spacing w:line="360" w:lineRule="auto"/>
                    <w:jc w:val="center"/>
                    <w:rPr>
                      <w:rFonts w:hint="eastAsia"/>
                      <w:color w:val="auto"/>
                      <w:sz w:val="18"/>
                      <w:szCs w:val="18"/>
                    </w:rPr>
                  </w:pPr>
                  <w:r>
                    <w:rPr>
                      <w:rFonts w:hint="eastAsia"/>
                      <w:color w:val="auto"/>
                      <w:sz w:val="18"/>
                      <w:szCs w:val="18"/>
                    </w:rPr>
                    <w:t>/</w:t>
                  </w:r>
                </w:p>
              </w:tc>
              <w:tc>
                <w:tcPr>
                  <w:tcW w:w="212" w:type="pct"/>
                  <w:vAlign w:val="center"/>
                </w:tcPr>
                <w:p w14:paraId="0D9A9C8C">
                  <w:pPr>
                    <w:spacing w:line="360" w:lineRule="auto"/>
                    <w:jc w:val="center"/>
                    <w:rPr>
                      <w:color w:val="auto"/>
                      <w:sz w:val="18"/>
                      <w:szCs w:val="18"/>
                    </w:rPr>
                  </w:pPr>
                  <w:r>
                    <w:rPr>
                      <w:rFonts w:hint="eastAsia"/>
                      <w:color w:val="auto"/>
                      <w:sz w:val="18"/>
                      <w:szCs w:val="18"/>
                    </w:rPr>
                    <w:t>/</w:t>
                  </w:r>
                </w:p>
              </w:tc>
              <w:tc>
                <w:tcPr>
                  <w:tcW w:w="461" w:type="pct"/>
                  <w:vAlign w:val="center"/>
                </w:tcPr>
                <w:p w14:paraId="53878D9C">
                  <w:pPr>
                    <w:spacing w:line="360" w:lineRule="auto"/>
                    <w:jc w:val="center"/>
                    <w:rPr>
                      <w:color w:val="auto"/>
                      <w:sz w:val="18"/>
                      <w:szCs w:val="18"/>
                    </w:rPr>
                  </w:pPr>
                  <w:r>
                    <w:rPr>
                      <w:rFonts w:hint="eastAsia"/>
                      <w:color w:val="auto"/>
                      <w:sz w:val="18"/>
                      <w:szCs w:val="18"/>
                    </w:rPr>
                    <w:t>/</w:t>
                  </w:r>
                </w:p>
              </w:tc>
              <w:tc>
                <w:tcPr>
                  <w:tcW w:w="440" w:type="pct"/>
                  <w:vAlign w:val="center"/>
                </w:tcPr>
                <w:p w14:paraId="4B39BEE2">
                  <w:pPr>
                    <w:spacing w:line="360" w:lineRule="auto"/>
                    <w:jc w:val="center"/>
                    <w:rPr>
                      <w:rFonts w:hint="eastAsia"/>
                      <w:color w:val="auto"/>
                      <w:sz w:val="18"/>
                      <w:szCs w:val="18"/>
                    </w:rPr>
                  </w:pPr>
                  <w:r>
                    <w:rPr>
                      <w:rFonts w:hint="eastAsia"/>
                      <w:color w:val="auto"/>
                      <w:sz w:val="18"/>
                      <w:szCs w:val="18"/>
                    </w:rPr>
                    <w:t>/</w:t>
                  </w:r>
                </w:p>
              </w:tc>
              <w:tc>
                <w:tcPr>
                  <w:tcW w:w="462" w:type="pct"/>
                  <w:vAlign w:val="center"/>
                </w:tcPr>
                <w:p w14:paraId="28D38507">
                  <w:pPr>
                    <w:spacing w:line="360" w:lineRule="auto"/>
                    <w:jc w:val="center"/>
                    <w:rPr>
                      <w:rFonts w:hint="eastAsia"/>
                      <w:color w:val="auto"/>
                      <w:sz w:val="18"/>
                      <w:szCs w:val="18"/>
                    </w:rPr>
                  </w:pPr>
                  <w:r>
                    <w:rPr>
                      <w:rFonts w:hint="eastAsia"/>
                      <w:color w:val="auto"/>
                      <w:sz w:val="18"/>
                      <w:szCs w:val="18"/>
                    </w:rPr>
                    <w:t>/</w:t>
                  </w:r>
                </w:p>
              </w:tc>
              <w:tc>
                <w:tcPr>
                  <w:tcW w:w="402" w:type="pct"/>
                  <w:vAlign w:val="center"/>
                </w:tcPr>
                <w:p w14:paraId="60E502D5">
                  <w:pPr>
                    <w:spacing w:line="360" w:lineRule="auto"/>
                    <w:jc w:val="center"/>
                    <w:rPr>
                      <w:rFonts w:hint="default" w:eastAsia="宋体"/>
                      <w:color w:val="auto"/>
                      <w:sz w:val="18"/>
                      <w:szCs w:val="18"/>
                      <w:lang w:val="en-US" w:eastAsia="zh-CN"/>
                    </w:rPr>
                  </w:pPr>
                  <w:r>
                    <w:rPr>
                      <w:rFonts w:hint="eastAsia"/>
                      <w:color w:val="auto"/>
                      <w:sz w:val="18"/>
                      <w:szCs w:val="18"/>
                      <w:lang w:val="en-US" w:eastAsia="zh-CN"/>
                    </w:rPr>
                    <w:t>5040</w:t>
                  </w:r>
                </w:p>
              </w:tc>
            </w:tr>
          </w:tbl>
          <w:p w14:paraId="51F75249">
            <w:pPr>
              <w:pStyle w:val="59"/>
              <w:kinsoku w:val="0"/>
              <w:overflowPunct w:val="0"/>
              <w:autoSpaceDE w:val="0"/>
              <w:autoSpaceDN w:val="0"/>
              <w:spacing w:line="360" w:lineRule="auto"/>
              <w:ind w:firstLine="480"/>
              <w:rPr>
                <w:rFonts w:eastAsiaTheme="minorEastAsia"/>
                <w:color w:val="auto"/>
              </w:rPr>
            </w:pPr>
            <w:r>
              <w:rPr>
                <w:rFonts w:hint="eastAsia" w:eastAsiaTheme="minorEastAsia"/>
                <w:color w:val="auto"/>
              </w:rPr>
              <w:t>2、</w:t>
            </w:r>
            <w:r>
              <w:rPr>
                <w:rFonts w:eastAsiaTheme="minorEastAsia"/>
                <w:color w:val="auto"/>
              </w:rPr>
              <w:t>污染防治措施及环境影响分析</w:t>
            </w:r>
          </w:p>
          <w:p w14:paraId="557DD2A4">
            <w:pPr>
              <w:pStyle w:val="59"/>
              <w:kinsoku w:val="0"/>
              <w:overflowPunct w:val="0"/>
              <w:autoSpaceDE w:val="0"/>
              <w:autoSpaceDN w:val="0"/>
              <w:spacing w:line="360" w:lineRule="auto"/>
              <w:ind w:firstLine="480"/>
              <w:rPr>
                <w:rFonts w:eastAsiaTheme="minorEastAsia"/>
                <w:color w:val="auto"/>
              </w:rPr>
            </w:pPr>
            <w:r>
              <w:rPr>
                <w:rFonts w:eastAsiaTheme="minorEastAsia"/>
                <w:color w:val="auto"/>
              </w:rPr>
              <w:t>本项目废水主要为生活污水</w:t>
            </w:r>
            <w:r>
              <w:rPr>
                <w:rFonts w:hint="eastAsia" w:eastAsiaTheme="minorEastAsia"/>
                <w:color w:val="auto"/>
                <w:lang w:eastAsia="zh-CN"/>
              </w:rPr>
              <w:t>、</w:t>
            </w:r>
            <w:r>
              <w:rPr>
                <w:rFonts w:hint="eastAsia" w:eastAsiaTheme="minorEastAsia"/>
                <w:color w:val="auto"/>
                <w:lang w:val="en-US" w:eastAsia="zh-CN"/>
              </w:rPr>
              <w:t>车辆冲洗废水、降尘用水、初期雨水</w:t>
            </w:r>
            <w:r>
              <w:rPr>
                <w:rFonts w:eastAsiaTheme="minorEastAsia"/>
                <w:color w:val="auto"/>
              </w:rPr>
              <w:t>。</w:t>
            </w:r>
            <w:r>
              <w:rPr>
                <w:rFonts w:hint="eastAsia"/>
                <w:color w:val="auto"/>
                <w:sz w:val="24"/>
                <w:lang w:val="en-US" w:eastAsia="zh-CN"/>
              </w:rPr>
              <w:t>厂区初期雨水经过雨水导流槽收集至雨水收集池，沉淀后全部用于车辆冲洗、厂区路面降尘，不外排；车辆冲洗废水集中收集经沉淀池沉淀后用于厂区路面降尘，自然蒸发，不外排；降尘用水全部自然蒸发，不外排；</w:t>
            </w:r>
            <w:r>
              <w:rPr>
                <w:color w:val="auto"/>
                <w:sz w:val="24"/>
              </w:rPr>
              <w:t>生活污水排入</w:t>
            </w:r>
            <w:r>
              <w:rPr>
                <w:rFonts w:hint="eastAsia"/>
                <w:color w:val="auto"/>
                <w:sz w:val="24"/>
              </w:rPr>
              <w:t>防渗旱厕，定期清掏，外运堆肥，不外排</w:t>
            </w:r>
            <w:r>
              <w:rPr>
                <w:rFonts w:hint="eastAsia"/>
                <w:color w:val="auto"/>
                <w:sz w:val="24"/>
                <w:lang w:eastAsia="zh-CN"/>
              </w:rPr>
              <w:t>。</w:t>
            </w:r>
            <w:r>
              <w:rPr>
                <w:rFonts w:eastAsiaTheme="minorEastAsia"/>
                <w:color w:val="auto"/>
              </w:rPr>
              <w:t>因此本项目建设是可行的。</w:t>
            </w:r>
          </w:p>
          <w:p w14:paraId="1837D035">
            <w:pPr>
              <w:pStyle w:val="35"/>
              <w:spacing w:before="0" w:beforeAutospacing="0" w:after="0" w:afterAutospacing="0" w:line="360" w:lineRule="auto"/>
              <w:ind w:firstLine="482" w:firstLineChars="200"/>
              <w:rPr>
                <w:rFonts w:ascii="Times New Roman" w:hAnsi="Times New Roman"/>
                <w:b/>
                <w:bCs/>
                <w:color w:val="auto"/>
                <w:szCs w:val="24"/>
              </w:rPr>
            </w:pPr>
            <w:r>
              <w:rPr>
                <w:rFonts w:hint="eastAsia" w:ascii="Times New Roman" w:hAnsi="Times New Roman"/>
                <w:b/>
                <w:bCs/>
                <w:color w:val="auto"/>
                <w:szCs w:val="24"/>
              </w:rPr>
              <w:t>三、</w:t>
            </w:r>
            <w:r>
              <w:rPr>
                <w:rFonts w:ascii="Times New Roman" w:hAnsi="Times New Roman"/>
                <w:b/>
                <w:bCs/>
                <w:color w:val="auto"/>
                <w:szCs w:val="24"/>
              </w:rPr>
              <w:t>噪声</w:t>
            </w:r>
          </w:p>
          <w:p w14:paraId="469CB5A6">
            <w:pPr>
              <w:pStyle w:val="35"/>
              <w:spacing w:before="0" w:beforeAutospacing="0" w:after="0" w:afterAutospacing="0" w:line="360" w:lineRule="auto"/>
              <w:ind w:firstLine="480" w:firstLineChars="200"/>
              <w:rPr>
                <w:rFonts w:ascii="Times New Roman" w:hAnsi="Times New Roman"/>
                <w:color w:val="auto"/>
                <w:szCs w:val="24"/>
              </w:rPr>
            </w:pPr>
            <w:r>
              <w:rPr>
                <w:rFonts w:hint="eastAsia" w:ascii="Times New Roman" w:hAnsi="Times New Roman"/>
                <w:color w:val="auto"/>
                <w:szCs w:val="24"/>
              </w:rPr>
              <w:t>1、源强核算及达标排放情况</w:t>
            </w:r>
          </w:p>
          <w:p w14:paraId="7B529737">
            <w:pPr>
              <w:pStyle w:val="59"/>
              <w:adjustRightInd w:val="0"/>
              <w:snapToGrid w:val="0"/>
              <w:spacing w:line="360" w:lineRule="auto"/>
              <w:ind w:firstLine="480"/>
              <w:rPr>
                <w:color w:val="auto"/>
              </w:rPr>
            </w:pPr>
            <w:r>
              <w:rPr>
                <w:color w:val="auto"/>
              </w:rPr>
              <w:t>本项目投产后</w:t>
            </w:r>
            <w:r>
              <w:rPr>
                <w:color w:val="auto"/>
                <w:szCs w:val="24"/>
              </w:rPr>
              <w:t>噪声源主要由</w:t>
            </w:r>
            <w:r>
              <w:rPr>
                <w:rFonts w:hint="eastAsia"/>
                <w:color w:val="auto"/>
                <w:szCs w:val="24"/>
                <w:lang w:val="en-US" w:eastAsia="zh-CN"/>
              </w:rPr>
              <w:t>铲车、炮雾机、运输车</w:t>
            </w:r>
            <w:r>
              <w:rPr>
                <w:color w:val="auto"/>
                <w:szCs w:val="24"/>
              </w:rPr>
              <w:t>产生。</w:t>
            </w:r>
            <w:r>
              <w:rPr>
                <w:color w:val="auto"/>
              </w:rPr>
              <w:t>根据同类型</w:t>
            </w:r>
            <w:r>
              <w:rPr>
                <w:rFonts w:hint="eastAsia"/>
                <w:color w:val="auto"/>
                <w:lang w:val="en-US" w:eastAsia="zh-CN"/>
              </w:rPr>
              <w:t>企业</w:t>
            </w:r>
            <w:r>
              <w:rPr>
                <w:color w:val="auto"/>
              </w:rPr>
              <w:t>的调查，主要设备噪声声压级见表4-</w:t>
            </w:r>
            <w:r>
              <w:rPr>
                <w:rFonts w:hint="eastAsia"/>
                <w:color w:val="auto"/>
                <w:lang w:val="en-US" w:eastAsia="zh-CN"/>
              </w:rPr>
              <w:t>7</w:t>
            </w:r>
            <w:r>
              <w:rPr>
                <w:color w:val="auto"/>
              </w:rPr>
              <w:t>。</w:t>
            </w:r>
          </w:p>
          <w:p w14:paraId="7CC2CB1E">
            <w:pPr>
              <w:jc w:val="center"/>
              <w:rPr>
                <w:color w:val="auto"/>
              </w:rPr>
            </w:pPr>
            <w:r>
              <w:rPr>
                <w:rFonts w:hint="default" w:ascii="Times New Roman" w:hAnsi="Times New Roman" w:eastAsia="宋体" w:cs="Times New Roman"/>
                <w:b/>
                <w:bCs/>
                <w:iCs/>
                <w:color w:val="auto"/>
                <w:kern w:val="0"/>
                <w:sz w:val="21"/>
                <w:szCs w:val="21"/>
                <w:highlight w:val="none"/>
                <w:lang w:val="en-US" w:eastAsia="zh-CN" w:bidi="ar-SA"/>
              </w:rPr>
              <w:t>表</w:t>
            </w:r>
            <w:r>
              <w:rPr>
                <w:rFonts w:hint="eastAsia" w:ascii="Times New Roman" w:hAnsi="Times New Roman" w:eastAsia="宋体" w:cs="Times New Roman"/>
                <w:b/>
                <w:bCs/>
                <w:iCs/>
                <w:color w:val="auto"/>
                <w:kern w:val="0"/>
                <w:sz w:val="21"/>
                <w:szCs w:val="21"/>
                <w:highlight w:val="none"/>
                <w:lang w:val="en-US" w:eastAsia="zh-CN" w:bidi="ar-SA"/>
              </w:rPr>
              <w:t>4-</w:t>
            </w:r>
            <w:r>
              <w:rPr>
                <w:rFonts w:hint="eastAsia" w:cs="Times New Roman"/>
                <w:b/>
                <w:bCs/>
                <w:iCs/>
                <w:color w:val="auto"/>
                <w:kern w:val="0"/>
                <w:sz w:val="21"/>
                <w:szCs w:val="21"/>
                <w:highlight w:val="none"/>
                <w:lang w:val="en-US" w:eastAsia="zh-CN" w:bidi="ar-SA"/>
              </w:rPr>
              <w:t xml:space="preserve">7 </w:t>
            </w:r>
            <w:r>
              <w:rPr>
                <w:rFonts w:hint="default" w:ascii="Times New Roman" w:hAnsi="Times New Roman" w:eastAsia="宋体" w:cs="Times New Roman"/>
                <w:b/>
                <w:bCs/>
                <w:iCs/>
                <w:color w:val="auto"/>
                <w:kern w:val="0"/>
                <w:sz w:val="21"/>
                <w:szCs w:val="21"/>
                <w:highlight w:val="none"/>
                <w:lang w:val="en-US" w:eastAsia="zh-CN" w:bidi="ar-SA"/>
              </w:rPr>
              <w:t xml:space="preserve"> 噪声污染源源强核算结果及相关参数一览表</w:t>
            </w:r>
            <w:r>
              <w:rPr>
                <w:rFonts w:hint="eastAsia" w:ascii="Times New Roman" w:hAnsi="Times New Roman" w:eastAsia="宋体" w:cs="Times New Roman"/>
                <w:b/>
                <w:bCs/>
                <w:iCs/>
                <w:color w:val="auto"/>
                <w:kern w:val="0"/>
                <w:sz w:val="21"/>
                <w:szCs w:val="21"/>
                <w:highlight w:val="none"/>
                <w:lang w:val="en-US" w:eastAsia="zh-CN" w:bidi="ar-SA"/>
              </w:rPr>
              <w:t>（室</w:t>
            </w:r>
            <w:r>
              <w:rPr>
                <w:rFonts w:hint="eastAsia" w:cs="Times New Roman"/>
                <w:b/>
                <w:bCs/>
                <w:iCs/>
                <w:color w:val="auto"/>
                <w:kern w:val="0"/>
                <w:sz w:val="21"/>
                <w:szCs w:val="21"/>
                <w:highlight w:val="none"/>
                <w:lang w:val="en-US" w:eastAsia="zh-CN" w:bidi="ar-SA"/>
              </w:rPr>
              <w:t>外</w:t>
            </w:r>
            <w:r>
              <w:rPr>
                <w:rFonts w:hint="eastAsia" w:ascii="Times New Roman" w:hAnsi="Times New Roman" w:eastAsia="宋体" w:cs="Times New Roman"/>
                <w:b/>
                <w:bCs/>
                <w:iCs/>
                <w:color w:val="auto"/>
                <w:kern w:val="0"/>
                <w:sz w:val="21"/>
                <w:szCs w:val="21"/>
                <w:highlight w:val="none"/>
                <w:lang w:val="en-US" w:eastAsia="zh-CN" w:bidi="ar-SA"/>
              </w:rPr>
              <w:t>声源）</w:t>
            </w:r>
          </w:p>
          <w:tbl>
            <w:tblPr>
              <w:tblStyle w:val="3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82"/>
              <w:gridCol w:w="1164"/>
              <w:gridCol w:w="808"/>
              <w:gridCol w:w="840"/>
              <w:gridCol w:w="794"/>
              <w:gridCol w:w="2017"/>
              <w:gridCol w:w="973"/>
              <w:gridCol w:w="973"/>
            </w:tblGrid>
            <w:tr w14:paraId="16AA74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357" w:type="pct"/>
                  <w:vMerge w:val="restart"/>
                  <w:tcBorders>
                    <w:tl2br w:val="nil"/>
                    <w:tr2bl w:val="nil"/>
                  </w:tcBorders>
                  <w:noWrap w:val="0"/>
                  <w:vAlign w:val="center"/>
                </w:tcPr>
                <w:p w14:paraId="44117BE7">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val="0"/>
                      <w:bCs/>
                      <w:smallCaps w:val="0"/>
                      <w:color w:val="auto"/>
                      <w:sz w:val="21"/>
                      <w:szCs w:val="21"/>
                      <w:highlight w:val="none"/>
                      <w:vertAlign w:val="baseline"/>
                      <w:lang w:val="en-US" w:eastAsia="zh-CN"/>
                    </w:rPr>
                  </w:pPr>
                  <w:r>
                    <w:rPr>
                      <w:rFonts w:hint="eastAsia" w:ascii="Times New Roman" w:hAnsi="Times New Roman" w:eastAsia="宋体"/>
                      <w:b w:val="0"/>
                      <w:bCs/>
                      <w:smallCaps w:val="0"/>
                      <w:color w:val="auto"/>
                      <w:sz w:val="21"/>
                      <w:szCs w:val="21"/>
                      <w:highlight w:val="none"/>
                      <w:vertAlign w:val="baseline"/>
                      <w:lang w:val="en-US" w:eastAsia="zh-CN"/>
                    </w:rPr>
                    <w:t>序号</w:t>
                  </w:r>
                </w:p>
              </w:tc>
              <w:tc>
                <w:tcPr>
                  <w:tcW w:w="714" w:type="pct"/>
                  <w:vMerge w:val="restart"/>
                  <w:tcBorders>
                    <w:tl2br w:val="nil"/>
                    <w:tr2bl w:val="nil"/>
                  </w:tcBorders>
                  <w:noWrap w:val="0"/>
                  <w:vAlign w:val="center"/>
                </w:tcPr>
                <w:p w14:paraId="6A5BE583">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smallCaps w:val="0"/>
                      <w:color w:val="auto"/>
                      <w:sz w:val="21"/>
                      <w:szCs w:val="21"/>
                      <w:highlight w:val="none"/>
                      <w:vertAlign w:val="baseline"/>
                      <w:lang w:val="en-US" w:eastAsia="zh-CN"/>
                    </w:rPr>
                  </w:pPr>
                  <w:r>
                    <w:rPr>
                      <w:rFonts w:hint="eastAsia" w:ascii="Times New Roman" w:hAnsi="Times New Roman" w:eastAsia="宋体"/>
                      <w:b w:val="0"/>
                      <w:bCs/>
                      <w:smallCaps w:val="0"/>
                      <w:color w:val="auto"/>
                      <w:sz w:val="21"/>
                      <w:szCs w:val="21"/>
                      <w:highlight w:val="none"/>
                      <w:vertAlign w:val="baseline"/>
                      <w:lang w:val="en-US" w:eastAsia="zh-CN"/>
                    </w:rPr>
                    <w:t>声源名称</w:t>
                  </w:r>
                </w:p>
              </w:tc>
              <w:tc>
                <w:tcPr>
                  <w:tcW w:w="1497" w:type="pct"/>
                  <w:gridSpan w:val="3"/>
                  <w:tcBorders>
                    <w:bottom w:val="single" w:color="000000" w:sz="4" w:space="0"/>
                    <w:tl2br w:val="nil"/>
                    <w:tr2bl w:val="nil"/>
                  </w:tcBorders>
                  <w:noWrap w:val="0"/>
                  <w:vAlign w:val="center"/>
                </w:tcPr>
                <w:p w14:paraId="691A6443">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smallCaps w:val="0"/>
                      <w:color w:val="auto"/>
                      <w:sz w:val="21"/>
                      <w:szCs w:val="21"/>
                      <w:highlight w:val="none"/>
                      <w:vertAlign w:val="baseline"/>
                      <w:lang w:val="en-US" w:eastAsia="zh-CN"/>
                    </w:rPr>
                  </w:pPr>
                  <w:r>
                    <w:rPr>
                      <w:rFonts w:hint="eastAsia" w:ascii="Times New Roman" w:hAnsi="Times New Roman" w:eastAsia="宋体"/>
                      <w:b w:val="0"/>
                      <w:bCs/>
                      <w:smallCaps w:val="0"/>
                      <w:color w:val="auto"/>
                      <w:sz w:val="21"/>
                      <w:szCs w:val="21"/>
                      <w:highlight w:val="none"/>
                      <w:vertAlign w:val="baseline"/>
                      <w:lang w:val="en-US" w:eastAsia="zh-CN"/>
                    </w:rPr>
                    <w:t>空间相对位置/m</w:t>
                  </w:r>
                </w:p>
              </w:tc>
              <w:tc>
                <w:tcPr>
                  <w:tcW w:w="1237" w:type="pct"/>
                  <w:tcBorders>
                    <w:bottom w:val="single" w:color="000000" w:sz="4" w:space="0"/>
                    <w:tl2br w:val="nil"/>
                    <w:tr2bl w:val="nil"/>
                  </w:tcBorders>
                  <w:noWrap w:val="0"/>
                  <w:vAlign w:val="center"/>
                </w:tcPr>
                <w:p w14:paraId="2A541DE1">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smallCaps w:val="0"/>
                      <w:color w:val="auto"/>
                      <w:sz w:val="21"/>
                      <w:szCs w:val="21"/>
                      <w:highlight w:val="none"/>
                      <w:vertAlign w:val="baseline"/>
                      <w:lang w:val="en-US" w:eastAsia="zh-CN"/>
                    </w:rPr>
                  </w:pPr>
                  <w:r>
                    <w:rPr>
                      <w:rFonts w:hint="eastAsia" w:ascii="Times New Roman" w:hAnsi="Times New Roman" w:eastAsia="宋体"/>
                      <w:b w:val="0"/>
                      <w:bCs/>
                      <w:smallCaps w:val="0"/>
                      <w:color w:val="auto"/>
                      <w:sz w:val="21"/>
                      <w:szCs w:val="21"/>
                      <w:highlight w:val="none"/>
                      <w:vertAlign w:val="baseline"/>
                      <w:lang w:val="en-US" w:eastAsia="zh-CN"/>
                    </w:rPr>
                    <w:t>声源源强</w:t>
                  </w:r>
                </w:p>
              </w:tc>
              <w:tc>
                <w:tcPr>
                  <w:tcW w:w="596" w:type="pct"/>
                  <w:vMerge w:val="restart"/>
                  <w:tcBorders>
                    <w:tl2br w:val="nil"/>
                    <w:tr2bl w:val="nil"/>
                  </w:tcBorders>
                  <w:noWrap w:val="0"/>
                  <w:vAlign w:val="center"/>
                </w:tcPr>
                <w:p w14:paraId="18325BC7">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smallCaps w:val="0"/>
                      <w:color w:val="auto"/>
                      <w:sz w:val="21"/>
                      <w:szCs w:val="21"/>
                      <w:highlight w:val="none"/>
                      <w:vertAlign w:val="baseline"/>
                      <w:lang w:val="en-US" w:eastAsia="zh-CN"/>
                    </w:rPr>
                  </w:pPr>
                  <w:r>
                    <w:rPr>
                      <w:rFonts w:hint="eastAsia" w:ascii="Times New Roman" w:hAnsi="Times New Roman" w:eastAsia="宋体"/>
                      <w:b w:val="0"/>
                      <w:bCs/>
                      <w:smallCaps w:val="0"/>
                      <w:color w:val="auto"/>
                      <w:sz w:val="21"/>
                      <w:szCs w:val="21"/>
                      <w:highlight w:val="none"/>
                      <w:vertAlign w:val="baseline"/>
                      <w:lang w:val="en-US" w:eastAsia="zh-CN"/>
                    </w:rPr>
                    <w:t>声源控制措施</w:t>
                  </w:r>
                </w:p>
              </w:tc>
              <w:tc>
                <w:tcPr>
                  <w:tcW w:w="596" w:type="pct"/>
                  <w:vMerge w:val="restart"/>
                  <w:tcBorders>
                    <w:tl2br w:val="nil"/>
                    <w:tr2bl w:val="nil"/>
                  </w:tcBorders>
                  <w:noWrap w:val="0"/>
                  <w:vAlign w:val="center"/>
                </w:tcPr>
                <w:p w14:paraId="77C36E6A">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smallCaps w:val="0"/>
                      <w:color w:val="auto"/>
                      <w:sz w:val="21"/>
                      <w:szCs w:val="21"/>
                      <w:highlight w:val="none"/>
                      <w:vertAlign w:val="baseline"/>
                      <w:lang w:val="en-US" w:eastAsia="zh-CN"/>
                    </w:rPr>
                  </w:pPr>
                  <w:r>
                    <w:rPr>
                      <w:rFonts w:hint="eastAsia" w:ascii="Times New Roman" w:hAnsi="Times New Roman" w:eastAsia="宋体"/>
                      <w:b w:val="0"/>
                      <w:bCs/>
                      <w:smallCaps w:val="0"/>
                      <w:color w:val="auto"/>
                      <w:sz w:val="21"/>
                      <w:szCs w:val="21"/>
                      <w:highlight w:val="none"/>
                      <w:vertAlign w:val="baseline"/>
                      <w:lang w:val="en-US" w:eastAsia="zh-CN"/>
                    </w:rPr>
                    <w:t>运行时段</w:t>
                  </w:r>
                  <w:r>
                    <w:rPr>
                      <w:rFonts w:hint="eastAsia" w:eastAsia="宋体"/>
                      <w:b w:val="0"/>
                      <w:bCs/>
                      <w:smallCaps w:val="0"/>
                      <w:color w:val="auto"/>
                      <w:sz w:val="21"/>
                      <w:szCs w:val="21"/>
                      <w:highlight w:val="none"/>
                      <w:vertAlign w:val="baseline"/>
                      <w:lang w:val="en-US" w:eastAsia="zh-CN"/>
                    </w:rPr>
                    <w:t>h</w:t>
                  </w:r>
                </w:p>
              </w:tc>
            </w:tr>
            <w:tr w14:paraId="7D7472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357" w:type="pct"/>
                  <w:vMerge w:val="continue"/>
                  <w:tcBorders>
                    <w:tl2br w:val="nil"/>
                    <w:tr2bl w:val="nil"/>
                  </w:tcBorders>
                  <w:noWrap w:val="0"/>
                  <w:vAlign w:val="center"/>
                </w:tcPr>
                <w:p w14:paraId="0150F558">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val="0"/>
                      <w:bCs/>
                      <w:smallCaps w:val="0"/>
                      <w:color w:val="auto"/>
                      <w:sz w:val="21"/>
                      <w:szCs w:val="21"/>
                      <w:highlight w:val="none"/>
                      <w:vertAlign w:val="baseline"/>
                      <w:lang w:val="en-US" w:eastAsia="zh-CN"/>
                    </w:rPr>
                  </w:pPr>
                </w:p>
              </w:tc>
              <w:tc>
                <w:tcPr>
                  <w:tcW w:w="714" w:type="pct"/>
                  <w:vMerge w:val="continue"/>
                  <w:tcBorders>
                    <w:tl2br w:val="nil"/>
                    <w:tr2bl w:val="nil"/>
                  </w:tcBorders>
                  <w:noWrap w:val="0"/>
                  <w:vAlign w:val="center"/>
                </w:tcPr>
                <w:p w14:paraId="42B0CDED">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val="0"/>
                      <w:bCs/>
                      <w:smallCaps w:val="0"/>
                      <w:color w:val="auto"/>
                      <w:sz w:val="21"/>
                      <w:szCs w:val="21"/>
                      <w:highlight w:val="none"/>
                      <w:vertAlign w:val="baseline"/>
                      <w:lang w:val="en-US" w:eastAsia="zh-CN"/>
                    </w:rPr>
                  </w:pPr>
                </w:p>
              </w:tc>
              <w:tc>
                <w:tcPr>
                  <w:tcW w:w="495" w:type="pct"/>
                  <w:tcBorders>
                    <w:top w:val="single" w:color="000000" w:sz="4" w:space="0"/>
                    <w:right w:val="single" w:color="000000" w:sz="4" w:space="0"/>
                    <w:tl2br w:val="nil"/>
                    <w:tr2bl w:val="nil"/>
                  </w:tcBorders>
                  <w:noWrap w:val="0"/>
                  <w:vAlign w:val="center"/>
                </w:tcPr>
                <w:p w14:paraId="56C96D0B">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smallCaps w:val="0"/>
                      <w:color w:val="auto"/>
                      <w:sz w:val="21"/>
                      <w:szCs w:val="21"/>
                      <w:highlight w:val="none"/>
                      <w:vertAlign w:val="baseline"/>
                      <w:lang w:val="en-US" w:eastAsia="zh-CN"/>
                    </w:rPr>
                  </w:pPr>
                  <w:r>
                    <w:rPr>
                      <w:rFonts w:hint="eastAsia" w:ascii="Times New Roman" w:hAnsi="Times New Roman" w:eastAsia="宋体"/>
                      <w:b w:val="0"/>
                      <w:bCs/>
                      <w:smallCaps w:val="0"/>
                      <w:color w:val="auto"/>
                      <w:sz w:val="21"/>
                      <w:szCs w:val="21"/>
                      <w:highlight w:val="none"/>
                      <w:vertAlign w:val="baseline"/>
                      <w:lang w:val="en-US" w:eastAsia="zh-CN"/>
                    </w:rPr>
                    <w:t>X</w:t>
                  </w:r>
                </w:p>
              </w:tc>
              <w:tc>
                <w:tcPr>
                  <w:tcW w:w="515" w:type="pct"/>
                  <w:tcBorders>
                    <w:top w:val="single" w:color="000000" w:sz="4" w:space="0"/>
                    <w:left w:val="single" w:color="000000" w:sz="4" w:space="0"/>
                    <w:right w:val="single" w:color="000000" w:sz="4" w:space="0"/>
                    <w:tl2br w:val="nil"/>
                    <w:tr2bl w:val="nil"/>
                  </w:tcBorders>
                  <w:noWrap w:val="0"/>
                  <w:vAlign w:val="center"/>
                </w:tcPr>
                <w:p w14:paraId="18ADF974">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smallCaps w:val="0"/>
                      <w:color w:val="auto"/>
                      <w:sz w:val="21"/>
                      <w:szCs w:val="21"/>
                      <w:highlight w:val="none"/>
                      <w:vertAlign w:val="baseline"/>
                      <w:lang w:val="en-US" w:eastAsia="zh-CN"/>
                    </w:rPr>
                  </w:pPr>
                  <w:r>
                    <w:rPr>
                      <w:rFonts w:hint="eastAsia" w:ascii="Times New Roman" w:hAnsi="Times New Roman" w:eastAsia="宋体"/>
                      <w:b w:val="0"/>
                      <w:bCs/>
                      <w:smallCaps w:val="0"/>
                      <w:color w:val="auto"/>
                      <w:sz w:val="21"/>
                      <w:szCs w:val="21"/>
                      <w:highlight w:val="none"/>
                      <w:vertAlign w:val="baseline"/>
                      <w:lang w:val="en-US" w:eastAsia="zh-CN"/>
                    </w:rPr>
                    <w:t>Y</w:t>
                  </w:r>
                </w:p>
              </w:tc>
              <w:tc>
                <w:tcPr>
                  <w:tcW w:w="487" w:type="pct"/>
                  <w:tcBorders>
                    <w:top w:val="single" w:color="000000" w:sz="4" w:space="0"/>
                    <w:left w:val="single" w:color="000000" w:sz="4" w:space="0"/>
                    <w:tl2br w:val="nil"/>
                    <w:tr2bl w:val="nil"/>
                  </w:tcBorders>
                  <w:noWrap w:val="0"/>
                  <w:vAlign w:val="center"/>
                </w:tcPr>
                <w:p w14:paraId="7E17BB2A">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smallCaps w:val="0"/>
                      <w:color w:val="auto"/>
                      <w:sz w:val="21"/>
                      <w:szCs w:val="21"/>
                      <w:highlight w:val="none"/>
                      <w:vertAlign w:val="baseline"/>
                      <w:lang w:val="en-US" w:eastAsia="zh-CN"/>
                    </w:rPr>
                  </w:pPr>
                  <w:r>
                    <w:rPr>
                      <w:rFonts w:hint="eastAsia" w:ascii="Times New Roman" w:hAnsi="Times New Roman" w:eastAsia="宋体"/>
                      <w:b w:val="0"/>
                      <w:bCs/>
                      <w:smallCaps w:val="0"/>
                      <w:color w:val="auto"/>
                      <w:sz w:val="21"/>
                      <w:szCs w:val="21"/>
                      <w:highlight w:val="none"/>
                      <w:vertAlign w:val="baseline"/>
                      <w:lang w:val="en-US" w:eastAsia="zh-CN"/>
                    </w:rPr>
                    <w:t>Z</w:t>
                  </w:r>
                </w:p>
              </w:tc>
              <w:tc>
                <w:tcPr>
                  <w:tcW w:w="1237" w:type="pct"/>
                  <w:tcBorders>
                    <w:top w:val="single" w:color="000000" w:sz="4" w:space="0"/>
                    <w:tl2br w:val="nil"/>
                    <w:tr2bl w:val="nil"/>
                  </w:tcBorders>
                  <w:noWrap w:val="0"/>
                  <w:vAlign w:val="center"/>
                </w:tcPr>
                <w:p w14:paraId="724B2C2D">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smallCaps w:val="0"/>
                      <w:color w:val="auto"/>
                      <w:sz w:val="21"/>
                      <w:szCs w:val="21"/>
                      <w:highlight w:val="none"/>
                      <w:vertAlign w:val="baseline"/>
                      <w:lang w:val="en-US" w:eastAsia="zh-CN"/>
                    </w:rPr>
                  </w:pPr>
                  <w:r>
                    <w:rPr>
                      <w:rFonts w:hint="eastAsia" w:ascii="Times New Roman" w:hAnsi="Times New Roman" w:eastAsia="宋体"/>
                      <w:b w:val="0"/>
                      <w:bCs/>
                      <w:smallCaps w:val="0"/>
                      <w:color w:val="auto"/>
                      <w:sz w:val="21"/>
                      <w:szCs w:val="21"/>
                      <w:highlight w:val="none"/>
                      <w:vertAlign w:val="baseline"/>
                      <w:lang w:val="en-US" w:eastAsia="zh-CN"/>
                    </w:rPr>
                    <w:t>声功率级/dB（A）</w:t>
                  </w:r>
                </w:p>
              </w:tc>
              <w:tc>
                <w:tcPr>
                  <w:tcW w:w="596" w:type="pct"/>
                  <w:vMerge w:val="continue"/>
                  <w:tcBorders>
                    <w:tl2br w:val="nil"/>
                    <w:tr2bl w:val="nil"/>
                  </w:tcBorders>
                  <w:noWrap w:val="0"/>
                  <w:vAlign w:val="center"/>
                </w:tcPr>
                <w:p w14:paraId="6DFF58FD">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val="0"/>
                      <w:bCs/>
                      <w:smallCaps w:val="0"/>
                      <w:color w:val="auto"/>
                      <w:sz w:val="21"/>
                      <w:szCs w:val="21"/>
                      <w:highlight w:val="none"/>
                      <w:vertAlign w:val="baseline"/>
                    </w:rPr>
                  </w:pPr>
                </w:p>
              </w:tc>
              <w:tc>
                <w:tcPr>
                  <w:tcW w:w="596" w:type="pct"/>
                  <w:vMerge w:val="continue"/>
                  <w:tcBorders>
                    <w:tl2br w:val="nil"/>
                    <w:tr2bl w:val="nil"/>
                  </w:tcBorders>
                  <w:noWrap w:val="0"/>
                  <w:vAlign w:val="center"/>
                </w:tcPr>
                <w:p w14:paraId="6DA4F7B1">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val="0"/>
                      <w:bCs/>
                      <w:smallCaps w:val="0"/>
                      <w:color w:val="auto"/>
                      <w:sz w:val="21"/>
                      <w:szCs w:val="21"/>
                      <w:highlight w:val="none"/>
                      <w:vertAlign w:val="baseline"/>
                    </w:rPr>
                  </w:pPr>
                </w:p>
              </w:tc>
            </w:tr>
            <w:tr w14:paraId="2C867E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357" w:type="pct"/>
                  <w:tcBorders>
                    <w:tl2br w:val="nil"/>
                    <w:tr2bl w:val="nil"/>
                  </w:tcBorders>
                  <w:noWrap w:val="0"/>
                  <w:vAlign w:val="center"/>
                </w:tcPr>
                <w:p w14:paraId="1C9985A8">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val="0"/>
                      <w:bCs/>
                      <w:smallCaps w:val="0"/>
                      <w:color w:val="auto"/>
                      <w:sz w:val="21"/>
                      <w:szCs w:val="21"/>
                      <w:highlight w:val="none"/>
                      <w:vertAlign w:val="baseline"/>
                      <w:lang w:val="en-US" w:eastAsia="zh-CN"/>
                    </w:rPr>
                  </w:pPr>
                  <w:r>
                    <w:rPr>
                      <w:rFonts w:hint="eastAsia" w:ascii="Times New Roman" w:hAnsi="Times New Roman" w:eastAsia="宋体"/>
                      <w:b w:val="0"/>
                      <w:bCs/>
                      <w:smallCaps w:val="0"/>
                      <w:color w:val="auto"/>
                      <w:sz w:val="21"/>
                      <w:szCs w:val="21"/>
                      <w:highlight w:val="none"/>
                      <w:vertAlign w:val="baseline"/>
                      <w:lang w:val="en-US" w:eastAsia="zh-CN"/>
                    </w:rPr>
                    <w:t>1</w:t>
                  </w:r>
                </w:p>
              </w:tc>
              <w:tc>
                <w:tcPr>
                  <w:tcW w:w="714" w:type="pct"/>
                  <w:tcBorders>
                    <w:tl2br w:val="nil"/>
                    <w:tr2bl w:val="nil"/>
                  </w:tcBorders>
                  <w:noWrap w:val="0"/>
                  <w:vAlign w:val="center"/>
                </w:tcPr>
                <w:p w14:paraId="4D1282EE">
                  <w:pPr>
                    <w:jc w:val="center"/>
                    <w:rPr>
                      <w:rFonts w:hint="eastAsia" w:ascii="Times New Roman" w:hAnsi="Times New Roman" w:eastAsia="宋体"/>
                      <w:b w:val="0"/>
                      <w:bCs/>
                      <w:smallCaps w:val="0"/>
                      <w:color w:val="auto"/>
                      <w:sz w:val="21"/>
                      <w:szCs w:val="21"/>
                      <w:highlight w:val="none"/>
                      <w:vertAlign w:val="baseline"/>
                      <w:lang w:val="en-US" w:eastAsia="zh-CN"/>
                    </w:rPr>
                  </w:pPr>
                  <w:r>
                    <w:rPr>
                      <w:rFonts w:hint="eastAsia" w:ascii="Times New Roman" w:hAnsi="Times New Roman" w:eastAsia="宋体"/>
                      <w:b w:val="0"/>
                      <w:bCs/>
                      <w:smallCaps w:val="0"/>
                      <w:color w:val="auto"/>
                      <w:sz w:val="21"/>
                      <w:szCs w:val="21"/>
                      <w:highlight w:val="none"/>
                      <w:vertAlign w:val="baseline"/>
                      <w:lang w:val="en-US" w:eastAsia="zh-CN"/>
                    </w:rPr>
                    <w:t>铲车</w:t>
                  </w:r>
                </w:p>
              </w:tc>
              <w:tc>
                <w:tcPr>
                  <w:tcW w:w="495" w:type="pct"/>
                  <w:tcBorders>
                    <w:right w:val="single" w:color="000000" w:sz="4" w:space="0"/>
                    <w:tl2br w:val="nil"/>
                    <w:tr2bl w:val="nil"/>
                  </w:tcBorders>
                  <w:noWrap w:val="0"/>
                  <w:vAlign w:val="center"/>
                </w:tcPr>
                <w:p w14:paraId="29709549">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-4</w:t>
                  </w:r>
                </w:p>
              </w:tc>
              <w:tc>
                <w:tcPr>
                  <w:tcW w:w="515" w:type="pct"/>
                  <w:tcBorders>
                    <w:left w:val="single" w:color="000000" w:sz="4" w:space="0"/>
                    <w:right w:val="single" w:color="000000" w:sz="4" w:space="0"/>
                    <w:tl2br w:val="nil"/>
                    <w:tr2bl w:val="nil"/>
                  </w:tcBorders>
                  <w:noWrap w:val="0"/>
                  <w:vAlign w:val="center"/>
                </w:tcPr>
                <w:p w14:paraId="22F56AE0">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26</w:t>
                  </w:r>
                </w:p>
              </w:tc>
              <w:tc>
                <w:tcPr>
                  <w:tcW w:w="487" w:type="pct"/>
                  <w:tcBorders>
                    <w:left w:val="single" w:color="000000" w:sz="4" w:space="0"/>
                    <w:tl2br w:val="nil"/>
                    <w:tr2bl w:val="nil"/>
                  </w:tcBorders>
                  <w:noWrap w:val="0"/>
                  <w:vAlign w:val="center"/>
                </w:tcPr>
                <w:p w14:paraId="239EC5FB">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2.5</w:t>
                  </w:r>
                </w:p>
              </w:tc>
              <w:tc>
                <w:tcPr>
                  <w:tcW w:w="1237" w:type="pct"/>
                  <w:tcBorders>
                    <w:tl2br w:val="nil"/>
                    <w:tr2bl w:val="nil"/>
                  </w:tcBorders>
                  <w:noWrap w:val="0"/>
                  <w:vAlign w:val="center"/>
                </w:tcPr>
                <w:p w14:paraId="0B37A6F0">
                  <w:pPr>
                    <w:jc w:val="center"/>
                    <w:rPr>
                      <w:rFonts w:hint="default" w:ascii="Times New Roman" w:hAnsi="Times New Roman" w:eastAsia="宋体"/>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60</w:t>
                  </w:r>
                </w:p>
              </w:tc>
              <w:tc>
                <w:tcPr>
                  <w:tcW w:w="596" w:type="pct"/>
                  <w:vMerge w:val="restart"/>
                  <w:tcBorders>
                    <w:tl2br w:val="nil"/>
                    <w:tr2bl w:val="nil"/>
                  </w:tcBorders>
                  <w:noWrap w:val="0"/>
                  <w:vAlign w:val="center"/>
                </w:tcPr>
                <w:p w14:paraId="6CC250CB">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val="0"/>
                      <w:bCs/>
                      <w:smallCaps w:val="0"/>
                      <w:color w:val="auto"/>
                      <w:sz w:val="21"/>
                      <w:szCs w:val="21"/>
                      <w:highlight w:val="none"/>
                      <w:vertAlign w:val="baseline"/>
                    </w:rPr>
                  </w:pPr>
                  <w:r>
                    <w:rPr>
                      <w:rFonts w:hint="eastAsia"/>
                      <w:smallCaps w:val="0"/>
                      <w:color w:val="auto"/>
                      <w:sz w:val="21"/>
                      <w:szCs w:val="21"/>
                      <w:highlight w:val="none"/>
                      <w:lang w:val="en-US" w:eastAsia="zh-CN"/>
                    </w:rPr>
                    <w:t>加强厂区运输管理，夜间不生产；车辆减速慢行，降低运输噪声</w:t>
                  </w:r>
                </w:p>
              </w:tc>
              <w:tc>
                <w:tcPr>
                  <w:tcW w:w="596" w:type="pct"/>
                  <w:vMerge w:val="restart"/>
                  <w:tcBorders>
                    <w:tl2br w:val="nil"/>
                    <w:tr2bl w:val="nil"/>
                  </w:tcBorders>
                  <w:noWrap w:val="0"/>
                  <w:vAlign w:val="center"/>
                </w:tcPr>
                <w:p w14:paraId="29FB101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smallCaps w:val="0"/>
                      <w:color w:val="auto"/>
                      <w:kern w:val="2"/>
                      <w:sz w:val="21"/>
                      <w:szCs w:val="21"/>
                      <w:highlight w:val="none"/>
                      <w:vertAlign w:val="baseline"/>
                      <w:lang w:val="en-US" w:eastAsia="zh-CN" w:bidi="ar-SA"/>
                    </w:rPr>
                  </w:pPr>
                  <w:r>
                    <w:rPr>
                      <w:rFonts w:hint="eastAsia"/>
                      <w:smallCaps w:val="0"/>
                      <w:color w:val="auto"/>
                      <w:sz w:val="21"/>
                      <w:szCs w:val="21"/>
                      <w:highlight w:val="none"/>
                      <w:lang w:val="en-US" w:eastAsia="zh-CN"/>
                    </w:rPr>
                    <w:t>1680</w:t>
                  </w:r>
                </w:p>
              </w:tc>
            </w:tr>
            <w:tr w14:paraId="71A581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357" w:type="pct"/>
                  <w:tcBorders>
                    <w:tl2br w:val="nil"/>
                    <w:tr2bl w:val="nil"/>
                  </w:tcBorders>
                  <w:noWrap w:val="0"/>
                  <w:vAlign w:val="center"/>
                </w:tcPr>
                <w:p w14:paraId="59723709">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2</w:t>
                  </w:r>
                </w:p>
              </w:tc>
              <w:tc>
                <w:tcPr>
                  <w:tcW w:w="714" w:type="pct"/>
                  <w:tcBorders>
                    <w:tl2br w:val="nil"/>
                    <w:tr2bl w:val="nil"/>
                  </w:tcBorders>
                  <w:noWrap w:val="0"/>
                  <w:vAlign w:val="center"/>
                </w:tcPr>
                <w:p w14:paraId="17DE8CAD">
                  <w:pPr>
                    <w:jc w:val="center"/>
                    <w:rPr>
                      <w:rFonts w:ascii="Times New Roman" w:hAnsi="Times New Roman" w:eastAsia="宋体"/>
                      <w:smallCaps w:val="0"/>
                      <w:color w:val="auto"/>
                      <w:sz w:val="21"/>
                      <w:szCs w:val="21"/>
                      <w:highlight w:val="none"/>
                    </w:rPr>
                  </w:pPr>
                  <w:r>
                    <w:rPr>
                      <w:rFonts w:hint="eastAsia"/>
                      <w:b w:val="0"/>
                      <w:bCs/>
                      <w:smallCaps w:val="0"/>
                      <w:color w:val="auto"/>
                      <w:sz w:val="21"/>
                      <w:szCs w:val="21"/>
                      <w:highlight w:val="none"/>
                      <w:vertAlign w:val="baseline"/>
                      <w:lang w:val="en-US" w:eastAsia="zh-CN"/>
                    </w:rPr>
                    <w:t>四轮车</w:t>
                  </w:r>
                </w:p>
              </w:tc>
              <w:tc>
                <w:tcPr>
                  <w:tcW w:w="495" w:type="pct"/>
                  <w:tcBorders>
                    <w:tl2br w:val="nil"/>
                    <w:tr2bl w:val="nil"/>
                  </w:tcBorders>
                  <w:noWrap w:val="0"/>
                  <w:vAlign w:val="center"/>
                </w:tcPr>
                <w:p w14:paraId="4D224373">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-8</w:t>
                  </w:r>
                </w:p>
              </w:tc>
              <w:tc>
                <w:tcPr>
                  <w:tcW w:w="515" w:type="pct"/>
                  <w:tcBorders>
                    <w:tl2br w:val="nil"/>
                    <w:tr2bl w:val="nil"/>
                  </w:tcBorders>
                  <w:noWrap w:val="0"/>
                  <w:vAlign w:val="center"/>
                </w:tcPr>
                <w:p w14:paraId="2AA27880">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3</w:t>
                  </w:r>
                </w:p>
              </w:tc>
              <w:tc>
                <w:tcPr>
                  <w:tcW w:w="487" w:type="pct"/>
                  <w:tcBorders>
                    <w:tl2br w:val="nil"/>
                    <w:tr2bl w:val="nil"/>
                  </w:tcBorders>
                  <w:noWrap w:val="0"/>
                  <w:vAlign w:val="center"/>
                </w:tcPr>
                <w:p w14:paraId="24EBF187">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2</w:t>
                  </w:r>
                </w:p>
              </w:tc>
              <w:tc>
                <w:tcPr>
                  <w:tcW w:w="1237" w:type="pct"/>
                  <w:tcBorders>
                    <w:tl2br w:val="nil"/>
                    <w:tr2bl w:val="nil"/>
                  </w:tcBorders>
                  <w:noWrap w:val="0"/>
                  <w:vAlign w:val="center"/>
                </w:tcPr>
                <w:p w14:paraId="00DA4B3B">
                  <w:pPr>
                    <w:jc w:val="center"/>
                    <w:rPr>
                      <w:rFonts w:hint="eastAsia" w:ascii="Times New Roman" w:hAnsi="Times New Roman" w:eastAsia="宋体"/>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55</w:t>
                  </w:r>
                </w:p>
              </w:tc>
              <w:tc>
                <w:tcPr>
                  <w:tcW w:w="596" w:type="pct"/>
                  <w:vMerge w:val="continue"/>
                  <w:tcBorders>
                    <w:tl2br w:val="nil"/>
                    <w:tr2bl w:val="nil"/>
                  </w:tcBorders>
                  <w:noWrap w:val="0"/>
                  <w:vAlign w:val="center"/>
                </w:tcPr>
                <w:p w14:paraId="1F19162F">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val="0"/>
                      <w:bCs/>
                      <w:smallCaps w:val="0"/>
                      <w:color w:val="auto"/>
                      <w:sz w:val="21"/>
                      <w:szCs w:val="21"/>
                      <w:highlight w:val="none"/>
                      <w:vertAlign w:val="baseline"/>
                    </w:rPr>
                  </w:pPr>
                </w:p>
              </w:tc>
              <w:tc>
                <w:tcPr>
                  <w:tcW w:w="596" w:type="pct"/>
                  <w:vMerge w:val="continue"/>
                  <w:tcBorders>
                    <w:tl2br w:val="nil"/>
                    <w:tr2bl w:val="nil"/>
                  </w:tcBorders>
                  <w:noWrap w:val="0"/>
                  <w:vAlign w:val="center"/>
                </w:tcPr>
                <w:p w14:paraId="7E326A48">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b w:val="0"/>
                      <w:bCs/>
                      <w:smallCaps w:val="0"/>
                      <w:color w:val="auto"/>
                      <w:sz w:val="21"/>
                      <w:szCs w:val="21"/>
                      <w:highlight w:val="none"/>
                      <w:vertAlign w:val="baseline"/>
                    </w:rPr>
                  </w:pPr>
                </w:p>
              </w:tc>
            </w:tr>
            <w:tr w14:paraId="1312C9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357" w:type="pct"/>
                  <w:tcBorders>
                    <w:tl2br w:val="nil"/>
                    <w:tr2bl w:val="nil"/>
                  </w:tcBorders>
                  <w:noWrap w:val="0"/>
                  <w:vAlign w:val="center"/>
                </w:tcPr>
                <w:p w14:paraId="42AD4E44">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mallCaps w:val="0"/>
                      <w:color w:val="auto"/>
                      <w:kern w:val="2"/>
                      <w:sz w:val="21"/>
                      <w:szCs w:val="21"/>
                      <w:highlight w:val="none"/>
                      <w:vertAlign w:val="baseline"/>
                      <w:lang w:val="en-US" w:eastAsia="zh-CN" w:bidi="ar-SA"/>
                    </w:rPr>
                  </w:pPr>
                  <w:r>
                    <w:rPr>
                      <w:rFonts w:hint="eastAsia"/>
                      <w:b w:val="0"/>
                      <w:bCs/>
                      <w:smallCaps w:val="0"/>
                      <w:color w:val="auto"/>
                      <w:sz w:val="21"/>
                      <w:szCs w:val="21"/>
                      <w:highlight w:val="none"/>
                      <w:vertAlign w:val="baseline"/>
                      <w:lang w:val="en-US" w:eastAsia="zh-CN"/>
                    </w:rPr>
                    <w:t>3</w:t>
                  </w:r>
                </w:p>
              </w:tc>
              <w:tc>
                <w:tcPr>
                  <w:tcW w:w="714" w:type="pct"/>
                  <w:tcBorders>
                    <w:tl2br w:val="nil"/>
                    <w:tr2bl w:val="nil"/>
                  </w:tcBorders>
                  <w:noWrap w:val="0"/>
                  <w:vAlign w:val="center"/>
                </w:tcPr>
                <w:p w14:paraId="2BC2C731">
                  <w:pPr>
                    <w:jc w:val="center"/>
                    <w:rPr>
                      <w:rFonts w:hint="default" w:ascii="Times New Roman" w:hAnsi="Times New Roman" w:eastAsia="宋体"/>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炮雾机</w:t>
                  </w:r>
                </w:p>
              </w:tc>
              <w:tc>
                <w:tcPr>
                  <w:tcW w:w="495" w:type="pct"/>
                  <w:tcBorders>
                    <w:tl2br w:val="nil"/>
                    <w:tr2bl w:val="nil"/>
                  </w:tcBorders>
                  <w:noWrap w:val="0"/>
                  <w:vAlign w:val="center"/>
                </w:tcPr>
                <w:p w14:paraId="010C27C0">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-11</w:t>
                  </w:r>
                </w:p>
              </w:tc>
              <w:tc>
                <w:tcPr>
                  <w:tcW w:w="515" w:type="pct"/>
                  <w:tcBorders>
                    <w:tl2br w:val="nil"/>
                    <w:tr2bl w:val="nil"/>
                  </w:tcBorders>
                  <w:noWrap w:val="0"/>
                  <w:vAlign w:val="center"/>
                </w:tcPr>
                <w:p w14:paraId="3FC42BAF">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-30</w:t>
                  </w:r>
                </w:p>
              </w:tc>
              <w:tc>
                <w:tcPr>
                  <w:tcW w:w="487" w:type="pct"/>
                  <w:tcBorders>
                    <w:tl2br w:val="nil"/>
                    <w:tr2bl w:val="nil"/>
                  </w:tcBorders>
                  <w:noWrap w:val="0"/>
                  <w:vAlign w:val="center"/>
                </w:tcPr>
                <w:p w14:paraId="5994B10D">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1.5</w:t>
                  </w:r>
                </w:p>
              </w:tc>
              <w:tc>
                <w:tcPr>
                  <w:tcW w:w="1237" w:type="pct"/>
                  <w:tcBorders>
                    <w:tl2br w:val="nil"/>
                    <w:tr2bl w:val="nil"/>
                  </w:tcBorders>
                  <w:noWrap w:val="0"/>
                  <w:vAlign w:val="center"/>
                </w:tcPr>
                <w:p w14:paraId="7EDE55E7">
                  <w:pPr>
                    <w:jc w:val="center"/>
                    <w:rPr>
                      <w:rFonts w:hint="default"/>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60</w:t>
                  </w:r>
                </w:p>
              </w:tc>
              <w:tc>
                <w:tcPr>
                  <w:tcW w:w="596" w:type="pct"/>
                  <w:vMerge w:val="continue"/>
                  <w:tcBorders>
                    <w:tl2br w:val="nil"/>
                    <w:tr2bl w:val="nil"/>
                  </w:tcBorders>
                  <w:noWrap w:val="0"/>
                  <w:vAlign w:val="center"/>
                </w:tcPr>
                <w:p w14:paraId="2E5F2B2E">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smallCaps w:val="0"/>
                      <w:color w:val="auto"/>
                      <w:kern w:val="2"/>
                      <w:sz w:val="21"/>
                      <w:szCs w:val="21"/>
                      <w:highlight w:val="none"/>
                      <w:vertAlign w:val="baseline"/>
                      <w:lang w:val="en-US" w:eastAsia="zh-CN" w:bidi="ar-SA"/>
                    </w:rPr>
                  </w:pPr>
                </w:p>
              </w:tc>
              <w:tc>
                <w:tcPr>
                  <w:tcW w:w="596" w:type="pct"/>
                  <w:tcBorders>
                    <w:tl2br w:val="nil"/>
                    <w:tr2bl w:val="nil"/>
                  </w:tcBorders>
                  <w:noWrap w:val="0"/>
                  <w:vAlign w:val="center"/>
                </w:tcPr>
                <w:p w14:paraId="4BA494EB">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mallCaps w:val="0"/>
                      <w:color w:val="auto"/>
                      <w:kern w:val="2"/>
                      <w:sz w:val="21"/>
                      <w:szCs w:val="21"/>
                      <w:highlight w:val="none"/>
                      <w:vertAlign w:val="baseline"/>
                      <w:lang w:val="en-US" w:eastAsia="zh-CN" w:bidi="ar-SA"/>
                    </w:rPr>
                  </w:pPr>
                  <w:r>
                    <w:rPr>
                      <w:rFonts w:hint="eastAsia" w:cs="Times New Roman"/>
                      <w:b w:val="0"/>
                      <w:bCs/>
                      <w:smallCaps w:val="0"/>
                      <w:color w:val="auto"/>
                      <w:kern w:val="2"/>
                      <w:sz w:val="21"/>
                      <w:szCs w:val="21"/>
                      <w:highlight w:val="none"/>
                      <w:vertAlign w:val="baseline"/>
                      <w:lang w:val="en-US" w:eastAsia="zh-CN" w:bidi="ar-SA"/>
                    </w:rPr>
                    <w:t>840</w:t>
                  </w:r>
                </w:p>
              </w:tc>
            </w:tr>
            <w:tr w14:paraId="1BBEDF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357" w:type="pct"/>
                  <w:tcBorders>
                    <w:tl2br w:val="nil"/>
                    <w:tr2bl w:val="nil"/>
                  </w:tcBorders>
                  <w:noWrap w:val="0"/>
                  <w:vAlign w:val="center"/>
                </w:tcPr>
                <w:p w14:paraId="17777E30">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mallCaps w:val="0"/>
                      <w:color w:val="auto"/>
                      <w:kern w:val="2"/>
                      <w:sz w:val="21"/>
                      <w:szCs w:val="21"/>
                      <w:highlight w:val="none"/>
                      <w:vertAlign w:val="baseline"/>
                      <w:lang w:val="en-US" w:eastAsia="zh-CN" w:bidi="ar-SA"/>
                    </w:rPr>
                  </w:pPr>
                  <w:r>
                    <w:rPr>
                      <w:rFonts w:hint="eastAsia"/>
                      <w:b w:val="0"/>
                      <w:bCs/>
                      <w:smallCaps w:val="0"/>
                      <w:color w:val="auto"/>
                      <w:sz w:val="21"/>
                      <w:szCs w:val="21"/>
                      <w:highlight w:val="none"/>
                      <w:vertAlign w:val="baseline"/>
                      <w:lang w:val="en-US" w:eastAsia="zh-CN"/>
                    </w:rPr>
                    <w:t>4</w:t>
                  </w:r>
                </w:p>
              </w:tc>
              <w:tc>
                <w:tcPr>
                  <w:tcW w:w="714" w:type="pct"/>
                  <w:tcBorders>
                    <w:tl2br w:val="nil"/>
                    <w:tr2bl w:val="nil"/>
                  </w:tcBorders>
                  <w:noWrap w:val="0"/>
                  <w:vAlign w:val="center"/>
                </w:tcPr>
                <w:p w14:paraId="36F43EC6">
                  <w:pPr>
                    <w:jc w:val="center"/>
                    <w:rPr>
                      <w:rFonts w:hint="default"/>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运输车</w:t>
                  </w:r>
                </w:p>
              </w:tc>
              <w:tc>
                <w:tcPr>
                  <w:tcW w:w="495" w:type="pct"/>
                  <w:tcBorders>
                    <w:tl2br w:val="nil"/>
                    <w:tr2bl w:val="nil"/>
                  </w:tcBorders>
                  <w:noWrap w:val="0"/>
                  <w:vAlign w:val="center"/>
                </w:tcPr>
                <w:p w14:paraId="2A0E753D">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22</w:t>
                  </w:r>
                </w:p>
              </w:tc>
              <w:tc>
                <w:tcPr>
                  <w:tcW w:w="515" w:type="pct"/>
                  <w:tcBorders>
                    <w:tl2br w:val="nil"/>
                    <w:tr2bl w:val="nil"/>
                  </w:tcBorders>
                  <w:noWrap w:val="0"/>
                  <w:vAlign w:val="center"/>
                </w:tcPr>
                <w:p w14:paraId="461A1633">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0</w:t>
                  </w:r>
                </w:p>
              </w:tc>
              <w:tc>
                <w:tcPr>
                  <w:tcW w:w="487" w:type="pct"/>
                  <w:tcBorders>
                    <w:tl2br w:val="nil"/>
                    <w:tr2bl w:val="nil"/>
                  </w:tcBorders>
                  <w:noWrap w:val="0"/>
                  <w:vAlign w:val="center"/>
                </w:tcPr>
                <w:p w14:paraId="6111251F">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2.5</w:t>
                  </w:r>
                </w:p>
              </w:tc>
              <w:tc>
                <w:tcPr>
                  <w:tcW w:w="1237" w:type="pct"/>
                  <w:tcBorders>
                    <w:tl2br w:val="nil"/>
                    <w:tr2bl w:val="nil"/>
                  </w:tcBorders>
                  <w:noWrap w:val="0"/>
                  <w:vAlign w:val="center"/>
                </w:tcPr>
                <w:p w14:paraId="13EB7178">
                  <w:pPr>
                    <w:jc w:val="center"/>
                    <w:rPr>
                      <w:rFonts w:hint="default"/>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65</w:t>
                  </w:r>
                </w:p>
              </w:tc>
              <w:tc>
                <w:tcPr>
                  <w:tcW w:w="596" w:type="pct"/>
                  <w:vMerge w:val="continue"/>
                  <w:tcBorders>
                    <w:tl2br w:val="nil"/>
                    <w:tr2bl w:val="nil"/>
                  </w:tcBorders>
                  <w:noWrap w:val="0"/>
                  <w:vAlign w:val="center"/>
                </w:tcPr>
                <w:p w14:paraId="7E2EA164">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smallCaps w:val="0"/>
                      <w:color w:val="auto"/>
                      <w:kern w:val="2"/>
                      <w:sz w:val="21"/>
                      <w:szCs w:val="21"/>
                      <w:highlight w:val="none"/>
                      <w:vertAlign w:val="baseline"/>
                      <w:lang w:val="en-US" w:eastAsia="zh-CN" w:bidi="ar-SA"/>
                    </w:rPr>
                  </w:pPr>
                </w:p>
              </w:tc>
              <w:tc>
                <w:tcPr>
                  <w:tcW w:w="596" w:type="pct"/>
                  <w:tcBorders>
                    <w:tl2br w:val="nil"/>
                    <w:tr2bl w:val="nil"/>
                  </w:tcBorders>
                  <w:noWrap w:val="0"/>
                  <w:vAlign w:val="center"/>
                </w:tcPr>
                <w:p w14:paraId="3AF8AA55">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smallCaps w:val="0"/>
                      <w:color w:val="auto"/>
                      <w:kern w:val="2"/>
                      <w:sz w:val="21"/>
                      <w:szCs w:val="21"/>
                      <w:highlight w:val="none"/>
                      <w:vertAlign w:val="baseline"/>
                      <w:lang w:val="en-US" w:eastAsia="zh-CN" w:bidi="ar-SA"/>
                    </w:rPr>
                  </w:pPr>
                  <w:r>
                    <w:rPr>
                      <w:rFonts w:hint="eastAsia" w:cs="Times New Roman"/>
                      <w:b w:val="0"/>
                      <w:bCs/>
                      <w:smallCaps w:val="0"/>
                      <w:color w:val="auto"/>
                      <w:kern w:val="2"/>
                      <w:sz w:val="21"/>
                      <w:szCs w:val="21"/>
                      <w:highlight w:val="none"/>
                      <w:vertAlign w:val="baseline"/>
                      <w:lang w:val="en-US" w:eastAsia="zh-CN" w:bidi="ar-SA"/>
                    </w:rPr>
                    <w:t>630</w:t>
                  </w:r>
                </w:p>
              </w:tc>
            </w:tr>
            <w:tr w14:paraId="01FEC6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357" w:type="pct"/>
                  <w:tcBorders>
                    <w:tl2br w:val="nil"/>
                    <w:tr2bl w:val="nil"/>
                  </w:tcBorders>
                  <w:noWrap w:val="0"/>
                  <w:vAlign w:val="center"/>
                </w:tcPr>
                <w:p w14:paraId="74BACF1C">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smallCaps w:val="0"/>
                      <w:color w:val="auto"/>
                      <w:sz w:val="21"/>
                      <w:szCs w:val="21"/>
                      <w:highlight w:val="none"/>
                      <w:vertAlign w:val="baseline"/>
                      <w:lang w:val="en-US" w:eastAsia="zh-CN"/>
                    </w:rPr>
                  </w:pPr>
                  <w:r>
                    <w:rPr>
                      <w:rFonts w:hint="eastAsia"/>
                      <w:b w:val="0"/>
                      <w:bCs/>
                      <w:smallCaps w:val="0"/>
                      <w:color w:val="auto"/>
                      <w:sz w:val="21"/>
                      <w:szCs w:val="21"/>
                      <w:highlight w:val="none"/>
                      <w:vertAlign w:val="baseline"/>
                      <w:lang w:val="en-US" w:eastAsia="zh-CN"/>
                    </w:rPr>
                    <w:t>5</w:t>
                  </w:r>
                </w:p>
              </w:tc>
              <w:tc>
                <w:tcPr>
                  <w:tcW w:w="714" w:type="pct"/>
                  <w:tcBorders>
                    <w:tl2br w:val="nil"/>
                    <w:tr2bl w:val="nil"/>
                  </w:tcBorders>
                  <w:noWrap w:val="0"/>
                  <w:vAlign w:val="center"/>
                </w:tcPr>
                <w:p w14:paraId="0E2B41B6">
                  <w:pPr>
                    <w:jc w:val="center"/>
                    <w:rPr>
                      <w:rFonts w:hint="eastAsia" w:ascii="Times New Roman" w:hAnsi="Times New Roman" w:eastAsia="宋体" w:cs="Times New Roman"/>
                      <w:b w:val="0"/>
                      <w:bCs/>
                      <w:smallCaps w:val="0"/>
                      <w:color w:val="auto"/>
                      <w:kern w:val="2"/>
                      <w:sz w:val="21"/>
                      <w:szCs w:val="21"/>
                      <w:highlight w:val="none"/>
                      <w:vertAlign w:val="baseline"/>
                      <w:lang w:val="en-US" w:eastAsia="zh-CN" w:bidi="ar-SA"/>
                    </w:rPr>
                  </w:pPr>
                  <w:r>
                    <w:rPr>
                      <w:rFonts w:hint="eastAsia"/>
                      <w:b w:val="0"/>
                      <w:bCs/>
                      <w:smallCaps w:val="0"/>
                      <w:color w:val="auto"/>
                      <w:sz w:val="21"/>
                      <w:szCs w:val="21"/>
                      <w:highlight w:val="none"/>
                      <w:vertAlign w:val="baseline"/>
                      <w:lang w:val="en-US" w:eastAsia="zh-CN"/>
                    </w:rPr>
                    <w:t>运输车</w:t>
                  </w:r>
                </w:p>
              </w:tc>
              <w:tc>
                <w:tcPr>
                  <w:tcW w:w="495" w:type="pct"/>
                  <w:tcBorders>
                    <w:tl2br w:val="nil"/>
                    <w:tr2bl w:val="nil"/>
                  </w:tcBorders>
                  <w:noWrap w:val="0"/>
                  <w:vAlign w:val="center"/>
                </w:tcPr>
                <w:p w14:paraId="6F9A73E2">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mallCaps w:val="0"/>
                      <w:color w:val="auto"/>
                      <w:kern w:val="2"/>
                      <w:sz w:val="21"/>
                      <w:szCs w:val="21"/>
                      <w:highlight w:val="none"/>
                      <w:vertAlign w:val="baseline"/>
                      <w:lang w:val="en-US" w:eastAsia="zh-CN" w:bidi="ar-SA"/>
                    </w:rPr>
                  </w:pPr>
                  <w:r>
                    <w:rPr>
                      <w:rFonts w:hint="eastAsia" w:cs="Times New Roman"/>
                      <w:b w:val="0"/>
                      <w:bCs/>
                      <w:smallCaps w:val="0"/>
                      <w:color w:val="auto"/>
                      <w:kern w:val="2"/>
                      <w:sz w:val="21"/>
                      <w:szCs w:val="21"/>
                      <w:highlight w:val="none"/>
                      <w:vertAlign w:val="baseline"/>
                      <w:lang w:val="en-US" w:eastAsia="zh-CN" w:bidi="ar-SA"/>
                    </w:rPr>
                    <w:t>18</w:t>
                  </w:r>
                </w:p>
              </w:tc>
              <w:tc>
                <w:tcPr>
                  <w:tcW w:w="515" w:type="pct"/>
                  <w:tcBorders>
                    <w:tl2br w:val="nil"/>
                    <w:tr2bl w:val="nil"/>
                  </w:tcBorders>
                  <w:noWrap w:val="0"/>
                  <w:vAlign w:val="center"/>
                </w:tcPr>
                <w:p w14:paraId="2ACA6E1E">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smallCaps w:val="0"/>
                      <w:color w:val="auto"/>
                      <w:kern w:val="2"/>
                      <w:sz w:val="21"/>
                      <w:szCs w:val="21"/>
                      <w:highlight w:val="none"/>
                      <w:vertAlign w:val="baseline"/>
                      <w:lang w:val="en-US" w:eastAsia="zh-CN" w:bidi="ar-SA"/>
                    </w:rPr>
                  </w:pPr>
                  <w:r>
                    <w:rPr>
                      <w:rFonts w:hint="eastAsia"/>
                      <w:b w:val="0"/>
                      <w:bCs/>
                      <w:smallCaps w:val="0"/>
                      <w:color w:val="auto"/>
                      <w:sz w:val="21"/>
                      <w:szCs w:val="21"/>
                      <w:highlight w:val="none"/>
                      <w:vertAlign w:val="baseline"/>
                      <w:lang w:val="en-US" w:eastAsia="zh-CN"/>
                    </w:rPr>
                    <w:t>3</w:t>
                  </w:r>
                </w:p>
              </w:tc>
              <w:tc>
                <w:tcPr>
                  <w:tcW w:w="487" w:type="pct"/>
                  <w:tcBorders>
                    <w:tl2br w:val="nil"/>
                    <w:tr2bl w:val="nil"/>
                  </w:tcBorders>
                  <w:noWrap w:val="0"/>
                  <w:vAlign w:val="center"/>
                </w:tcPr>
                <w:p w14:paraId="65C0299A">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smallCaps w:val="0"/>
                      <w:color w:val="auto"/>
                      <w:kern w:val="2"/>
                      <w:sz w:val="21"/>
                      <w:szCs w:val="21"/>
                      <w:highlight w:val="none"/>
                      <w:vertAlign w:val="baseline"/>
                      <w:lang w:val="en-US" w:eastAsia="zh-CN" w:bidi="ar-SA"/>
                    </w:rPr>
                  </w:pPr>
                  <w:r>
                    <w:rPr>
                      <w:rFonts w:hint="eastAsia"/>
                      <w:b w:val="0"/>
                      <w:bCs/>
                      <w:smallCaps w:val="0"/>
                      <w:color w:val="auto"/>
                      <w:sz w:val="21"/>
                      <w:szCs w:val="21"/>
                      <w:highlight w:val="none"/>
                      <w:vertAlign w:val="baseline"/>
                      <w:lang w:val="en-US" w:eastAsia="zh-CN"/>
                    </w:rPr>
                    <w:t>2.5</w:t>
                  </w:r>
                </w:p>
              </w:tc>
              <w:tc>
                <w:tcPr>
                  <w:tcW w:w="1237" w:type="pct"/>
                  <w:tcBorders>
                    <w:tl2br w:val="nil"/>
                    <w:tr2bl w:val="nil"/>
                  </w:tcBorders>
                  <w:noWrap w:val="0"/>
                  <w:vAlign w:val="center"/>
                </w:tcPr>
                <w:p w14:paraId="4981FB68">
                  <w:pPr>
                    <w:jc w:val="center"/>
                    <w:rPr>
                      <w:rFonts w:hint="eastAsia" w:ascii="Times New Roman" w:hAnsi="Times New Roman" w:eastAsia="宋体" w:cs="Times New Roman"/>
                      <w:b w:val="0"/>
                      <w:bCs/>
                      <w:smallCaps w:val="0"/>
                      <w:color w:val="auto"/>
                      <w:kern w:val="2"/>
                      <w:sz w:val="21"/>
                      <w:szCs w:val="21"/>
                      <w:highlight w:val="none"/>
                      <w:vertAlign w:val="baseline"/>
                      <w:lang w:val="en-US" w:eastAsia="zh-CN" w:bidi="ar-SA"/>
                    </w:rPr>
                  </w:pPr>
                  <w:r>
                    <w:rPr>
                      <w:rFonts w:hint="eastAsia"/>
                      <w:b w:val="0"/>
                      <w:bCs/>
                      <w:smallCaps w:val="0"/>
                      <w:color w:val="auto"/>
                      <w:sz w:val="21"/>
                      <w:szCs w:val="21"/>
                      <w:highlight w:val="none"/>
                      <w:vertAlign w:val="baseline"/>
                      <w:lang w:val="en-US" w:eastAsia="zh-CN"/>
                    </w:rPr>
                    <w:t>65</w:t>
                  </w:r>
                </w:p>
              </w:tc>
              <w:tc>
                <w:tcPr>
                  <w:tcW w:w="596" w:type="pct"/>
                  <w:vMerge w:val="continue"/>
                  <w:tcBorders>
                    <w:tl2br w:val="nil"/>
                    <w:tr2bl w:val="nil"/>
                  </w:tcBorders>
                  <w:noWrap w:val="0"/>
                  <w:vAlign w:val="center"/>
                </w:tcPr>
                <w:p w14:paraId="2A92A5F2">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smallCaps w:val="0"/>
                      <w:color w:val="auto"/>
                      <w:kern w:val="2"/>
                      <w:sz w:val="21"/>
                      <w:szCs w:val="21"/>
                      <w:highlight w:val="none"/>
                      <w:vertAlign w:val="baseline"/>
                      <w:lang w:val="en-US" w:eastAsia="zh-CN" w:bidi="ar-SA"/>
                    </w:rPr>
                  </w:pPr>
                </w:p>
              </w:tc>
              <w:tc>
                <w:tcPr>
                  <w:tcW w:w="596" w:type="pct"/>
                  <w:tcBorders>
                    <w:tl2br w:val="nil"/>
                    <w:tr2bl w:val="nil"/>
                  </w:tcBorders>
                  <w:noWrap w:val="0"/>
                  <w:vAlign w:val="center"/>
                </w:tcPr>
                <w:p w14:paraId="6C3509B8">
                  <w:pPr>
                    <w:pStyle w:val="19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smallCaps w:val="0"/>
                      <w:color w:val="auto"/>
                      <w:kern w:val="2"/>
                      <w:sz w:val="21"/>
                      <w:szCs w:val="21"/>
                      <w:highlight w:val="none"/>
                      <w:vertAlign w:val="baseline"/>
                      <w:lang w:val="en-US" w:eastAsia="zh-CN" w:bidi="ar-SA"/>
                    </w:rPr>
                  </w:pPr>
                  <w:r>
                    <w:rPr>
                      <w:rFonts w:hint="eastAsia" w:cs="Times New Roman"/>
                      <w:b w:val="0"/>
                      <w:bCs/>
                      <w:smallCaps w:val="0"/>
                      <w:color w:val="auto"/>
                      <w:kern w:val="2"/>
                      <w:sz w:val="21"/>
                      <w:szCs w:val="21"/>
                      <w:highlight w:val="none"/>
                      <w:vertAlign w:val="baseline"/>
                      <w:lang w:val="en-US" w:eastAsia="zh-CN" w:bidi="ar-SA"/>
                    </w:rPr>
                    <w:t>630</w:t>
                  </w:r>
                </w:p>
              </w:tc>
            </w:tr>
          </w:tbl>
          <w:p w14:paraId="4679F1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bidi="ar"/>
              </w:rPr>
            </w:pPr>
            <w:r>
              <w:rPr>
                <w:rFonts w:hint="eastAsia" w:cs="Times New Roman"/>
                <w:color w:val="auto"/>
                <w:sz w:val="24"/>
                <w:highlight w:val="none"/>
                <w:lang w:val="en-US" w:eastAsia="zh-CN" w:bidi="ar"/>
              </w:rPr>
              <w:t>2、</w:t>
            </w:r>
            <w:r>
              <w:rPr>
                <w:rFonts w:hint="default" w:ascii="Times New Roman" w:hAnsi="Times New Roman" w:eastAsia="宋体" w:cs="Times New Roman"/>
                <w:color w:val="auto"/>
                <w:sz w:val="24"/>
                <w:highlight w:val="none"/>
                <w:lang w:val="en-US" w:eastAsia="zh-CN" w:bidi="ar"/>
              </w:rPr>
              <w:t>噪声</w:t>
            </w:r>
            <w:r>
              <w:rPr>
                <w:rFonts w:hint="eastAsia" w:ascii="Times New Roman" w:hAnsi="Times New Roman" w:eastAsia="宋体" w:cs="Times New Roman"/>
                <w:color w:val="auto"/>
                <w:sz w:val="24"/>
                <w:highlight w:val="none"/>
                <w:lang w:val="en-US" w:eastAsia="zh-CN" w:bidi="ar"/>
              </w:rPr>
              <w:t>预测</w:t>
            </w:r>
          </w:p>
          <w:p w14:paraId="2045BFD7">
            <w:pPr>
              <w:pStyle w:val="54"/>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本评价采用《环境影响评价技术导则-声环境》（HJ2.4-2021）中的工业噪声模式预测本项目各噪声源对周围环境的影响。</w:t>
            </w:r>
          </w:p>
          <w:p w14:paraId="0D669042">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根据《环境影响评价技术导则 声环境》（HJ2.4—2021）的要求，并结合建设项目声源的噪声排放特点，选择点声源预测模式，预测本项目运营期设备噪声对</w:t>
            </w:r>
            <w:r>
              <w:rPr>
                <w:rFonts w:hint="eastAsia" w:ascii="Times New Roman" w:hAnsi="Times New Roman" w:cs="Times New Roman"/>
                <w:color w:val="auto"/>
                <w:sz w:val="24"/>
                <w:szCs w:val="24"/>
                <w:highlight w:val="none"/>
                <w:lang w:val="en-US" w:eastAsia="zh-CN"/>
              </w:rPr>
              <w:t>敏感点</w:t>
            </w:r>
            <w:r>
              <w:rPr>
                <w:rFonts w:hint="default" w:ascii="Times New Roman" w:hAnsi="Times New Roman" w:cs="Times New Roman"/>
                <w:color w:val="auto"/>
                <w:sz w:val="24"/>
                <w:szCs w:val="24"/>
                <w:highlight w:val="none"/>
              </w:rPr>
              <w:t>的影响。</w:t>
            </w:r>
          </w:p>
          <w:p w14:paraId="382D9CD8">
            <w:pPr>
              <w:pStyle w:val="82"/>
              <w:keepLines w:val="0"/>
              <w:pageBreakBefore w:val="0"/>
              <w:kinsoku w:val="0"/>
              <w:overflowPunct w:val="0"/>
              <w:topLinePunct w:val="0"/>
              <w:autoSpaceDE w:val="0"/>
              <w:autoSpaceDN w:val="0"/>
              <w:bidi w:val="0"/>
              <w:adjustRightInd/>
              <w:snapToGrid/>
              <w:spacing w:beforeAutospacing="0" w:afterAutospacing="0" w:line="240" w:lineRule="auto"/>
              <w:ind w:left="0" w:leftChars="0" w:right="0" w:rightChars="0" w:firstLine="422" w:firstLineChars="200"/>
              <w:rPr>
                <w:rFonts w:hint="default" w:ascii="Times New Roman" w:hAnsi="Times New Roman" w:eastAsia="宋体" w:cs="Times New Roman"/>
                <w:b/>
                <w:bCs/>
                <w:iCs/>
                <w:color w:val="auto"/>
                <w:kern w:val="0"/>
                <w:sz w:val="21"/>
                <w:szCs w:val="21"/>
                <w:highlight w:val="none"/>
                <w:lang w:val="en-US" w:eastAsia="zh-CN" w:bidi="ar-SA"/>
              </w:rPr>
            </w:pPr>
            <w:r>
              <w:rPr>
                <w:rFonts w:hint="default" w:ascii="Times New Roman" w:hAnsi="Times New Roman" w:eastAsia="宋体" w:cs="Times New Roman"/>
                <w:b/>
                <w:bCs/>
                <w:iCs/>
                <w:color w:val="auto"/>
                <w:kern w:val="0"/>
                <w:sz w:val="21"/>
                <w:szCs w:val="21"/>
                <w:highlight w:val="none"/>
                <w:lang w:val="en-US" w:eastAsia="zh-CN" w:bidi="ar-SA"/>
              </w:rPr>
              <w:t>表4-</w:t>
            </w:r>
            <w:r>
              <w:rPr>
                <w:rFonts w:hint="eastAsia" w:ascii="Times New Roman" w:cs="Times New Roman"/>
                <w:b/>
                <w:bCs/>
                <w:iCs/>
                <w:color w:val="auto"/>
                <w:kern w:val="0"/>
                <w:sz w:val="21"/>
                <w:szCs w:val="21"/>
                <w:highlight w:val="none"/>
                <w:lang w:val="en-US" w:eastAsia="zh-CN" w:bidi="ar-SA"/>
              </w:rPr>
              <w:t>8</w:t>
            </w:r>
            <w:r>
              <w:rPr>
                <w:rFonts w:hint="default" w:ascii="Times New Roman" w:hAnsi="Times New Roman" w:eastAsia="宋体" w:cs="Times New Roman"/>
                <w:b/>
                <w:bCs/>
                <w:iCs/>
                <w:color w:val="auto"/>
                <w:kern w:val="0"/>
                <w:sz w:val="21"/>
                <w:szCs w:val="21"/>
                <w:highlight w:val="none"/>
                <w:lang w:val="en-US" w:eastAsia="zh-CN" w:bidi="ar-SA"/>
              </w:rPr>
              <w:t xml:space="preserve">  运营期间厂界噪声预测结果    单位：dB（A）</w:t>
            </w:r>
          </w:p>
          <w:tbl>
            <w:tblPr>
              <w:tblStyle w:val="38"/>
              <w:tblW w:w="817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651"/>
              <w:gridCol w:w="1305"/>
              <w:gridCol w:w="1305"/>
              <w:gridCol w:w="1305"/>
              <w:gridCol w:w="1305"/>
              <w:gridCol w:w="1307"/>
            </w:tblGrid>
            <w:tr w14:paraId="5902D9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609" w:hRule="atLeast"/>
                <w:jc w:val="center"/>
              </w:trPr>
              <w:tc>
                <w:tcPr>
                  <w:tcW w:w="1009" w:type="pct"/>
                  <w:vMerge w:val="restart"/>
                  <w:tcBorders>
                    <w:tl2br w:val="nil"/>
                    <w:tr2bl w:val="nil"/>
                  </w:tcBorders>
                  <w:noWrap w:val="0"/>
                  <w:vAlign w:val="center"/>
                </w:tcPr>
                <w:p w14:paraId="789A07BA">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default" w:ascii="Times New Roman" w:hAnsi="Times New Roman" w:cs="Times New Roman"/>
                      <w:snapToGrid w:val="0"/>
                      <w:color w:val="auto"/>
                      <w:kern w:val="0"/>
                      <w:highlight w:val="none"/>
                    </w:rPr>
                  </w:pPr>
                  <w:r>
                    <w:rPr>
                      <w:rFonts w:hint="default" w:ascii="Times New Roman" w:hAnsi="Times New Roman" w:cs="Times New Roman"/>
                      <w:snapToGrid w:val="0"/>
                      <w:color w:val="auto"/>
                      <w:kern w:val="0"/>
                      <w:highlight w:val="none"/>
                    </w:rPr>
                    <w:t>预测点</w:t>
                  </w:r>
                </w:p>
              </w:tc>
              <w:tc>
                <w:tcPr>
                  <w:tcW w:w="1595" w:type="pct"/>
                  <w:gridSpan w:val="2"/>
                  <w:tcBorders>
                    <w:tl2br w:val="nil"/>
                    <w:tr2bl w:val="nil"/>
                  </w:tcBorders>
                  <w:noWrap w:val="0"/>
                  <w:vAlign w:val="center"/>
                </w:tcPr>
                <w:p w14:paraId="242F8D34">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default" w:ascii="Times New Roman" w:hAnsi="Times New Roman" w:cs="Times New Roman"/>
                      <w:snapToGrid w:val="0"/>
                      <w:color w:val="auto"/>
                      <w:kern w:val="0"/>
                      <w:highlight w:val="none"/>
                      <w:lang w:val="en-US" w:eastAsia="zh-CN"/>
                    </w:rPr>
                  </w:pPr>
                  <w:r>
                    <w:rPr>
                      <w:rFonts w:hint="eastAsia" w:ascii="Times New Roman" w:hAnsi="Times New Roman" w:cs="Times New Roman"/>
                      <w:snapToGrid w:val="0"/>
                      <w:color w:val="auto"/>
                      <w:kern w:val="0"/>
                      <w:highlight w:val="none"/>
                      <w:lang w:val="en-US" w:eastAsia="zh-CN"/>
                    </w:rPr>
                    <w:t>环境噪声预测值</w:t>
                  </w:r>
                </w:p>
              </w:tc>
              <w:tc>
                <w:tcPr>
                  <w:tcW w:w="1595" w:type="pct"/>
                  <w:gridSpan w:val="2"/>
                  <w:tcBorders>
                    <w:tl2br w:val="nil"/>
                    <w:tr2bl w:val="nil"/>
                  </w:tcBorders>
                  <w:noWrap w:val="0"/>
                  <w:vAlign w:val="center"/>
                </w:tcPr>
                <w:p w14:paraId="14330A25">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eastAsia" w:ascii="Times New Roman" w:hAnsi="Times New Roman" w:cs="Times New Roman"/>
                      <w:snapToGrid w:val="0"/>
                      <w:color w:val="auto"/>
                      <w:kern w:val="0"/>
                      <w:highlight w:val="none"/>
                      <w:lang w:val="en-US" w:eastAsia="zh-CN"/>
                    </w:rPr>
                  </w:pPr>
                  <w:r>
                    <w:rPr>
                      <w:rFonts w:hint="eastAsia" w:ascii="Times New Roman" w:hAnsi="Times New Roman" w:cs="Times New Roman"/>
                      <w:snapToGrid w:val="0"/>
                      <w:color w:val="auto"/>
                      <w:kern w:val="0"/>
                      <w:highlight w:val="none"/>
                      <w:lang w:val="en-US" w:eastAsia="zh-CN"/>
                    </w:rPr>
                    <w:t>评价结果</w:t>
                  </w:r>
                </w:p>
              </w:tc>
              <w:tc>
                <w:tcPr>
                  <w:tcW w:w="799" w:type="pct"/>
                  <w:vMerge w:val="restart"/>
                  <w:tcBorders>
                    <w:tl2br w:val="nil"/>
                    <w:tr2bl w:val="nil"/>
                  </w:tcBorders>
                  <w:noWrap w:val="0"/>
                  <w:vAlign w:val="center"/>
                </w:tcPr>
                <w:p w14:paraId="6EBE0D92">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eastAsia" w:ascii="Times New Roman" w:hAnsi="Times New Roman" w:cs="Times New Roman"/>
                      <w:snapToGrid w:val="0"/>
                      <w:color w:val="auto"/>
                      <w:kern w:val="0"/>
                      <w:highlight w:val="none"/>
                      <w:lang w:val="en-US" w:eastAsia="zh-CN"/>
                    </w:rPr>
                  </w:pPr>
                  <w:r>
                    <w:rPr>
                      <w:rFonts w:hint="eastAsia" w:cs="Times New Roman"/>
                      <w:snapToGrid w:val="0"/>
                      <w:color w:val="auto"/>
                      <w:kern w:val="0"/>
                      <w:highlight w:val="none"/>
                      <w:lang w:val="en-US" w:eastAsia="zh-CN"/>
                    </w:rPr>
                    <w:t>超标和达标情况</w:t>
                  </w:r>
                </w:p>
              </w:tc>
            </w:tr>
            <w:tr w14:paraId="139711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571" w:hRule="atLeast"/>
                <w:jc w:val="center"/>
              </w:trPr>
              <w:tc>
                <w:tcPr>
                  <w:tcW w:w="1009" w:type="pct"/>
                  <w:vMerge w:val="continue"/>
                  <w:tcBorders>
                    <w:tl2br w:val="nil"/>
                    <w:tr2bl w:val="nil"/>
                  </w:tcBorders>
                  <w:noWrap w:val="0"/>
                  <w:vAlign w:val="center"/>
                </w:tcPr>
                <w:p w14:paraId="5B02ADBE">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color w:val="auto"/>
                    </w:rPr>
                  </w:pPr>
                </w:p>
              </w:tc>
              <w:tc>
                <w:tcPr>
                  <w:tcW w:w="797" w:type="pct"/>
                  <w:tcBorders>
                    <w:tl2br w:val="nil"/>
                    <w:tr2bl w:val="nil"/>
                  </w:tcBorders>
                  <w:noWrap w:val="0"/>
                  <w:vAlign w:val="center"/>
                </w:tcPr>
                <w:p w14:paraId="22E3E2A9">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eastAsia" w:ascii="Times New Roman" w:hAnsi="Times New Roman" w:cs="Times New Roman"/>
                      <w:snapToGrid w:val="0"/>
                      <w:color w:val="auto"/>
                      <w:kern w:val="0"/>
                      <w:highlight w:val="none"/>
                      <w:lang w:val="en-US" w:eastAsia="zh-CN"/>
                    </w:rPr>
                  </w:pPr>
                  <w:r>
                    <w:rPr>
                      <w:rFonts w:hint="eastAsia" w:cs="Times New Roman"/>
                      <w:snapToGrid w:val="0"/>
                      <w:color w:val="auto"/>
                      <w:kern w:val="0"/>
                      <w:highlight w:val="none"/>
                      <w:lang w:val="en-US" w:eastAsia="zh-CN"/>
                    </w:rPr>
                    <w:t>昼间</w:t>
                  </w:r>
                </w:p>
              </w:tc>
              <w:tc>
                <w:tcPr>
                  <w:tcW w:w="797" w:type="pct"/>
                  <w:tcBorders>
                    <w:tl2br w:val="nil"/>
                    <w:tr2bl w:val="nil"/>
                  </w:tcBorders>
                  <w:noWrap w:val="0"/>
                  <w:vAlign w:val="center"/>
                </w:tcPr>
                <w:p w14:paraId="44507BA6">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eastAsia" w:ascii="Times New Roman" w:hAnsi="Times New Roman" w:cs="Times New Roman"/>
                      <w:snapToGrid w:val="0"/>
                      <w:color w:val="auto"/>
                      <w:kern w:val="0"/>
                      <w:highlight w:val="none"/>
                      <w:lang w:val="en-US" w:eastAsia="zh-CN"/>
                    </w:rPr>
                  </w:pPr>
                  <w:r>
                    <w:rPr>
                      <w:rFonts w:hint="eastAsia" w:cs="Times New Roman"/>
                      <w:snapToGrid w:val="0"/>
                      <w:color w:val="auto"/>
                      <w:kern w:val="0"/>
                      <w:highlight w:val="none"/>
                      <w:lang w:val="en-US" w:eastAsia="zh-CN"/>
                    </w:rPr>
                    <w:t>夜间</w:t>
                  </w:r>
                </w:p>
              </w:tc>
              <w:tc>
                <w:tcPr>
                  <w:tcW w:w="797" w:type="pct"/>
                  <w:tcBorders>
                    <w:tl2br w:val="nil"/>
                    <w:tr2bl w:val="nil"/>
                  </w:tcBorders>
                  <w:noWrap w:val="0"/>
                  <w:vAlign w:val="center"/>
                </w:tcPr>
                <w:p w14:paraId="47CCCEE5">
                  <w:pPr>
                    <w:keepNext w:val="0"/>
                    <w:keepLines w:val="0"/>
                    <w:pageBreakBefore w:val="0"/>
                    <w:suppressLineNumbers w:val="0"/>
                    <w:kinsoku/>
                    <w:wordWrap/>
                    <w:overflowPunct/>
                    <w:topLinePunct w:val="0"/>
                    <w:bidi w:val="0"/>
                    <w:snapToGrid/>
                    <w:spacing w:before="0" w:beforeAutospacing="0" w:after="0" w:afterAutospacing="0" w:line="360" w:lineRule="auto"/>
                    <w:ind w:left="0" w:leftChars="0" w:right="0" w:rightChars="0"/>
                    <w:jc w:val="center"/>
                    <w:textAlignment w:val="auto"/>
                    <w:rPr>
                      <w:rFonts w:hint="eastAsia" w:ascii="Times New Roman" w:hAnsi="Times New Roman" w:cs="Times New Roman"/>
                      <w:snapToGrid w:val="0"/>
                      <w:color w:val="auto"/>
                      <w:kern w:val="0"/>
                      <w:highlight w:val="none"/>
                      <w:lang w:val="en-US" w:eastAsia="zh-CN"/>
                    </w:rPr>
                  </w:pPr>
                  <w:r>
                    <w:rPr>
                      <w:rFonts w:hint="eastAsia" w:cs="Times New Roman"/>
                      <w:snapToGrid w:val="0"/>
                      <w:color w:val="auto"/>
                      <w:kern w:val="0"/>
                      <w:highlight w:val="none"/>
                      <w:lang w:val="en-US" w:eastAsia="zh-CN"/>
                    </w:rPr>
                    <w:t>昼间</w:t>
                  </w:r>
                </w:p>
              </w:tc>
              <w:tc>
                <w:tcPr>
                  <w:tcW w:w="797" w:type="pct"/>
                  <w:tcBorders>
                    <w:tl2br w:val="nil"/>
                    <w:tr2bl w:val="nil"/>
                  </w:tcBorders>
                  <w:noWrap w:val="0"/>
                  <w:vAlign w:val="center"/>
                </w:tcPr>
                <w:p w14:paraId="7ADA5CB1">
                  <w:pPr>
                    <w:keepNext w:val="0"/>
                    <w:keepLines w:val="0"/>
                    <w:pageBreakBefore w:val="0"/>
                    <w:suppressLineNumbers w:val="0"/>
                    <w:kinsoku/>
                    <w:wordWrap/>
                    <w:overflowPunct/>
                    <w:topLinePunct w:val="0"/>
                    <w:bidi w:val="0"/>
                    <w:snapToGrid/>
                    <w:spacing w:before="0" w:beforeAutospacing="0" w:after="0" w:afterAutospacing="0" w:line="360" w:lineRule="auto"/>
                    <w:ind w:left="0" w:leftChars="0" w:right="0" w:rightChars="0"/>
                    <w:jc w:val="center"/>
                    <w:textAlignment w:val="auto"/>
                    <w:rPr>
                      <w:rFonts w:hint="eastAsia" w:ascii="Times New Roman" w:hAnsi="Times New Roman" w:cs="Times New Roman"/>
                      <w:snapToGrid w:val="0"/>
                      <w:color w:val="auto"/>
                      <w:kern w:val="0"/>
                      <w:highlight w:val="none"/>
                      <w:lang w:val="en-US" w:eastAsia="zh-CN"/>
                    </w:rPr>
                  </w:pPr>
                  <w:r>
                    <w:rPr>
                      <w:rFonts w:hint="eastAsia" w:cs="Times New Roman"/>
                      <w:snapToGrid w:val="0"/>
                      <w:color w:val="auto"/>
                      <w:kern w:val="0"/>
                      <w:highlight w:val="none"/>
                      <w:lang w:val="en-US" w:eastAsia="zh-CN"/>
                    </w:rPr>
                    <w:t>夜间</w:t>
                  </w:r>
                </w:p>
              </w:tc>
              <w:tc>
                <w:tcPr>
                  <w:tcW w:w="799" w:type="pct"/>
                  <w:vMerge w:val="continue"/>
                  <w:tcBorders>
                    <w:tl2br w:val="nil"/>
                    <w:tr2bl w:val="nil"/>
                  </w:tcBorders>
                  <w:noWrap w:val="0"/>
                  <w:vAlign w:val="center"/>
                </w:tcPr>
                <w:p w14:paraId="0F88BDEF">
                  <w:pPr>
                    <w:keepNext w:val="0"/>
                    <w:keepLines w:val="0"/>
                    <w:pageBreakBefore w:val="0"/>
                    <w:suppressLineNumbers w:val="0"/>
                    <w:kinsoku/>
                    <w:wordWrap/>
                    <w:overflowPunct/>
                    <w:topLinePunct w:val="0"/>
                    <w:bidi w:val="0"/>
                    <w:snapToGrid/>
                    <w:spacing w:before="0" w:beforeAutospacing="0" w:after="0" w:afterAutospacing="0" w:line="360" w:lineRule="auto"/>
                    <w:ind w:left="0" w:leftChars="0" w:right="0" w:rightChars="0"/>
                    <w:jc w:val="center"/>
                    <w:textAlignment w:val="auto"/>
                    <w:rPr>
                      <w:rFonts w:hint="eastAsia" w:cs="Times New Roman"/>
                      <w:snapToGrid w:val="0"/>
                      <w:color w:val="auto"/>
                      <w:kern w:val="0"/>
                      <w:highlight w:val="none"/>
                      <w:lang w:val="en-US" w:eastAsia="zh-CN"/>
                    </w:rPr>
                  </w:pPr>
                </w:p>
              </w:tc>
            </w:tr>
            <w:tr w14:paraId="313AC6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419" w:hRule="atLeast"/>
                <w:jc w:val="center"/>
              </w:trPr>
              <w:tc>
                <w:tcPr>
                  <w:tcW w:w="1009" w:type="pct"/>
                  <w:tcBorders>
                    <w:tl2br w:val="nil"/>
                    <w:tr2bl w:val="nil"/>
                  </w:tcBorders>
                  <w:noWrap w:val="0"/>
                  <w:vAlign w:val="center"/>
                </w:tcPr>
                <w:p w14:paraId="5360F66B">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default" w:ascii="Times New Roman" w:hAnsi="Times New Roman" w:eastAsia="宋体" w:cs="Times New Roman"/>
                      <w:bCs/>
                      <w:snapToGrid w:val="0"/>
                      <w:color w:val="auto"/>
                      <w:kern w:val="0"/>
                      <w:highlight w:val="none"/>
                      <w:lang w:val="en-US" w:eastAsia="zh-CN"/>
                    </w:rPr>
                  </w:pPr>
                  <w:bookmarkStart w:id="15" w:name="OLE_LINK50" w:colFirst="3" w:colLast="4"/>
                  <w:r>
                    <w:rPr>
                      <w:rFonts w:hint="default" w:ascii="Times New Roman" w:hAnsi="Times New Roman" w:eastAsia="宋体"/>
                      <w:color w:val="auto"/>
                      <w:szCs w:val="21"/>
                      <w:highlight w:val="none"/>
                    </w:rPr>
                    <w:t>厂界</w:t>
                  </w:r>
                  <w:r>
                    <w:rPr>
                      <w:rFonts w:hint="default"/>
                      <w:color w:val="auto"/>
                      <w:szCs w:val="21"/>
                      <w:highlight w:val="none"/>
                    </w:rPr>
                    <w:t>东侧</w:t>
                  </w:r>
                </w:p>
              </w:tc>
              <w:tc>
                <w:tcPr>
                  <w:tcW w:w="797" w:type="pct"/>
                  <w:tcBorders>
                    <w:tl2br w:val="nil"/>
                    <w:tr2bl w:val="nil"/>
                  </w:tcBorders>
                  <w:noWrap w:val="0"/>
                  <w:vAlign w:val="center"/>
                </w:tcPr>
                <w:p w14:paraId="5678A0AF">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default" w:ascii="Times New Roman" w:hAnsi="Times New Roman"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45.39</w:t>
                  </w:r>
                </w:p>
              </w:tc>
              <w:tc>
                <w:tcPr>
                  <w:tcW w:w="797" w:type="pct"/>
                  <w:tcBorders>
                    <w:tl2br w:val="nil"/>
                    <w:tr2bl w:val="nil"/>
                  </w:tcBorders>
                  <w:noWrap w:val="0"/>
                  <w:vAlign w:val="center"/>
                </w:tcPr>
                <w:p w14:paraId="7BA6F006">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0</w:t>
                  </w:r>
                </w:p>
              </w:tc>
              <w:tc>
                <w:tcPr>
                  <w:tcW w:w="1305" w:type="dxa"/>
                  <w:tcBorders>
                    <w:tl2br w:val="nil"/>
                    <w:tr2bl w:val="nil"/>
                  </w:tcBorders>
                  <w:noWrap w:val="0"/>
                  <w:vAlign w:val="center"/>
                </w:tcPr>
                <w:p w14:paraId="177A534C">
                  <w:pPr>
                    <w:keepLines w:val="0"/>
                    <w:pageBreakBefore w:val="0"/>
                    <w:kinsoku w:val="0"/>
                    <w:overflowPunct w:val="0"/>
                    <w:topLinePunct w:val="0"/>
                    <w:autoSpaceDE w:val="0"/>
                    <w:autoSpaceDN w:val="0"/>
                    <w:bidi w:val="0"/>
                    <w:spacing w:beforeAutospacing="0" w:afterAutospacing="0" w:line="360" w:lineRule="auto"/>
                    <w:ind w:right="0" w:rightChars="0"/>
                    <w:jc w:val="center"/>
                    <w:rPr>
                      <w:rFonts w:hint="default" w:ascii="Times New Roman" w:hAnsi="Times New Roman" w:eastAsia="宋体" w:cs="Times New Roman"/>
                      <w:bCs/>
                      <w:snapToGrid w:val="0"/>
                      <w:color w:val="auto"/>
                      <w:kern w:val="0"/>
                      <w:highlight w:val="none"/>
                      <w:lang w:val="en-US" w:eastAsia="zh-CN"/>
                    </w:rPr>
                  </w:pPr>
                  <w:r>
                    <w:rPr>
                      <w:rFonts w:hint="eastAsia" w:cs="Times New Roman"/>
                      <w:color w:val="auto"/>
                      <w:sz w:val="20"/>
                      <w:szCs w:val="20"/>
                      <w:highlight w:val="none"/>
                      <w:vertAlign w:val="baseline"/>
                      <w:lang w:val="en-US" w:eastAsia="zh-CN"/>
                    </w:rPr>
                    <w:t>60</w:t>
                  </w:r>
                </w:p>
              </w:tc>
              <w:tc>
                <w:tcPr>
                  <w:tcW w:w="1305" w:type="dxa"/>
                  <w:tcBorders>
                    <w:tl2br w:val="nil"/>
                    <w:tr2bl w:val="nil"/>
                  </w:tcBorders>
                  <w:noWrap w:val="0"/>
                  <w:vAlign w:val="center"/>
                </w:tcPr>
                <w:p w14:paraId="14C60727">
                  <w:pPr>
                    <w:keepLines w:val="0"/>
                    <w:pageBreakBefore w:val="0"/>
                    <w:kinsoku w:val="0"/>
                    <w:overflowPunct w:val="0"/>
                    <w:topLinePunct w:val="0"/>
                    <w:autoSpaceDE w:val="0"/>
                    <w:autoSpaceDN w:val="0"/>
                    <w:bidi w:val="0"/>
                    <w:spacing w:beforeAutospacing="0" w:afterAutospacing="0" w:line="360" w:lineRule="auto"/>
                    <w:ind w:right="0" w:rightChars="0"/>
                    <w:jc w:val="center"/>
                    <w:rPr>
                      <w:rFonts w:hint="default" w:ascii="Times New Roman" w:hAnsi="Times New Roman" w:eastAsia="宋体" w:cs="Times New Roman"/>
                      <w:bCs/>
                      <w:snapToGrid w:val="0"/>
                      <w:color w:val="auto"/>
                      <w:kern w:val="0"/>
                      <w:highlight w:val="none"/>
                      <w:lang w:val="en-US" w:eastAsia="zh-CN"/>
                    </w:rPr>
                  </w:pPr>
                  <w:r>
                    <w:rPr>
                      <w:rFonts w:hint="eastAsia" w:cs="Times New Roman"/>
                      <w:color w:val="auto"/>
                      <w:sz w:val="20"/>
                      <w:szCs w:val="20"/>
                      <w:highlight w:val="none"/>
                      <w:vertAlign w:val="baseline"/>
                      <w:lang w:val="en-US" w:eastAsia="zh-CN"/>
                    </w:rPr>
                    <w:t>50</w:t>
                  </w:r>
                </w:p>
              </w:tc>
              <w:tc>
                <w:tcPr>
                  <w:tcW w:w="799" w:type="pct"/>
                  <w:tcBorders>
                    <w:tl2br w:val="nil"/>
                    <w:tr2bl w:val="nil"/>
                  </w:tcBorders>
                  <w:noWrap w:val="0"/>
                  <w:vAlign w:val="center"/>
                </w:tcPr>
                <w:p w14:paraId="71F166BA">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eastAsia" w:cs="Times New Roman"/>
                      <w:bCs/>
                      <w:snapToGrid w:val="0"/>
                      <w:color w:val="auto"/>
                      <w:kern w:val="0"/>
                      <w:highlight w:val="none"/>
                      <w:lang w:val="en-US" w:eastAsia="zh-CN"/>
                    </w:rPr>
                  </w:pPr>
                  <w:r>
                    <w:rPr>
                      <w:rFonts w:hint="eastAsia" w:cs="Times New Roman"/>
                      <w:bCs/>
                      <w:snapToGrid w:val="0"/>
                      <w:color w:val="auto"/>
                      <w:kern w:val="0"/>
                      <w:highlight w:val="none"/>
                      <w:lang w:val="en-US" w:eastAsia="zh-CN"/>
                    </w:rPr>
                    <w:t>达标</w:t>
                  </w:r>
                </w:p>
              </w:tc>
            </w:tr>
            <w:bookmarkEnd w:id="15"/>
            <w:tr w14:paraId="152770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419" w:hRule="atLeast"/>
                <w:jc w:val="center"/>
              </w:trPr>
              <w:tc>
                <w:tcPr>
                  <w:tcW w:w="1009" w:type="pct"/>
                  <w:tcBorders>
                    <w:tl2br w:val="nil"/>
                    <w:tr2bl w:val="nil"/>
                  </w:tcBorders>
                  <w:noWrap w:val="0"/>
                  <w:vAlign w:val="center"/>
                </w:tcPr>
                <w:p w14:paraId="153A21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Times New Roman" w:hAnsi="Times New Roman" w:cs="Times New Roman"/>
                      <w:color w:val="auto"/>
                      <w:highlight w:val="none"/>
                      <w:lang w:val="en-US" w:eastAsia="zh-CN"/>
                    </w:rPr>
                  </w:pPr>
                  <w:r>
                    <w:rPr>
                      <w:rFonts w:hint="default" w:ascii="Times New Roman" w:hAnsi="Times New Roman" w:eastAsia="宋体"/>
                      <w:color w:val="auto"/>
                      <w:szCs w:val="21"/>
                      <w:highlight w:val="none"/>
                    </w:rPr>
                    <w:t>厂界</w:t>
                  </w:r>
                  <w:r>
                    <w:rPr>
                      <w:rFonts w:hint="eastAsia" w:ascii="Times New Roman" w:hAnsi="Times New Roman" w:eastAsia="宋体"/>
                      <w:color w:val="auto"/>
                      <w:szCs w:val="21"/>
                      <w:highlight w:val="none"/>
                      <w:lang w:eastAsia="zh-CN"/>
                    </w:rPr>
                    <w:t>南侧</w:t>
                  </w:r>
                </w:p>
              </w:tc>
              <w:tc>
                <w:tcPr>
                  <w:tcW w:w="797" w:type="pct"/>
                  <w:tcBorders>
                    <w:tl2br w:val="nil"/>
                    <w:tr2bl w:val="nil"/>
                  </w:tcBorders>
                  <w:noWrap w:val="0"/>
                  <w:vAlign w:val="center"/>
                </w:tcPr>
                <w:p w14:paraId="23AD08A9">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52.65</w:t>
                  </w:r>
                </w:p>
              </w:tc>
              <w:tc>
                <w:tcPr>
                  <w:tcW w:w="797" w:type="pct"/>
                  <w:tcBorders>
                    <w:tl2br w:val="nil"/>
                    <w:tr2bl w:val="nil"/>
                  </w:tcBorders>
                  <w:noWrap w:val="0"/>
                  <w:vAlign w:val="center"/>
                </w:tcPr>
                <w:p w14:paraId="59D3098B">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0</w:t>
                  </w:r>
                </w:p>
              </w:tc>
              <w:tc>
                <w:tcPr>
                  <w:tcW w:w="1305" w:type="dxa"/>
                  <w:tcBorders>
                    <w:tl2br w:val="nil"/>
                    <w:tr2bl w:val="nil"/>
                  </w:tcBorders>
                  <w:noWrap w:val="0"/>
                  <w:vAlign w:val="center"/>
                </w:tcPr>
                <w:p w14:paraId="550642EC">
                  <w:pPr>
                    <w:keepLines w:val="0"/>
                    <w:pageBreakBefore w:val="0"/>
                    <w:kinsoku w:val="0"/>
                    <w:overflowPunct w:val="0"/>
                    <w:topLinePunct w:val="0"/>
                    <w:autoSpaceDE w:val="0"/>
                    <w:autoSpaceDN w:val="0"/>
                    <w:bidi w:val="0"/>
                    <w:spacing w:beforeAutospacing="0" w:afterAutospacing="0" w:line="360" w:lineRule="auto"/>
                    <w:ind w:right="0" w:rightChars="0"/>
                    <w:jc w:val="center"/>
                    <w:rPr>
                      <w:rFonts w:hint="default" w:ascii="Times New Roman" w:hAnsi="Times New Roman" w:cs="Times New Roman"/>
                      <w:snapToGrid w:val="0"/>
                      <w:color w:val="auto"/>
                      <w:kern w:val="0"/>
                      <w:highlight w:val="none"/>
                    </w:rPr>
                  </w:pPr>
                  <w:r>
                    <w:rPr>
                      <w:rFonts w:hint="eastAsia" w:cs="Times New Roman"/>
                      <w:color w:val="auto"/>
                      <w:sz w:val="20"/>
                      <w:szCs w:val="20"/>
                      <w:highlight w:val="none"/>
                      <w:vertAlign w:val="baseline"/>
                      <w:lang w:val="en-US" w:eastAsia="zh-CN"/>
                    </w:rPr>
                    <w:t>60</w:t>
                  </w:r>
                </w:p>
              </w:tc>
              <w:tc>
                <w:tcPr>
                  <w:tcW w:w="1305" w:type="dxa"/>
                  <w:tcBorders>
                    <w:tl2br w:val="nil"/>
                    <w:tr2bl w:val="nil"/>
                  </w:tcBorders>
                  <w:noWrap w:val="0"/>
                  <w:vAlign w:val="center"/>
                </w:tcPr>
                <w:p w14:paraId="18371298">
                  <w:pPr>
                    <w:keepLines w:val="0"/>
                    <w:pageBreakBefore w:val="0"/>
                    <w:kinsoku w:val="0"/>
                    <w:overflowPunct w:val="0"/>
                    <w:topLinePunct w:val="0"/>
                    <w:autoSpaceDE w:val="0"/>
                    <w:autoSpaceDN w:val="0"/>
                    <w:bidi w:val="0"/>
                    <w:spacing w:beforeAutospacing="0" w:afterAutospacing="0" w:line="360" w:lineRule="auto"/>
                    <w:ind w:right="0" w:rightChars="0"/>
                    <w:jc w:val="center"/>
                    <w:rPr>
                      <w:rFonts w:hint="default" w:ascii="Times New Roman" w:hAnsi="Times New Roman" w:cs="Times New Roman"/>
                      <w:snapToGrid w:val="0"/>
                      <w:color w:val="auto"/>
                      <w:kern w:val="0"/>
                      <w:highlight w:val="none"/>
                    </w:rPr>
                  </w:pPr>
                  <w:r>
                    <w:rPr>
                      <w:rFonts w:hint="eastAsia" w:cs="Times New Roman"/>
                      <w:color w:val="auto"/>
                      <w:sz w:val="20"/>
                      <w:szCs w:val="20"/>
                      <w:highlight w:val="none"/>
                      <w:vertAlign w:val="baseline"/>
                      <w:lang w:val="en-US" w:eastAsia="zh-CN"/>
                    </w:rPr>
                    <w:t>50</w:t>
                  </w:r>
                </w:p>
              </w:tc>
              <w:tc>
                <w:tcPr>
                  <w:tcW w:w="799" w:type="pct"/>
                  <w:tcBorders>
                    <w:tl2br w:val="nil"/>
                    <w:tr2bl w:val="nil"/>
                  </w:tcBorders>
                  <w:noWrap w:val="0"/>
                  <w:vAlign w:val="center"/>
                </w:tcPr>
                <w:p w14:paraId="0B62D55C">
                  <w:pPr>
                    <w:keepNext w:val="0"/>
                    <w:keepLines w:val="0"/>
                    <w:pageBreakBefore w:val="0"/>
                    <w:suppressLineNumbers w:val="0"/>
                    <w:kinsoku/>
                    <w:wordWrap/>
                    <w:overflowPunct/>
                    <w:topLinePunct w:val="0"/>
                    <w:bidi w:val="0"/>
                    <w:snapToGrid/>
                    <w:spacing w:before="0" w:beforeAutospacing="0" w:after="0" w:afterAutospacing="0" w:line="360" w:lineRule="auto"/>
                    <w:ind w:left="0" w:leftChars="0" w:right="0" w:rightChars="0"/>
                    <w:jc w:val="center"/>
                    <w:textAlignment w:val="auto"/>
                    <w:rPr>
                      <w:rFonts w:hint="eastAsia" w:cs="Times New Roman"/>
                      <w:bCs/>
                      <w:snapToGrid w:val="0"/>
                      <w:color w:val="auto"/>
                      <w:kern w:val="0"/>
                      <w:highlight w:val="none"/>
                      <w:lang w:val="en-US" w:eastAsia="zh-CN"/>
                    </w:rPr>
                  </w:pPr>
                  <w:r>
                    <w:rPr>
                      <w:rFonts w:hint="eastAsia" w:cs="Times New Roman"/>
                      <w:bCs/>
                      <w:snapToGrid w:val="0"/>
                      <w:color w:val="auto"/>
                      <w:kern w:val="0"/>
                      <w:highlight w:val="none"/>
                      <w:lang w:val="en-US" w:eastAsia="zh-CN"/>
                    </w:rPr>
                    <w:t>达标</w:t>
                  </w:r>
                </w:p>
              </w:tc>
            </w:tr>
            <w:tr w14:paraId="2BC4CA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419" w:hRule="atLeast"/>
                <w:jc w:val="center"/>
              </w:trPr>
              <w:tc>
                <w:tcPr>
                  <w:tcW w:w="1009" w:type="pct"/>
                  <w:tcBorders>
                    <w:tl2br w:val="nil"/>
                    <w:tr2bl w:val="nil"/>
                  </w:tcBorders>
                  <w:noWrap w:val="0"/>
                  <w:vAlign w:val="center"/>
                </w:tcPr>
                <w:p w14:paraId="47F51E0C">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eastAsia" w:ascii="Times New Roman" w:hAnsi="Times New Roman" w:eastAsia="宋体"/>
                      <w:color w:val="auto"/>
                      <w:szCs w:val="21"/>
                      <w:highlight w:val="none"/>
                    </w:rPr>
                  </w:pPr>
                  <w:r>
                    <w:rPr>
                      <w:rFonts w:hint="eastAsia"/>
                      <w:color w:val="auto"/>
                      <w:szCs w:val="21"/>
                      <w:highlight w:val="none"/>
                      <w:lang w:eastAsia="zh-CN"/>
                    </w:rPr>
                    <w:t>厂界西侧</w:t>
                  </w:r>
                </w:p>
              </w:tc>
              <w:tc>
                <w:tcPr>
                  <w:tcW w:w="797" w:type="pct"/>
                  <w:tcBorders>
                    <w:tl2br w:val="nil"/>
                    <w:tr2bl w:val="nil"/>
                  </w:tcBorders>
                  <w:noWrap w:val="0"/>
                  <w:vAlign w:val="center"/>
                </w:tcPr>
                <w:p w14:paraId="1B296C7C">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57.18</w:t>
                  </w:r>
                </w:p>
              </w:tc>
              <w:tc>
                <w:tcPr>
                  <w:tcW w:w="797" w:type="pct"/>
                  <w:tcBorders>
                    <w:tl2br w:val="nil"/>
                    <w:tr2bl w:val="nil"/>
                  </w:tcBorders>
                  <w:noWrap w:val="0"/>
                  <w:vAlign w:val="center"/>
                </w:tcPr>
                <w:p w14:paraId="14B68E1F">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0</w:t>
                  </w:r>
                </w:p>
              </w:tc>
              <w:tc>
                <w:tcPr>
                  <w:tcW w:w="1305" w:type="dxa"/>
                  <w:tcBorders>
                    <w:tl2br w:val="nil"/>
                    <w:tr2bl w:val="nil"/>
                  </w:tcBorders>
                  <w:noWrap w:val="0"/>
                  <w:vAlign w:val="center"/>
                </w:tcPr>
                <w:p w14:paraId="072FFE8F">
                  <w:pPr>
                    <w:keepLines w:val="0"/>
                    <w:pageBreakBefore w:val="0"/>
                    <w:kinsoku w:val="0"/>
                    <w:overflowPunct w:val="0"/>
                    <w:topLinePunct w:val="0"/>
                    <w:autoSpaceDE w:val="0"/>
                    <w:autoSpaceDN w:val="0"/>
                    <w:bidi w:val="0"/>
                    <w:spacing w:beforeAutospacing="0" w:afterAutospacing="0" w:line="360" w:lineRule="auto"/>
                    <w:ind w:right="0" w:rightChars="0"/>
                    <w:jc w:val="center"/>
                    <w:rPr>
                      <w:rFonts w:hint="default" w:ascii="Times New Roman" w:hAnsi="Times New Roman" w:cs="Times New Roman"/>
                      <w:snapToGrid w:val="0"/>
                      <w:color w:val="auto"/>
                      <w:kern w:val="0"/>
                      <w:highlight w:val="none"/>
                    </w:rPr>
                  </w:pPr>
                  <w:r>
                    <w:rPr>
                      <w:rFonts w:hint="eastAsia" w:cs="Times New Roman"/>
                      <w:color w:val="auto"/>
                      <w:sz w:val="20"/>
                      <w:szCs w:val="20"/>
                      <w:highlight w:val="none"/>
                      <w:vertAlign w:val="baseline"/>
                      <w:lang w:val="en-US" w:eastAsia="zh-CN"/>
                    </w:rPr>
                    <w:t>60</w:t>
                  </w:r>
                </w:p>
              </w:tc>
              <w:tc>
                <w:tcPr>
                  <w:tcW w:w="1305" w:type="dxa"/>
                  <w:tcBorders>
                    <w:tl2br w:val="nil"/>
                    <w:tr2bl w:val="nil"/>
                  </w:tcBorders>
                  <w:noWrap w:val="0"/>
                  <w:vAlign w:val="center"/>
                </w:tcPr>
                <w:p w14:paraId="45C5F6D6">
                  <w:pPr>
                    <w:keepLines w:val="0"/>
                    <w:pageBreakBefore w:val="0"/>
                    <w:kinsoku w:val="0"/>
                    <w:overflowPunct w:val="0"/>
                    <w:topLinePunct w:val="0"/>
                    <w:autoSpaceDE w:val="0"/>
                    <w:autoSpaceDN w:val="0"/>
                    <w:bidi w:val="0"/>
                    <w:spacing w:beforeAutospacing="0" w:afterAutospacing="0" w:line="360" w:lineRule="auto"/>
                    <w:ind w:right="0" w:rightChars="0"/>
                    <w:jc w:val="center"/>
                    <w:rPr>
                      <w:rFonts w:hint="default" w:ascii="Times New Roman" w:hAnsi="Times New Roman" w:cs="Times New Roman"/>
                      <w:snapToGrid w:val="0"/>
                      <w:color w:val="auto"/>
                      <w:kern w:val="0"/>
                      <w:highlight w:val="none"/>
                    </w:rPr>
                  </w:pPr>
                  <w:r>
                    <w:rPr>
                      <w:rFonts w:hint="eastAsia" w:cs="Times New Roman"/>
                      <w:color w:val="auto"/>
                      <w:sz w:val="20"/>
                      <w:szCs w:val="20"/>
                      <w:highlight w:val="none"/>
                      <w:vertAlign w:val="baseline"/>
                      <w:lang w:val="en-US" w:eastAsia="zh-CN"/>
                    </w:rPr>
                    <w:t>50</w:t>
                  </w:r>
                </w:p>
              </w:tc>
              <w:tc>
                <w:tcPr>
                  <w:tcW w:w="799" w:type="pct"/>
                  <w:tcBorders>
                    <w:tl2br w:val="nil"/>
                    <w:tr2bl w:val="nil"/>
                  </w:tcBorders>
                  <w:noWrap w:val="0"/>
                  <w:vAlign w:val="center"/>
                </w:tcPr>
                <w:p w14:paraId="140BBE0A">
                  <w:pPr>
                    <w:keepNext w:val="0"/>
                    <w:keepLines w:val="0"/>
                    <w:pageBreakBefore w:val="0"/>
                    <w:suppressLineNumbers w:val="0"/>
                    <w:kinsoku/>
                    <w:wordWrap/>
                    <w:overflowPunct/>
                    <w:topLinePunct w:val="0"/>
                    <w:bidi w:val="0"/>
                    <w:snapToGrid/>
                    <w:spacing w:before="0" w:beforeAutospacing="0" w:after="0" w:afterAutospacing="0" w:line="360" w:lineRule="auto"/>
                    <w:ind w:left="0" w:leftChars="0" w:right="0" w:rightChars="0"/>
                    <w:jc w:val="center"/>
                    <w:textAlignment w:val="auto"/>
                    <w:rPr>
                      <w:rFonts w:hint="eastAsia" w:cs="Times New Roman"/>
                      <w:bCs/>
                      <w:snapToGrid w:val="0"/>
                      <w:color w:val="auto"/>
                      <w:kern w:val="0"/>
                      <w:highlight w:val="none"/>
                      <w:lang w:val="en-US" w:eastAsia="zh-CN"/>
                    </w:rPr>
                  </w:pPr>
                  <w:r>
                    <w:rPr>
                      <w:rFonts w:hint="eastAsia" w:cs="Times New Roman"/>
                      <w:bCs/>
                      <w:snapToGrid w:val="0"/>
                      <w:color w:val="auto"/>
                      <w:kern w:val="0"/>
                      <w:highlight w:val="none"/>
                      <w:lang w:val="en-US" w:eastAsia="zh-CN"/>
                    </w:rPr>
                    <w:t>达标</w:t>
                  </w:r>
                </w:p>
              </w:tc>
            </w:tr>
            <w:tr w14:paraId="4E05CA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475" w:hRule="atLeast"/>
                <w:jc w:val="center"/>
              </w:trPr>
              <w:tc>
                <w:tcPr>
                  <w:tcW w:w="1009" w:type="pct"/>
                  <w:tcBorders>
                    <w:tl2br w:val="nil"/>
                    <w:tr2bl w:val="nil"/>
                  </w:tcBorders>
                  <w:noWrap w:val="0"/>
                  <w:vAlign w:val="center"/>
                </w:tcPr>
                <w:p w14:paraId="607F36D4">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eastAsia" w:ascii="Times New Roman" w:hAnsi="Times New Roman" w:eastAsia="宋体"/>
                      <w:color w:val="auto"/>
                      <w:szCs w:val="21"/>
                      <w:highlight w:val="none"/>
                    </w:rPr>
                  </w:pPr>
                  <w:r>
                    <w:rPr>
                      <w:rFonts w:hint="eastAsia"/>
                      <w:color w:val="auto"/>
                      <w:szCs w:val="21"/>
                      <w:highlight w:val="none"/>
                      <w:lang w:eastAsia="zh-CN"/>
                    </w:rPr>
                    <w:t>厂界</w:t>
                  </w:r>
                  <w:r>
                    <w:rPr>
                      <w:rFonts w:hint="default"/>
                      <w:color w:val="auto"/>
                      <w:szCs w:val="21"/>
                      <w:highlight w:val="none"/>
                    </w:rPr>
                    <w:t>北侧</w:t>
                  </w:r>
                </w:p>
              </w:tc>
              <w:tc>
                <w:tcPr>
                  <w:tcW w:w="797" w:type="pct"/>
                  <w:tcBorders>
                    <w:tl2br w:val="nil"/>
                    <w:tr2bl w:val="nil"/>
                  </w:tcBorders>
                  <w:noWrap w:val="0"/>
                  <w:vAlign w:val="center"/>
                </w:tcPr>
                <w:p w14:paraId="389A92CA">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49.75</w:t>
                  </w:r>
                </w:p>
              </w:tc>
              <w:tc>
                <w:tcPr>
                  <w:tcW w:w="797" w:type="pct"/>
                  <w:tcBorders>
                    <w:tl2br w:val="nil"/>
                    <w:tr2bl w:val="nil"/>
                  </w:tcBorders>
                  <w:noWrap w:val="0"/>
                  <w:vAlign w:val="center"/>
                </w:tcPr>
                <w:p w14:paraId="096EC71D">
                  <w:pPr>
                    <w:keepNext w:val="0"/>
                    <w:keepLines w:val="0"/>
                    <w:pageBreakBefore w:val="0"/>
                    <w:suppressLineNumbers w:val="0"/>
                    <w:kinsoku/>
                    <w:wordWrap/>
                    <w:overflowPunct/>
                    <w:topLinePunct w:val="0"/>
                    <w:bidi w:val="0"/>
                    <w:snapToGrid/>
                    <w:spacing w:before="0" w:beforeAutospacing="0" w:after="0" w:afterAutospacing="0" w:line="360" w:lineRule="auto"/>
                    <w:ind w:left="0" w:right="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0</w:t>
                  </w:r>
                </w:p>
              </w:tc>
              <w:tc>
                <w:tcPr>
                  <w:tcW w:w="1305" w:type="dxa"/>
                  <w:tcBorders>
                    <w:tl2br w:val="nil"/>
                    <w:tr2bl w:val="nil"/>
                  </w:tcBorders>
                  <w:noWrap w:val="0"/>
                  <w:vAlign w:val="center"/>
                </w:tcPr>
                <w:p w14:paraId="192AE538">
                  <w:pPr>
                    <w:keepLines w:val="0"/>
                    <w:pageBreakBefore w:val="0"/>
                    <w:kinsoku w:val="0"/>
                    <w:overflowPunct w:val="0"/>
                    <w:topLinePunct w:val="0"/>
                    <w:autoSpaceDE w:val="0"/>
                    <w:autoSpaceDN w:val="0"/>
                    <w:bidi w:val="0"/>
                    <w:spacing w:beforeAutospacing="0" w:afterAutospacing="0" w:line="360" w:lineRule="auto"/>
                    <w:ind w:right="0" w:rightChars="0"/>
                    <w:jc w:val="center"/>
                    <w:rPr>
                      <w:rFonts w:hint="default" w:ascii="Times New Roman" w:hAnsi="Times New Roman" w:cs="Times New Roman"/>
                      <w:snapToGrid w:val="0"/>
                      <w:color w:val="auto"/>
                      <w:kern w:val="0"/>
                      <w:highlight w:val="none"/>
                      <w:lang w:val="en-US"/>
                    </w:rPr>
                  </w:pPr>
                  <w:r>
                    <w:rPr>
                      <w:rFonts w:hint="eastAsia" w:cs="Times New Roman"/>
                      <w:color w:val="auto"/>
                      <w:sz w:val="20"/>
                      <w:szCs w:val="20"/>
                      <w:highlight w:val="none"/>
                      <w:vertAlign w:val="baseline"/>
                      <w:lang w:val="en-US" w:eastAsia="zh-CN"/>
                    </w:rPr>
                    <w:t>60</w:t>
                  </w:r>
                </w:p>
              </w:tc>
              <w:tc>
                <w:tcPr>
                  <w:tcW w:w="1305" w:type="dxa"/>
                  <w:tcBorders>
                    <w:tl2br w:val="nil"/>
                    <w:tr2bl w:val="nil"/>
                  </w:tcBorders>
                  <w:noWrap w:val="0"/>
                  <w:vAlign w:val="center"/>
                </w:tcPr>
                <w:p w14:paraId="69586BDB">
                  <w:pPr>
                    <w:keepLines w:val="0"/>
                    <w:pageBreakBefore w:val="0"/>
                    <w:kinsoku w:val="0"/>
                    <w:overflowPunct w:val="0"/>
                    <w:topLinePunct w:val="0"/>
                    <w:autoSpaceDE w:val="0"/>
                    <w:autoSpaceDN w:val="0"/>
                    <w:bidi w:val="0"/>
                    <w:spacing w:beforeAutospacing="0" w:afterAutospacing="0" w:line="360" w:lineRule="auto"/>
                    <w:ind w:right="0" w:rightChars="0"/>
                    <w:jc w:val="center"/>
                    <w:rPr>
                      <w:rFonts w:hint="default" w:ascii="Times New Roman" w:hAnsi="Times New Roman" w:cs="Times New Roman"/>
                      <w:snapToGrid w:val="0"/>
                      <w:color w:val="auto"/>
                      <w:kern w:val="0"/>
                      <w:highlight w:val="none"/>
                    </w:rPr>
                  </w:pPr>
                  <w:r>
                    <w:rPr>
                      <w:rFonts w:hint="eastAsia" w:cs="Times New Roman"/>
                      <w:color w:val="auto"/>
                      <w:sz w:val="20"/>
                      <w:szCs w:val="20"/>
                      <w:highlight w:val="none"/>
                      <w:vertAlign w:val="baseline"/>
                      <w:lang w:val="en-US" w:eastAsia="zh-CN"/>
                    </w:rPr>
                    <w:t>50</w:t>
                  </w:r>
                </w:p>
              </w:tc>
              <w:tc>
                <w:tcPr>
                  <w:tcW w:w="799" w:type="pct"/>
                  <w:tcBorders>
                    <w:tl2br w:val="nil"/>
                    <w:tr2bl w:val="nil"/>
                  </w:tcBorders>
                  <w:noWrap w:val="0"/>
                  <w:vAlign w:val="center"/>
                </w:tcPr>
                <w:p w14:paraId="34526CB7">
                  <w:pPr>
                    <w:keepNext w:val="0"/>
                    <w:keepLines w:val="0"/>
                    <w:pageBreakBefore w:val="0"/>
                    <w:suppressLineNumbers w:val="0"/>
                    <w:kinsoku/>
                    <w:wordWrap/>
                    <w:overflowPunct/>
                    <w:topLinePunct w:val="0"/>
                    <w:bidi w:val="0"/>
                    <w:snapToGrid/>
                    <w:spacing w:before="0" w:beforeAutospacing="0" w:after="0" w:afterAutospacing="0" w:line="360" w:lineRule="auto"/>
                    <w:ind w:left="0" w:leftChars="0" w:right="0" w:rightChars="0"/>
                    <w:jc w:val="center"/>
                    <w:textAlignment w:val="auto"/>
                    <w:rPr>
                      <w:rFonts w:hint="eastAsia" w:cs="Times New Roman"/>
                      <w:bCs/>
                      <w:snapToGrid w:val="0"/>
                      <w:color w:val="auto"/>
                      <w:kern w:val="0"/>
                      <w:highlight w:val="none"/>
                      <w:lang w:val="en-US" w:eastAsia="zh-CN"/>
                    </w:rPr>
                  </w:pPr>
                  <w:r>
                    <w:rPr>
                      <w:rFonts w:hint="eastAsia" w:cs="Times New Roman"/>
                      <w:bCs/>
                      <w:snapToGrid w:val="0"/>
                      <w:color w:val="auto"/>
                      <w:kern w:val="0"/>
                      <w:highlight w:val="none"/>
                      <w:lang w:val="en-US" w:eastAsia="zh-CN"/>
                    </w:rPr>
                    <w:t>达标</w:t>
                  </w:r>
                </w:p>
              </w:tc>
            </w:tr>
          </w:tbl>
          <w:p w14:paraId="1E9089DD">
            <w:pPr>
              <w:keepNext w:val="0"/>
              <w:keepLines w:val="0"/>
              <w:pageBreakBefore w:val="0"/>
              <w:widowControl w:val="0"/>
              <w:kinsoku/>
              <w:wordWrap w:val="0"/>
              <w:overflowPunct/>
              <w:topLinePunct w:val="0"/>
              <w:autoSpaceDE/>
              <w:autoSpaceDN/>
              <w:bidi w:val="0"/>
              <w:adjustRightInd/>
              <w:snapToGrid/>
              <w:spacing w:line="360" w:lineRule="auto"/>
              <w:ind w:firstLine="482"/>
              <w:textAlignment w:val="auto"/>
              <w:rPr>
                <w:rFonts w:ascii="Times New Roman" w:hAnsi="Times New Roman" w:eastAsia="宋体" w:cs="Times New Roman"/>
                <w:bCs/>
                <w:color w:val="auto"/>
                <w:sz w:val="24"/>
              </w:rPr>
            </w:pPr>
            <w:r>
              <w:rPr>
                <w:rFonts w:hint="default" w:ascii="Times New Roman" w:hAnsi="Times New Roman" w:eastAsia="宋体" w:cs="Times New Roman"/>
                <w:bCs/>
                <w:color w:val="auto"/>
                <w:sz w:val="24"/>
                <w:highlight w:val="none"/>
              </w:rPr>
              <w:t>根据预测结果，</w:t>
            </w:r>
            <w:r>
              <w:rPr>
                <w:rFonts w:hint="eastAsia" w:cs="Times New Roman"/>
                <w:bCs/>
                <w:color w:val="auto"/>
                <w:sz w:val="24"/>
                <w:lang w:val="en-US" w:eastAsia="zh-CN"/>
              </w:rPr>
              <w:t>通过选用低噪声车辆及设备，加强厂区运输管理，夜间不生产，车辆减速慢行，降低运输噪声等措施</w:t>
            </w:r>
            <w:r>
              <w:rPr>
                <w:rFonts w:ascii="Times New Roman" w:hAnsi="Times New Roman" w:eastAsia="宋体" w:cs="Times New Roman"/>
                <w:bCs/>
                <w:color w:val="auto"/>
                <w:sz w:val="24"/>
              </w:rPr>
              <w:t>，</w:t>
            </w:r>
            <w:r>
              <w:rPr>
                <w:rFonts w:hint="eastAsia" w:ascii="Times New Roman" w:hAnsi="Times New Roman" w:eastAsia="宋体" w:cs="Times New Roman"/>
                <w:bCs/>
                <w:color w:val="auto"/>
                <w:sz w:val="24"/>
              </w:rPr>
              <w:t>经厂区距离衰减，到达厂界处，厂界噪声能够</w:t>
            </w:r>
            <w:r>
              <w:rPr>
                <w:rFonts w:ascii="Times New Roman" w:hAnsi="Times New Roman" w:eastAsia="宋体" w:cs="Times New Roman"/>
                <w:bCs/>
                <w:color w:val="auto"/>
                <w:sz w:val="24"/>
              </w:rPr>
              <w:t>满足《工业企业厂界环境噪声排放标准》（GB12348-2008）表1中</w:t>
            </w:r>
            <w:r>
              <w:rPr>
                <w:rFonts w:hint="eastAsia" w:cs="Times New Roman"/>
                <w:bCs/>
                <w:color w:val="auto"/>
                <w:sz w:val="24"/>
                <w:lang w:val="en-US" w:eastAsia="zh-CN"/>
              </w:rPr>
              <w:t>2</w:t>
            </w:r>
            <w:r>
              <w:rPr>
                <w:rFonts w:ascii="Times New Roman" w:hAnsi="Times New Roman" w:eastAsia="宋体" w:cs="Times New Roman"/>
                <w:bCs/>
                <w:color w:val="auto"/>
                <w:sz w:val="24"/>
              </w:rPr>
              <w:t>类标准</w:t>
            </w:r>
            <w:r>
              <w:rPr>
                <w:rFonts w:hint="eastAsia" w:ascii="Times New Roman" w:hAnsi="Times New Roman" w:eastAsia="宋体" w:cs="Times New Roman"/>
                <w:bCs/>
                <w:color w:val="auto"/>
                <w:sz w:val="24"/>
              </w:rPr>
              <w:t>。</w:t>
            </w:r>
            <w:r>
              <w:rPr>
                <w:rFonts w:hint="eastAsia" w:cs="Times New Roman"/>
                <w:color w:val="auto"/>
                <w:kern w:val="0"/>
                <w:sz w:val="24"/>
                <w:szCs w:val="24"/>
                <w:highlight w:val="none"/>
                <w:lang w:eastAsia="zh-CN"/>
              </w:rPr>
              <w:t>针对运输交通噪声，加强管理，杜绝超载现象，禁止使用超过噪声限值的运输车辆，汽车运输机械设备应安装消声器和禁用高音喇叭，机动车辆必须加强维修和保养，保持技术性能良好，在经过运输道路沿途村落时，应限制鸣笛，合理安排运输车辆工作时间，22：00-次日6:00禁止运输工作，避免交通噪声对沿途村庄产生影响，运输车辆沿线两侧居民住宅处噪声满足《声环境质量标准》(GB3096-2008)2类标准。</w:t>
            </w:r>
            <w:r>
              <w:rPr>
                <w:rFonts w:ascii="Times New Roman" w:hAnsi="Times New Roman" w:eastAsia="宋体" w:cs="Times New Roman"/>
                <w:bCs/>
                <w:color w:val="auto"/>
                <w:sz w:val="24"/>
              </w:rPr>
              <w:t>同时运营期落实好报告中提出的监测要求，发现超标及时采取降噪措施，保证厂界噪声达标排放，对周围声环境影响较小。项目运营对周围环境噪声影响较小。</w:t>
            </w:r>
          </w:p>
          <w:p w14:paraId="0DB98127">
            <w:pPr>
              <w:keepNext w:val="0"/>
              <w:keepLines w:val="0"/>
              <w:pageBreakBefore w:val="0"/>
              <w:widowControl w:val="0"/>
              <w:kinsoku/>
              <w:wordWrap w:val="0"/>
              <w:overflowPunct/>
              <w:topLinePunct w:val="0"/>
              <w:autoSpaceDE/>
              <w:autoSpaceDN/>
              <w:bidi w:val="0"/>
              <w:adjustRightInd/>
              <w:snapToGrid/>
              <w:spacing w:line="360" w:lineRule="auto"/>
              <w:ind w:firstLine="482"/>
              <w:textAlignment w:val="auto"/>
              <w:rPr>
                <w:bCs/>
                <w:color w:val="auto"/>
                <w:sz w:val="24"/>
              </w:rPr>
            </w:pPr>
            <w:r>
              <w:rPr>
                <w:bCs/>
                <w:color w:val="auto"/>
                <w:sz w:val="24"/>
              </w:rPr>
              <w:t>本项目</w:t>
            </w:r>
            <w:r>
              <w:rPr>
                <w:rFonts w:hint="eastAsia" w:cs="Times New Roman"/>
                <w:bCs/>
                <w:color w:val="auto"/>
                <w:sz w:val="24"/>
                <w:lang w:val="en-US" w:eastAsia="zh-CN"/>
              </w:rPr>
              <w:t>通过选用低噪声车辆及设备，加强</w:t>
            </w:r>
            <w:r>
              <w:rPr>
                <w:rFonts w:hint="eastAsia"/>
                <w:bCs/>
                <w:color w:val="auto"/>
                <w:sz w:val="24"/>
                <w:lang w:val="en-US" w:eastAsia="zh-CN"/>
              </w:rPr>
              <w:t>厂区运输管理</w:t>
            </w:r>
            <w:r>
              <w:rPr>
                <w:rFonts w:hint="eastAsia" w:cs="Times New Roman"/>
                <w:bCs/>
                <w:color w:val="auto"/>
                <w:sz w:val="24"/>
                <w:lang w:val="en-US" w:eastAsia="zh-CN"/>
              </w:rPr>
              <w:t>，夜间不生产，车辆减速慢行，降低运输噪声</w:t>
            </w:r>
            <w:r>
              <w:rPr>
                <w:bCs/>
                <w:color w:val="auto"/>
                <w:sz w:val="24"/>
              </w:rPr>
              <w:t>，采取降噪措施后本项目</w:t>
            </w:r>
            <w:r>
              <w:rPr>
                <w:rFonts w:hint="eastAsia"/>
                <w:color w:val="auto"/>
                <w:sz w:val="24"/>
              </w:rPr>
              <w:t>厂界四周</w:t>
            </w:r>
            <w:r>
              <w:rPr>
                <w:color w:val="auto"/>
                <w:sz w:val="24"/>
              </w:rPr>
              <w:t>噪声能够满足</w:t>
            </w:r>
            <w:r>
              <w:rPr>
                <w:rFonts w:hint="eastAsia"/>
                <w:color w:val="auto"/>
                <w:sz w:val="24"/>
              </w:rPr>
              <w:t>《声环境质量标准》（GB3096-2008）中</w:t>
            </w:r>
            <w:r>
              <w:rPr>
                <w:rFonts w:hint="eastAsia"/>
                <w:color w:val="auto"/>
                <w:sz w:val="24"/>
                <w:lang w:val="en-US" w:eastAsia="zh-CN"/>
              </w:rPr>
              <w:t>2</w:t>
            </w:r>
            <w:r>
              <w:rPr>
                <w:rFonts w:hint="eastAsia"/>
                <w:color w:val="auto"/>
                <w:sz w:val="24"/>
              </w:rPr>
              <w:t>类区昼间</w:t>
            </w:r>
            <w:r>
              <w:rPr>
                <w:color w:val="auto"/>
                <w:sz w:val="24"/>
              </w:rPr>
              <w:t>标准的要</w:t>
            </w:r>
            <w:r>
              <w:rPr>
                <w:rFonts w:hint="eastAsia" w:cs="Times New Roman"/>
                <w:color w:val="auto"/>
                <w:kern w:val="0"/>
                <w:sz w:val="24"/>
                <w:szCs w:val="24"/>
                <w:highlight w:val="none"/>
                <w:lang w:val="en-US" w:eastAsia="zh-CN"/>
              </w:rPr>
              <w:t>求</w:t>
            </w:r>
            <w:r>
              <w:rPr>
                <w:bCs/>
                <w:color w:val="auto"/>
                <w:sz w:val="24"/>
              </w:rPr>
              <w:t>。采取措施后本项目噪声对周围声环境造成的不利影响较小，可被环境接受。</w:t>
            </w:r>
          </w:p>
          <w:p w14:paraId="1EDEC804">
            <w:pPr>
              <w:spacing w:line="360" w:lineRule="auto"/>
              <w:ind w:firstLine="480"/>
              <w:rPr>
                <w:bCs/>
                <w:color w:val="auto"/>
                <w:sz w:val="24"/>
              </w:rPr>
            </w:pPr>
            <w:r>
              <w:rPr>
                <w:bCs/>
                <w:color w:val="auto"/>
                <w:sz w:val="24"/>
              </w:rPr>
              <w:t>针对本项目噪声源的特点，本次评价提出以下措施：</w:t>
            </w:r>
          </w:p>
          <w:p w14:paraId="495DEF0C">
            <w:pPr>
              <w:spacing w:line="360" w:lineRule="auto"/>
              <w:ind w:firstLine="480"/>
              <w:rPr>
                <w:bCs/>
                <w:color w:val="auto"/>
                <w:sz w:val="24"/>
              </w:rPr>
            </w:pPr>
            <w:r>
              <w:rPr>
                <w:bCs/>
                <w:color w:val="auto"/>
                <w:sz w:val="24"/>
              </w:rPr>
              <w:t>①</w:t>
            </w:r>
            <w:r>
              <w:rPr>
                <w:rFonts w:hint="eastAsia" w:cs="Times New Roman"/>
                <w:bCs/>
                <w:color w:val="auto"/>
                <w:sz w:val="24"/>
                <w:lang w:val="en-US" w:eastAsia="zh-CN"/>
              </w:rPr>
              <w:t>选用低噪声车辆及设备</w:t>
            </w:r>
          </w:p>
          <w:p w14:paraId="1B3A39B7">
            <w:pPr>
              <w:spacing w:line="360" w:lineRule="auto"/>
              <w:ind w:firstLine="480"/>
              <w:rPr>
                <w:bCs/>
                <w:color w:val="auto"/>
                <w:sz w:val="24"/>
              </w:rPr>
            </w:pPr>
            <w:r>
              <w:rPr>
                <w:rFonts w:hint="eastAsia"/>
                <w:bCs/>
                <w:color w:val="auto"/>
                <w:sz w:val="24"/>
              </w:rPr>
              <w:t>②</w:t>
            </w:r>
            <w:r>
              <w:rPr>
                <w:rFonts w:hint="eastAsia"/>
                <w:bCs/>
                <w:color w:val="auto"/>
                <w:sz w:val="24"/>
                <w:lang w:val="en-US" w:eastAsia="zh-CN"/>
              </w:rPr>
              <w:t>加强厂区管理：白天生产，夜间不生产，</w:t>
            </w:r>
            <w:r>
              <w:rPr>
                <w:rFonts w:hint="eastAsia" w:cs="Times New Roman"/>
                <w:color w:val="auto"/>
                <w:kern w:val="0"/>
                <w:sz w:val="24"/>
                <w:szCs w:val="24"/>
                <w:highlight w:val="none"/>
                <w:lang w:eastAsia="zh-CN"/>
              </w:rPr>
              <w:t>合理安排运输车辆工作时间，22：00-次日6:00禁止运输工作</w:t>
            </w:r>
            <w:r>
              <w:rPr>
                <w:bCs/>
                <w:color w:val="auto"/>
                <w:sz w:val="24"/>
              </w:rPr>
              <w:t>。</w:t>
            </w:r>
          </w:p>
          <w:p w14:paraId="71A6B84A">
            <w:pPr>
              <w:spacing w:line="360" w:lineRule="auto"/>
              <w:ind w:firstLine="480"/>
              <w:rPr>
                <w:bCs/>
                <w:color w:val="auto"/>
                <w:sz w:val="24"/>
              </w:rPr>
            </w:pPr>
            <w:r>
              <w:rPr>
                <w:rFonts w:hint="eastAsia"/>
                <w:bCs/>
                <w:color w:val="auto"/>
                <w:sz w:val="24"/>
                <w:lang w:val="en-US" w:eastAsia="zh-CN"/>
              </w:rPr>
              <w:t>③加强运输管理</w:t>
            </w:r>
            <w:r>
              <w:rPr>
                <w:bCs/>
                <w:color w:val="auto"/>
                <w:sz w:val="24"/>
              </w:rPr>
              <w:t>：</w:t>
            </w:r>
            <w:r>
              <w:rPr>
                <w:rFonts w:hint="eastAsia"/>
                <w:bCs/>
                <w:color w:val="auto"/>
                <w:sz w:val="24"/>
                <w:lang w:val="en-US" w:eastAsia="zh-CN"/>
              </w:rPr>
              <w:t>运输车辆、铲车、炮雾机等减速慢行，降低运输噪声</w:t>
            </w:r>
            <w:r>
              <w:rPr>
                <w:bCs/>
                <w:color w:val="auto"/>
                <w:sz w:val="24"/>
              </w:rPr>
              <w:t>。</w:t>
            </w:r>
          </w:p>
          <w:p w14:paraId="48515E70">
            <w:pPr>
              <w:spacing w:line="360" w:lineRule="auto"/>
              <w:ind w:firstLine="480"/>
              <w:rPr>
                <w:bCs/>
                <w:color w:val="auto"/>
                <w:sz w:val="24"/>
              </w:rPr>
            </w:pPr>
            <w:r>
              <w:rPr>
                <w:rFonts w:hint="eastAsia"/>
                <w:color w:val="auto"/>
                <w:sz w:val="24"/>
              </w:rPr>
              <w:t>④</w:t>
            </w:r>
            <w:r>
              <w:rPr>
                <w:rFonts w:hint="eastAsia" w:cs="Times New Roman"/>
                <w:color w:val="auto"/>
                <w:kern w:val="0"/>
                <w:sz w:val="24"/>
                <w:szCs w:val="24"/>
                <w:highlight w:val="none"/>
                <w:lang w:eastAsia="zh-CN"/>
              </w:rPr>
              <w:t>汽车运输机械设备应安装消声器和禁用高音喇叭，机动车辆必须加强维修和保养，保持技术性能良好，在经过运输道路沿途村落时，应限制鸣笛。</w:t>
            </w:r>
          </w:p>
          <w:p w14:paraId="20B9598C">
            <w:pPr>
              <w:spacing w:line="360" w:lineRule="auto"/>
              <w:ind w:firstLine="480" w:firstLineChars="200"/>
              <w:rPr>
                <w:rFonts w:hint="eastAsia"/>
                <w:color w:val="auto"/>
                <w:sz w:val="24"/>
              </w:rPr>
            </w:pPr>
            <w:r>
              <w:rPr>
                <w:rFonts w:hint="eastAsia"/>
                <w:color w:val="auto"/>
                <w:sz w:val="24"/>
              </w:rPr>
              <w:t>综上所述，从噪声影响角度，本项目建设是可行的。</w:t>
            </w:r>
          </w:p>
          <w:p w14:paraId="51E00E69">
            <w:pPr>
              <w:pStyle w:val="35"/>
              <w:spacing w:before="0" w:beforeAutospacing="0" w:after="0" w:afterAutospacing="0" w:line="360" w:lineRule="auto"/>
              <w:ind w:firstLine="480" w:firstLineChars="200"/>
              <w:rPr>
                <w:rFonts w:hint="default" w:ascii="Times New Roman" w:hAnsi="Times New Roman" w:eastAsia="宋体"/>
                <w:color w:val="auto"/>
                <w:szCs w:val="24"/>
                <w:lang w:val="en-US" w:eastAsia="zh-CN"/>
              </w:rPr>
            </w:pPr>
            <w:r>
              <w:rPr>
                <w:rFonts w:hint="eastAsia" w:ascii="Times New Roman" w:hAnsi="Times New Roman"/>
                <w:color w:val="auto"/>
                <w:szCs w:val="24"/>
                <w:lang w:eastAsia="zh-CN"/>
              </w:rPr>
              <w:t>（</w:t>
            </w:r>
            <w:r>
              <w:rPr>
                <w:rFonts w:hint="eastAsia" w:ascii="Times New Roman" w:hAnsi="Times New Roman"/>
                <w:color w:val="auto"/>
                <w:szCs w:val="24"/>
                <w:lang w:val="en-US" w:eastAsia="zh-CN"/>
              </w:rPr>
              <w:t>二</w:t>
            </w:r>
            <w:r>
              <w:rPr>
                <w:rFonts w:hint="eastAsia" w:ascii="Times New Roman" w:hAnsi="Times New Roman"/>
                <w:color w:val="auto"/>
                <w:szCs w:val="24"/>
                <w:lang w:eastAsia="zh-CN"/>
              </w:rPr>
              <w:t>）</w:t>
            </w:r>
            <w:r>
              <w:rPr>
                <w:rFonts w:hint="eastAsia" w:ascii="Times New Roman" w:hAnsi="Times New Roman"/>
                <w:color w:val="auto"/>
                <w:szCs w:val="24"/>
                <w:lang w:val="en-US" w:eastAsia="zh-CN"/>
              </w:rPr>
              <w:t>运输路线环境影响分析</w:t>
            </w:r>
          </w:p>
          <w:p w14:paraId="4EA0ADD9">
            <w:pPr>
              <w:spacing w:line="360" w:lineRule="auto"/>
              <w:ind w:firstLine="480" w:firstLineChars="200"/>
              <w:rPr>
                <w:rFonts w:hint="default" w:eastAsia="宋体"/>
                <w:color w:val="auto"/>
                <w:sz w:val="24"/>
                <w:lang w:val="en-US" w:eastAsia="zh-CN"/>
              </w:rPr>
            </w:pPr>
            <w:r>
              <w:rPr>
                <w:rFonts w:hint="eastAsia"/>
                <w:color w:val="auto"/>
                <w:sz w:val="24"/>
              </w:rPr>
              <w:t>本项目夜间不安排运输，运输车辆采取限制车速、禁鸣等措施，可有效降低运输车辆噪声对道路两侧</w:t>
            </w:r>
            <w:r>
              <w:rPr>
                <w:rFonts w:hint="eastAsia"/>
                <w:color w:val="auto"/>
                <w:sz w:val="24"/>
                <w:lang w:val="en-US" w:eastAsia="zh-CN"/>
              </w:rPr>
              <w:t>环境</w:t>
            </w:r>
            <w:r>
              <w:rPr>
                <w:rFonts w:hint="eastAsia"/>
                <w:color w:val="auto"/>
                <w:sz w:val="24"/>
              </w:rPr>
              <w:t>的影响。</w:t>
            </w:r>
            <w:r>
              <w:rPr>
                <w:rFonts w:hint="eastAsia"/>
                <w:color w:val="auto"/>
                <w:sz w:val="24"/>
                <w:lang w:val="en-US" w:eastAsia="zh-CN"/>
              </w:rPr>
              <w:t>本项目运输路线见附图5。</w:t>
            </w:r>
          </w:p>
          <w:p w14:paraId="261E5CA9">
            <w:pPr>
              <w:spacing w:line="360" w:lineRule="auto"/>
              <w:ind w:firstLine="480" w:firstLineChars="200"/>
              <w:rPr>
                <w:color w:val="auto"/>
                <w:sz w:val="24"/>
              </w:rPr>
            </w:pPr>
            <w:r>
              <w:rPr>
                <w:rFonts w:hint="eastAsia"/>
                <w:color w:val="auto"/>
                <w:sz w:val="24"/>
                <w:lang w:eastAsia="zh-CN"/>
              </w:rPr>
              <w:t>（</w:t>
            </w:r>
            <w:r>
              <w:rPr>
                <w:rFonts w:hint="eastAsia"/>
                <w:color w:val="auto"/>
                <w:sz w:val="24"/>
                <w:lang w:val="en-US" w:eastAsia="zh-CN"/>
              </w:rPr>
              <w:t>三</w:t>
            </w:r>
            <w:r>
              <w:rPr>
                <w:rFonts w:hint="eastAsia"/>
                <w:color w:val="auto"/>
                <w:sz w:val="24"/>
                <w:lang w:eastAsia="zh-CN"/>
              </w:rPr>
              <w:t>）</w:t>
            </w:r>
            <w:r>
              <w:rPr>
                <w:rFonts w:hint="eastAsia"/>
                <w:color w:val="auto"/>
                <w:sz w:val="24"/>
              </w:rPr>
              <w:t>监测计划</w:t>
            </w:r>
          </w:p>
          <w:p w14:paraId="0B85A3A6">
            <w:pPr>
              <w:jc w:val="center"/>
              <w:rPr>
                <w:b/>
                <w:bCs/>
                <w:iCs/>
                <w:color w:val="auto"/>
                <w:kern w:val="0"/>
                <w:szCs w:val="21"/>
              </w:rPr>
            </w:pPr>
            <w:r>
              <w:rPr>
                <w:b/>
                <w:bCs/>
                <w:iCs/>
                <w:color w:val="auto"/>
                <w:kern w:val="0"/>
                <w:szCs w:val="21"/>
              </w:rPr>
              <w:t>表</w:t>
            </w:r>
            <w:r>
              <w:rPr>
                <w:rFonts w:hint="eastAsia"/>
                <w:b/>
                <w:bCs/>
                <w:iCs/>
                <w:color w:val="auto"/>
                <w:kern w:val="0"/>
                <w:szCs w:val="21"/>
              </w:rPr>
              <w:t>4-</w:t>
            </w:r>
            <w:r>
              <w:rPr>
                <w:rFonts w:hint="eastAsia"/>
                <w:b/>
                <w:bCs/>
                <w:iCs/>
                <w:color w:val="auto"/>
                <w:kern w:val="0"/>
                <w:szCs w:val="21"/>
                <w:lang w:val="en-US" w:eastAsia="zh-CN"/>
              </w:rPr>
              <w:t>9</w:t>
            </w:r>
            <w:r>
              <w:rPr>
                <w:rFonts w:hint="eastAsia"/>
                <w:b/>
                <w:bCs/>
                <w:iCs/>
                <w:color w:val="auto"/>
                <w:kern w:val="0"/>
                <w:szCs w:val="21"/>
              </w:rPr>
              <w:t xml:space="preserve">  </w:t>
            </w:r>
            <w:r>
              <w:rPr>
                <w:b/>
                <w:bCs/>
                <w:iCs/>
                <w:color w:val="auto"/>
                <w:kern w:val="0"/>
                <w:szCs w:val="21"/>
              </w:rPr>
              <w:t>本项目</w:t>
            </w:r>
            <w:r>
              <w:rPr>
                <w:rFonts w:hint="eastAsia"/>
                <w:b/>
                <w:bCs/>
                <w:iCs/>
                <w:color w:val="auto"/>
                <w:kern w:val="0"/>
                <w:szCs w:val="21"/>
              </w:rPr>
              <w:t>噪声</w:t>
            </w:r>
            <w:r>
              <w:rPr>
                <w:b/>
                <w:bCs/>
                <w:iCs/>
                <w:color w:val="auto"/>
                <w:kern w:val="0"/>
                <w:szCs w:val="21"/>
              </w:rPr>
              <w:t>污染源监测计划</w:t>
            </w:r>
          </w:p>
          <w:tbl>
            <w:tblPr>
              <w:tblStyle w:val="3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123"/>
              <w:gridCol w:w="1215"/>
              <w:gridCol w:w="1214"/>
              <w:gridCol w:w="1394"/>
              <w:gridCol w:w="3205"/>
            </w:tblGrid>
            <w:tr w14:paraId="0D8C23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53" w:hRule="atLeast"/>
                <w:jc w:val="center"/>
              </w:trPr>
              <w:tc>
                <w:tcPr>
                  <w:tcW w:w="688" w:type="pct"/>
                  <w:tcBorders>
                    <w:tl2br w:val="nil"/>
                    <w:tr2bl w:val="nil"/>
                  </w:tcBorders>
                  <w:vAlign w:val="center"/>
                </w:tcPr>
                <w:p w14:paraId="6FB0ADFA">
                  <w:pPr>
                    <w:spacing w:line="360" w:lineRule="auto"/>
                    <w:jc w:val="center"/>
                    <w:rPr>
                      <w:color w:val="auto"/>
                      <w:szCs w:val="21"/>
                    </w:rPr>
                  </w:pPr>
                  <w:r>
                    <w:rPr>
                      <w:color w:val="auto"/>
                      <w:szCs w:val="21"/>
                    </w:rPr>
                    <w:t>监测项目</w:t>
                  </w:r>
                </w:p>
              </w:tc>
              <w:tc>
                <w:tcPr>
                  <w:tcW w:w="745" w:type="pct"/>
                  <w:tcBorders>
                    <w:tl2br w:val="nil"/>
                    <w:tr2bl w:val="nil"/>
                  </w:tcBorders>
                  <w:vAlign w:val="center"/>
                </w:tcPr>
                <w:p w14:paraId="1CFD3DC0">
                  <w:pPr>
                    <w:spacing w:line="360" w:lineRule="auto"/>
                    <w:jc w:val="center"/>
                    <w:rPr>
                      <w:color w:val="auto"/>
                      <w:szCs w:val="21"/>
                    </w:rPr>
                  </w:pPr>
                  <w:r>
                    <w:rPr>
                      <w:color w:val="auto"/>
                      <w:szCs w:val="21"/>
                    </w:rPr>
                    <w:t>监测因子</w:t>
                  </w:r>
                </w:p>
              </w:tc>
              <w:tc>
                <w:tcPr>
                  <w:tcW w:w="745" w:type="pct"/>
                  <w:tcBorders>
                    <w:tl2br w:val="nil"/>
                    <w:tr2bl w:val="nil"/>
                  </w:tcBorders>
                  <w:vAlign w:val="center"/>
                </w:tcPr>
                <w:p w14:paraId="3B229796">
                  <w:pPr>
                    <w:spacing w:line="360" w:lineRule="auto"/>
                    <w:jc w:val="center"/>
                    <w:rPr>
                      <w:color w:val="auto"/>
                      <w:szCs w:val="21"/>
                    </w:rPr>
                  </w:pPr>
                  <w:r>
                    <w:rPr>
                      <w:color w:val="auto"/>
                      <w:szCs w:val="21"/>
                    </w:rPr>
                    <w:t>监测点位置</w:t>
                  </w:r>
                </w:p>
              </w:tc>
              <w:tc>
                <w:tcPr>
                  <w:tcW w:w="855" w:type="pct"/>
                  <w:tcBorders>
                    <w:tl2br w:val="nil"/>
                    <w:tr2bl w:val="nil"/>
                  </w:tcBorders>
                  <w:vAlign w:val="center"/>
                </w:tcPr>
                <w:p w14:paraId="14E29C88">
                  <w:pPr>
                    <w:spacing w:line="360" w:lineRule="auto"/>
                    <w:jc w:val="center"/>
                    <w:rPr>
                      <w:color w:val="auto"/>
                      <w:szCs w:val="21"/>
                    </w:rPr>
                  </w:pPr>
                  <w:r>
                    <w:rPr>
                      <w:color w:val="auto"/>
                      <w:szCs w:val="21"/>
                    </w:rPr>
                    <w:t>最低监测频率</w:t>
                  </w:r>
                </w:p>
              </w:tc>
              <w:tc>
                <w:tcPr>
                  <w:tcW w:w="1965" w:type="pct"/>
                  <w:tcBorders>
                    <w:tl2br w:val="nil"/>
                    <w:tr2bl w:val="nil"/>
                  </w:tcBorders>
                  <w:vAlign w:val="center"/>
                </w:tcPr>
                <w:p w14:paraId="29DFEA4F">
                  <w:pPr>
                    <w:spacing w:line="360" w:lineRule="auto"/>
                    <w:jc w:val="center"/>
                    <w:rPr>
                      <w:color w:val="auto"/>
                      <w:szCs w:val="21"/>
                    </w:rPr>
                  </w:pPr>
                  <w:r>
                    <w:rPr>
                      <w:color w:val="auto"/>
                      <w:szCs w:val="21"/>
                    </w:rPr>
                    <w:t>执行标准</w:t>
                  </w:r>
                </w:p>
              </w:tc>
            </w:tr>
            <w:tr w14:paraId="795D78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688" w:type="pct"/>
                  <w:tcBorders>
                    <w:tl2br w:val="nil"/>
                    <w:tr2bl w:val="nil"/>
                  </w:tcBorders>
                  <w:vAlign w:val="center"/>
                </w:tcPr>
                <w:p w14:paraId="7D3E6E45">
                  <w:pPr>
                    <w:spacing w:line="360" w:lineRule="auto"/>
                    <w:jc w:val="center"/>
                    <w:rPr>
                      <w:color w:val="auto"/>
                      <w:szCs w:val="21"/>
                    </w:rPr>
                  </w:pPr>
                  <w:r>
                    <w:rPr>
                      <w:color w:val="auto"/>
                      <w:szCs w:val="21"/>
                    </w:rPr>
                    <w:t>厂界</w:t>
                  </w:r>
                  <w:r>
                    <w:rPr>
                      <w:rFonts w:hint="eastAsia"/>
                      <w:color w:val="auto"/>
                      <w:szCs w:val="21"/>
                    </w:rPr>
                    <w:t>四周噪声</w:t>
                  </w:r>
                </w:p>
              </w:tc>
              <w:tc>
                <w:tcPr>
                  <w:tcW w:w="745" w:type="pct"/>
                  <w:tcBorders>
                    <w:tl2br w:val="nil"/>
                    <w:tr2bl w:val="nil"/>
                  </w:tcBorders>
                  <w:vAlign w:val="center"/>
                </w:tcPr>
                <w:p w14:paraId="096C2226">
                  <w:pPr>
                    <w:spacing w:line="360" w:lineRule="auto"/>
                    <w:jc w:val="center"/>
                    <w:rPr>
                      <w:color w:val="auto"/>
                      <w:szCs w:val="21"/>
                    </w:rPr>
                  </w:pPr>
                  <w:r>
                    <w:rPr>
                      <w:color w:val="auto"/>
                      <w:szCs w:val="21"/>
                    </w:rPr>
                    <w:t>Leq（A）</w:t>
                  </w:r>
                </w:p>
              </w:tc>
              <w:tc>
                <w:tcPr>
                  <w:tcW w:w="745" w:type="pct"/>
                  <w:tcBorders>
                    <w:tl2br w:val="nil"/>
                    <w:tr2bl w:val="nil"/>
                  </w:tcBorders>
                  <w:vAlign w:val="center"/>
                </w:tcPr>
                <w:p w14:paraId="49C16200">
                  <w:pPr>
                    <w:spacing w:line="360" w:lineRule="auto"/>
                    <w:jc w:val="center"/>
                    <w:rPr>
                      <w:color w:val="auto"/>
                      <w:szCs w:val="21"/>
                    </w:rPr>
                  </w:pPr>
                  <w:r>
                    <w:rPr>
                      <w:color w:val="auto"/>
                      <w:szCs w:val="21"/>
                    </w:rPr>
                    <w:t>厂界</w:t>
                  </w:r>
                </w:p>
              </w:tc>
              <w:tc>
                <w:tcPr>
                  <w:tcW w:w="855" w:type="pct"/>
                  <w:tcBorders>
                    <w:tl2br w:val="nil"/>
                    <w:tr2bl w:val="nil"/>
                  </w:tcBorders>
                  <w:vAlign w:val="center"/>
                </w:tcPr>
                <w:p w14:paraId="7DAE39CC">
                  <w:pPr>
                    <w:spacing w:line="360" w:lineRule="auto"/>
                    <w:jc w:val="center"/>
                    <w:rPr>
                      <w:color w:val="auto"/>
                      <w:szCs w:val="21"/>
                    </w:rPr>
                  </w:pPr>
                  <w:r>
                    <w:rPr>
                      <w:color w:val="auto"/>
                      <w:szCs w:val="21"/>
                    </w:rPr>
                    <w:t>1次/季度</w:t>
                  </w:r>
                </w:p>
              </w:tc>
              <w:tc>
                <w:tcPr>
                  <w:tcW w:w="1965" w:type="pct"/>
                  <w:tcBorders>
                    <w:tl2br w:val="nil"/>
                    <w:tr2bl w:val="nil"/>
                  </w:tcBorders>
                  <w:vAlign w:val="center"/>
                </w:tcPr>
                <w:p w14:paraId="76963F67">
                  <w:pPr>
                    <w:spacing w:line="360" w:lineRule="auto"/>
                    <w:jc w:val="center"/>
                    <w:rPr>
                      <w:color w:val="auto"/>
                      <w:szCs w:val="21"/>
                    </w:rPr>
                  </w:pPr>
                  <w:r>
                    <w:rPr>
                      <w:color w:val="auto"/>
                      <w:szCs w:val="21"/>
                    </w:rPr>
                    <w:t>《工业企业厂界环境噪声排放标准》（GB12348-2008）2类标准</w:t>
                  </w:r>
                </w:p>
              </w:tc>
            </w:tr>
          </w:tbl>
          <w:p w14:paraId="55509E7C">
            <w:pPr>
              <w:pStyle w:val="35"/>
              <w:spacing w:before="0" w:beforeAutospacing="0" w:after="0" w:afterAutospacing="0" w:line="360" w:lineRule="auto"/>
              <w:ind w:firstLine="482" w:firstLineChars="200"/>
              <w:rPr>
                <w:rFonts w:ascii="Times New Roman" w:hAnsi="Times New Roman"/>
                <w:b/>
                <w:bCs/>
                <w:color w:val="auto"/>
                <w:szCs w:val="24"/>
              </w:rPr>
            </w:pPr>
            <w:r>
              <w:rPr>
                <w:rFonts w:hint="eastAsia" w:ascii="Times New Roman" w:hAnsi="Times New Roman"/>
                <w:b/>
                <w:bCs/>
                <w:color w:val="auto"/>
                <w:szCs w:val="24"/>
              </w:rPr>
              <w:t>四、</w:t>
            </w:r>
            <w:r>
              <w:rPr>
                <w:rFonts w:ascii="Times New Roman" w:hAnsi="Times New Roman"/>
                <w:b/>
                <w:bCs/>
                <w:color w:val="auto"/>
                <w:szCs w:val="24"/>
              </w:rPr>
              <w:t>固体废物</w:t>
            </w:r>
          </w:p>
          <w:p w14:paraId="31A87669">
            <w:pPr>
              <w:pStyle w:val="35"/>
              <w:spacing w:before="0" w:beforeAutospacing="0" w:after="0" w:afterAutospacing="0" w:line="360" w:lineRule="auto"/>
              <w:ind w:firstLine="480" w:firstLineChars="200"/>
              <w:rPr>
                <w:color w:val="auto"/>
              </w:rPr>
            </w:pPr>
            <w:r>
              <w:rPr>
                <w:color w:val="auto"/>
              </w:rPr>
              <w:t>本项目投产后产生的固体废弃物主要为</w:t>
            </w:r>
            <w:r>
              <w:rPr>
                <w:rFonts w:hint="eastAsia"/>
                <w:color w:val="auto"/>
                <w:lang w:val="en-US" w:eastAsia="zh-CN"/>
              </w:rPr>
              <w:t>沉渣、</w:t>
            </w:r>
            <w:r>
              <w:rPr>
                <w:rFonts w:hint="eastAsia"/>
                <w:color w:val="auto"/>
              </w:rPr>
              <w:t>生活垃圾</w:t>
            </w:r>
            <w:r>
              <w:rPr>
                <w:color w:val="auto"/>
              </w:rPr>
              <w:t>。</w:t>
            </w:r>
          </w:p>
          <w:p w14:paraId="5AE25D9B">
            <w:pPr>
              <w:pStyle w:val="35"/>
              <w:spacing w:before="0" w:beforeAutospacing="0" w:after="0" w:afterAutospacing="0" w:line="360" w:lineRule="auto"/>
              <w:ind w:firstLine="482" w:firstLineChars="200"/>
              <w:rPr>
                <w:rFonts w:ascii="Times New Roman" w:hAnsi="Times New Roman"/>
                <w:b/>
                <w:bCs/>
                <w:color w:val="auto"/>
                <w:szCs w:val="24"/>
              </w:rPr>
            </w:pPr>
            <w:r>
              <w:rPr>
                <w:rFonts w:hint="eastAsia" w:ascii="Times New Roman" w:hAnsi="Times New Roman"/>
                <w:b/>
                <w:bCs/>
                <w:color w:val="auto"/>
                <w:szCs w:val="24"/>
              </w:rPr>
              <w:t>四、</w:t>
            </w:r>
            <w:r>
              <w:rPr>
                <w:rFonts w:ascii="Times New Roman" w:hAnsi="Times New Roman"/>
                <w:b/>
                <w:bCs/>
                <w:color w:val="auto"/>
                <w:szCs w:val="24"/>
              </w:rPr>
              <w:t>固体废物</w:t>
            </w:r>
          </w:p>
          <w:p w14:paraId="40CB24A7">
            <w:pPr>
              <w:pStyle w:val="59"/>
              <w:adjustRightInd w:val="0"/>
              <w:snapToGrid w:val="0"/>
              <w:spacing w:line="360" w:lineRule="auto"/>
              <w:ind w:firstLine="480"/>
              <w:rPr>
                <w:color w:val="auto"/>
              </w:rPr>
            </w:pPr>
            <w:r>
              <w:rPr>
                <w:color w:val="auto"/>
              </w:rPr>
              <w:t>本项目投产后产生的固体废弃物主要为</w:t>
            </w:r>
            <w:r>
              <w:rPr>
                <w:rFonts w:hint="eastAsia"/>
                <w:color w:val="auto"/>
                <w:lang w:val="en-US" w:eastAsia="zh-CN"/>
              </w:rPr>
              <w:t>沉渣、</w:t>
            </w:r>
            <w:r>
              <w:rPr>
                <w:rFonts w:hint="eastAsia"/>
                <w:color w:val="auto"/>
              </w:rPr>
              <w:t>生活垃圾</w:t>
            </w:r>
            <w:r>
              <w:rPr>
                <w:rFonts w:hint="eastAsia"/>
                <w:color w:val="auto"/>
                <w:lang w:eastAsia="zh-CN"/>
              </w:rPr>
              <w:t>、</w:t>
            </w:r>
            <w:r>
              <w:rPr>
                <w:rFonts w:hint="eastAsia"/>
                <w:color w:val="auto"/>
                <w:lang w:val="en-US" w:eastAsia="zh-CN"/>
              </w:rPr>
              <w:t>废机油、</w:t>
            </w:r>
            <w:r>
              <w:rPr>
                <w:rFonts w:hint="eastAsia" w:ascii="Times New Roman" w:hAnsi="Times New Roman" w:eastAsia="宋体" w:cs="Times New Roman"/>
                <w:color w:val="auto"/>
                <w:highlight w:val="none"/>
                <w:lang w:val="en-US" w:eastAsia="zh-CN"/>
              </w:rPr>
              <w:t>废含油手套、废含油抹布</w:t>
            </w:r>
            <w:r>
              <w:rPr>
                <w:color w:val="auto"/>
              </w:rPr>
              <w:t>。</w:t>
            </w:r>
          </w:p>
          <w:p w14:paraId="5D5EDC7B">
            <w:pPr>
              <w:pStyle w:val="59"/>
              <w:adjustRightInd w:val="0"/>
              <w:snapToGrid w:val="0"/>
              <w:spacing w:line="360" w:lineRule="auto"/>
              <w:ind w:firstLine="480"/>
              <w:rPr>
                <w:color w:val="auto"/>
              </w:rPr>
            </w:pPr>
            <w:r>
              <w:rPr>
                <w:rFonts w:hint="eastAsia"/>
                <w:color w:val="auto"/>
              </w:rPr>
              <w:t>1、固废产生情况</w:t>
            </w:r>
          </w:p>
          <w:p w14:paraId="5337984C">
            <w:pPr>
              <w:pStyle w:val="59"/>
              <w:adjustRightInd w:val="0"/>
              <w:snapToGrid w:val="0"/>
              <w:spacing w:line="360" w:lineRule="auto"/>
              <w:ind w:firstLine="480"/>
              <w:rPr>
                <w:rFonts w:hint="default"/>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沉渣</w:t>
            </w:r>
          </w:p>
          <w:p w14:paraId="12BA8FAA">
            <w:pPr>
              <w:pStyle w:val="59"/>
              <w:adjustRightInd w:val="0"/>
              <w:snapToGrid w:val="0"/>
              <w:spacing w:line="360" w:lineRule="auto"/>
              <w:ind w:firstLine="480"/>
              <w:rPr>
                <w:rFonts w:hint="eastAsia"/>
                <w:color w:val="auto"/>
                <w:lang w:eastAsia="zh-CN"/>
              </w:rPr>
            </w:pPr>
            <w:r>
              <w:rPr>
                <w:rFonts w:hint="eastAsia"/>
                <w:color w:val="auto"/>
                <w:lang w:val="en-US" w:eastAsia="zh-CN"/>
              </w:rPr>
              <w:t>本项目车辆冲洗废水经过沉淀池处理，初期雨水经过雨水收集池沉淀后，会产生沉渣，则沉渣产生量为1.939t/a。沉渣集中收集全部用于铺路，不外排。</w:t>
            </w:r>
          </w:p>
          <w:p w14:paraId="7117A84C">
            <w:pPr>
              <w:pStyle w:val="59"/>
              <w:adjustRightInd w:val="0"/>
              <w:snapToGrid w:val="0"/>
              <w:spacing w:line="360" w:lineRule="auto"/>
              <w:ind w:firstLine="480"/>
              <w:rPr>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生活垃圾</w:t>
            </w:r>
          </w:p>
          <w:p w14:paraId="2F484640">
            <w:pPr>
              <w:pStyle w:val="59"/>
              <w:adjustRightInd w:val="0"/>
              <w:snapToGrid w:val="0"/>
              <w:spacing w:line="360" w:lineRule="auto"/>
              <w:ind w:firstLine="480"/>
              <w:rPr>
                <w:rFonts w:hint="eastAsia"/>
                <w:color w:val="auto"/>
              </w:rPr>
            </w:pPr>
            <w:r>
              <w:rPr>
                <w:rFonts w:eastAsiaTheme="minorEastAsia"/>
                <w:color w:val="auto"/>
              </w:rPr>
              <w:t>职工生活垃圾以每人每天0.5kg计，职工人数为</w:t>
            </w:r>
            <w:r>
              <w:rPr>
                <w:rFonts w:hint="eastAsia" w:eastAsiaTheme="minorEastAsia"/>
                <w:color w:val="auto"/>
                <w:lang w:val="en-US" w:eastAsia="zh-CN"/>
              </w:rPr>
              <w:t>7</w:t>
            </w:r>
            <w:r>
              <w:rPr>
                <w:rFonts w:eastAsiaTheme="minorEastAsia"/>
                <w:color w:val="auto"/>
              </w:rPr>
              <w:t>人，工作天数为</w:t>
            </w:r>
            <w:r>
              <w:rPr>
                <w:rFonts w:hint="eastAsia" w:eastAsiaTheme="minorEastAsia"/>
                <w:color w:val="auto"/>
                <w:lang w:val="en-US" w:eastAsia="zh-CN"/>
              </w:rPr>
              <w:t>210</w:t>
            </w:r>
            <w:r>
              <w:rPr>
                <w:rFonts w:eastAsiaTheme="minorEastAsia"/>
                <w:color w:val="auto"/>
              </w:rPr>
              <w:t>天，则生活垃圾产生量为</w:t>
            </w:r>
            <w:r>
              <w:rPr>
                <w:rFonts w:hint="eastAsia" w:eastAsiaTheme="minorEastAsia"/>
                <w:color w:val="auto"/>
              </w:rPr>
              <w:t>0.00</w:t>
            </w:r>
            <w:r>
              <w:rPr>
                <w:rFonts w:hint="eastAsia" w:eastAsiaTheme="minorEastAsia"/>
                <w:color w:val="auto"/>
                <w:lang w:val="en-US" w:eastAsia="zh-CN"/>
              </w:rPr>
              <w:t>4</w:t>
            </w:r>
            <w:r>
              <w:rPr>
                <w:rFonts w:eastAsiaTheme="minorEastAsia"/>
                <w:color w:val="auto"/>
              </w:rPr>
              <w:t>t/d，即</w:t>
            </w:r>
            <w:r>
              <w:rPr>
                <w:rFonts w:hint="eastAsia" w:eastAsiaTheme="minorEastAsia"/>
                <w:color w:val="auto"/>
                <w:lang w:val="en-US" w:eastAsia="zh-CN"/>
              </w:rPr>
              <w:t>0.84</w:t>
            </w:r>
            <w:r>
              <w:rPr>
                <w:rFonts w:eastAsiaTheme="minorEastAsia"/>
                <w:color w:val="auto"/>
              </w:rPr>
              <w:t>t/a。生活垃圾集中收集后交由</w:t>
            </w:r>
            <w:r>
              <w:rPr>
                <w:rFonts w:hint="eastAsia" w:eastAsiaTheme="minorEastAsia"/>
                <w:color w:val="auto"/>
              </w:rPr>
              <w:t>市政</w:t>
            </w:r>
            <w:r>
              <w:rPr>
                <w:rFonts w:eastAsiaTheme="minorEastAsia"/>
                <w:color w:val="auto"/>
              </w:rPr>
              <w:t>部门</w:t>
            </w:r>
            <w:r>
              <w:rPr>
                <w:rFonts w:hint="eastAsia" w:eastAsiaTheme="minorEastAsia"/>
                <w:color w:val="auto"/>
              </w:rPr>
              <w:t>统一</w:t>
            </w:r>
            <w:r>
              <w:rPr>
                <w:rFonts w:eastAsiaTheme="minorEastAsia"/>
                <w:color w:val="auto"/>
              </w:rPr>
              <w:t>处理</w:t>
            </w:r>
            <w:r>
              <w:rPr>
                <w:rFonts w:hint="eastAsia"/>
                <w:color w:val="auto"/>
              </w:rPr>
              <w:t>。</w:t>
            </w:r>
          </w:p>
          <w:p w14:paraId="5645EF7B">
            <w:pPr>
              <w:pStyle w:val="59"/>
              <w:adjustRightInd w:val="0"/>
              <w:snapToGrid w:val="0"/>
              <w:spacing w:line="360" w:lineRule="auto"/>
              <w:ind w:firstLine="480"/>
              <w:rPr>
                <w:rFonts w:hint="eastAsia" w:eastAsia="宋体"/>
                <w:color w:val="auto"/>
                <w:lang w:eastAsia="zh-CN"/>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lang w:val="en-US" w:eastAsia="zh-CN"/>
              </w:rPr>
              <w:t>废机油</w:t>
            </w:r>
          </w:p>
          <w:p w14:paraId="3C72121F">
            <w:pPr>
              <w:pStyle w:val="59"/>
              <w:adjustRightInd w:val="0"/>
              <w:snapToGrid w:val="0"/>
              <w:spacing w:line="360" w:lineRule="auto"/>
              <w:ind w:firstLine="480"/>
              <w:rPr>
                <w:rFonts w:hint="eastAsia" w:eastAsia="宋体"/>
                <w:color w:val="auto"/>
                <w:lang w:eastAsia="zh-CN"/>
              </w:rPr>
            </w:pPr>
            <w:r>
              <w:rPr>
                <w:rFonts w:hint="eastAsia" w:ascii="Times New Roman" w:hAnsi="Times New Roman" w:eastAsia="宋体" w:cs="宋体"/>
                <w:color w:val="auto"/>
                <w:kern w:val="0"/>
                <w:sz w:val="24"/>
                <w:lang w:val="en-US" w:eastAsia="zh-CN" w:bidi="ar"/>
              </w:rPr>
              <w:t>本项目车辆维修过程中会产生废机油，根据《国家危险废物名录（2025年版）》，废机油属于危险废物，废物类别“HW08废矿物油与含矿物油废物”，废物代号900-249-08，产生量为0.1t/a。废机油集中收集暂存在</w:t>
            </w:r>
            <w:r>
              <w:rPr>
                <w:rFonts w:hint="eastAsia" w:cs="宋体"/>
                <w:color w:val="auto"/>
                <w:kern w:val="0"/>
                <w:sz w:val="24"/>
                <w:lang w:val="en-US" w:eastAsia="zh-CN" w:bidi="ar"/>
              </w:rPr>
              <w:t>危废贮存点</w:t>
            </w:r>
            <w:r>
              <w:rPr>
                <w:rFonts w:hint="eastAsia" w:ascii="Times New Roman" w:hAnsi="Times New Roman" w:eastAsia="宋体" w:cs="宋体"/>
                <w:color w:val="auto"/>
                <w:kern w:val="0"/>
                <w:sz w:val="24"/>
                <w:lang w:val="en-US" w:eastAsia="zh-CN" w:bidi="ar"/>
              </w:rPr>
              <w:t>，定期委托有资质公司处理。</w:t>
            </w:r>
          </w:p>
          <w:p w14:paraId="58A73760">
            <w:pPr>
              <w:pStyle w:val="59"/>
              <w:keepNext w:val="0"/>
              <w:keepLines w:val="0"/>
              <w:pageBreakBefore w:val="0"/>
              <w:suppressLineNumbers w:val="0"/>
              <w:wordWrap/>
              <w:bidi w:val="0"/>
              <w:adjustRightInd w:val="0"/>
              <w:snapToGrid w:val="0"/>
              <w:spacing w:before="0" w:beforeAutospacing="0" w:after="0" w:afterAutospacing="0" w:line="360" w:lineRule="auto"/>
              <w:ind w:left="0" w:leftChars="0" w:right="0" w:firstLine="48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w:t>
            </w:r>
            <w:r>
              <w:rPr>
                <w:rFonts w:hint="eastAsia" w:ascii="Times New Roman" w:hAnsi="Times New Roman" w:eastAsia="宋体" w:cs="Times New Roman"/>
                <w:color w:val="auto"/>
                <w:highlight w:val="none"/>
                <w:lang w:val="en-US" w:eastAsia="zh-CN"/>
              </w:rPr>
              <w:t>废含油手套、废含油抹布</w:t>
            </w:r>
          </w:p>
          <w:p w14:paraId="20497017">
            <w:pPr>
              <w:pStyle w:val="59"/>
              <w:adjustRightInd w:val="0"/>
              <w:snapToGrid w:val="0"/>
              <w:spacing w:line="360" w:lineRule="auto"/>
              <w:ind w:firstLine="480"/>
              <w:rPr>
                <w:color w:val="auto"/>
                <w:szCs w:val="24"/>
              </w:rPr>
            </w:pPr>
            <w:r>
              <w:rPr>
                <w:rFonts w:hint="eastAsia" w:ascii="Times New Roman" w:hAnsi="Times New Roman" w:eastAsia="宋体" w:cs="Times New Roman"/>
                <w:color w:val="auto"/>
                <w:highlight w:val="none"/>
                <w:lang w:val="en-US" w:eastAsia="zh-CN"/>
              </w:rPr>
              <w:t>本项目机加车间、焊接车间生产过程中工人使用机油时会产生废含油手套、废含油抹布，</w:t>
            </w:r>
            <w:r>
              <w:rPr>
                <w:rFonts w:hint="eastAsia" w:ascii="Times New Roman" w:hAnsi="Times New Roman" w:eastAsia="宋体" w:cs="宋体"/>
                <w:color w:val="auto"/>
                <w:kern w:val="0"/>
                <w:sz w:val="24"/>
                <w:lang w:val="en-US" w:eastAsia="zh-CN" w:bidi="ar"/>
              </w:rPr>
              <w:t>根据《国家危险废物名录（2025年版）》</w:t>
            </w:r>
            <w:r>
              <w:rPr>
                <w:rFonts w:hint="eastAsia"/>
                <w:color w:val="auto"/>
                <w:highlight w:val="none"/>
                <w:lang w:eastAsia="zh-CN"/>
              </w:rPr>
              <w:t>，废抹布、</w:t>
            </w:r>
            <w:r>
              <w:rPr>
                <w:rFonts w:hint="eastAsia"/>
                <w:color w:val="auto"/>
                <w:highlight w:val="none"/>
                <w:lang w:val="en-US" w:eastAsia="zh-CN"/>
              </w:rPr>
              <w:t>废</w:t>
            </w:r>
            <w:r>
              <w:rPr>
                <w:rFonts w:hint="eastAsia"/>
                <w:color w:val="auto"/>
                <w:highlight w:val="none"/>
                <w:lang w:eastAsia="zh-CN"/>
              </w:rPr>
              <w:t>含油手套</w:t>
            </w:r>
            <w:r>
              <w:rPr>
                <w:rFonts w:hint="eastAsia"/>
                <w:color w:val="auto"/>
                <w:highlight w:val="none"/>
                <w:lang w:val="en-US" w:eastAsia="zh-CN"/>
              </w:rPr>
              <w:t>属于危险废物，废物类别“</w:t>
            </w:r>
            <w:r>
              <w:rPr>
                <w:rFonts w:hint="eastAsia"/>
                <w:color w:val="auto"/>
                <w:highlight w:val="none"/>
                <w:lang w:eastAsia="zh-CN"/>
              </w:rPr>
              <w:t>HW49</w:t>
            </w:r>
            <w:r>
              <w:rPr>
                <w:rFonts w:hint="eastAsia"/>
                <w:color w:val="auto"/>
                <w:highlight w:val="none"/>
                <w:lang w:val="en-US" w:eastAsia="zh-CN"/>
              </w:rPr>
              <w:t xml:space="preserve"> </w:t>
            </w:r>
            <w:r>
              <w:rPr>
                <w:rFonts w:hint="eastAsia"/>
                <w:color w:val="auto"/>
                <w:highlight w:val="none"/>
                <w:lang w:eastAsia="zh-CN"/>
              </w:rPr>
              <w:t>其他废物</w:t>
            </w:r>
            <w:r>
              <w:rPr>
                <w:rFonts w:hint="eastAsia"/>
                <w:color w:val="auto"/>
                <w:highlight w:val="none"/>
                <w:lang w:val="en-US" w:eastAsia="zh-CN"/>
              </w:rPr>
              <w:t>”，</w:t>
            </w:r>
            <w:r>
              <w:rPr>
                <w:rFonts w:hint="eastAsia"/>
                <w:color w:val="auto"/>
                <w:highlight w:val="none"/>
                <w:lang w:eastAsia="zh-CN"/>
              </w:rPr>
              <w:t>废物代码为900-041-49</w:t>
            </w:r>
            <w:r>
              <w:rPr>
                <w:rFonts w:hint="eastAsia" w:ascii="Times New Roman" w:hAnsi="Times New Roman" w:eastAsia="宋体" w:cs="宋体"/>
                <w:color w:val="auto"/>
                <w:kern w:val="0"/>
                <w:sz w:val="24"/>
                <w:lang w:val="en-US" w:eastAsia="zh-CN" w:bidi="ar"/>
              </w:rPr>
              <w:t>，</w:t>
            </w:r>
            <w:r>
              <w:rPr>
                <w:rFonts w:hint="eastAsia" w:ascii="Times New Roman" w:hAnsi="Times New Roman" w:eastAsia="宋体" w:cs="Times New Roman"/>
                <w:color w:val="auto"/>
                <w:highlight w:val="none"/>
                <w:lang w:val="en-US" w:eastAsia="zh-CN"/>
              </w:rPr>
              <w:t>产生量为0.</w:t>
            </w:r>
            <w:r>
              <w:rPr>
                <w:rFonts w:hint="eastAsia" w:cs="Times New Roman"/>
                <w:color w:val="auto"/>
                <w:highlight w:val="none"/>
                <w:lang w:val="en-US" w:eastAsia="zh-CN"/>
              </w:rPr>
              <w:t>0</w:t>
            </w:r>
            <w:r>
              <w:rPr>
                <w:rFonts w:hint="eastAsia" w:ascii="Times New Roman" w:hAnsi="Times New Roman" w:eastAsia="宋体" w:cs="Times New Roman"/>
                <w:color w:val="auto"/>
                <w:highlight w:val="none"/>
                <w:lang w:val="en-US" w:eastAsia="zh-CN"/>
              </w:rPr>
              <w:t>1t/a，集中收集后，暂存于</w:t>
            </w:r>
            <w:r>
              <w:rPr>
                <w:rFonts w:hint="eastAsia" w:cs="Times New Roman"/>
                <w:color w:val="auto"/>
                <w:highlight w:val="none"/>
                <w:lang w:val="en-US" w:eastAsia="zh-CN"/>
              </w:rPr>
              <w:t>危废贮存点</w:t>
            </w:r>
            <w:r>
              <w:rPr>
                <w:rFonts w:hint="eastAsia" w:ascii="Times New Roman" w:hAnsi="Times New Roman" w:eastAsia="宋体" w:cs="Times New Roman"/>
                <w:color w:val="auto"/>
                <w:highlight w:val="none"/>
                <w:lang w:val="en-US" w:eastAsia="zh-CN"/>
              </w:rPr>
              <w:t>，定期交</w:t>
            </w:r>
            <w:r>
              <w:rPr>
                <w:rFonts w:hint="eastAsia" w:ascii="Times New Roman" w:hAnsi="Times New Roman" w:eastAsia="宋体" w:cs="Times New Roman"/>
                <w:color w:val="auto"/>
                <w:kern w:val="0"/>
                <w:sz w:val="24"/>
                <w:szCs w:val="20"/>
                <w:highlight w:val="none"/>
                <w:lang w:val="en-US" w:eastAsia="zh-CN" w:bidi="ar-SA"/>
              </w:rPr>
              <w:t>有资质公司处理。</w:t>
            </w:r>
          </w:p>
          <w:p w14:paraId="2B3F64EF">
            <w:pPr>
              <w:pStyle w:val="59"/>
              <w:adjustRightInd w:val="0"/>
              <w:snapToGrid w:val="0"/>
              <w:spacing w:line="360" w:lineRule="auto"/>
              <w:ind w:firstLine="480"/>
              <w:rPr>
                <w:rFonts w:ascii="Tahoma"/>
                <w:color w:val="auto"/>
              </w:rPr>
            </w:pPr>
            <w:r>
              <w:rPr>
                <w:color w:val="auto"/>
              </w:rPr>
              <w:t>根据《一般固体废物分类与代码》（GB/T39198-2020），项目固废产生情况详见表4-</w:t>
            </w:r>
            <w:r>
              <w:rPr>
                <w:rFonts w:hint="eastAsia"/>
                <w:color w:val="auto"/>
                <w:lang w:val="en-US" w:eastAsia="zh-CN"/>
              </w:rPr>
              <w:t>10</w:t>
            </w:r>
            <w:r>
              <w:rPr>
                <w:color w:val="auto"/>
              </w:rPr>
              <w:t>。</w:t>
            </w:r>
          </w:p>
          <w:p w14:paraId="23401D06">
            <w:pPr>
              <w:pStyle w:val="82"/>
              <w:spacing w:line="240" w:lineRule="auto"/>
              <w:rPr>
                <w:rFonts w:ascii="Times New Roman"/>
                <w:bCs/>
                <w:iCs/>
                <w:color w:val="auto"/>
                <w:sz w:val="21"/>
                <w:szCs w:val="21"/>
              </w:rPr>
            </w:pPr>
            <w:r>
              <w:rPr>
                <w:rFonts w:ascii="Times New Roman"/>
                <w:bCs/>
                <w:iCs/>
                <w:color w:val="auto"/>
                <w:sz w:val="21"/>
                <w:szCs w:val="21"/>
              </w:rPr>
              <w:t>表4-</w:t>
            </w:r>
            <w:r>
              <w:rPr>
                <w:rFonts w:hint="eastAsia" w:ascii="Times New Roman"/>
                <w:bCs/>
                <w:iCs/>
                <w:color w:val="auto"/>
                <w:sz w:val="21"/>
                <w:szCs w:val="21"/>
                <w:lang w:val="en-US" w:eastAsia="zh-CN"/>
              </w:rPr>
              <w:t>10</w:t>
            </w:r>
            <w:r>
              <w:rPr>
                <w:rFonts w:ascii="Times New Roman"/>
                <w:bCs/>
                <w:iCs/>
                <w:color w:val="auto"/>
                <w:sz w:val="21"/>
                <w:szCs w:val="21"/>
              </w:rPr>
              <w:t xml:space="preserve">  本项目固废汇总表</w:t>
            </w:r>
          </w:p>
          <w:tbl>
            <w:tblPr>
              <w:tblStyle w:val="38"/>
              <w:tblW w:w="499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1500"/>
              <w:gridCol w:w="1221"/>
              <w:gridCol w:w="1575"/>
              <w:gridCol w:w="1185"/>
              <w:gridCol w:w="1621"/>
            </w:tblGrid>
            <w:tr w14:paraId="25BD80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39" w:type="pct"/>
                  <w:vMerge w:val="restart"/>
                  <w:vAlign w:val="center"/>
                </w:tcPr>
                <w:p w14:paraId="5A1803D7">
                  <w:pPr>
                    <w:pStyle w:val="74"/>
                    <w:adjustRightInd w:val="0"/>
                    <w:snapToGrid w:val="0"/>
                    <w:spacing w:line="240" w:lineRule="auto"/>
                    <w:rPr>
                      <w:color w:val="auto"/>
                      <w:szCs w:val="21"/>
                    </w:rPr>
                  </w:pPr>
                  <w:r>
                    <w:rPr>
                      <w:color w:val="auto"/>
                      <w:szCs w:val="21"/>
                    </w:rPr>
                    <w:t>工序</w:t>
                  </w:r>
                </w:p>
              </w:tc>
              <w:tc>
                <w:tcPr>
                  <w:tcW w:w="921" w:type="pct"/>
                  <w:vMerge w:val="restart"/>
                  <w:vAlign w:val="center"/>
                </w:tcPr>
                <w:p w14:paraId="596EBE8C">
                  <w:pPr>
                    <w:pStyle w:val="74"/>
                    <w:adjustRightInd w:val="0"/>
                    <w:snapToGrid w:val="0"/>
                    <w:spacing w:line="240" w:lineRule="auto"/>
                    <w:rPr>
                      <w:color w:val="auto"/>
                      <w:szCs w:val="21"/>
                    </w:rPr>
                  </w:pPr>
                  <w:r>
                    <w:rPr>
                      <w:color w:val="auto"/>
                      <w:szCs w:val="21"/>
                    </w:rPr>
                    <w:t>固体废物名称</w:t>
                  </w:r>
                </w:p>
              </w:tc>
              <w:tc>
                <w:tcPr>
                  <w:tcW w:w="749" w:type="pct"/>
                  <w:vMerge w:val="restart"/>
                  <w:vAlign w:val="center"/>
                </w:tcPr>
                <w:p w14:paraId="4DCD258C">
                  <w:pPr>
                    <w:pStyle w:val="74"/>
                    <w:adjustRightInd w:val="0"/>
                    <w:snapToGrid w:val="0"/>
                    <w:spacing w:line="240" w:lineRule="auto"/>
                    <w:rPr>
                      <w:color w:val="auto"/>
                      <w:szCs w:val="21"/>
                    </w:rPr>
                  </w:pPr>
                  <w:r>
                    <w:rPr>
                      <w:color w:val="auto"/>
                      <w:szCs w:val="21"/>
                    </w:rPr>
                    <w:t>固废</w:t>
                  </w:r>
                </w:p>
                <w:p w14:paraId="2217E6BE">
                  <w:pPr>
                    <w:pStyle w:val="74"/>
                    <w:adjustRightInd w:val="0"/>
                    <w:snapToGrid w:val="0"/>
                    <w:spacing w:line="240" w:lineRule="auto"/>
                    <w:rPr>
                      <w:color w:val="auto"/>
                      <w:szCs w:val="21"/>
                    </w:rPr>
                  </w:pPr>
                  <w:r>
                    <w:rPr>
                      <w:color w:val="auto"/>
                      <w:szCs w:val="21"/>
                    </w:rPr>
                    <w:t>属性</w:t>
                  </w:r>
                </w:p>
              </w:tc>
              <w:tc>
                <w:tcPr>
                  <w:tcW w:w="967" w:type="pct"/>
                  <w:vMerge w:val="restart"/>
                  <w:vAlign w:val="center"/>
                </w:tcPr>
                <w:p w14:paraId="25D4A873">
                  <w:pPr>
                    <w:pStyle w:val="74"/>
                    <w:adjustRightInd w:val="0"/>
                    <w:snapToGrid w:val="0"/>
                    <w:spacing w:line="240" w:lineRule="auto"/>
                    <w:rPr>
                      <w:color w:val="auto"/>
                      <w:szCs w:val="21"/>
                    </w:rPr>
                  </w:pPr>
                  <w:r>
                    <w:rPr>
                      <w:color w:val="auto"/>
                      <w:szCs w:val="21"/>
                    </w:rPr>
                    <w:t>固废代码</w:t>
                  </w:r>
                </w:p>
              </w:tc>
              <w:tc>
                <w:tcPr>
                  <w:tcW w:w="727" w:type="pct"/>
                  <w:vMerge w:val="restart"/>
                  <w:vAlign w:val="center"/>
                </w:tcPr>
                <w:p w14:paraId="30AC8EE7">
                  <w:pPr>
                    <w:pStyle w:val="74"/>
                    <w:adjustRightInd w:val="0"/>
                    <w:snapToGrid w:val="0"/>
                    <w:spacing w:line="240" w:lineRule="auto"/>
                    <w:rPr>
                      <w:color w:val="auto"/>
                      <w:szCs w:val="21"/>
                    </w:rPr>
                  </w:pPr>
                  <w:r>
                    <w:rPr>
                      <w:color w:val="auto"/>
                      <w:szCs w:val="21"/>
                    </w:rPr>
                    <w:t>产生量</w:t>
                  </w:r>
                </w:p>
                <w:p w14:paraId="6760A97F">
                  <w:pPr>
                    <w:pStyle w:val="74"/>
                    <w:adjustRightInd w:val="0"/>
                    <w:snapToGrid w:val="0"/>
                    <w:spacing w:line="240" w:lineRule="auto"/>
                    <w:rPr>
                      <w:color w:val="auto"/>
                      <w:szCs w:val="21"/>
                    </w:rPr>
                  </w:pPr>
                  <w:r>
                    <w:rPr>
                      <w:color w:val="auto"/>
                      <w:szCs w:val="21"/>
                    </w:rPr>
                    <w:t>（t/a）</w:t>
                  </w:r>
                </w:p>
              </w:tc>
              <w:tc>
                <w:tcPr>
                  <w:tcW w:w="995" w:type="pct"/>
                  <w:vMerge w:val="restart"/>
                  <w:vAlign w:val="center"/>
                </w:tcPr>
                <w:p w14:paraId="73B11E2E">
                  <w:pPr>
                    <w:pStyle w:val="74"/>
                    <w:adjustRightInd w:val="0"/>
                    <w:snapToGrid w:val="0"/>
                    <w:spacing w:line="240" w:lineRule="auto"/>
                    <w:rPr>
                      <w:color w:val="auto"/>
                      <w:szCs w:val="21"/>
                    </w:rPr>
                  </w:pPr>
                  <w:r>
                    <w:rPr>
                      <w:color w:val="auto"/>
                      <w:szCs w:val="21"/>
                    </w:rPr>
                    <w:t>最终</w:t>
                  </w:r>
                </w:p>
                <w:p w14:paraId="27B7FA99">
                  <w:pPr>
                    <w:pStyle w:val="74"/>
                    <w:adjustRightInd w:val="0"/>
                    <w:snapToGrid w:val="0"/>
                    <w:spacing w:line="240" w:lineRule="auto"/>
                    <w:rPr>
                      <w:color w:val="auto"/>
                      <w:szCs w:val="21"/>
                    </w:rPr>
                  </w:pPr>
                  <w:r>
                    <w:rPr>
                      <w:color w:val="auto"/>
                      <w:szCs w:val="21"/>
                    </w:rPr>
                    <w:t>去向</w:t>
                  </w:r>
                </w:p>
              </w:tc>
            </w:tr>
            <w:tr w14:paraId="4A6B90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639" w:type="pct"/>
                  <w:vMerge w:val="continue"/>
                  <w:vAlign w:val="center"/>
                </w:tcPr>
                <w:p w14:paraId="1025DB25">
                  <w:pPr>
                    <w:pStyle w:val="74"/>
                    <w:adjustRightInd w:val="0"/>
                    <w:snapToGrid w:val="0"/>
                    <w:spacing w:line="240" w:lineRule="auto"/>
                    <w:rPr>
                      <w:color w:val="auto"/>
                      <w:szCs w:val="21"/>
                    </w:rPr>
                  </w:pPr>
                </w:p>
              </w:tc>
              <w:tc>
                <w:tcPr>
                  <w:tcW w:w="921" w:type="pct"/>
                  <w:vMerge w:val="continue"/>
                  <w:vAlign w:val="center"/>
                </w:tcPr>
                <w:p w14:paraId="3A664AF8">
                  <w:pPr>
                    <w:pStyle w:val="74"/>
                    <w:adjustRightInd w:val="0"/>
                    <w:snapToGrid w:val="0"/>
                    <w:spacing w:line="240" w:lineRule="auto"/>
                    <w:rPr>
                      <w:color w:val="auto"/>
                      <w:szCs w:val="21"/>
                    </w:rPr>
                  </w:pPr>
                </w:p>
              </w:tc>
              <w:tc>
                <w:tcPr>
                  <w:tcW w:w="749" w:type="pct"/>
                  <w:vMerge w:val="continue"/>
                  <w:vAlign w:val="center"/>
                </w:tcPr>
                <w:p w14:paraId="07661328">
                  <w:pPr>
                    <w:pStyle w:val="74"/>
                    <w:adjustRightInd w:val="0"/>
                    <w:snapToGrid w:val="0"/>
                    <w:spacing w:line="240" w:lineRule="auto"/>
                    <w:rPr>
                      <w:color w:val="auto"/>
                      <w:szCs w:val="21"/>
                    </w:rPr>
                  </w:pPr>
                </w:p>
              </w:tc>
              <w:tc>
                <w:tcPr>
                  <w:tcW w:w="967" w:type="pct"/>
                  <w:vMerge w:val="continue"/>
                  <w:vAlign w:val="center"/>
                </w:tcPr>
                <w:p w14:paraId="325F7854">
                  <w:pPr>
                    <w:pStyle w:val="74"/>
                    <w:adjustRightInd w:val="0"/>
                    <w:snapToGrid w:val="0"/>
                    <w:spacing w:line="240" w:lineRule="auto"/>
                    <w:rPr>
                      <w:color w:val="auto"/>
                      <w:szCs w:val="21"/>
                    </w:rPr>
                  </w:pPr>
                </w:p>
              </w:tc>
              <w:tc>
                <w:tcPr>
                  <w:tcW w:w="727" w:type="pct"/>
                  <w:vMerge w:val="continue"/>
                  <w:vAlign w:val="center"/>
                </w:tcPr>
                <w:p w14:paraId="785AF589">
                  <w:pPr>
                    <w:pStyle w:val="74"/>
                    <w:adjustRightInd w:val="0"/>
                    <w:snapToGrid w:val="0"/>
                    <w:spacing w:line="240" w:lineRule="auto"/>
                    <w:rPr>
                      <w:color w:val="auto"/>
                      <w:szCs w:val="21"/>
                    </w:rPr>
                  </w:pPr>
                </w:p>
              </w:tc>
              <w:tc>
                <w:tcPr>
                  <w:tcW w:w="995" w:type="pct"/>
                  <w:vMerge w:val="continue"/>
                  <w:vAlign w:val="center"/>
                </w:tcPr>
                <w:p w14:paraId="31DFD8F8">
                  <w:pPr>
                    <w:pStyle w:val="74"/>
                    <w:adjustRightInd w:val="0"/>
                    <w:snapToGrid w:val="0"/>
                    <w:spacing w:line="240" w:lineRule="auto"/>
                    <w:rPr>
                      <w:color w:val="auto"/>
                      <w:szCs w:val="21"/>
                    </w:rPr>
                  </w:pPr>
                </w:p>
              </w:tc>
            </w:tr>
            <w:tr w14:paraId="4581A7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639" w:type="pct"/>
                  <w:vAlign w:val="center"/>
                </w:tcPr>
                <w:p w14:paraId="1BDBBF91">
                  <w:pPr>
                    <w:pStyle w:val="74"/>
                    <w:adjustRightInd w:val="0"/>
                    <w:snapToGrid w:val="0"/>
                    <w:spacing w:line="240" w:lineRule="auto"/>
                    <w:rPr>
                      <w:rFonts w:hint="eastAsia"/>
                      <w:color w:val="auto"/>
                      <w:szCs w:val="21"/>
                      <w:lang w:val="en-US" w:eastAsia="zh-CN"/>
                    </w:rPr>
                  </w:pPr>
                  <w:r>
                    <w:rPr>
                      <w:rFonts w:hint="eastAsia"/>
                      <w:color w:val="auto"/>
                      <w:szCs w:val="21"/>
                      <w:lang w:val="en-US" w:eastAsia="zh-CN"/>
                    </w:rPr>
                    <w:t>生产</w:t>
                  </w:r>
                </w:p>
                <w:p w14:paraId="7E2006E9">
                  <w:pPr>
                    <w:pStyle w:val="74"/>
                    <w:adjustRightInd w:val="0"/>
                    <w:snapToGrid w:val="0"/>
                    <w:spacing w:line="240" w:lineRule="auto"/>
                    <w:rPr>
                      <w:rFonts w:hint="eastAsia"/>
                      <w:color w:val="auto"/>
                      <w:szCs w:val="21"/>
                    </w:rPr>
                  </w:pPr>
                  <w:r>
                    <w:rPr>
                      <w:rFonts w:hint="eastAsia"/>
                      <w:color w:val="auto"/>
                      <w:szCs w:val="21"/>
                      <w:lang w:val="en-US" w:eastAsia="zh-CN"/>
                    </w:rPr>
                    <w:t>过程</w:t>
                  </w:r>
                </w:p>
              </w:tc>
              <w:tc>
                <w:tcPr>
                  <w:tcW w:w="921" w:type="pct"/>
                  <w:vAlign w:val="center"/>
                </w:tcPr>
                <w:p w14:paraId="5CE6C6E8">
                  <w:pPr>
                    <w:pStyle w:val="74"/>
                    <w:adjustRightInd w:val="0"/>
                    <w:snapToGrid w:val="0"/>
                    <w:spacing w:line="240" w:lineRule="auto"/>
                    <w:rPr>
                      <w:color w:val="auto"/>
                      <w:szCs w:val="21"/>
                    </w:rPr>
                  </w:pPr>
                  <w:r>
                    <w:rPr>
                      <w:rFonts w:hint="eastAsia"/>
                      <w:color w:val="auto"/>
                      <w:szCs w:val="21"/>
                      <w:lang w:val="en-US" w:eastAsia="zh-CN"/>
                    </w:rPr>
                    <w:t>沉渣</w:t>
                  </w:r>
                </w:p>
              </w:tc>
              <w:tc>
                <w:tcPr>
                  <w:tcW w:w="749" w:type="pct"/>
                  <w:vAlign w:val="center"/>
                </w:tcPr>
                <w:p w14:paraId="19400E63">
                  <w:pPr>
                    <w:pStyle w:val="74"/>
                    <w:adjustRightInd w:val="0"/>
                    <w:snapToGrid w:val="0"/>
                    <w:spacing w:line="240" w:lineRule="auto"/>
                    <w:rPr>
                      <w:color w:val="auto"/>
                      <w:szCs w:val="21"/>
                    </w:rPr>
                  </w:pPr>
                  <w:r>
                    <w:rPr>
                      <w:rFonts w:hint="eastAsia"/>
                      <w:color w:val="auto"/>
                      <w:szCs w:val="21"/>
                      <w:lang w:val="en-US" w:eastAsia="zh-CN"/>
                    </w:rPr>
                    <w:t>一般固废</w:t>
                  </w:r>
                </w:p>
              </w:tc>
              <w:tc>
                <w:tcPr>
                  <w:tcW w:w="967" w:type="pct"/>
                  <w:vAlign w:val="center"/>
                </w:tcPr>
                <w:p w14:paraId="5C4C962C">
                  <w:pPr>
                    <w:pStyle w:val="74"/>
                    <w:adjustRightInd w:val="0"/>
                    <w:snapToGrid w:val="0"/>
                    <w:spacing w:line="240" w:lineRule="auto"/>
                    <w:rPr>
                      <w:rFonts w:hint="eastAsia"/>
                      <w:color w:val="auto"/>
                      <w:szCs w:val="21"/>
                    </w:rPr>
                  </w:pPr>
                  <w:r>
                    <w:rPr>
                      <w:rFonts w:hint="eastAsia"/>
                      <w:color w:val="auto"/>
                      <w:szCs w:val="21"/>
                      <w:lang w:val="en-US" w:eastAsia="zh-CN"/>
                    </w:rPr>
                    <w:t>900-099-S59</w:t>
                  </w:r>
                </w:p>
              </w:tc>
              <w:tc>
                <w:tcPr>
                  <w:tcW w:w="727" w:type="pct"/>
                  <w:vAlign w:val="center"/>
                </w:tcPr>
                <w:p w14:paraId="380F015B">
                  <w:pPr>
                    <w:pStyle w:val="77"/>
                    <w:spacing w:line="240" w:lineRule="auto"/>
                    <w:rPr>
                      <w:rFonts w:hint="default" w:ascii="Times New Roman" w:hAnsi="Times New Roman" w:eastAsia="宋体" w:cs="Times New Roman"/>
                      <w:snapToGrid w:val="0"/>
                      <w:color w:val="auto"/>
                      <w:sz w:val="21"/>
                      <w:lang w:val="en-US" w:eastAsia="zh-CN"/>
                    </w:rPr>
                  </w:pPr>
                  <w:r>
                    <w:rPr>
                      <w:rFonts w:hint="eastAsia" w:ascii="Times New Roman" w:hAnsi="Times New Roman" w:eastAsia="宋体" w:cs="Times New Roman"/>
                      <w:snapToGrid w:val="0"/>
                      <w:color w:val="auto"/>
                      <w:sz w:val="21"/>
                      <w:lang w:val="en-US" w:eastAsia="zh-CN"/>
                    </w:rPr>
                    <w:t>1.939</w:t>
                  </w:r>
                </w:p>
              </w:tc>
              <w:tc>
                <w:tcPr>
                  <w:tcW w:w="995" w:type="pct"/>
                  <w:vAlign w:val="center"/>
                </w:tcPr>
                <w:p w14:paraId="7F9652FA">
                  <w:pPr>
                    <w:pStyle w:val="77"/>
                    <w:spacing w:line="240" w:lineRule="auto"/>
                    <w:rPr>
                      <w:rFonts w:hint="eastAsia" w:ascii="Times New Roman" w:hAnsi="Times New Roman" w:eastAsia="宋体" w:cs="Times New Roman"/>
                      <w:snapToGrid w:val="0"/>
                      <w:color w:val="auto"/>
                      <w:sz w:val="21"/>
                      <w:lang w:val="en-US" w:eastAsia="zh-CN"/>
                    </w:rPr>
                  </w:pPr>
                  <w:r>
                    <w:rPr>
                      <w:rFonts w:hint="eastAsia" w:ascii="Times New Roman" w:hAnsi="Times New Roman" w:eastAsia="宋体" w:cs="Times New Roman"/>
                      <w:snapToGrid w:val="0"/>
                      <w:color w:val="auto"/>
                      <w:sz w:val="21"/>
                      <w:lang w:val="en-US" w:eastAsia="zh-CN"/>
                    </w:rPr>
                    <w:t>集中收集全部用于铺路</w:t>
                  </w:r>
                </w:p>
              </w:tc>
            </w:tr>
            <w:tr w14:paraId="676DA8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639" w:type="pct"/>
                  <w:vAlign w:val="center"/>
                </w:tcPr>
                <w:p w14:paraId="38A2452E">
                  <w:pPr>
                    <w:pStyle w:val="74"/>
                    <w:adjustRightInd w:val="0"/>
                    <w:snapToGrid w:val="0"/>
                    <w:spacing w:line="240" w:lineRule="auto"/>
                    <w:rPr>
                      <w:color w:val="auto"/>
                      <w:szCs w:val="21"/>
                    </w:rPr>
                  </w:pPr>
                  <w:r>
                    <w:rPr>
                      <w:rFonts w:hint="eastAsia"/>
                      <w:color w:val="auto"/>
                      <w:szCs w:val="21"/>
                    </w:rPr>
                    <w:t>生活</w:t>
                  </w:r>
                </w:p>
                <w:p w14:paraId="7CF82CC6">
                  <w:pPr>
                    <w:pStyle w:val="74"/>
                    <w:adjustRightInd w:val="0"/>
                    <w:snapToGrid w:val="0"/>
                    <w:spacing w:line="240" w:lineRule="auto"/>
                    <w:rPr>
                      <w:color w:val="auto"/>
                      <w:szCs w:val="21"/>
                    </w:rPr>
                  </w:pPr>
                  <w:r>
                    <w:rPr>
                      <w:rFonts w:hint="eastAsia"/>
                      <w:color w:val="auto"/>
                      <w:szCs w:val="21"/>
                    </w:rPr>
                    <w:t>废物</w:t>
                  </w:r>
                </w:p>
              </w:tc>
              <w:tc>
                <w:tcPr>
                  <w:tcW w:w="921" w:type="pct"/>
                  <w:vAlign w:val="center"/>
                </w:tcPr>
                <w:p w14:paraId="5AA90D4F">
                  <w:pPr>
                    <w:pStyle w:val="74"/>
                    <w:adjustRightInd w:val="0"/>
                    <w:snapToGrid w:val="0"/>
                    <w:spacing w:line="240" w:lineRule="auto"/>
                    <w:rPr>
                      <w:color w:val="auto"/>
                      <w:szCs w:val="21"/>
                    </w:rPr>
                  </w:pPr>
                  <w:r>
                    <w:rPr>
                      <w:color w:val="auto"/>
                      <w:szCs w:val="21"/>
                    </w:rPr>
                    <w:t>生活垃圾</w:t>
                  </w:r>
                </w:p>
              </w:tc>
              <w:tc>
                <w:tcPr>
                  <w:tcW w:w="749" w:type="pct"/>
                  <w:vAlign w:val="center"/>
                </w:tcPr>
                <w:p w14:paraId="0A19589D">
                  <w:pPr>
                    <w:pStyle w:val="74"/>
                    <w:adjustRightInd w:val="0"/>
                    <w:snapToGrid w:val="0"/>
                    <w:spacing w:line="240" w:lineRule="auto"/>
                    <w:rPr>
                      <w:color w:val="auto"/>
                      <w:szCs w:val="21"/>
                    </w:rPr>
                  </w:pPr>
                  <w:r>
                    <w:rPr>
                      <w:rFonts w:hint="eastAsia"/>
                      <w:color w:val="auto"/>
                      <w:szCs w:val="21"/>
                      <w:lang w:val="en-US" w:eastAsia="zh-CN"/>
                    </w:rPr>
                    <w:t>一般固废</w:t>
                  </w:r>
                </w:p>
              </w:tc>
              <w:tc>
                <w:tcPr>
                  <w:tcW w:w="967" w:type="pct"/>
                  <w:vAlign w:val="center"/>
                </w:tcPr>
                <w:p w14:paraId="6CC30B89">
                  <w:pPr>
                    <w:pStyle w:val="74"/>
                    <w:adjustRightInd w:val="0"/>
                    <w:snapToGrid w:val="0"/>
                    <w:spacing w:line="240" w:lineRule="auto"/>
                    <w:rPr>
                      <w:color w:val="auto"/>
                      <w:szCs w:val="21"/>
                    </w:rPr>
                  </w:pPr>
                  <w:r>
                    <w:rPr>
                      <w:rFonts w:hint="default" w:ascii="Times New Roman" w:hAnsi="Times New Roman" w:cs="Times New Roman" w:eastAsiaTheme="minorEastAsia"/>
                      <w:color w:val="auto"/>
                      <w:szCs w:val="21"/>
                    </w:rPr>
                    <w:t>900-099-S64</w:t>
                  </w:r>
                </w:p>
              </w:tc>
              <w:tc>
                <w:tcPr>
                  <w:tcW w:w="727" w:type="pct"/>
                  <w:vAlign w:val="center"/>
                </w:tcPr>
                <w:p w14:paraId="2591C57D">
                  <w:pPr>
                    <w:pStyle w:val="77"/>
                    <w:spacing w:line="240" w:lineRule="auto"/>
                    <w:rPr>
                      <w:rFonts w:hint="default" w:ascii="Times New Roman" w:hAnsi="Times New Roman" w:eastAsia="宋体" w:cs="Times New Roman"/>
                      <w:snapToGrid w:val="0"/>
                      <w:color w:val="auto"/>
                      <w:sz w:val="21"/>
                      <w:lang w:val="en-US" w:eastAsia="zh-CN"/>
                    </w:rPr>
                  </w:pPr>
                  <w:r>
                    <w:rPr>
                      <w:rFonts w:hint="eastAsia" w:ascii="Times New Roman" w:hAnsi="Times New Roman" w:eastAsia="宋体" w:cs="Times New Roman"/>
                      <w:snapToGrid w:val="0"/>
                      <w:color w:val="auto"/>
                      <w:sz w:val="21"/>
                      <w:lang w:val="en-US" w:eastAsia="zh-CN"/>
                    </w:rPr>
                    <w:t>0.84</w:t>
                  </w:r>
                </w:p>
              </w:tc>
              <w:tc>
                <w:tcPr>
                  <w:tcW w:w="995" w:type="pct"/>
                  <w:vAlign w:val="center"/>
                </w:tcPr>
                <w:p w14:paraId="61D1A940">
                  <w:pPr>
                    <w:pStyle w:val="74"/>
                    <w:adjustRightInd w:val="0"/>
                    <w:snapToGrid w:val="0"/>
                    <w:spacing w:line="240" w:lineRule="auto"/>
                    <w:rPr>
                      <w:color w:val="auto"/>
                      <w:szCs w:val="21"/>
                    </w:rPr>
                  </w:pPr>
                  <w:r>
                    <w:rPr>
                      <w:color w:val="auto"/>
                      <w:szCs w:val="21"/>
                    </w:rPr>
                    <w:t>由市政环卫部门统一处理</w:t>
                  </w:r>
                </w:p>
              </w:tc>
            </w:tr>
            <w:tr w14:paraId="7E12D7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639" w:type="pct"/>
                  <w:vMerge w:val="restart"/>
                  <w:vAlign w:val="center"/>
                </w:tcPr>
                <w:p w14:paraId="191ADD1C">
                  <w:pPr>
                    <w:pStyle w:val="74"/>
                    <w:adjustRightInd w:val="0"/>
                    <w:snapToGrid w:val="0"/>
                    <w:spacing w:line="240" w:lineRule="auto"/>
                    <w:rPr>
                      <w:rFonts w:hint="default" w:eastAsia="宋体"/>
                      <w:color w:val="auto"/>
                      <w:szCs w:val="21"/>
                      <w:lang w:val="en-US" w:eastAsia="zh-CN"/>
                    </w:rPr>
                  </w:pPr>
                  <w:r>
                    <w:rPr>
                      <w:rFonts w:hint="eastAsia"/>
                      <w:color w:val="auto"/>
                      <w:szCs w:val="21"/>
                      <w:lang w:val="en-US" w:eastAsia="zh-CN"/>
                    </w:rPr>
                    <w:t>车辆维修</w:t>
                  </w:r>
                </w:p>
              </w:tc>
              <w:tc>
                <w:tcPr>
                  <w:tcW w:w="1500" w:type="dxa"/>
                  <w:vAlign w:val="center"/>
                </w:tcPr>
                <w:p w14:paraId="3AABFBCB">
                  <w:pPr>
                    <w:pStyle w:val="74"/>
                    <w:adjustRightInd w:val="0"/>
                    <w:snapToGrid w:val="0"/>
                    <w:spacing w:line="240" w:lineRule="auto"/>
                    <w:rPr>
                      <w:color w:val="auto"/>
                      <w:szCs w:val="21"/>
                    </w:rPr>
                  </w:pPr>
                  <w:r>
                    <w:rPr>
                      <w:rFonts w:hint="eastAsia"/>
                      <w:color w:val="auto"/>
                      <w:szCs w:val="21"/>
                      <w:lang w:val="en-US" w:eastAsia="zh-CN"/>
                    </w:rPr>
                    <w:t>废机油</w:t>
                  </w:r>
                </w:p>
              </w:tc>
              <w:tc>
                <w:tcPr>
                  <w:tcW w:w="1221" w:type="dxa"/>
                  <w:vAlign w:val="center"/>
                </w:tcPr>
                <w:p w14:paraId="16C59AE4">
                  <w:pPr>
                    <w:keepNext w:val="0"/>
                    <w:keepLines w:val="0"/>
                    <w:pageBreakBefore w:val="0"/>
                    <w:suppressLineNumbers w:val="0"/>
                    <w:wordWrap/>
                    <w:bidi w:val="0"/>
                    <w:adjustRightInd w:val="0"/>
                    <w:snapToGrid w:val="0"/>
                    <w:spacing w:before="0" w:beforeAutospacing="0" w:after="0" w:afterAutospacing="0" w:line="240" w:lineRule="auto"/>
                    <w:ind w:left="0" w:leftChars="0" w:right="0" w:rightChars="0"/>
                    <w:jc w:val="center"/>
                    <w:rPr>
                      <w:rFonts w:hint="eastAsia"/>
                      <w:color w:val="auto"/>
                      <w:szCs w:val="21"/>
                      <w:lang w:val="en-US" w:eastAsia="zh-CN"/>
                    </w:rPr>
                  </w:pPr>
                  <w:r>
                    <w:rPr>
                      <w:rFonts w:hint="eastAsia" w:cs="Times New Roman"/>
                      <w:color w:val="auto"/>
                      <w:kern w:val="0"/>
                      <w:sz w:val="21"/>
                      <w:szCs w:val="21"/>
                      <w:highlight w:val="none"/>
                      <w:lang w:val="en-US" w:eastAsia="zh-CN" w:bidi="ar-SA"/>
                    </w:rPr>
                    <w:t>危险废物</w:t>
                  </w:r>
                </w:p>
              </w:tc>
              <w:tc>
                <w:tcPr>
                  <w:tcW w:w="1575" w:type="dxa"/>
                  <w:vAlign w:val="center"/>
                </w:tcPr>
                <w:p w14:paraId="4D9CD496">
                  <w:pPr>
                    <w:pStyle w:val="74"/>
                    <w:keepNext w:val="0"/>
                    <w:keepLines w:val="0"/>
                    <w:pageBreakBefore w:val="0"/>
                    <w:suppressLineNumbers w:val="0"/>
                    <w:wordWrap/>
                    <w:bidi w:val="0"/>
                    <w:adjustRightInd w:val="0"/>
                    <w:snapToGrid w:val="0"/>
                    <w:spacing w:before="0" w:beforeAutospacing="0" w:after="0" w:afterAutospacing="0" w:line="240" w:lineRule="auto"/>
                    <w:ind w:left="0" w:leftChars="0" w:right="0" w:rightChars="0"/>
                    <w:rPr>
                      <w:rFonts w:hint="eastAsia"/>
                      <w:color w:val="auto"/>
                      <w:szCs w:val="21"/>
                    </w:rPr>
                  </w:pPr>
                  <w:r>
                    <w:rPr>
                      <w:rFonts w:hint="eastAsia" w:ascii="Times New Roman" w:hAnsi="Times New Roman" w:eastAsia="宋体" w:cs="Times New Roman"/>
                      <w:color w:val="auto"/>
                      <w:kern w:val="0"/>
                      <w:sz w:val="21"/>
                      <w:szCs w:val="21"/>
                      <w:lang w:val="en-US" w:eastAsia="zh-CN"/>
                    </w:rPr>
                    <w:t>900-249-08</w:t>
                  </w:r>
                </w:p>
              </w:tc>
              <w:tc>
                <w:tcPr>
                  <w:tcW w:w="1185" w:type="dxa"/>
                  <w:vAlign w:val="center"/>
                </w:tcPr>
                <w:p w14:paraId="489D6EC3">
                  <w:pPr>
                    <w:pStyle w:val="74"/>
                    <w:keepNext w:val="0"/>
                    <w:keepLines w:val="0"/>
                    <w:pageBreakBefore w:val="0"/>
                    <w:suppressLineNumbers w:val="0"/>
                    <w:wordWrap/>
                    <w:bidi w:val="0"/>
                    <w:adjustRightInd w:val="0"/>
                    <w:snapToGrid w:val="0"/>
                    <w:spacing w:before="0" w:beforeAutospacing="0" w:after="0" w:afterAutospacing="0" w:line="240" w:lineRule="auto"/>
                    <w:ind w:left="0" w:leftChars="0" w:right="0" w:rightChars="0"/>
                    <w:rPr>
                      <w:rFonts w:hint="eastAsia" w:ascii="Times New Roman" w:hAnsi="Times New Roman" w:eastAsia="宋体" w:cs="Times New Roman"/>
                      <w:snapToGrid w:val="0"/>
                      <w:color w:val="auto"/>
                      <w:sz w:val="21"/>
                      <w:lang w:val="en-US" w:eastAsia="zh-CN"/>
                    </w:rPr>
                  </w:pPr>
                  <w:r>
                    <w:rPr>
                      <w:rFonts w:hint="eastAsia"/>
                      <w:b w:val="0"/>
                      <w:bCs w:val="0"/>
                      <w:color w:val="auto"/>
                      <w:szCs w:val="21"/>
                      <w:highlight w:val="none"/>
                      <w:lang w:val="en-US" w:eastAsia="zh-CN"/>
                    </w:rPr>
                    <w:t>0.1t/a</w:t>
                  </w:r>
                </w:p>
              </w:tc>
              <w:tc>
                <w:tcPr>
                  <w:tcW w:w="1621" w:type="dxa"/>
                  <w:vAlign w:val="center"/>
                </w:tcPr>
                <w:p w14:paraId="7401E8EE">
                  <w:pPr>
                    <w:pStyle w:val="74"/>
                    <w:keepNext w:val="0"/>
                    <w:keepLines w:val="0"/>
                    <w:pageBreakBefore w:val="0"/>
                    <w:suppressLineNumbers w:val="0"/>
                    <w:wordWrap/>
                    <w:bidi w:val="0"/>
                    <w:adjustRightInd w:val="0"/>
                    <w:snapToGrid w:val="0"/>
                    <w:spacing w:before="0" w:beforeAutospacing="0" w:after="0" w:afterAutospacing="0" w:line="240" w:lineRule="auto"/>
                    <w:ind w:left="0" w:leftChars="0" w:right="0" w:rightChars="0"/>
                    <w:rPr>
                      <w:color w:val="auto"/>
                      <w:szCs w:val="21"/>
                    </w:rPr>
                  </w:pPr>
                  <w:r>
                    <w:rPr>
                      <w:rFonts w:hint="eastAsia" w:ascii="Times New Roman" w:hAnsi="Times New Roman" w:eastAsia="宋体" w:cs="Times New Roman"/>
                      <w:color w:val="auto"/>
                      <w:kern w:val="0"/>
                      <w:sz w:val="21"/>
                      <w:szCs w:val="21"/>
                      <w:lang w:val="en-US" w:eastAsia="zh-CN"/>
                    </w:rPr>
                    <w:t>集中收集，交有资质公司处理</w:t>
                  </w:r>
                </w:p>
              </w:tc>
            </w:tr>
            <w:tr w14:paraId="698C6C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639" w:type="pct"/>
                  <w:vMerge w:val="continue"/>
                  <w:vAlign w:val="center"/>
                </w:tcPr>
                <w:p w14:paraId="72E7470A">
                  <w:pPr>
                    <w:pStyle w:val="74"/>
                    <w:adjustRightInd w:val="0"/>
                    <w:snapToGrid w:val="0"/>
                    <w:spacing w:line="240" w:lineRule="auto"/>
                    <w:rPr>
                      <w:rFonts w:hint="eastAsia"/>
                      <w:color w:val="auto"/>
                      <w:szCs w:val="21"/>
                    </w:rPr>
                  </w:pPr>
                </w:p>
              </w:tc>
              <w:tc>
                <w:tcPr>
                  <w:tcW w:w="1500" w:type="dxa"/>
                  <w:vAlign w:val="center"/>
                </w:tcPr>
                <w:p w14:paraId="3ABBB0E9">
                  <w:pPr>
                    <w:pStyle w:val="74"/>
                    <w:adjustRightInd w:val="0"/>
                    <w:snapToGrid w:val="0"/>
                    <w:spacing w:line="240" w:lineRule="auto"/>
                    <w:rPr>
                      <w:color w:val="auto"/>
                      <w:szCs w:val="21"/>
                    </w:rPr>
                  </w:pPr>
                  <w:r>
                    <w:rPr>
                      <w:rFonts w:hint="eastAsia" w:ascii="Times New Roman" w:hAnsi="Times New Roman" w:eastAsia="宋体" w:cs="Times New Roman"/>
                      <w:color w:val="auto"/>
                      <w:highlight w:val="none"/>
                      <w:lang w:val="en-US" w:eastAsia="zh-CN"/>
                    </w:rPr>
                    <w:t>废含油手套、废含油抹布</w:t>
                  </w:r>
                </w:p>
              </w:tc>
              <w:tc>
                <w:tcPr>
                  <w:tcW w:w="1221" w:type="dxa"/>
                  <w:vAlign w:val="center"/>
                </w:tcPr>
                <w:p w14:paraId="0A5A255E">
                  <w:pPr>
                    <w:keepNext w:val="0"/>
                    <w:keepLines w:val="0"/>
                    <w:pageBreakBefore w:val="0"/>
                    <w:suppressLineNumbers w:val="0"/>
                    <w:wordWrap/>
                    <w:bidi w:val="0"/>
                    <w:adjustRightInd w:val="0"/>
                    <w:snapToGrid w:val="0"/>
                    <w:spacing w:before="0" w:beforeAutospacing="0" w:after="0" w:afterAutospacing="0" w:line="240" w:lineRule="auto"/>
                    <w:ind w:left="0" w:leftChars="0" w:right="0" w:rightChars="0"/>
                    <w:jc w:val="center"/>
                    <w:rPr>
                      <w:rFonts w:hint="eastAsia"/>
                      <w:color w:val="auto"/>
                      <w:szCs w:val="21"/>
                      <w:lang w:val="en-US" w:eastAsia="zh-CN"/>
                    </w:rPr>
                  </w:pPr>
                  <w:r>
                    <w:rPr>
                      <w:rFonts w:hint="eastAsia" w:cs="Times New Roman"/>
                      <w:color w:val="auto"/>
                      <w:kern w:val="0"/>
                      <w:sz w:val="21"/>
                      <w:szCs w:val="21"/>
                      <w:highlight w:val="none"/>
                      <w:lang w:val="en-US" w:eastAsia="zh-CN" w:bidi="ar-SA"/>
                    </w:rPr>
                    <w:t>危险废物</w:t>
                  </w:r>
                </w:p>
              </w:tc>
              <w:tc>
                <w:tcPr>
                  <w:tcW w:w="1575" w:type="dxa"/>
                  <w:vAlign w:val="center"/>
                </w:tcPr>
                <w:p w14:paraId="0F87AE7C">
                  <w:pPr>
                    <w:pStyle w:val="74"/>
                    <w:keepNext w:val="0"/>
                    <w:keepLines w:val="0"/>
                    <w:pageBreakBefore w:val="0"/>
                    <w:suppressLineNumbers w:val="0"/>
                    <w:wordWrap/>
                    <w:bidi w:val="0"/>
                    <w:adjustRightInd w:val="0"/>
                    <w:snapToGrid w:val="0"/>
                    <w:spacing w:before="0" w:beforeAutospacing="0" w:after="0" w:afterAutospacing="0" w:line="240" w:lineRule="auto"/>
                    <w:ind w:left="0" w:leftChars="0" w:right="0" w:rightChars="0"/>
                    <w:rPr>
                      <w:rFonts w:hint="default"/>
                      <w:color w:val="auto"/>
                      <w:szCs w:val="21"/>
                      <w:lang w:val="en-US"/>
                    </w:rPr>
                  </w:pPr>
                  <w:r>
                    <w:rPr>
                      <w:rFonts w:hint="eastAsia" w:cs="Times New Roman"/>
                      <w:color w:val="auto"/>
                      <w:kern w:val="0"/>
                      <w:sz w:val="21"/>
                      <w:szCs w:val="21"/>
                      <w:lang w:val="en-US" w:eastAsia="zh-CN"/>
                    </w:rPr>
                    <w:t>900-041-49</w:t>
                  </w:r>
                </w:p>
              </w:tc>
              <w:tc>
                <w:tcPr>
                  <w:tcW w:w="1185" w:type="dxa"/>
                  <w:vAlign w:val="center"/>
                </w:tcPr>
                <w:p w14:paraId="261DDD41">
                  <w:pPr>
                    <w:pStyle w:val="74"/>
                    <w:keepNext w:val="0"/>
                    <w:keepLines w:val="0"/>
                    <w:pageBreakBefore w:val="0"/>
                    <w:suppressLineNumbers w:val="0"/>
                    <w:wordWrap/>
                    <w:bidi w:val="0"/>
                    <w:adjustRightInd w:val="0"/>
                    <w:snapToGrid w:val="0"/>
                    <w:spacing w:before="0" w:beforeAutospacing="0" w:after="0" w:afterAutospacing="0" w:line="240" w:lineRule="auto"/>
                    <w:ind w:left="0" w:leftChars="0" w:right="0" w:rightChars="0"/>
                    <w:rPr>
                      <w:rFonts w:hint="eastAsia" w:ascii="Times New Roman" w:hAnsi="Times New Roman" w:eastAsia="宋体" w:cs="Times New Roman"/>
                      <w:snapToGrid w:val="0"/>
                      <w:color w:val="auto"/>
                      <w:sz w:val="21"/>
                      <w:lang w:val="en-US" w:eastAsia="zh-CN"/>
                    </w:rPr>
                  </w:pPr>
                  <w:r>
                    <w:rPr>
                      <w:rFonts w:hint="eastAsia"/>
                      <w:b w:val="0"/>
                      <w:bCs w:val="0"/>
                      <w:color w:val="auto"/>
                      <w:szCs w:val="21"/>
                      <w:highlight w:val="none"/>
                      <w:lang w:val="en-US" w:eastAsia="zh-CN"/>
                    </w:rPr>
                    <w:t>0.01t/a</w:t>
                  </w:r>
                </w:p>
              </w:tc>
              <w:tc>
                <w:tcPr>
                  <w:tcW w:w="1621" w:type="dxa"/>
                  <w:vAlign w:val="center"/>
                </w:tcPr>
                <w:p w14:paraId="1DDD7751">
                  <w:pPr>
                    <w:pStyle w:val="74"/>
                    <w:keepNext w:val="0"/>
                    <w:keepLines w:val="0"/>
                    <w:pageBreakBefore w:val="0"/>
                    <w:suppressLineNumbers w:val="0"/>
                    <w:wordWrap/>
                    <w:bidi w:val="0"/>
                    <w:adjustRightInd w:val="0"/>
                    <w:snapToGrid w:val="0"/>
                    <w:spacing w:before="0" w:beforeAutospacing="0" w:after="0" w:afterAutospacing="0" w:line="240" w:lineRule="auto"/>
                    <w:ind w:left="0" w:leftChars="0" w:right="0" w:rightChars="0"/>
                    <w:rPr>
                      <w:color w:val="auto"/>
                      <w:szCs w:val="21"/>
                    </w:rPr>
                  </w:pPr>
                  <w:r>
                    <w:rPr>
                      <w:rFonts w:hint="eastAsia" w:ascii="Times New Roman" w:hAnsi="Times New Roman" w:eastAsia="宋体" w:cs="Times New Roman"/>
                      <w:color w:val="auto"/>
                      <w:kern w:val="0"/>
                      <w:sz w:val="21"/>
                      <w:szCs w:val="21"/>
                      <w:lang w:val="en-US" w:eastAsia="zh-CN"/>
                    </w:rPr>
                    <w:t>集中收集，交有资质公司处理</w:t>
                  </w:r>
                </w:p>
              </w:tc>
            </w:tr>
          </w:tbl>
          <w:p w14:paraId="7052E6F7">
            <w:pPr>
              <w:jc w:val="center"/>
              <w:rPr>
                <w:b/>
                <w:bCs/>
                <w:iCs/>
                <w:color w:val="auto"/>
                <w:kern w:val="0"/>
                <w:szCs w:val="21"/>
              </w:rPr>
            </w:pPr>
            <w:r>
              <w:rPr>
                <w:b/>
                <w:bCs/>
                <w:iCs/>
                <w:color w:val="auto"/>
                <w:kern w:val="0"/>
                <w:szCs w:val="21"/>
              </w:rPr>
              <w:t>表</w:t>
            </w:r>
            <w:r>
              <w:rPr>
                <w:rFonts w:hint="eastAsia"/>
                <w:b/>
                <w:bCs/>
                <w:iCs/>
                <w:color w:val="auto"/>
                <w:kern w:val="0"/>
                <w:szCs w:val="21"/>
              </w:rPr>
              <w:t>4-1</w:t>
            </w:r>
            <w:r>
              <w:rPr>
                <w:rFonts w:hint="eastAsia"/>
                <w:b/>
                <w:bCs/>
                <w:iCs/>
                <w:color w:val="auto"/>
                <w:kern w:val="0"/>
                <w:szCs w:val="21"/>
                <w:lang w:val="en-US" w:eastAsia="zh-CN"/>
              </w:rPr>
              <w:t>1</w:t>
            </w:r>
            <w:r>
              <w:rPr>
                <w:rFonts w:hint="eastAsia"/>
                <w:b/>
                <w:bCs/>
                <w:iCs/>
                <w:color w:val="auto"/>
                <w:kern w:val="0"/>
                <w:szCs w:val="21"/>
              </w:rPr>
              <w:t xml:space="preserve">  </w:t>
            </w:r>
            <w:r>
              <w:rPr>
                <w:b/>
                <w:bCs/>
                <w:iCs/>
                <w:color w:val="auto"/>
                <w:kern w:val="0"/>
                <w:szCs w:val="21"/>
              </w:rPr>
              <w:t>本项目危险废物产生量及处置情况表</w:t>
            </w:r>
          </w:p>
          <w:tbl>
            <w:tblPr>
              <w:tblStyle w:val="38"/>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1"/>
              <w:gridCol w:w="679"/>
              <w:gridCol w:w="912"/>
              <w:gridCol w:w="1279"/>
              <w:gridCol w:w="695"/>
              <w:gridCol w:w="865"/>
              <w:gridCol w:w="410"/>
              <w:gridCol w:w="616"/>
              <w:gridCol w:w="386"/>
              <w:gridCol w:w="357"/>
              <w:gridCol w:w="1536"/>
            </w:tblGrid>
            <w:tr w14:paraId="3C0567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52" w:type="pct"/>
                  <w:vAlign w:val="center"/>
                </w:tcPr>
                <w:p w14:paraId="0FA31CD4">
                  <w:pPr>
                    <w:topLinePunct/>
                    <w:spacing w:line="240" w:lineRule="auto"/>
                    <w:jc w:val="center"/>
                    <w:rPr>
                      <w:rFonts w:hint="eastAsia" w:ascii="Times New Roman" w:hAnsi="Times New Roman" w:eastAsia="宋体" w:cs="Times New Roman"/>
                      <w:color w:val="auto"/>
                      <w:kern w:val="0"/>
                      <w:sz w:val="21"/>
                      <w:szCs w:val="21"/>
                      <w:lang w:val="en-GB" w:eastAsia="zh-CN"/>
                    </w:rPr>
                  </w:pPr>
                  <w:r>
                    <w:rPr>
                      <w:rFonts w:hint="eastAsia" w:ascii="Times New Roman" w:hAnsi="Times New Roman" w:eastAsia="宋体" w:cs="Times New Roman"/>
                      <w:color w:val="auto"/>
                      <w:kern w:val="0"/>
                      <w:sz w:val="21"/>
                      <w:szCs w:val="21"/>
                      <w:lang w:val="en-GB" w:eastAsia="zh-CN"/>
                    </w:rPr>
                    <w:t>序号</w:t>
                  </w:r>
                </w:p>
              </w:tc>
              <w:tc>
                <w:tcPr>
                  <w:tcW w:w="416" w:type="pct"/>
                  <w:vAlign w:val="center"/>
                </w:tcPr>
                <w:p w14:paraId="1A172D42">
                  <w:pPr>
                    <w:topLinePunct/>
                    <w:spacing w:line="240" w:lineRule="auto"/>
                    <w:jc w:val="center"/>
                    <w:rPr>
                      <w:rFonts w:hint="eastAsia" w:ascii="Times New Roman" w:hAnsi="Times New Roman" w:eastAsia="宋体" w:cs="Times New Roman"/>
                      <w:color w:val="auto"/>
                      <w:kern w:val="0"/>
                      <w:sz w:val="21"/>
                      <w:szCs w:val="21"/>
                      <w:lang w:val="en-GB" w:eastAsia="zh-CN"/>
                    </w:rPr>
                  </w:pPr>
                  <w:r>
                    <w:rPr>
                      <w:rFonts w:hint="eastAsia" w:ascii="Times New Roman" w:hAnsi="Times New Roman" w:eastAsia="宋体" w:cs="Times New Roman"/>
                      <w:color w:val="auto"/>
                      <w:kern w:val="0"/>
                      <w:sz w:val="21"/>
                      <w:szCs w:val="21"/>
                      <w:lang w:val="en-GB" w:eastAsia="zh-CN"/>
                    </w:rPr>
                    <w:t>危险废物名称</w:t>
                  </w:r>
                </w:p>
              </w:tc>
              <w:tc>
                <w:tcPr>
                  <w:tcW w:w="559" w:type="pct"/>
                  <w:vAlign w:val="center"/>
                </w:tcPr>
                <w:p w14:paraId="230F09E7">
                  <w:pPr>
                    <w:topLinePunct/>
                    <w:spacing w:line="240" w:lineRule="auto"/>
                    <w:jc w:val="center"/>
                    <w:rPr>
                      <w:rFonts w:hint="eastAsia" w:ascii="Times New Roman" w:hAnsi="Times New Roman" w:eastAsia="宋体" w:cs="Times New Roman"/>
                      <w:color w:val="auto"/>
                      <w:kern w:val="0"/>
                      <w:sz w:val="21"/>
                      <w:szCs w:val="21"/>
                      <w:lang w:val="en-GB" w:eastAsia="zh-CN"/>
                    </w:rPr>
                  </w:pPr>
                  <w:r>
                    <w:rPr>
                      <w:rFonts w:hint="eastAsia" w:ascii="Times New Roman" w:hAnsi="Times New Roman" w:eastAsia="宋体" w:cs="Times New Roman"/>
                      <w:color w:val="auto"/>
                      <w:kern w:val="0"/>
                      <w:sz w:val="21"/>
                      <w:szCs w:val="21"/>
                      <w:lang w:val="en-GB" w:eastAsia="zh-CN"/>
                    </w:rPr>
                    <w:t>危险废物</w:t>
                  </w:r>
                </w:p>
                <w:p w14:paraId="0D528B12">
                  <w:pPr>
                    <w:topLinePunct/>
                    <w:spacing w:line="240" w:lineRule="auto"/>
                    <w:jc w:val="center"/>
                    <w:rPr>
                      <w:rFonts w:hint="eastAsia" w:ascii="Times New Roman" w:hAnsi="Times New Roman" w:eastAsia="宋体" w:cs="Times New Roman"/>
                      <w:color w:val="auto"/>
                      <w:kern w:val="0"/>
                      <w:sz w:val="21"/>
                      <w:szCs w:val="21"/>
                      <w:lang w:val="en-GB" w:eastAsia="zh-CN"/>
                    </w:rPr>
                  </w:pPr>
                  <w:r>
                    <w:rPr>
                      <w:rFonts w:hint="eastAsia" w:ascii="Times New Roman" w:hAnsi="Times New Roman" w:eastAsia="宋体" w:cs="Times New Roman"/>
                      <w:color w:val="auto"/>
                      <w:kern w:val="0"/>
                      <w:sz w:val="21"/>
                      <w:szCs w:val="21"/>
                      <w:lang w:val="en-GB" w:eastAsia="zh-CN"/>
                    </w:rPr>
                    <w:t>类别</w:t>
                  </w:r>
                </w:p>
              </w:tc>
              <w:tc>
                <w:tcPr>
                  <w:tcW w:w="785" w:type="pct"/>
                  <w:vAlign w:val="center"/>
                </w:tcPr>
                <w:p w14:paraId="079AD58A">
                  <w:pPr>
                    <w:topLinePunct/>
                    <w:spacing w:line="240" w:lineRule="auto"/>
                    <w:jc w:val="center"/>
                    <w:rPr>
                      <w:rFonts w:hint="eastAsia" w:ascii="Times New Roman" w:hAnsi="Times New Roman" w:eastAsia="宋体" w:cs="Times New Roman"/>
                      <w:color w:val="auto"/>
                      <w:kern w:val="0"/>
                      <w:sz w:val="21"/>
                      <w:szCs w:val="21"/>
                      <w:lang w:val="en-GB" w:eastAsia="zh-CN"/>
                    </w:rPr>
                  </w:pPr>
                  <w:r>
                    <w:rPr>
                      <w:rFonts w:hint="eastAsia" w:ascii="Times New Roman" w:hAnsi="Times New Roman" w:eastAsia="宋体" w:cs="Times New Roman"/>
                      <w:color w:val="auto"/>
                      <w:kern w:val="0"/>
                      <w:sz w:val="21"/>
                      <w:szCs w:val="21"/>
                      <w:lang w:val="en-GB" w:eastAsia="zh-CN"/>
                    </w:rPr>
                    <w:t>危险废物代码</w:t>
                  </w:r>
                </w:p>
              </w:tc>
              <w:tc>
                <w:tcPr>
                  <w:tcW w:w="426" w:type="pct"/>
                  <w:vAlign w:val="center"/>
                </w:tcPr>
                <w:p w14:paraId="180487D9">
                  <w:pPr>
                    <w:topLinePunct/>
                    <w:spacing w:line="240" w:lineRule="auto"/>
                    <w:jc w:val="center"/>
                    <w:rPr>
                      <w:rFonts w:hint="eastAsia" w:ascii="Times New Roman" w:hAnsi="Times New Roman" w:eastAsia="宋体" w:cs="Times New Roman"/>
                      <w:color w:val="auto"/>
                      <w:kern w:val="0"/>
                      <w:sz w:val="21"/>
                      <w:szCs w:val="21"/>
                      <w:lang w:val="en-GB" w:eastAsia="zh-CN"/>
                    </w:rPr>
                  </w:pPr>
                  <w:r>
                    <w:rPr>
                      <w:rFonts w:hint="eastAsia" w:ascii="Times New Roman" w:hAnsi="Times New Roman" w:eastAsia="宋体" w:cs="Times New Roman"/>
                      <w:color w:val="auto"/>
                      <w:kern w:val="0"/>
                      <w:sz w:val="21"/>
                      <w:szCs w:val="21"/>
                      <w:lang w:val="en-GB" w:eastAsia="zh-CN"/>
                    </w:rPr>
                    <w:t>产生量（</w:t>
                  </w:r>
                  <w:r>
                    <w:rPr>
                      <w:rFonts w:hint="eastAsia" w:ascii="Times New Roman" w:hAnsi="Times New Roman" w:eastAsia="宋体" w:cs="Times New Roman"/>
                      <w:color w:val="auto"/>
                      <w:kern w:val="0"/>
                      <w:sz w:val="21"/>
                      <w:szCs w:val="21"/>
                      <w:lang w:val="en-US" w:eastAsia="zh-CN"/>
                    </w:rPr>
                    <w:t>t</w:t>
                  </w:r>
                  <w:r>
                    <w:rPr>
                      <w:rFonts w:hint="eastAsia" w:ascii="Times New Roman" w:hAnsi="Times New Roman" w:eastAsia="宋体" w:cs="Times New Roman"/>
                      <w:color w:val="auto"/>
                      <w:kern w:val="0"/>
                      <w:sz w:val="21"/>
                      <w:szCs w:val="21"/>
                      <w:lang w:val="en-GB" w:eastAsia="zh-CN"/>
                    </w:rPr>
                    <w:t>/</w:t>
                  </w:r>
                  <w:r>
                    <w:rPr>
                      <w:rFonts w:hint="eastAsia" w:ascii="Times New Roman" w:hAnsi="Times New Roman" w:eastAsia="宋体" w:cs="Times New Roman"/>
                      <w:color w:val="auto"/>
                      <w:kern w:val="0"/>
                      <w:sz w:val="21"/>
                      <w:szCs w:val="21"/>
                      <w:lang w:val="en-US" w:eastAsia="zh-CN"/>
                    </w:rPr>
                    <w:t>a</w:t>
                  </w:r>
                  <w:r>
                    <w:rPr>
                      <w:rFonts w:hint="eastAsia" w:ascii="Times New Roman" w:hAnsi="Times New Roman" w:eastAsia="宋体" w:cs="Times New Roman"/>
                      <w:color w:val="auto"/>
                      <w:kern w:val="0"/>
                      <w:sz w:val="21"/>
                      <w:szCs w:val="21"/>
                      <w:lang w:val="en-GB" w:eastAsia="zh-CN"/>
                    </w:rPr>
                    <w:t>）</w:t>
                  </w:r>
                </w:p>
              </w:tc>
              <w:tc>
                <w:tcPr>
                  <w:tcW w:w="530" w:type="pct"/>
                  <w:vAlign w:val="center"/>
                </w:tcPr>
                <w:p w14:paraId="34D4E4C9">
                  <w:pPr>
                    <w:topLinePunct/>
                    <w:spacing w:line="240" w:lineRule="auto"/>
                    <w:jc w:val="center"/>
                    <w:rPr>
                      <w:rFonts w:hint="eastAsia" w:ascii="Times New Roman" w:hAnsi="Times New Roman" w:eastAsia="宋体" w:cs="Times New Roman"/>
                      <w:color w:val="auto"/>
                      <w:kern w:val="0"/>
                      <w:sz w:val="21"/>
                      <w:szCs w:val="21"/>
                      <w:lang w:val="en-GB" w:eastAsia="zh-CN"/>
                    </w:rPr>
                  </w:pPr>
                  <w:r>
                    <w:rPr>
                      <w:rFonts w:hint="eastAsia" w:ascii="Times New Roman" w:hAnsi="Times New Roman" w:eastAsia="宋体" w:cs="Times New Roman"/>
                      <w:color w:val="auto"/>
                      <w:kern w:val="0"/>
                      <w:sz w:val="21"/>
                      <w:szCs w:val="21"/>
                      <w:lang w:val="en-GB" w:eastAsia="zh-CN"/>
                    </w:rPr>
                    <w:t>产生</w:t>
                  </w:r>
                </w:p>
                <w:p w14:paraId="6CBFFF4B">
                  <w:pPr>
                    <w:topLinePunct/>
                    <w:spacing w:line="240" w:lineRule="auto"/>
                    <w:jc w:val="center"/>
                    <w:rPr>
                      <w:rFonts w:hint="eastAsia" w:ascii="Times New Roman" w:hAnsi="Times New Roman" w:eastAsia="宋体" w:cs="Times New Roman"/>
                      <w:color w:val="auto"/>
                      <w:kern w:val="0"/>
                      <w:sz w:val="21"/>
                      <w:szCs w:val="21"/>
                      <w:lang w:val="en-GB" w:eastAsia="zh-CN"/>
                    </w:rPr>
                  </w:pPr>
                  <w:r>
                    <w:rPr>
                      <w:rFonts w:hint="eastAsia" w:ascii="Times New Roman" w:hAnsi="Times New Roman" w:eastAsia="宋体" w:cs="Times New Roman"/>
                      <w:color w:val="auto"/>
                      <w:kern w:val="0"/>
                      <w:sz w:val="21"/>
                      <w:szCs w:val="21"/>
                      <w:lang w:val="en-GB" w:eastAsia="zh-CN"/>
                    </w:rPr>
                    <w:t>工序及装置</w:t>
                  </w:r>
                </w:p>
              </w:tc>
              <w:tc>
                <w:tcPr>
                  <w:tcW w:w="251" w:type="pct"/>
                  <w:vAlign w:val="center"/>
                </w:tcPr>
                <w:p w14:paraId="63B9C701">
                  <w:pPr>
                    <w:topLinePunct/>
                    <w:spacing w:line="240" w:lineRule="auto"/>
                    <w:jc w:val="center"/>
                    <w:rPr>
                      <w:rFonts w:hint="eastAsia" w:ascii="Times New Roman" w:hAnsi="Times New Roman" w:eastAsia="宋体" w:cs="Times New Roman"/>
                      <w:color w:val="auto"/>
                      <w:kern w:val="0"/>
                      <w:sz w:val="21"/>
                      <w:szCs w:val="21"/>
                      <w:lang w:val="en-GB" w:eastAsia="zh-CN"/>
                    </w:rPr>
                  </w:pPr>
                  <w:r>
                    <w:rPr>
                      <w:rFonts w:hint="eastAsia" w:ascii="Times New Roman" w:hAnsi="Times New Roman" w:eastAsia="宋体" w:cs="Times New Roman"/>
                      <w:color w:val="auto"/>
                      <w:kern w:val="0"/>
                      <w:sz w:val="21"/>
                      <w:szCs w:val="21"/>
                      <w:lang w:val="en-GB" w:eastAsia="zh-CN"/>
                    </w:rPr>
                    <w:t>形态</w:t>
                  </w:r>
                </w:p>
              </w:tc>
              <w:tc>
                <w:tcPr>
                  <w:tcW w:w="378" w:type="pct"/>
                  <w:vAlign w:val="center"/>
                </w:tcPr>
                <w:p w14:paraId="02AE8C00">
                  <w:pPr>
                    <w:topLinePunct/>
                    <w:spacing w:line="240" w:lineRule="auto"/>
                    <w:jc w:val="center"/>
                    <w:rPr>
                      <w:rFonts w:hint="eastAsia" w:ascii="Times New Roman" w:hAnsi="Times New Roman" w:eastAsia="宋体" w:cs="Times New Roman"/>
                      <w:color w:val="auto"/>
                      <w:kern w:val="0"/>
                      <w:sz w:val="21"/>
                      <w:szCs w:val="21"/>
                      <w:lang w:val="en-GB" w:eastAsia="zh-CN"/>
                    </w:rPr>
                  </w:pPr>
                  <w:r>
                    <w:rPr>
                      <w:rFonts w:hint="eastAsia" w:ascii="Times New Roman" w:hAnsi="Times New Roman" w:eastAsia="宋体" w:cs="Times New Roman"/>
                      <w:color w:val="auto"/>
                      <w:kern w:val="0"/>
                      <w:sz w:val="21"/>
                      <w:szCs w:val="21"/>
                      <w:lang w:val="en-GB" w:eastAsia="zh-CN"/>
                    </w:rPr>
                    <w:t>有害成分</w:t>
                  </w:r>
                </w:p>
              </w:tc>
              <w:tc>
                <w:tcPr>
                  <w:tcW w:w="236" w:type="pct"/>
                  <w:vAlign w:val="center"/>
                </w:tcPr>
                <w:p w14:paraId="6453DA18">
                  <w:pPr>
                    <w:topLinePunct/>
                    <w:spacing w:line="240" w:lineRule="auto"/>
                    <w:jc w:val="center"/>
                    <w:rPr>
                      <w:rFonts w:hint="eastAsia" w:ascii="Times New Roman" w:hAnsi="Times New Roman" w:eastAsia="宋体" w:cs="Times New Roman"/>
                      <w:color w:val="auto"/>
                      <w:kern w:val="0"/>
                      <w:sz w:val="21"/>
                      <w:szCs w:val="21"/>
                      <w:lang w:val="en-GB" w:eastAsia="zh-CN"/>
                    </w:rPr>
                  </w:pPr>
                  <w:r>
                    <w:rPr>
                      <w:rFonts w:hint="eastAsia" w:ascii="Times New Roman" w:hAnsi="Times New Roman" w:eastAsia="宋体" w:cs="Times New Roman"/>
                      <w:color w:val="auto"/>
                      <w:kern w:val="0"/>
                      <w:sz w:val="21"/>
                      <w:szCs w:val="21"/>
                      <w:lang w:val="en-GB" w:eastAsia="zh-CN"/>
                    </w:rPr>
                    <w:t>产废周期</w:t>
                  </w:r>
                </w:p>
              </w:tc>
              <w:tc>
                <w:tcPr>
                  <w:tcW w:w="219" w:type="pct"/>
                  <w:vAlign w:val="center"/>
                </w:tcPr>
                <w:p w14:paraId="6DB7EA33">
                  <w:pPr>
                    <w:topLinePunct/>
                    <w:spacing w:line="240" w:lineRule="auto"/>
                    <w:jc w:val="center"/>
                    <w:rPr>
                      <w:rFonts w:hint="eastAsia" w:ascii="Times New Roman" w:hAnsi="Times New Roman" w:eastAsia="宋体" w:cs="Times New Roman"/>
                      <w:color w:val="auto"/>
                      <w:kern w:val="0"/>
                      <w:sz w:val="21"/>
                      <w:szCs w:val="21"/>
                      <w:lang w:val="en-GB" w:eastAsia="zh-CN"/>
                    </w:rPr>
                  </w:pPr>
                  <w:r>
                    <w:rPr>
                      <w:rFonts w:hint="eastAsia" w:ascii="Times New Roman" w:hAnsi="Times New Roman" w:eastAsia="宋体" w:cs="Times New Roman"/>
                      <w:color w:val="auto"/>
                      <w:kern w:val="0"/>
                      <w:sz w:val="21"/>
                      <w:szCs w:val="21"/>
                      <w:lang w:val="en-GB" w:eastAsia="zh-CN"/>
                    </w:rPr>
                    <w:t>危险</w:t>
                  </w:r>
                </w:p>
                <w:p w14:paraId="36EA8415">
                  <w:pPr>
                    <w:topLinePunct/>
                    <w:spacing w:line="240" w:lineRule="auto"/>
                    <w:jc w:val="center"/>
                    <w:rPr>
                      <w:rFonts w:hint="eastAsia" w:ascii="Times New Roman" w:hAnsi="Times New Roman" w:eastAsia="宋体" w:cs="Times New Roman"/>
                      <w:color w:val="auto"/>
                      <w:kern w:val="0"/>
                      <w:sz w:val="21"/>
                      <w:szCs w:val="21"/>
                      <w:lang w:val="en-GB" w:eastAsia="zh-CN"/>
                    </w:rPr>
                  </w:pPr>
                  <w:r>
                    <w:rPr>
                      <w:rFonts w:hint="eastAsia" w:ascii="Times New Roman" w:hAnsi="Times New Roman" w:eastAsia="宋体" w:cs="Times New Roman"/>
                      <w:color w:val="auto"/>
                      <w:kern w:val="0"/>
                      <w:sz w:val="21"/>
                      <w:szCs w:val="21"/>
                      <w:lang w:val="en-GB" w:eastAsia="zh-CN"/>
                    </w:rPr>
                    <w:t>特性</w:t>
                  </w:r>
                </w:p>
              </w:tc>
              <w:tc>
                <w:tcPr>
                  <w:tcW w:w="942" w:type="pct"/>
                  <w:vAlign w:val="center"/>
                </w:tcPr>
                <w:p w14:paraId="23BCCD4A">
                  <w:pPr>
                    <w:topLinePunct/>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GB" w:eastAsia="zh-CN"/>
                    </w:rPr>
                    <w:t>污染防治措施</w:t>
                  </w:r>
                </w:p>
              </w:tc>
            </w:tr>
            <w:tr w14:paraId="534A0E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2" w:type="pct"/>
                  <w:vAlign w:val="center"/>
                </w:tcPr>
                <w:p w14:paraId="3D17CB18">
                  <w:pPr>
                    <w:topLinePunct/>
                    <w:spacing w:line="240" w:lineRule="auto"/>
                    <w:jc w:val="center"/>
                    <w:rPr>
                      <w:rFonts w:hint="default" w:ascii="Times New Roman" w:hAnsi="Times New Roman" w:eastAsia="宋体" w:cs="Times New Roman"/>
                      <w:color w:val="auto"/>
                      <w:kern w:val="0"/>
                      <w:sz w:val="18"/>
                      <w:szCs w:val="18"/>
                      <w:lang w:val="en-US" w:eastAsia="zh-CN" w:bidi="ar-SA"/>
                    </w:rPr>
                  </w:pPr>
                  <w:r>
                    <w:rPr>
                      <w:rFonts w:hint="eastAsia"/>
                      <w:color w:val="auto"/>
                      <w:kern w:val="0"/>
                      <w:sz w:val="18"/>
                      <w:szCs w:val="18"/>
                      <w:lang w:val="en-US" w:eastAsia="zh-CN"/>
                    </w:rPr>
                    <w:t>1</w:t>
                  </w:r>
                </w:p>
              </w:tc>
              <w:tc>
                <w:tcPr>
                  <w:tcW w:w="416" w:type="pct"/>
                  <w:vAlign w:val="center"/>
                </w:tcPr>
                <w:p w14:paraId="2CDF7E7C">
                  <w:pPr>
                    <w:topLinePunct/>
                    <w:spacing w:line="240"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废机油</w:t>
                  </w:r>
                </w:p>
              </w:tc>
              <w:tc>
                <w:tcPr>
                  <w:tcW w:w="559" w:type="pct"/>
                  <w:vAlign w:val="center"/>
                </w:tcPr>
                <w:p w14:paraId="31702FCE">
                  <w:pPr>
                    <w:topLinePunct/>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HW08</w:t>
                  </w:r>
                </w:p>
                <w:p w14:paraId="260D31BB">
                  <w:pPr>
                    <w:topLinePunct/>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废矿物油与含矿物油废物</w:t>
                  </w:r>
                </w:p>
              </w:tc>
              <w:tc>
                <w:tcPr>
                  <w:tcW w:w="785" w:type="pct"/>
                  <w:vAlign w:val="center"/>
                </w:tcPr>
                <w:p w14:paraId="58E70BCC">
                  <w:pPr>
                    <w:topLinePunct/>
                    <w:spacing w:line="240" w:lineRule="auto"/>
                    <w:jc w:val="center"/>
                    <w:rPr>
                      <w:rFonts w:hint="eastAsia" w:ascii="Times New Roman" w:hAnsi="Times New Roman" w:eastAsia="宋体" w:cs="Times New Roman"/>
                      <w:color w:val="auto"/>
                      <w:kern w:val="0"/>
                      <w:sz w:val="21"/>
                      <w:szCs w:val="21"/>
                      <w:lang w:val="zh-CN" w:eastAsia="zh-CN"/>
                    </w:rPr>
                  </w:pPr>
                  <w:r>
                    <w:rPr>
                      <w:rFonts w:hint="eastAsia" w:ascii="Times New Roman" w:hAnsi="Times New Roman" w:eastAsia="宋体" w:cs="Times New Roman"/>
                      <w:color w:val="auto"/>
                      <w:kern w:val="0"/>
                      <w:sz w:val="21"/>
                      <w:szCs w:val="21"/>
                      <w:lang w:val="en-US" w:eastAsia="zh-CN"/>
                    </w:rPr>
                    <w:t>900-249-08</w:t>
                  </w:r>
                </w:p>
              </w:tc>
              <w:tc>
                <w:tcPr>
                  <w:tcW w:w="426" w:type="pct"/>
                  <w:vAlign w:val="center"/>
                </w:tcPr>
                <w:p w14:paraId="5C65D7E8">
                  <w:pPr>
                    <w:topLinePunct/>
                    <w:spacing w:line="240"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0.1</w:t>
                  </w:r>
                </w:p>
              </w:tc>
              <w:tc>
                <w:tcPr>
                  <w:tcW w:w="530" w:type="pct"/>
                  <w:vAlign w:val="center"/>
                </w:tcPr>
                <w:p w14:paraId="7301642E">
                  <w:pPr>
                    <w:topLinePunct/>
                    <w:spacing w:line="240"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车辆维修</w:t>
                  </w:r>
                </w:p>
              </w:tc>
              <w:tc>
                <w:tcPr>
                  <w:tcW w:w="251" w:type="pct"/>
                  <w:vAlign w:val="center"/>
                </w:tcPr>
                <w:p w14:paraId="557A4504">
                  <w:pPr>
                    <w:topLinePunct/>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液态</w:t>
                  </w:r>
                </w:p>
              </w:tc>
              <w:tc>
                <w:tcPr>
                  <w:tcW w:w="378" w:type="pct"/>
                  <w:vAlign w:val="center"/>
                </w:tcPr>
                <w:p w14:paraId="0DA6A995">
                  <w:pPr>
                    <w:topLinePunct/>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有机物</w:t>
                  </w:r>
                </w:p>
              </w:tc>
              <w:tc>
                <w:tcPr>
                  <w:tcW w:w="236" w:type="pct"/>
                  <w:vAlign w:val="center"/>
                </w:tcPr>
                <w:p w14:paraId="28C7B201">
                  <w:pPr>
                    <w:topLinePunct/>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w:t>
                  </w:r>
                </w:p>
              </w:tc>
              <w:tc>
                <w:tcPr>
                  <w:tcW w:w="219" w:type="pct"/>
                  <w:vAlign w:val="center"/>
                </w:tcPr>
                <w:p w14:paraId="463BA3AE">
                  <w:pPr>
                    <w:topLinePunct/>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T/In</w:t>
                  </w:r>
                </w:p>
              </w:tc>
              <w:tc>
                <w:tcPr>
                  <w:tcW w:w="942" w:type="pct"/>
                  <w:vAlign w:val="center"/>
                </w:tcPr>
                <w:p w14:paraId="3C93F5A8">
                  <w:pPr>
                    <w:topLinePunct/>
                    <w:spacing w:line="240" w:lineRule="auto"/>
                    <w:jc w:val="center"/>
                    <w:rPr>
                      <w:rFonts w:hint="eastAsia"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危废贮存点</w:t>
                  </w:r>
                  <w:r>
                    <w:rPr>
                      <w:rFonts w:hint="eastAsia" w:ascii="Times New Roman" w:hAnsi="Times New Roman" w:eastAsia="宋体" w:cs="Times New Roman"/>
                      <w:color w:val="auto"/>
                      <w:kern w:val="0"/>
                      <w:sz w:val="21"/>
                      <w:szCs w:val="21"/>
                      <w:lang w:val="en-US" w:eastAsia="zh-CN"/>
                    </w:rPr>
                    <w:t>分类暂存后，交有资质公司处理</w:t>
                  </w:r>
                </w:p>
              </w:tc>
            </w:tr>
            <w:tr w14:paraId="45F883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2" w:type="pct"/>
                  <w:vAlign w:val="center"/>
                </w:tcPr>
                <w:p w14:paraId="5C8A9996">
                  <w:pPr>
                    <w:topLinePunct/>
                    <w:spacing w:line="240" w:lineRule="auto"/>
                    <w:jc w:val="center"/>
                    <w:rPr>
                      <w:rFonts w:hint="default"/>
                      <w:color w:val="auto"/>
                      <w:kern w:val="0"/>
                      <w:sz w:val="18"/>
                      <w:szCs w:val="18"/>
                      <w:lang w:val="en-US" w:eastAsia="zh-CN"/>
                    </w:rPr>
                  </w:pPr>
                  <w:r>
                    <w:rPr>
                      <w:rFonts w:hint="eastAsia"/>
                      <w:color w:val="auto"/>
                      <w:kern w:val="0"/>
                      <w:sz w:val="18"/>
                      <w:szCs w:val="18"/>
                      <w:lang w:val="en-US" w:eastAsia="zh-CN"/>
                    </w:rPr>
                    <w:t>2</w:t>
                  </w:r>
                </w:p>
              </w:tc>
              <w:tc>
                <w:tcPr>
                  <w:tcW w:w="416" w:type="pct"/>
                  <w:vAlign w:val="center"/>
                </w:tcPr>
                <w:p w14:paraId="01559310">
                  <w:pPr>
                    <w:topLinePunct/>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highlight w:val="none"/>
                      <w:lang w:val="en-US" w:eastAsia="zh-CN"/>
                    </w:rPr>
                    <w:t>废含油手套、废含油抹布</w:t>
                  </w:r>
                </w:p>
              </w:tc>
              <w:tc>
                <w:tcPr>
                  <w:tcW w:w="559" w:type="pct"/>
                  <w:vAlign w:val="center"/>
                </w:tcPr>
                <w:p w14:paraId="23E32590">
                  <w:pPr>
                    <w:topLinePunct/>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HW49 其他废物</w:t>
                  </w:r>
                </w:p>
              </w:tc>
              <w:tc>
                <w:tcPr>
                  <w:tcW w:w="785" w:type="pct"/>
                  <w:vAlign w:val="center"/>
                </w:tcPr>
                <w:p w14:paraId="64DF7837">
                  <w:pPr>
                    <w:topLinePunct/>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900-041-49</w:t>
                  </w:r>
                </w:p>
              </w:tc>
              <w:tc>
                <w:tcPr>
                  <w:tcW w:w="426" w:type="pct"/>
                  <w:vAlign w:val="center"/>
                </w:tcPr>
                <w:p w14:paraId="72655E55">
                  <w:pPr>
                    <w:topLinePunct/>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0.</w:t>
                  </w:r>
                  <w:r>
                    <w:rPr>
                      <w:rFonts w:hint="eastAsia" w:cs="Times New Roman"/>
                      <w:color w:val="auto"/>
                      <w:kern w:val="0"/>
                      <w:sz w:val="21"/>
                      <w:szCs w:val="21"/>
                      <w:lang w:val="en-US" w:eastAsia="zh-CN"/>
                    </w:rPr>
                    <w:t>0</w:t>
                  </w:r>
                  <w:r>
                    <w:rPr>
                      <w:rFonts w:hint="eastAsia" w:ascii="Times New Roman" w:hAnsi="Times New Roman" w:eastAsia="宋体" w:cs="Times New Roman"/>
                      <w:color w:val="auto"/>
                      <w:kern w:val="0"/>
                      <w:sz w:val="21"/>
                      <w:szCs w:val="21"/>
                      <w:lang w:val="en-US" w:eastAsia="zh-CN"/>
                    </w:rPr>
                    <w:t>1</w:t>
                  </w:r>
                </w:p>
              </w:tc>
              <w:tc>
                <w:tcPr>
                  <w:tcW w:w="530" w:type="pct"/>
                  <w:vAlign w:val="center"/>
                </w:tcPr>
                <w:p w14:paraId="4EA11A09">
                  <w:pPr>
                    <w:topLinePunct/>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车辆维修</w:t>
                  </w:r>
                </w:p>
              </w:tc>
              <w:tc>
                <w:tcPr>
                  <w:tcW w:w="251" w:type="pct"/>
                  <w:vAlign w:val="center"/>
                </w:tcPr>
                <w:p w14:paraId="47ECC08C">
                  <w:pPr>
                    <w:topLinePunct/>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固态</w:t>
                  </w:r>
                </w:p>
              </w:tc>
              <w:tc>
                <w:tcPr>
                  <w:tcW w:w="378" w:type="pct"/>
                  <w:vAlign w:val="center"/>
                </w:tcPr>
                <w:p w14:paraId="55DB666C">
                  <w:pPr>
                    <w:topLinePunct/>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有机物</w:t>
                  </w:r>
                </w:p>
              </w:tc>
              <w:tc>
                <w:tcPr>
                  <w:tcW w:w="236" w:type="pct"/>
                  <w:vAlign w:val="center"/>
                </w:tcPr>
                <w:p w14:paraId="08A4C77D">
                  <w:pPr>
                    <w:topLinePunct/>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w:t>
                  </w:r>
                </w:p>
              </w:tc>
              <w:tc>
                <w:tcPr>
                  <w:tcW w:w="219" w:type="pct"/>
                  <w:vAlign w:val="center"/>
                </w:tcPr>
                <w:p w14:paraId="037A4E83">
                  <w:pPr>
                    <w:topLinePunct/>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T/In</w:t>
                  </w:r>
                </w:p>
              </w:tc>
              <w:tc>
                <w:tcPr>
                  <w:tcW w:w="942" w:type="pct"/>
                  <w:vAlign w:val="center"/>
                </w:tcPr>
                <w:p w14:paraId="7DE760B8">
                  <w:pPr>
                    <w:topLinePunct/>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危废贮存点</w:t>
                  </w:r>
                  <w:r>
                    <w:rPr>
                      <w:rFonts w:hint="eastAsia" w:ascii="Times New Roman" w:hAnsi="Times New Roman" w:eastAsia="宋体" w:cs="Times New Roman"/>
                      <w:color w:val="auto"/>
                      <w:kern w:val="0"/>
                      <w:sz w:val="21"/>
                      <w:szCs w:val="21"/>
                      <w:lang w:val="en-US" w:eastAsia="zh-CN"/>
                    </w:rPr>
                    <w:t>分类暂存后，交有资质公司处理</w:t>
                  </w:r>
                </w:p>
              </w:tc>
            </w:tr>
          </w:tbl>
          <w:p w14:paraId="6881C5CA">
            <w:pPr>
              <w:pStyle w:val="59"/>
              <w:rPr>
                <w:rFonts w:ascii="Times New Roman" w:hAnsi="Times New Roman" w:eastAsia="宋体" w:cs="Times New Roman"/>
                <w:color w:val="auto"/>
              </w:rPr>
            </w:pPr>
            <w:r>
              <w:rPr>
                <w:rFonts w:hint="eastAsia" w:ascii="Times New Roman" w:hAnsi="Times New Roman" w:eastAsia="宋体" w:cs="Times New Roman"/>
                <w:color w:val="auto"/>
              </w:rPr>
              <w:t>2、</w:t>
            </w:r>
            <w:r>
              <w:rPr>
                <w:rFonts w:hint="eastAsia" w:cs="Times New Roman"/>
                <w:color w:val="auto"/>
                <w:lang w:eastAsia="zh-CN"/>
              </w:rPr>
              <w:t>危废贮存点</w:t>
            </w:r>
            <w:r>
              <w:rPr>
                <w:rFonts w:hint="eastAsia" w:ascii="Times New Roman" w:hAnsi="Times New Roman" w:eastAsia="宋体" w:cs="Times New Roman"/>
                <w:color w:val="auto"/>
              </w:rPr>
              <w:t>应</w:t>
            </w:r>
            <w:r>
              <w:rPr>
                <w:rFonts w:ascii="Times New Roman" w:hAnsi="Times New Roman" w:eastAsia="宋体" w:cs="Times New Roman"/>
                <w:color w:val="auto"/>
              </w:rPr>
              <w:t>采取以下污染防治措施</w:t>
            </w:r>
            <w:r>
              <w:rPr>
                <w:rFonts w:hint="eastAsia" w:ascii="Times New Roman" w:hAnsi="Times New Roman" w:eastAsia="宋体" w:cs="Times New Roman"/>
                <w:color w:val="auto"/>
              </w:rPr>
              <w:t>：</w:t>
            </w:r>
          </w:p>
          <w:p w14:paraId="6152D14E">
            <w:pPr>
              <w:pStyle w:val="59"/>
              <w:keepNext w:val="0"/>
              <w:keepLines w:val="0"/>
              <w:pageBreakBefore w:val="0"/>
              <w:widowControl/>
              <w:kinsoku/>
              <w:wordWrap w:val="0"/>
              <w:overflowPunct/>
              <w:topLinePunct w:val="0"/>
              <w:autoSpaceDE/>
              <w:autoSpaceDN/>
              <w:bidi w:val="0"/>
              <w:adjustRightInd w:val="0"/>
              <w:snapToGrid w:val="0"/>
              <w:textAlignment w:val="auto"/>
              <w:rPr>
                <w:rFonts w:ascii="Times New Roman" w:hAnsi="Times New Roman" w:eastAsia="宋体" w:cs="Times New Roman"/>
                <w:color w:val="auto"/>
              </w:rPr>
            </w:pPr>
            <w:r>
              <w:rPr>
                <w:rFonts w:hint="eastAsia" w:ascii="Times New Roman" w:hAnsi="Times New Roman" w:eastAsia="宋体" w:cs="Times New Roman"/>
                <w:color w:val="auto"/>
              </w:rPr>
              <w:t>（1）</w:t>
            </w:r>
            <w:r>
              <w:rPr>
                <w:rFonts w:hint="eastAsia" w:cs="Times New Roman"/>
                <w:color w:val="auto"/>
                <w:lang w:eastAsia="zh-CN"/>
              </w:rPr>
              <w:t>危废贮存点</w:t>
            </w:r>
            <w:r>
              <w:rPr>
                <w:rFonts w:ascii="Times New Roman" w:hAnsi="Times New Roman" w:eastAsia="宋体" w:cs="Times New Roman"/>
                <w:color w:val="auto"/>
              </w:rPr>
              <w:t>严格按照</w:t>
            </w:r>
            <w:r>
              <w:rPr>
                <w:rFonts w:hint="eastAsia" w:ascii="Times New Roman" w:hAnsi="Times New Roman" w:eastAsia="宋体" w:cs="Times New Roman"/>
                <w:color w:val="auto"/>
              </w:rPr>
              <w:t>《危险废物贮存污染控制标准》（GB18597-2023）</w:t>
            </w:r>
            <w:r>
              <w:rPr>
                <w:rFonts w:ascii="Times New Roman" w:hAnsi="Times New Roman" w:eastAsia="宋体" w:cs="Times New Roman"/>
                <w:color w:val="auto"/>
              </w:rPr>
              <w:t>的要求进行建设，采用</w:t>
            </w:r>
            <w:r>
              <w:rPr>
                <w:rFonts w:hint="eastAsia" w:cs="Times New Roman"/>
                <w:color w:val="auto"/>
                <w:lang w:val="en-US" w:eastAsia="zh-CN"/>
              </w:rPr>
              <w:t>重点</w:t>
            </w:r>
            <w:r>
              <w:rPr>
                <w:rFonts w:ascii="Times New Roman" w:hAnsi="Times New Roman" w:eastAsia="宋体" w:cs="Times New Roman"/>
                <w:color w:val="auto"/>
              </w:rPr>
              <w:t>防渗，地面与裙脚采用坚固防渗的材料建造，防风、防晒、防雨；基础</w:t>
            </w:r>
            <w:r>
              <w:rPr>
                <w:rFonts w:hint="eastAsia" w:ascii="Times New Roman" w:hAnsi="Times New Roman" w:eastAsia="宋体" w:cs="Times New Roman"/>
                <w:color w:val="auto"/>
              </w:rPr>
              <w:t>敷设</w:t>
            </w:r>
            <w:r>
              <w:rPr>
                <w:rFonts w:ascii="Times New Roman" w:hAnsi="Times New Roman" w:eastAsia="宋体" w:cs="Times New Roman"/>
                <w:color w:val="auto"/>
              </w:rPr>
              <w:t>至少2mm厚的高密度聚乙烯防水层，上部敷设10cm厚水泥层，渗透系数应≤1×10</w:t>
            </w:r>
            <w:r>
              <w:rPr>
                <w:rFonts w:ascii="Times New Roman" w:hAnsi="Times New Roman" w:eastAsia="宋体" w:cs="Times New Roman"/>
                <w:color w:val="auto"/>
                <w:vertAlign w:val="superscript"/>
              </w:rPr>
              <w:t>-10</w:t>
            </w:r>
            <w:r>
              <w:rPr>
                <w:rFonts w:ascii="Times New Roman" w:hAnsi="Times New Roman" w:eastAsia="宋体" w:cs="Times New Roman"/>
                <w:color w:val="auto"/>
              </w:rPr>
              <w:t>cm/s，防渗等级需满足《危险废物贮存污染控制标准》（GB18597-2023）的要求。</w:t>
            </w:r>
          </w:p>
          <w:p w14:paraId="534F1064">
            <w:pPr>
              <w:pStyle w:val="59"/>
              <w:keepNext w:val="0"/>
              <w:keepLines w:val="0"/>
              <w:pageBreakBefore w:val="0"/>
              <w:widowControl w:val="0"/>
              <w:kinsoku/>
              <w:wordWrap w:val="0"/>
              <w:overflowPunct/>
              <w:topLinePunct w:val="0"/>
              <w:autoSpaceDE/>
              <w:autoSpaceDN/>
              <w:bidi w:val="0"/>
              <w:adjustRightInd/>
              <w:snapToGrid/>
              <w:textAlignment w:val="auto"/>
              <w:rPr>
                <w:rFonts w:ascii="Times New Roman" w:hAnsi="Times New Roman" w:eastAsia="宋体" w:cs="Times New Roman"/>
                <w:color w:val="auto"/>
              </w:rPr>
            </w:pPr>
            <w:r>
              <w:rPr>
                <w:rFonts w:hint="eastAsia" w:ascii="Times New Roman" w:hAnsi="Times New Roman" w:eastAsia="宋体" w:cs="Times New Roman"/>
                <w:color w:val="auto"/>
              </w:rPr>
              <w:t>（2）本项目</w:t>
            </w:r>
            <w:r>
              <w:rPr>
                <w:rFonts w:hint="eastAsia" w:ascii="Times New Roman" w:hAnsi="Times New Roman" w:eastAsia="宋体" w:cs="Times New Roman"/>
                <w:color w:val="auto"/>
                <w:lang w:val="en-US" w:eastAsia="zh-CN"/>
              </w:rPr>
              <w:t>废机油</w:t>
            </w:r>
            <w:r>
              <w:rPr>
                <w:rFonts w:hint="eastAsia" w:cs="Times New Roman"/>
                <w:color w:val="auto"/>
                <w:lang w:val="en-US" w:eastAsia="zh-CN"/>
              </w:rPr>
              <w:t>、</w:t>
            </w:r>
            <w:r>
              <w:rPr>
                <w:rFonts w:hint="eastAsia" w:ascii="Times New Roman" w:hAnsi="Times New Roman" w:eastAsia="宋体" w:cs="Times New Roman"/>
                <w:color w:val="auto"/>
                <w:highlight w:val="none"/>
                <w:lang w:val="en-US" w:eastAsia="zh-CN"/>
              </w:rPr>
              <w:t>废含油手套、废含油抹布</w:t>
            </w:r>
            <w:r>
              <w:rPr>
                <w:rFonts w:ascii="Times New Roman" w:hAnsi="Times New Roman" w:eastAsia="宋体" w:cs="Times New Roman"/>
                <w:color w:val="auto"/>
              </w:rPr>
              <w:t>应严格按照</w:t>
            </w:r>
            <w:r>
              <w:rPr>
                <w:rFonts w:hint="eastAsia" w:ascii="Times New Roman" w:hAnsi="Times New Roman" w:eastAsia="宋体" w:cs="Times New Roman"/>
                <w:color w:val="auto"/>
              </w:rPr>
              <w:t>《危险废物贮存污染控制标准》（GB18597-2023）</w:t>
            </w:r>
            <w:r>
              <w:rPr>
                <w:rFonts w:ascii="Times New Roman" w:hAnsi="Times New Roman" w:eastAsia="宋体" w:cs="Times New Roman"/>
                <w:color w:val="auto"/>
              </w:rPr>
              <w:t>要求执行。对各种</w:t>
            </w:r>
            <w:r>
              <w:rPr>
                <w:rFonts w:hint="eastAsia" w:ascii="Times New Roman" w:hAnsi="Times New Roman" w:eastAsia="宋体" w:cs="Times New Roman"/>
                <w:color w:val="auto"/>
              </w:rPr>
              <w:t>危险废物</w:t>
            </w:r>
            <w:r>
              <w:rPr>
                <w:rFonts w:ascii="Times New Roman" w:hAnsi="Times New Roman" w:eastAsia="宋体" w:cs="Times New Roman"/>
                <w:color w:val="auto"/>
              </w:rPr>
              <w:t>进行标识，避免混合、混放。</w:t>
            </w:r>
          </w:p>
          <w:p w14:paraId="2E9047BC">
            <w:pPr>
              <w:pStyle w:val="59"/>
              <w:rPr>
                <w:rFonts w:ascii="Times New Roman" w:hAnsi="Times New Roman" w:eastAsia="宋体" w:cs="Times New Roman"/>
                <w:color w:val="auto"/>
              </w:rPr>
            </w:pPr>
            <w:r>
              <w:rPr>
                <w:rFonts w:hint="eastAsia" w:ascii="Times New Roman" w:hAnsi="Times New Roman" w:eastAsia="宋体" w:cs="Times New Roman"/>
                <w:color w:val="auto"/>
              </w:rPr>
              <w:t>（3）</w:t>
            </w:r>
            <w:r>
              <w:rPr>
                <w:rFonts w:ascii="Times New Roman" w:hAnsi="Times New Roman" w:eastAsia="宋体" w:cs="Times New Roman"/>
                <w:color w:val="auto"/>
              </w:rPr>
              <w:t>本项目生产过程中产生的</w:t>
            </w:r>
            <w:r>
              <w:rPr>
                <w:rFonts w:hint="eastAsia" w:ascii="Times New Roman" w:hAnsi="Times New Roman" w:eastAsia="宋体" w:cs="Times New Roman"/>
                <w:color w:val="auto"/>
                <w:lang w:val="en-US" w:eastAsia="zh-CN"/>
              </w:rPr>
              <w:t>废机油</w:t>
            </w:r>
            <w:r>
              <w:rPr>
                <w:rFonts w:hint="eastAsia" w:cs="Times New Roman"/>
                <w:color w:val="auto"/>
                <w:lang w:val="en-US" w:eastAsia="zh-CN"/>
              </w:rPr>
              <w:t>、</w:t>
            </w:r>
            <w:r>
              <w:rPr>
                <w:rFonts w:hint="eastAsia" w:ascii="Times New Roman" w:hAnsi="Times New Roman" w:eastAsia="宋体" w:cs="Times New Roman"/>
                <w:color w:val="auto"/>
                <w:highlight w:val="none"/>
                <w:lang w:val="en-US" w:eastAsia="zh-CN"/>
              </w:rPr>
              <w:t>废含油手套、废含油抹布</w:t>
            </w:r>
            <w:r>
              <w:rPr>
                <w:rFonts w:ascii="Times New Roman" w:hAnsi="Times New Roman" w:eastAsia="宋体" w:cs="Times New Roman"/>
                <w:color w:val="auto"/>
              </w:rPr>
              <w:t>属于危险废物，应按危险废物的有关规定进行管理处置，其暂存和处理按照国家相关要求进行，交给有资质的</w:t>
            </w:r>
            <w:r>
              <w:rPr>
                <w:rFonts w:hint="eastAsia" w:ascii="Times New Roman" w:hAnsi="Times New Roman" w:eastAsia="宋体" w:cs="Times New Roman"/>
                <w:color w:val="auto"/>
                <w:lang w:val="en-US" w:eastAsia="zh-CN"/>
              </w:rPr>
              <w:t>危险废物</w:t>
            </w:r>
            <w:r>
              <w:rPr>
                <w:rFonts w:ascii="Times New Roman" w:hAnsi="Times New Roman" w:eastAsia="宋体" w:cs="Times New Roman"/>
                <w:color w:val="auto"/>
              </w:rPr>
              <w:t>回收处理企业。日常管理应专人专管，严格进行日常安全防护管理和监</w:t>
            </w:r>
            <w:r>
              <w:rPr>
                <w:rFonts w:hint="eastAsia" w:ascii="Times New Roman" w:hAnsi="Times New Roman" w:eastAsia="宋体" w:cs="Times New Roman"/>
                <w:color w:val="auto"/>
              </w:rPr>
              <w:t>测。</w:t>
            </w:r>
          </w:p>
          <w:p w14:paraId="7DC241E7">
            <w:pPr>
              <w:pStyle w:val="59"/>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对</w:t>
            </w:r>
            <w:r>
              <w:rPr>
                <w:rFonts w:hint="eastAsia" w:ascii="Times New Roman" w:hAnsi="Times New Roman" w:eastAsia="宋体" w:cs="Times New Roman"/>
                <w:color w:val="auto"/>
              </w:rPr>
              <w:t>危险废物</w:t>
            </w:r>
            <w:r>
              <w:rPr>
                <w:rFonts w:ascii="Times New Roman" w:hAnsi="Times New Roman" w:eastAsia="宋体" w:cs="Times New Roman"/>
                <w:color w:val="auto"/>
              </w:rPr>
              <w:t>进行分类存储和标识，对危险废物暂存区设立明显的警示标志，</w:t>
            </w:r>
            <w:r>
              <w:rPr>
                <w:rFonts w:hint="eastAsia" w:ascii="Times New Roman" w:hAnsi="Times New Roman" w:eastAsia="宋体" w:cs="Times New Roman"/>
                <w:color w:val="auto"/>
              </w:rPr>
              <w:t>生产</w:t>
            </w:r>
            <w:r>
              <w:rPr>
                <w:rFonts w:ascii="Times New Roman" w:hAnsi="Times New Roman" w:eastAsia="宋体" w:cs="Times New Roman"/>
                <w:color w:val="auto"/>
              </w:rPr>
              <w:t>过程产生的危险废物应按照类别分别放置在专门的收集容器和暂存设施内。</w:t>
            </w:r>
          </w:p>
          <w:p w14:paraId="646B266C">
            <w:pPr>
              <w:pStyle w:val="59"/>
              <w:rPr>
                <w:rFonts w:ascii="Times New Roman" w:hAnsi="Times New Roman" w:eastAsia="宋体" w:cs="Times New Roman"/>
                <w:color w:val="auto"/>
              </w:rPr>
            </w:pPr>
            <w:r>
              <w:rPr>
                <w:rFonts w:ascii="Times New Roman" w:hAnsi="Times New Roman" w:eastAsia="宋体" w:cs="Times New Roman"/>
                <w:color w:val="auto"/>
              </w:rPr>
              <w:t>贮存设施按照</w:t>
            </w:r>
            <w:r>
              <w:rPr>
                <w:rFonts w:hint="eastAsia" w:ascii="Times New Roman" w:hAnsi="Times New Roman" w:eastAsia="宋体" w:cs="Times New Roman"/>
                <w:color w:val="auto"/>
              </w:rPr>
              <w:t>《危险废物贮存污染控制标准》（GB18597-2023）要求</w:t>
            </w:r>
            <w:r>
              <w:rPr>
                <w:rFonts w:ascii="Times New Roman" w:hAnsi="Times New Roman" w:eastAsia="宋体" w:cs="Times New Roman"/>
                <w:color w:val="auto"/>
              </w:rPr>
              <w:t>设置明显的警示标志，标明具体物质名称。</w:t>
            </w:r>
            <w:r>
              <w:rPr>
                <w:rFonts w:hint="eastAsia" w:ascii="Times New Roman" w:hAnsi="Times New Roman" w:eastAsia="宋体" w:cs="Times New Roman"/>
                <w:color w:val="auto"/>
              </w:rPr>
              <w:t>生产过程</w:t>
            </w:r>
            <w:r>
              <w:rPr>
                <w:rFonts w:ascii="Times New Roman" w:hAnsi="Times New Roman" w:eastAsia="宋体" w:cs="Times New Roman"/>
                <w:color w:val="auto"/>
              </w:rPr>
              <w:t>产生的各种危险废物在厂区内的暂存时间不得超过1年，并制定危险废物贮存的台账制度。</w:t>
            </w:r>
          </w:p>
          <w:p w14:paraId="400E382E">
            <w:pPr>
              <w:pStyle w:val="59"/>
              <w:rPr>
                <w:rFonts w:ascii="Times New Roman" w:hAnsi="Times New Roman" w:eastAsia="宋体" w:cs="Times New Roman"/>
                <w:color w:val="auto"/>
              </w:rPr>
            </w:pPr>
            <w:r>
              <w:rPr>
                <w:rFonts w:hint="eastAsia" w:ascii="Times New Roman" w:hAnsi="Times New Roman" w:eastAsia="宋体" w:cs="Times New Roman"/>
                <w:color w:val="auto"/>
              </w:rPr>
              <w:t>（5）</w:t>
            </w:r>
            <w:r>
              <w:rPr>
                <w:rFonts w:ascii="Times New Roman" w:hAnsi="Times New Roman" w:eastAsia="宋体" w:cs="Times New Roman"/>
                <w:color w:val="auto"/>
              </w:rPr>
              <w:t>定期进行日常性检查。本项目</w:t>
            </w:r>
            <w:r>
              <w:rPr>
                <w:rFonts w:hint="eastAsia" w:cs="Times New Roman"/>
                <w:color w:val="auto"/>
                <w:lang w:eastAsia="zh-CN"/>
              </w:rPr>
              <w:t>危废贮存点</w:t>
            </w:r>
            <w:r>
              <w:rPr>
                <w:rFonts w:ascii="Times New Roman" w:hAnsi="Times New Roman" w:eastAsia="宋体" w:cs="Times New Roman"/>
                <w:color w:val="auto"/>
              </w:rPr>
              <w:t>采用</w:t>
            </w:r>
            <w:r>
              <w:rPr>
                <w:rFonts w:hint="eastAsia" w:cs="Times New Roman"/>
                <w:color w:val="auto"/>
                <w:lang w:val="en-US" w:eastAsia="zh-CN"/>
              </w:rPr>
              <w:t>重点</w:t>
            </w:r>
            <w:r>
              <w:rPr>
                <w:rFonts w:ascii="Times New Roman" w:hAnsi="Times New Roman" w:eastAsia="宋体" w:cs="Times New Roman"/>
                <w:color w:val="auto"/>
              </w:rPr>
              <w:t>防渗，地面与裙脚采用坚固防渗的材料建造，防风、防晒、防雨；基础</w:t>
            </w:r>
            <w:r>
              <w:rPr>
                <w:rFonts w:hint="eastAsia" w:ascii="Times New Roman" w:hAnsi="Times New Roman" w:eastAsia="宋体" w:cs="Times New Roman"/>
                <w:color w:val="auto"/>
              </w:rPr>
              <w:t>敷设</w:t>
            </w:r>
            <w:r>
              <w:rPr>
                <w:rFonts w:ascii="Times New Roman" w:hAnsi="Times New Roman" w:eastAsia="宋体" w:cs="Times New Roman"/>
                <w:color w:val="auto"/>
              </w:rPr>
              <w:t>至少2mm厚的高密度聚乙烯防水层，上部敷设10cm厚水泥层，渗透系数应≤1×10</w:t>
            </w:r>
            <w:r>
              <w:rPr>
                <w:rFonts w:ascii="Times New Roman" w:hAnsi="Times New Roman" w:eastAsia="宋体" w:cs="Times New Roman"/>
                <w:color w:val="auto"/>
                <w:vertAlign w:val="superscript"/>
              </w:rPr>
              <w:t>-10</w:t>
            </w:r>
            <w:r>
              <w:rPr>
                <w:rFonts w:ascii="Times New Roman" w:hAnsi="Times New Roman" w:eastAsia="宋体" w:cs="Times New Roman"/>
                <w:color w:val="auto"/>
              </w:rPr>
              <w:t>cm/s，并张贴醒目的标识，并张贴醒目的标识。本项目</w:t>
            </w:r>
            <w:r>
              <w:rPr>
                <w:rFonts w:hint="eastAsia" w:cs="Times New Roman"/>
                <w:color w:val="auto"/>
                <w:lang w:eastAsia="zh-CN"/>
              </w:rPr>
              <w:t>危废贮存点</w:t>
            </w:r>
            <w:r>
              <w:rPr>
                <w:rFonts w:ascii="Times New Roman" w:hAnsi="Times New Roman" w:eastAsia="宋体" w:cs="Times New Roman"/>
                <w:color w:val="auto"/>
              </w:rPr>
              <w:t>总面积为</w:t>
            </w:r>
            <w:r>
              <w:rPr>
                <w:rFonts w:hint="eastAsia" w:cs="Times New Roman"/>
                <w:color w:val="auto"/>
                <w:lang w:val="en-US" w:eastAsia="zh-CN"/>
              </w:rPr>
              <w:t>10</w:t>
            </w:r>
            <w:r>
              <w:rPr>
                <w:rFonts w:hint="eastAsia" w:ascii="Times New Roman" w:hAnsi="Times New Roman" w:eastAsia="宋体" w:cs="Times New Roman"/>
                <w:color w:val="auto"/>
              </w:rPr>
              <w:t>m</w:t>
            </w:r>
            <w:r>
              <w:rPr>
                <w:rFonts w:ascii="Times New Roman" w:hAnsi="Times New Roman" w:eastAsia="宋体" w:cs="Times New Roman"/>
                <w:color w:val="auto"/>
                <w:vertAlign w:val="superscript"/>
              </w:rPr>
              <w:t>2</w:t>
            </w:r>
            <w:r>
              <w:rPr>
                <w:rFonts w:ascii="Times New Roman" w:hAnsi="Times New Roman" w:eastAsia="宋体" w:cs="Times New Roman"/>
                <w:color w:val="auto"/>
              </w:rPr>
              <w:t>，面积能够满足本项目需求。企业在运行过程中应定期对</w:t>
            </w:r>
            <w:r>
              <w:rPr>
                <w:rFonts w:hint="eastAsia" w:cs="Times New Roman"/>
                <w:color w:val="auto"/>
                <w:lang w:eastAsia="zh-CN"/>
              </w:rPr>
              <w:t>危废贮存点</w:t>
            </w:r>
            <w:r>
              <w:rPr>
                <w:rFonts w:ascii="Times New Roman" w:hAnsi="Times New Roman" w:eastAsia="宋体" w:cs="Times New Roman"/>
                <w:color w:val="auto"/>
              </w:rPr>
              <w:t>地面进行检查，一旦发现异常，应立即采取修补措施。</w:t>
            </w:r>
          </w:p>
          <w:p w14:paraId="731D3DE5">
            <w:pPr>
              <w:pStyle w:val="59"/>
              <w:rPr>
                <w:rFonts w:ascii="Times New Roman" w:hAnsi="Times New Roman" w:eastAsia="宋体" w:cs="Times New Roman"/>
                <w:color w:val="auto"/>
              </w:rPr>
            </w:pPr>
            <w:r>
              <w:rPr>
                <w:rFonts w:hint="eastAsia" w:ascii="Times New Roman" w:hAnsi="Times New Roman" w:eastAsia="宋体" w:cs="Times New Roman"/>
                <w:color w:val="auto"/>
              </w:rPr>
              <w:t>（6）</w:t>
            </w:r>
            <w:r>
              <w:rPr>
                <w:rFonts w:ascii="Times New Roman" w:hAnsi="Times New Roman" w:eastAsia="宋体" w:cs="Times New Roman"/>
                <w:color w:val="auto"/>
              </w:rPr>
              <w:t>危险废物在转运过程中如遇恶劣天气、驾驶人员操作不当或运输车辆行驶部件、装卸系统、安全附件、储运容器的安全性能不好均会造成危险废物的泄露，对沿线居民和环境质量造成影响。</w:t>
            </w:r>
          </w:p>
          <w:p w14:paraId="27EF4F4E">
            <w:pPr>
              <w:pStyle w:val="59"/>
              <w:rPr>
                <w:rFonts w:ascii="Times New Roman" w:hAnsi="Times New Roman" w:eastAsia="宋体" w:cs="Times New Roman"/>
                <w:color w:val="auto"/>
              </w:rPr>
            </w:pPr>
            <w:r>
              <w:rPr>
                <w:rFonts w:ascii="Times New Roman" w:hAnsi="Times New Roman" w:eastAsia="宋体" w:cs="Times New Roman"/>
                <w:color w:val="auto"/>
              </w:rPr>
              <w:t>通过采取上述措施，可满足</w:t>
            </w:r>
            <w:r>
              <w:rPr>
                <w:rFonts w:hint="eastAsia" w:ascii="Times New Roman" w:hAnsi="Times New Roman" w:eastAsia="宋体" w:cs="Times New Roman"/>
                <w:color w:val="auto"/>
              </w:rPr>
              <w:t>《危险废物贮存污染控制标准》（GB18597-2023）</w:t>
            </w:r>
            <w:r>
              <w:rPr>
                <w:rFonts w:ascii="Times New Roman" w:hAnsi="Times New Roman" w:eastAsia="宋体" w:cs="Times New Roman"/>
                <w:color w:val="auto"/>
              </w:rPr>
              <w:t>相关要求，危险废物暂存具备可行性，建设项目危险废物贮存设施基本情况见下表。</w:t>
            </w:r>
          </w:p>
          <w:p w14:paraId="42A4F580">
            <w:pPr>
              <w:pStyle w:val="59"/>
              <w:spacing w:line="240" w:lineRule="auto"/>
              <w:ind w:firstLine="422"/>
              <w:jc w:val="center"/>
              <w:rPr>
                <w:rFonts w:ascii="Times New Roman" w:hAnsi="Times New Roman" w:eastAsia="宋体" w:cs="Times New Roman"/>
                <w:b/>
                <w:bCs/>
                <w:color w:val="auto"/>
                <w:sz w:val="21"/>
                <w:szCs w:val="16"/>
              </w:rPr>
            </w:pPr>
            <w:r>
              <w:rPr>
                <w:rFonts w:hint="eastAsia" w:ascii="Times New Roman" w:hAnsi="Times New Roman" w:eastAsia="宋体" w:cs="Times New Roman"/>
                <w:b/>
                <w:bCs/>
                <w:color w:val="auto"/>
                <w:sz w:val="21"/>
                <w:szCs w:val="16"/>
              </w:rPr>
              <w:t>表4-1</w:t>
            </w:r>
            <w:r>
              <w:rPr>
                <w:rFonts w:hint="eastAsia" w:cs="Times New Roman"/>
                <w:b/>
                <w:bCs/>
                <w:color w:val="auto"/>
                <w:sz w:val="21"/>
                <w:szCs w:val="16"/>
                <w:lang w:val="en-US" w:eastAsia="zh-CN"/>
              </w:rPr>
              <w:t>2</w:t>
            </w:r>
            <w:r>
              <w:rPr>
                <w:rFonts w:hint="eastAsia" w:ascii="Times New Roman" w:hAnsi="Times New Roman" w:eastAsia="宋体" w:cs="Times New Roman"/>
                <w:b/>
                <w:bCs/>
                <w:color w:val="auto"/>
                <w:sz w:val="21"/>
                <w:szCs w:val="16"/>
              </w:rPr>
              <w:t xml:space="preserve">  危险废物贮存信息基本情况表</w:t>
            </w:r>
          </w:p>
          <w:tbl>
            <w:tblPr>
              <w:tblStyle w:val="39"/>
              <w:tblW w:w="8192"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7"/>
              <w:gridCol w:w="1161"/>
              <w:gridCol w:w="952"/>
              <w:gridCol w:w="1700"/>
              <w:gridCol w:w="962"/>
              <w:gridCol w:w="536"/>
              <w:gridCol w:w="495"/>
              <w:gridCol w:w="566"/>
              <w:gridCol w:w="728"/>
              <w:gridCol w:w="615"/>
            </w:tblGrid>
            <w:tr w14:paraId="2BB505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tl2br w:val="nil"/>
                    <w:tr2bl w:val="nil"/>
                  </w:tcBorders>
                  <w:vAlign w:val="center"/>
                </w:tcPr>
                <w:p w14:paraId="58ED4B95">
                  <w:pPr>
                    <w:spacing w:line="240" w:lineRule="auto"/>
                    <w:jc w:val="center"/>
                    <w:rPr>
                      <w:color w:val="auto"/>
                      <w:kern w:val="0"/>
                      <w:szCs w:val="21"/>
                    </w:rPr>
                  </w:pPr>
                  <w:r>
                    <w:rPr>
                      <w:rFonts w:hint="eastAsia"/>
                      <w:color w:val="auto"/>
                      <w:kern w:val="0"/>
                      <w:szCs w:val="21"/>
                    </w:rPr>
                    <w:t>序号</w:t>
                  </w:r>
                </w:p>
              </w:tc>
              <w:tc>
                <w:tcPr>
                  <w:tcW w:w="1161" w:type="dxa"/>
                  <w:tcBorders>
                    <w:tl2br w:val="nil"/>
                    <w:tr2bl w:val="nil"/>
                  </w:tcBorders>
                  <w:vAlign w:val="center"/>
                </w:tcPr>
                <w:p w14:paraId="24064EEB">
                  <w:pPr>
                    <w:spacing w:line="240" w:lineRule="auto"/>
                    <w:jc w:val="center"/>
                    <w:rPr>
                      <w:color w:val="auto"/>
                      <w:kern w:val="0"/>
                      <w:szCs w:val="21"/>
                    </w:rPr>
                  </w:pPr>
                  <w:r>
                    <w:rPr>
                      <w:rFonts w:hint="eastAsia"/>
                      <w:color w:val="auto"/>
                      <w:kern w:val="0"/>
                      <w:szCs w:val="21"/>
                    </w:rPr>
                    <w:t>贮存设施名称</w:t>
                  </w:r>
                </w:p>
              </w:tc>
              <w:tc>
                <w:tcPr>
                  <w:tcW w:w="952" w:type="dxa"/>
                  <w:tcBorders>
                    <w:tl2br w:val="nil"/>
                    <w:tr2bl w:val="nil"/>
                  </w:tcBorders>
                  <w:vAlign w:val="center"/>
                </w:tcPr>
                <w:p w14:paraId="0786C647">
                  <w:pPr>
                    <w:spacing w:line="240" w:lineRule="auto"/>
                    <w:jc w:val="center"/>
                    <w:rPr>
                      <w:color w:val="auto"/>
                      <w:kern w:val="0"/>
                      <w:szCs w:val="21"/>
                    </w:rPr>
                  </w:pPr>
                  <w:r>
                    <w:rPr>
                      <w:rFonts w:hint="eastAsia"/>
                      <w:color w:val="auto"/>
                      <w:kern w:val="0"/>
                      <w:szCs w:val="21"/>
                    </w:rPr>
                    <w:t>危险废物名称</w:t>
                  </w:r>
                </w:p>
              </w:tc>
              <w:tc>
                <w:tcPr>
                  <w:tcW w:w="1700" w:type="dxa"/>
                  <w:tcBorders>
                    <w:tl2br w:val="nil"/>
                    <w:tr2bl w:val="nil"/>
                  </w:tcBorders>
                  <w:vAlign w:val="center"/>
                </w:tcPr>
                <w:p w14:paraId="157A907E">
                  <w:pPr>
                    <w:spacing w:line="240" w:lineRule="auto"/>
                    <w:jc w:val="center"/>
                    <w:rPr>
                      <w:color w:val="auto"/>
                      <w:kern w:val="0"/>
                      <w:szCs w:val="21"/>
                    </w:rPr>
                  </w:pPr>
                  <w:r>
                    <w:rPr>
                      <w:rFonts w:hint="eastAsia"/>
                      <w:color w:val="auto"/>
                      <w:kern w:val="0"/>
                      <w:szCs w:val="21"/>
                    </w:rPr>
                    <w:t>危险废物类别</w:t>
                  </w:r>
                </w:p>
              </w:tc>
              <w:tc>
                <w:tcPr>
                  <w:tcW w:w="962" w:type="dxa"/>
                  <w:tcBorders>
                    <w:tl2br w:val="nil"/>
                    <w:tr2bl w:val="nil"/>
                  </w:tcBorders>
                  <w:vAlign w:val="center"/>
                </w:tcPr>
                <w:p w14:paraId="03770088">
                  <w:pPr>
                    <w:spacing w:line="240" w:lineRule="auto"/>
                    <w:jc w:val="center"/>
                    <w:rPr>
                      <w:color w:val="auto"/>
                      <w:kern w:val="0"/>
                      <w:szCs w:val="21"/>
                    </w:rPr>
                  </w:pPr>
                  <w:r>
                    <w:rPr>
                      <w:rFonts w:hint="eastAsia"/>
                      <w:color w:val="auto"/>
                      <w:kern w:val="0"/>
                      <w:szCs w:val="21"/>
                    </w:rPr>
                    <w:t>危险废物代码</w:t>
                  </w:r>
                </w:p>
              </w:tc>
              <w:tc>
                <w:tcPr>
                  <w:tcW w:w="536" w:type="dxa"/>
                  <w:tcBorders>
                    <w:tl2br w:val="nil"/>
                    <w:tr2bl w:val="nil"/>
                  </w:tcBorders>
                  <w:vAlign w:val="center"/>
                </w:tcPr>
                <w:p w14:paraId="7B92F19A">
                  <w:pPr>
                    <w:spacing w:line="240" w:lineRule="auto"/>
                    <w:jc w:val="center"/>
                    <w:rPr>
                      <w:color w:val="auto"/>
                      <w:kern w:val="0"/>
                      <w:szCs w:val="21"/>
                    </w:rPr>
                  </w:pPr>
                  <w:r>
                    <w:rPr>
                      <w:rFonts w:hint="eastAsia"/>
                      <w:color w:val="auto"/>
                      <w:kern w:val="0"/>
                      <w:szCs w:val="21"/>
                    </w:rPr>
                    <w:t>位置</w:t>
                  </w:r>
                </w:p>
              </w:tc>
              <w:tc>
                <w:tcPr>
                  <w:tcW w:w="495" w:type="dxa"/>
                  <w:tcBorders>
                    <w:tl2br w:val="nil"/>
                    <w:tr2bl w:val="nil"/>
                  </w:tcBorders>
                  <w:vAlign w:val="center"/>
                </w:tcPr>
                <w:p w14:paraId="22F11E03">
                  <w:pPr>
                    <w:spacing w:line="240" w:lineRule="auto"/>
                    <w:jc w:val="center"/>
                    <w:rPr>
                      <w:color w:val="auto"/>
                      <w:kern w:val="0"/>
                      <w:szCs w:val="21"/>
                    </w:rPr>
                  </w:pPr>
                  <w:r>
                    <w:rPr>
                      <w:rFonts w:hint="eastAsia"/>
                      <w:color w:val="auto"/>
                      <w:kern w:val="0"/>
                      <w:szCs w:val="21"/>
                    </w:rPr>
                    <w:t>占地面积</w:t>
                  </w:r>
                </w:p>
              </w:tc>
              <w:tc>
                <w:tcPr>
                  <w:tcW w:w="566" w:type="dxa"/>
                  <w:tcBorders>
                    <w:tl2br w:val="nil"/>
                    <w:tr2bl w:val="nil"/>
                  </w:tcBorders>
                  <w:vAlign w:val="center"/>
                </w:tcPr>
                <w:p w14:paraId="57C5685E">
                  <w:pPr>
                    <w:spacing w:line="240" w:lineRule="auto"/>
                    <w:jc w:val="center"/>
                    <w:rPr>
                      <w:color w:val="auto"/>
                      <w:kern w:val="0"/>
                      <w:szCs w:val="21"/>
                    </w:rPr>
                  </w:pPr>
                  <w:r>
                    <w:rPr>
                      <w:rFonts w:hint="eastAsia"/>
                      <w:color w:val="auto"/>
                      <w:kern w:val="0"/>
                      <w:szCs w:val="21"/>
                    </w:rPr>
                    <w:t>贮存方式</w:t>
                  </w:r>
                </w:p>
              </w:tc>
              <w:tc>
                <w:tcPr>
                  <w:tcW w:w="728" w:type="dxa"/>
                  <w:tcBorders>
                    <w:tl2br w:val="nil"/>
                    <w:tr2bl w:val="nil"/>
                  </w:tcBorders>
                  <w:vAlign w:val="center"/>
                </w:tcPr>
                <w:p w14:paraId="439C4631">
                  <w:pPr>
                    <w:spacing w:line="240" w:lineRule="auto"/>
                    <w:jc w:val="center"/>
                    <w:rPr>
                      <w:color w:val="auto"/>
                      <w:kern w:val="0"/>
                      <w:szCs w:val="21"/>
                    </w:rPr>
                  </w:pPr>
                  <w:r>
                    <w:rPr>
                      <w:rFonts w:hint="eastAsia"/>
                      <w:color w:val="auto"/>
                      <w:kern w:val="0"/>
                      <w:szCs w:val="21"/>
                    </w:rPr>
                    <w:t>贮存能力</w:t>
                  </w:r>
                </w:p>
              </w:tc>
              <w:tc>
                <w:tcPr>
                  <w:tcW w:w="615" w:type="dxa"/>
                  <w:tcBorders>
                    <w:tl2br w:val="nil"/>
                    <w:tr2bl w:val="nil"/>
                  </w:tcBorders>
                  <w:vAlign w:val="center"/>
                </w:tcPr>
                <w:p w14:paraId="77C1451E">
                  <w:pPr>
                    <w:spacing w:line="240" w:lineRule="auto"/>
                    <w:jc w:val="center"/>
                    <w:rPr>
                      <w:color w:val="auto"/>
                      <w:kern w:val="0"/>
                      <w:szCs w:val="21"/>
                    </w:rPr>
                  </w:pPr>
                  <w:r>
                    <w:rPr>
                      <w:rFonts w:hint="eastAsia"/>
                      <w:color w:val="auto"/>
                      <w:kern w:val="0"/>
                      <w:szCs w:val="21"/>
                    </w:rPr>
                    <w:t>贮存周期</w:t>
                  </w:r>
                </w:p>
              </w:tc>
            </w:tr>
            <w:tr w14:paraId="769F61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477" w:type="dxa"/>
                  <w:tcBorders>
                    <w:tl2br w:val="nil"/>
                    <w:tr2bl w:val="nil"/>
                  </w:tcBorders>
                  <w:vAlign w:val="center"/>
                </w:tcPr>
                <w:p w14:paraId="620502AA">
                  <w:pPr>
                    <w:spacing w:line="240" w:lineRule="auto"/>
                    <w:jc w:val="center"/>
                    <w:rPr>
                      <w:rFonts w:hint="eastAsia" w:eastAsia="宋体"/>
                      <w:color w:val="auto"/>
                      <w:kern w:val="0"/>
                      <w:szCs w:val="21"/>
                      <w:lang w:eastAsia="zh-CN"/>
                    </w:rPr>
                  </w:pPr>
                  <w:r>
                    <w:rPr>
                      <w:rFonts w:hint="eastAsia"/>
                      <w:color w:val="auto"/>
                      <w:kern w:val="0"/>
                      <w:szCs w:val="21"/>
                      <w:lang w:val="en-US" w:eastAsia="zh-CN"/>
                    </w:rPr>
                    <w:t>1</w:t>
                  </w:r>
                </w:p>
              </w:tc>
              <w:tc>
                <w:tcPr>
                  <w:tcW w:w="1161" w:type="dxa"/>
                  <w:tcBorders>
                    <w:tl2br w:val="nil"/>
                    <w:tr2bl w:val="nil"/>
                  </w:tcBorders>
                  <w:vAlign w:val="center"/>
                </w:tcPr>
                <w:p w14:paraId="524C21BB">
                  <w:pPr>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废机油存储区</w:t>
                  </w:r>
                </w:p>
              </w:tc>
              <w:tc>
                <w:tcPr>
                  <w:tcW w:w="952" w:type="dxa"/>
                  <w:tcBorders>
                    <w:tl2br w:val="nil"/>
                    <w:tr2bl w:val="nil"/>
                  </w:tcBorders>
                  <w:vAlign w:val="center"/>
                </w:tcPr>
                <w:p w14:paraId="556FF84D">
                  <w:pPr>
                    <w:spacing w:line="240" w:lineRule="auto"/>
                    <w:jc w:val="center"/>
                    <w:rPr>
                      <w:rFonts w:hint="eastAsia" w:ascii="Times New Roman" w:hAnsi="Times New Roman" w:cs="Times New Roman" w:eastAsiaTheme="minorEastAsia"/>
                      <w:color w:val="auto"/>
                      <w:kern w:val="2"/>
                      <w:sz w:val="21"/>
                      <w:szCs w:val="21"/>
                      <w:lang w:val="en-US" w:eastAsia="zh-CN" w:bidi="ar-SA"/>
                    </w:rPr>
                  </w:pPr>
                  <w:r>
                    <w:rPr>
                      <w:rFonts w:hint="eastAsia"/>
                      <w:color w:val="auto"/>
                      <w:kern w:val="0"/>
                      <w:szCs w:val="21"/>
                    </w:rPr>
                    <w:t>废机油</w:t>
                  </w:r>
                </w:p>
              </w:tc>
              <w:tc>
                <w:tcPr>
                  <w:tcW w:w="1700" w:type="dxa"/>
                  <w:tcBorders>
                    <w:tl2br w:val="nil"/>
                    <w:tr2bl w:val="nil"/>
                  </w:tcBorders>
                  <w:vAlign w:val="center"/>
                </w:tcPr>
                <w:p w14:paraId="7FBAC4D5">
                  <w:pPr>
                    <w:spacing w:line="240" w:lineRule="auto"/>
                    <w:jc w:val="center"/>
                    <w:rPr>
                      <w:color w:val="auto"/>
                      <w:kern w:val="0"/>
                      <w:szCs w:val="21"/>
                    </w:rPr>
                  </w:pPr>
                  <w:r>
                    <w:rPr>
                      <w:color w:val="auto"/>
                      <w:kern w:val="0"/>
                      <w:szCs w:val="21"/>
                    </w:rPr>
                    <w:t>HW08</w:t>
                  </w:r>
                </w:p>
                <w:p w14:paraId="21D63130">
                  <w:pPr>
                    <w:spacing w:line="240" w:lineRule="auto"/>
                    <w:jc w:val="center"/>
                    <w:rPr>
                      <w:rFonts w:ascii="Times New Roman" w:hAnsi="Times New Roman" w:cs="Times New Roman" w:eastAsiaTheme="minorEastAsia"/>
                      <w:color w:val="auto"/>
                      <w:kern w:val="2"/>
                      <w:sz w:val="21"/>
                      <w:szCs w:val="21"/>
                      <w:u w:color="000000"/>
                      <w:lang w:val="en-US" w:eastAsia="zh-CN" w:bidi="ar-SA"/>
                    </w:rPr>
                  </w:pPr>
                  <w:r>
                    <w:rPr>
                      <w:color w:val="auto"/>
                      <w:kern w:val="0"/>
                      <w:szCs w:val="21"/>
                    </w:rPr>
                    <w:t>废矿物油与含矿物油废物</w:t>
                  </w:r>
                </w:p>
              </w:tc>
              <w:tc>
                <w:tcPr>
                  <w:tcW w:w="962" w:type="dxa"/>
                  <w:tcBorders>
                    <w:tl2br w:val="nil"/>
                    <w:tr2bl w:val="nil"/>
                  </w:tcBorders>
                  <w:vAlign w:val="center"/>
                </w:tcPr>
                <w:p w14:paraId="00C04F8E">
                  <w:pPr>
                    <w:spacing w:line="240" w:lineRule="auto"/>
                    <w:jc w:val="center"/>
                    <w:rPr>
                      <w:rFonts w:hint="eastAsia" w:ascii="Times New Roman" w:hAnsi="Times New Roman" w:cs="Times New Roman" w:eastAsiaTheme="minorEastAsia"/>
                      <w:color w:val="auto"/>
                      <w:kern w:val="2"/>
                      <w:sz w:val="21"/>
                      <w:szCs w:val="21"/>
                      <w:lang w:val="en-US" w:eastAsia="zh-CN" w:bidi="ar-SA"/>
                    </w:rPr>
                  </w:pPr>
                  <w:r>
                    <w:rPr>
                      <w:rFonts w:hint="eastAsia"/>
                      <w:color w:val="auto"/>
                      <w:szCs w:val="21"/>
                    </w:rPr>
                    <w:t>900-249-08</w:t>
                  </w:r>
                </w:p>
              </w:tc>
              <w:tc>
                <w:tcPr>
                  <w:tcW w:w="536" w:type="dxa"/>
                  <w:vMerge w:val="restart"/>
                  <w:tcBorders>
                    <w:tl2br w:val="nil"/>
                    <w:tr2bl w:val="nil"/>
                  </w:tcBorders>
                  <w:vAlign w:val="center"/>
                </w:tcPr>
                <w:p w14:paraId="2E6B52F0">
                  <w:pPr>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危废贮存点</w:t>
                  </w:r>
                </w:p>
              </w:tc>
              <w:tc>
                <w:tcPr>
                  <w:tcW w:w="495" w:type="dxa"/>
                  <w:vMerge w:val="restart"/>
                  <w:tcBorders>
                    <w:tl2br w:val="nil"/>
                    <w:tr2bl w:val="nil"/>
                  </w:tcBorders>
                  <w:vAlign w:val="center"/>
                </w:tcPr>
                <w:p w14:paraId="0708BD70">
                  <w:pPr>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snapToGrid w:val="0"/>
                      <w:color w:val="auto"/>
                      <w:kern w:val="0"/>
                      <w:sz w:val="21"/>
                      <w:szCs w:val="21"/>
                      <w:lang w:val="en-US" w:eastAsia="zh-CN"/>
                    </w:rPr>
                    <w:t>1</w:t>
                  </w:r>
                  <w:r>
                    <w:rPr>
                      <w:rFonts w:hint="eastAsia" w:ascii="Times New Roman" w:hAnsi="Times New Roman"/>
                      <w:snapToGrid w:val="0"/>
                      <w:color w:val="auto"/>
                      <w:kern w:val="0"/>
                      <w:sz w:val="21"/>
                      <w:szCs w:val="21"/>
                    </w:rPr>
                    <w:t>0</w:t>
                  </w:r>
                  <w:r>
                    <w:rPr>
                      <w:rFonts w:ascii="Times New Roman" w:hAnsi="Times New Roman"/>
                      <w:snapToGrid w:val="0"/>
                      <w:color w:val="auto"/>
                      <w:kern w:val="0"/>
                      <w:sz w:val="21"/>
                      <w:szCs w:val="21"/>
                    </w:rPr>
                    <w:t>m</w:t>
                  </w:r>
                  <w:r>
                    <w:rPr>
                      <w:rFonts w:ascii="Times New Roman" w:hAnsi="Times New Roman"/>
                      <w:color w:val="auto"/>
                      <w:sz w:val="21"/>
                      <w:szCs w:val="21"/>
                      <w:vertAlign w:val="superscript"/>
                    </w:rPr>
                    <w:t>2</w:t>
                  </w:r>
                </w:p>
              </w:tc>
              <w:tc>
                <w:tcPr>
                  <w:tcW w:w="566" w:type="dxa"/>
                  <w:vMerge w:val="restart"/>
                  <w:tcBorders>
                    <w:tl2br w:val="nil"/>
                    <w:tr2bl w:val="nil"/>
                  </w:tcBorders>
                  <w:vAlign w:val="center"/>
                </w:tcPr>
                <w:p w14:paraId="4FCF3947">
                  <w:pPr>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隔离隔开分离贮存</w:t>
                  </w:r>
                </w:p>
              </w:tc>
              <w:tc>
                <w:tcPr>
                  <w:tcW w:w="728" w:type="dxa"/>
                  <w:tcBorders>
                    <w:tl2br w:val="nil"/>
                    <w:tr2bl w:val="nil"/>
                  </w:tcBorders>
                  <w:vAlign w:val="center"/>
                </w:tcPr>
                <w:p w14:paraId="5E46FB8D">
                  <w:pPr>
                    <w:kinsoku w:val="0"/>
                    <w:overflowPunct w:val="0"/>
                    <w:autoSpaceDE w:val="0"/>
                    <w:autoSpaceDN w:val="0"/>
                    <w:spacing w:line="240" w:lineRule="auto"/>
                    <w:jc w:val="center"/>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0.1t</w:t>
                  </w:r>
                </w:p>
              </w:tc>
              <w:tc>
                <w:tcPr>
                  <w:tcW w:w="615" w:type="dxa"/>
                  <w:tcBorders>
                    <w:tl2br w:val="nil"/>
                    <w:tr2bl w:val="nil"/>
                  </w:tcBorders>
                  <w:vAlign w:val="center"/>
                </w:tcPr>
                <w:p w14:paraId="2932F981">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1年</w:t>
                  </w:r>
                </w:p>
              </w:tc>
            </w:tr>
            <w:tr w14:paraId="7AE526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477" w:type="dxa"/>
                  <w:tcBorders>
                    <w:tl2br w:val="nil"/>
                    <w:tr2bl w:val="nil"/>
                  </w:tcBorders>
                  <w:vAlign w:val="center"/>
                </w:tcPr>
                <w:p w14:paraId="35E8DCA7">
                  <w:pPr>
                    <w:spacing w:line="240" w:lineRule="auto"/>
                    <w:jc w:val="center"/>
                    <w:rPr>
                      <w:rFonts w:hint="default"/>
                      <w:color w:val="auto"/>
                      <w:kern w:val="0"/>
                      <w:szCs w:val="21"/>
                      <w:lang w:val="en-US" w:eastAsia="zh-CN"/>
                    </w:rPr>
                  </w:pPr>
                  <w:r>
                    <w:rPr>
                      <w:rFonts w:hint="eastAsia"/>
                      <w:color w:val="auto"/>
                      <w:kern w:val="0"/>
                      <w:szCs w:val="21"/>
                      <w:lang w:val="en-US" w:eastAsia="zh-CN"/>
                    </w:rPr>
                    <w:t>2</w:t>
                  </w:r>
                </w:p>
              </w:tc>
              <w:tc>
                <w:tcPr>
                  <w:tcW w:w="1161" w:type="dxa"/>
                  <w:tcBorders>
                    <w:tl2br w:val="nil"/>
                    <w:tr2bl w:val="nil"/>
                  </w:tcBorders>
                  <w:vAlign w:val="center"/>
                </w:tcPr>
                <w:p w14:paraId="288B20B3">
                  <w:pPr>
                    <w:spacing w:line="240" w:lineRule="auto"/>
                    <w:jc w:val="center"/>
                    <w:rPr>
                      <w:rFonts w:hint="eastAsia"/>
                      <w:color w:val="auto"/>
                      <w:kern w:val="0"/>
                      <w:szCs w:val="21"/>
                    </w:rPr>
                  </w:pPr>
                  <w:r>
                    <w:rPr>
                      <w:rFonts w:hint="eastAsia" w:ascii="Times New Roman" w:hAnsi="Times New Roman" w:eastAsia="宋体" w:cs="Times New Roman"/>
                      <w:color w:val="auto"/>
                      <w:highlight w:val="none"/>
                      <w:lang w:val="en-US" w:eastAsia="zh-CN"/>
                    </w:rPr>
                    <w:t>废含油手套、废含油抹布</w:t>
                  </w:r>
                  <w:r>
                    <w:rPr>
                      <w:rFonts w:hint="eastAsia"/>
                      <w:color w:val="auto"/>
                      <w:kern w:val="0"/>
                      <w:szCs w:val="21"/>
                    </w:rPr>
                    <w:t>存储区</w:t>
                  </w:r>
                </w:p>
              </w:tc>
              <w:tc>
                <w:tcPr>
                  <w:tcW w:w="952" w:type="dxa"/>
                  <w:tcBorders>
                    <w:tl2br w:val="nil"/>
                    <w:tr2bl w:val="nil"/>
                  </w:tcBorders>
                  <w:vAlign w:val="center"/>
                </w:tcPr>
                <w:p w14:paraId="7FA2C9F2">
                  <w:pPr>
                    <w:spacing w:line="240" w:lineRule="auto"/>
                    <w:jc w:val="center"/>
                    <w:rPr>
                      <w:rFonts w:hint="eastAsia" w:ascii="Times New Roman" w:hAnsi="Times New Roman" w:cs="Times New Roman" w:eastAsiaTheme="minorEastAsia"/>
                      <w:color w:val="auto"/>
                      <w:kern w:val="2"/>
                      <w:sz w:val="21"/>
                      <w:szCs w:val="21"/>
                      <w:lang w:val="en-US" w:eastAsia="zh-CN" w:bidi="ar-SA"/>
                    </w:rPr>
                  </w:pPr>
                  <w:r>
                    <w:rPr>
                      <w:rFonts w:hint="eastAsia" w:ascii="Times New Roman" w:hAnsi="Times New Roman" w:eastAsia="宋体" w:cs="Times New Roman"/>
                      <w:color w:val="auto"/>
                      <w:highlight w:val="none"/>
                      <w:lang w:val="en-US" w:eastAsia="zh-CN"/>
                    </w:rPr>
                    <w:t>废含油手套、废含油抹布</w:t>
                  </w:r>
                </w:p>
              </w:tc>
              <w:tc>
                <w:tcPr>
                  <w:tcW w:w="1700" w:type="dxa"/>
                  <w:tcBorders>
                    <w:tl2br w:val="nil"/>
                    <w:tr2bl w:val="nil"/>
                  </w:tcBorders>
                  <w:vAlign w:val="center"/>
                </w:tcPr>
                <w:p w14:paraId="5FC7E6B9">
                  <w:pPr>
                    <w:topLinePunct/>
                    <w:spacing w:line="240" w:lineRule="auto"/>
                    <w:jc w:val="center"/>
                    <w:rPr>
                      <w:rFonts w:ascii="Times New Roman" w:hAnsi="Times New Roman" w:cs="Times New Roman" w:eastAsiaTheme="minorEastAsia"/>
                      <w:color w:val="auto"/>
                      <w:kern w:val="2"/>
                      <w:sz w:val="21"/>
                      <w:szCs w:val="21"/>
                      <w:u w:color="000000"/>
                      <w:lang w:val="en-US" w:eastAsia="zh-CN" w:bidi="ar-SA"/>
                    </w:rPr>
                  </w:pPr>
                  <w:r>
                    <w:rPr>
                      <w:rFonts w:hint="eastAsia" w:ascii="Times New Roman" w:hAnsi="Times New Roman" w:eastAsia="宋体" w:cs="Times New Roman"/>
                      <w:color w:val="auto"/>
                      <w:kern w:val="0"/>
                      <w:sz w:val="21"/>
                      <w:szCs w:val="21"/>
                      <w:lang w:val="en-US" w:eastAsia="zh-CN"/>
                    </w:rPr>
                    <w:t>HW49 其他废物</w:t>
                  </w:r>
                </w:p>
              </w:tc>
              <w:tc>
                <w:tcPr>
                  <w:tcW w:w="962" w:type="dxa"/>
                  <w:tcBorders>
                    <w:tl2br w:val="nil"/>
                    <w:tr2bl w:val="nil"/>
                  </w:tcBorders>
                  <w:vAlign w:val="center"/>
                </w:tcPr>
                <w:p w14:paraId="0968349E">
                  <w:pPr>
                    <w:topLinePunct/>
                    <w:spacing w:line="240" w:lineRule="auto"/>
                    <w:jc w:val="center"/>
                    <w:rPr>
                      <w:rFonts w:hint="eastAsia" w:ascii="Times New Roman" w:hAnsi="Times New Roman" w:cs="Times New Roman" w:eastAsiaTheme="minorEastAsia"/>
                      <w:color w:val="auto"/>
                      <w:kern w:val="2"/>
                      <w:sz w:val="21"/>
                      <w:szCs w:val="21"/>
                      <w:lang w:val="en-US" w:eastAsia="zh-CN" w:bidi="ar-SA"/>
                    </w:rPr>
                  </w:pPr>
                  <w:r>
                    <w:rPr>
                      <w:rFonts w:hint="eastAsia" w:cs="Times New Roman"/>
                      <w:color w:val="auto"/>
                      <w:kern w:val="0"/>
                      <w:sz w:val="21"/>
                      <w:szCs w:val="21"/>
                      <w:lang w:val="en-US" w:eastAsia="zh-CN"/>
                    </w:rPr>
                    <w:t>900-041-49</w:t>
                  </w:r>
                </w:p>
              </w:tc>
              <w:tc>
                <w:tcPr>
                  <w:tcW w:w="536" w:type="dxa"/>
                  <w:vMerge w:val="continue"/>
                  <w:tcBorders>
                    <w:tl2br w:val="nil"/>
                    <w:tr2bl w:val="nil"/>
                  </w:tcBorders>
                  <w:vAlign w:val="center"/>
                </w:tcPr>
                <w:p w14:paraId="6C18F6FF">
                  <w:pPr>
                    <w:spacing w:line="240" w:lineRule="auto"/>
                    <w:jc w:val="center"/>
                    <w:rPr>
                      <w:rFonts w:hint="eastAsia" w:ascii="Times New Roman" w:hAnsi="Times New Roman" w:eastAsia="宋体" w:cs="Times New Roman"/>
                      <w:color w:val="auto"/>
                      <w:kern w:val="0"/>
                      <w:sz w:val="21"/>
                      <w:szCs w:val="21"/>
                      <w:lang w:val="en-US" w:eastAsia="zh-CN" w:bidi="ar-SA"/>
                    </w:rPr>
                  </w:pPr>
                </w:p>
              </w:tc>
              <w:tc>
                <w:tcPr>
                  <w:tcW w:w="495" w:type="dxa"/>
                  <w:vMerge w:val="continue"/>
                  <w:tcBorders>
                    <w:tl2br w:val="nil"/>
                    <w:tr2bl w:val="nil"/>
                  </w:tcBorders>
                  <w:vAlign w:val="center"/>
                </w:tcPr>
                <w:p w14:paraId="61D908F2">
                  <w:pPr>
                    <w:spacing w:line="240" w:lineRule="auto"/>
                    <w:jc w:val="center"/>
                    <w:rPr>
                      <w:rFonts w:hint="eastAsia" w:ascii="Times New Roman" w:hAnsi="Times New Roman" w:eastAsia="宋体" w:cs="Times New Roman"/>
                      <w:color w:val="auto"/>
                      <w:kern w:val="0"/>
                      <w:sz w:val="21"/>
                      <w:szCs w:val="21"/>
                      <w:lang w:val="en-US" w:eastAsia="zh-CN" w:bidi="ar-SA"/>
                    </w:rPr>
                  </w:pPr>
                </w:p>
              </w:tc>
              <w:tc>
                <w:tcPr>
                  <w:tcW w:w="566" w:type="dxa"/>
                  <w:vMerge w:val="continue"/>
                  <w:tcBorders>
                    <w:tl2br w:val="nil"/>
                    <w:tr2bl w:val="nil"/>
                  </w:tcBorders>
                  <w:vAlign w:val="center"/>
                </w:tcPr>
                <w:p w14:paraId="4F396DDC">
                  <w:pPr>
                    <w:spacing w:line="240" w:lineRule="auto"/>
                    <w:jc w:val="center"/>
                    <w:rPr>
                      <w:rFonts w:hint="eastAsia" w:ascii="Times New Roman" w:hAnsi="Times New Roman" w:eastAsia="宋体" w:cs="Times New Roman"/>
                      <w:color w:val="auto"/>
                      <w:kern w:val="0"/>
                      <w:sz w:val="21"/>
                      <w:szCs w:val="21"/>
                      <w:lang w:val="en-US" w:eastAsia="zh-CN" w:bidi="ar-SA"/>
                    </w:rPr>
                  </w:pPr>
                </w:p>
              </w:tc>
              <w:tc>
                <w:tcPr>
                  <w:tcW w:w="728" w:type="dxa"/>
                  <w:tcBorders>
                    <w:tl2br w:val="nil"/>
                    <w:tr2bl w:val="nil"/>
                  </w:tcBorders>
                  <w:vAlign w:val="center"/>
                </w:tcPr>
                <w:p w14:paraId="4C20A71E">
                  <w:pPr>
                    <w:kinsoku w:val="0"/>
                    <w:overflowPunct w:val="0"/>
                    <w:autoSpaceDE w:val="0"/>
                    <w:autoSpaceDN w:val="0"/>
                    <w:spacing w:line="240" w:lineRule="auto"/>
                    <w:jc w:val="center"/>
                    <w:rPr>
                      <w:rFonts w:hint="eastAsia"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0.01t</w:t>
                  </w:r>
                </w:p>
              </w:tc>
              <w:tc>
                <w:tcPr>
                  <w:tcW w:w="615" w:type="dxa"/>
                  <w:tcBorders>
                    <w:tl2br w:val="nil"/>
                    <w:tr2bl w:val="nil"/>
                  </w:tcBorders>
                  <w:vAlign w:val="center"/>
                </w:tcPr>
                <w:p w14:paraId="6DFC1582">
                  <w:pPr>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1年</w:t>
                  </w:r>
                </w:p>
              </w:tc>
            </w:tr>
          </w:tbl>
          <w:p w14:paraId="32B2037C">
            <w:pPr>
              <w:spacing w:line="360" w:lineRule="auto"/>
              <w:ind w:firstLine="480" w:firstLineChars="200"/>
              <w:rPr>
                <w:rFonts w:hint="eastAsia"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本项目产生的危险废物在厂内指定的</w:t>
            </w:r>
            <w:r>
              <w:rPr>
                <w:rFonts w:hint="eastAsia" w:cs="Times New Roman"/>
                <w:color w:val="auto"/>
                <w:kern w:val="0"/>
                <w:sz w:val="24"/>
                <w:lang w:val="en-US" w:eastAsia="zh-CN"/>
              </w:rPr>
              <w:t>危废贮存点</w:t>
            </w:r>
            <w:r>
              <w:rPr>
                <w:rFonts w:hint="default" w:ascii="Times New Roman" w:hAnsi="Times New Roman" w:eastAsia="宋体" w:cs="Times New Roman"/>
                <w:color w:val="auto"/>
                <w:kern w:val="0"/>
                <w:sz w:val="24"/>
                <w:lang w:val="en-US" w:eastAsia="zh-CN"/>
              </w:rPr>
              <w:t>安全暂存，定期委托有资质单位回收处理，由持有危险废物经营许可证、危险货物运输资质的单位拉运。</w:t>
            </w:r>
          </w:p>
          <w:p w14:paraId="0FF38C29">
            <w:pPr>
              <w:keepLines w:val="0"/>
              <w:pageBreakBefore w:val="0"/>
              <w:topLinePunct w:val="0"/>
              <w:bidi w:val="0"/>
              <w:spacing w:beforeAutospacing="0" w:afterAutospacing="0" w:line="360" w:lineRule="auto"/>
              <w:ind w:left="0" w:leftChars="0" w:right="0" w:rightChars="0" w:firstLine="482" w:firstLineChars="200"/>
              <w:rPr>
                <w:rFonts w:hint="eastAsia" w:ascii="Times New Roman" w:hAnsi="Times New Roman" w:cs="Times New Roman"/>
                <w:b/>
                <w:bCs/>
                <w:color w:val="auto"/>
                <w:sz w:val="24"/>
                <w:szCs w:val="24"/>
                <w:highlight w:val="none"/>
                <w:lang w:val="en-US" w:eastAsia="zh-CN" w:bidi="zh-CN"/>
              </w:rPr>
            </w:pPr>
            <w:r>
              <w:rPr>
                <w:rFonts w:hint="eastAsia" w:cs="Times New Roman"/>
                <w:b/>
                <w:bCs/>
                <w:color w:val="auto"/>
                <w:sz w:val="24"/>
                <w:szCs w:val="24"/>
                <w:highlight w:val="none"/>
                <w:lang w:val="en-US" w:bidi="zh-CN"/>
              </w:rPr>
              <w:t>五</w:t>
            </w:r>
            <w:r>
              <w:rPr>
                <w:rFonts w:hint="eastAsia" w:ascii="Times New Roman" w:hAnsi="Times New Roman" w:cs="Times New Roman"/>
                <w:b/>
                <w:bCs/>
                <w:color w:val="auto"/>
                <w:sz w:val="24"/>
                <w:szCs w:val="24"/>
                <w:highlight w:val="none"/>
                <w:lang w:val="en-US" w:bidi="zh-CN"/>
              </w:rPr>
              <w:t>、</w:t>
            </w:r>
            <w:r>
              <w:rPr>
                <w:rFonts w:hint="eastAsia" w:ascii="Times New Roman" w:hAnsi="Times New Roman" w:cs="Times New Roman"/>
                <w:b/>
                <w:bCs/>
                <w:color w:val="auto"/>
                <w:sz w:val="24"/>
                <w:szCs w:val="24"/>
                <w:highlight w:val="none"/>
                <w:lang w:val="en-US" w:eastAsia="zh-CN" w:bidi="zh-CN"/>
              </w:rPr>
              <w:t>地下水</w:t>
            </w:r>
          </w:p>
          <w:p w14:paraId="5B466315">
            <w:pPr>
              <w:spacing w:line="360" w:lineRule="auto"/>
              <w:ind w:firstLine="480" w:firstLineChars="200"/>
              <w:rPr>
                <w:rFonts w:hint="eastAsia" w:ascii="Times New Roman" w:hAnsi="Times New Roman" w:eastAsia="宋体" w:cs="Times New Roman"/>
                <w:color w:val="auto"/>
                <w:kern w:val="0"/>
                <w:sz w:val="24"/>
                <w:lang w:bidi="ar"/>
              </w:rPr>
            </w:pPr>
            <w:r>
              <w:rPr>
                <w:rFonts w:hint="default"/>
                <w:color w:val="auto"/>
                <w:kern w:val="0"/>
                <w:sz w:val="24"/>
                <w:lang w:val="en-US" w:eastAsia="zh-CN"/>
              </w:rPr>
              <w:t>本项目</w:t>
            </w:r>
            <w:r>
              <w:rPr>
                <w:rFonts w:hint="eastAsia"/>
                <w:color w:val="auto"/>
                <w:kern w:val="0"/>
                <w:sz w:val="24"/>
                <w:lang w:val="en-US" w:eastAsia="zh-CN"/>
              </w:rPr>
              <w:t>厂区初期雨水经过雨水导流槽收集至雨水收集池，沉淀后全部用于车辆冲洗、厂区路面降尘，不外排；车辆冲洗废水集中收集经沉淀池沉淀后用于厂区路面降尘，自然蒸发，不外排；降尘用水全部自然蒸发，不外排；</w:t>
            </w:r>
            <w:r>
              <w:rPr>
                <w:rFonts w:hint="default"/>
                <w:color w:val="auto"/>
                <w:kern w:val="0"/>
                <w:sz w:val="24"/>
                <w:lang w:val="en-US" w:eastAsia="zh-CN"/>
              </w:rPr>
              <w:t>生活污水排入</w:t>
            </w:r>
            <w:r>
              <w:rPr>
                <w:rFonts w:hint="eastAsia"/>
                <w:color w:val="auto"/>
                <w:kern w:val="0"/>
                <w:sz w:val="24"/>
                <w:lang w:val="en-US" w:eastAsia="zh-CN"/>
              </w:rPr>
              <w:t>防渗旱厕，定期清掏，外运堆肥，不外排。</w:t>
            </w:r>
            <w:r>
              <w:rPr>
                <w:rFonts w:hint="eastAsia" w:ascii="Times New Roman" w:hAnsi="Times New Roman" w:eastAsia="宋体" w:cs="Times New Roman"/>
                <w:color w:val="auto"/>
                <w:kern w:val="0"/>
                <w:sz w:val="24"/>
                <w:lang w:val="en-US" w:eastAsia="zh-CN" w:bidi="ar"/>
              </w:rPr>
              <w:t>根据《环境影响评价技术导则 地下水环境》（HJ610-2016）将厂区各生产功能单元可能泄漏至地面区域的污染物性质和生产单元的构筑方式，将厂区建筑区域划分为</w:t>
            </w:r>
            <w:r>
              <w:rPr>
                <w:rFonts w:hint="eastAsia" w:cs="Times New Roman"/>
                <w:color w:val="auto"/>
                <w:kern w:val="0"/>
                <w:sz w:val="24"/>
                <w:lang w:val="en-US" w:eastAsia="zh-CN" w:bidi="ar"/>
              </w:rPr>
              <w:t>重点污染防治区、</w:t>
            </w:r>
            <w:r>
              <w:rPr>
                <w:rFonts w:hint="eastAsia" w:ascii="Times New Roman" w:hAnsi="Times New Roman" w:eastAsia="宋体" w:cs="Times New Roman"/>
                <w:color w:val="auto"/>
                <w:kern w:val="0"/>
                <w:sz w:val="24"/>
                <w:lang w:val="en-US" w:eastAsia="zh-CN" w:bidi="ar"/>
              </w:rPr>
              <w:t>一般污染防治区和简单污染防治区，并按要求进行地表防渗。</w:t>
            </w:r>
          </w:p>
          <w:p w14:paraId="4C32376C">
            <w:pPr>
              <w:pStyle w:val="59"/>
              <w:keepNext w:val="0"/>
              <w:keepLines w:val="0"/>
              <w:pageBreakBefore w:val="0"/>
              <w:suppressLineNumbers w:val="0"/>
              <w:wordWrap/>
              <w:bidi w:val="0"/>
              <w:adjustRightInd w:val="0"/>
              <w:snapToGrid w:val="0"/>
              <w:spacing w:before="0" w:beforeAutospacing="0" w:after="0" w:afterAutospacing="0" w:line="360" w:lineRule="auto"/>
              <w:ind w:left="0" w:leftChars="0" w:right="0" w:firstLine="480"/>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1、重点污染防治区</w:t>
            </w:r>
          </w:p>
          <w:p w14:paraId="5AF12FA5">
            <w:pPr>
              <w:pStyle w:val="59"/>
              <w:keepNext w:val="0"/>
              <w:keepLines w:val="0"/>
              <w:pageBreakBefore w:val="0"/>
              <w:suppressLineNumbers w:val="0"/>
              <w:wordWrap/>
              <w:bidi w:val="0"/>
              <w:adjustRightInd w:val="0"/>
              <w:snapToGrid w:val="0"/>
              <w:spacing w:before="0" w:beforeAutospacing="0" w:after="0" w:afterAutospacing="0" w:line="360" w:lineRule="auto"/>
              <w:ind w:left="0" w:leftChars="0" w:right="0" w:firstLine="480"/>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重点防渗区指位于地下或半地下的生产功能单元，污染地下水环境的污染物渗漏后不容易被及时发现和处理，或场地水文地质条件相对较差的区域和部位。</w:t>
            </w:r>
          </w:p>
          <w:p w14:paraId="199263AC">
            <w:pPr>
              <w:spacing w:line="360" w:lineRule="auto"/>
              <w:ind w:firstLine="480" w:firstLineChars="200"/>
              <w:rPr>
                <w:rFonts w:hint="eastAsia" w:ascii="Times New Roman" w:hAnsi="Times New Roman" w:eastAsia="宋体" w:cs="Times New Roman"/>
                <w:color w:val="auto"/>
                <w:kern w:val="0"/>
                <w:sz w:val="24"/>
                <w:lang w:val="en-US" w:eastAsia="zh-CN" w:bidi="ar"/>
              </w:rPr>
            </w:pPr>
            <w:r>
              <w:rPr>
                <w:rFonts w:hint="eastAsia" w:ascii="Times New Roman" w:hAnsi="Times New Roman" w:eastAsia="宋体" w:cs="Times New Roman"/>
                <w:color w:val="auto"/>
                <w:kern w:val="0"/>
                <w:sz w:val="24"/>
                <w:szCs w:val="24"/>
                <w:lang w:val="en-US" w:eastAsia="zh-CN" w:bidi="ar-SA"/>
              </w:rPr>
              <w:t>本项目</w:t>
            </w:r>
            <w:r>
              <w:rPr>
                <w:rFonts w:hint="eastAsia" w:cs="Times New Roman"/>
                <w:color w:val="auto"/>
                <w:kern w:val="0"/>
                <w:sz w:val="24"/>
                <w:szCs w:val="24"/>
                <w:lang w:val="en-US" w:eastAsia="zh-CN" w:bidi="ar-SA"/>
              </w:rPr>
              <w:t>危废贮存点</w:t>
            </w:r>
            <w:r>
              <w:rPr>
                <w:rFonts w:hint="eastAsia" w:ascii="Times New Roman" w:hAnsi="Times New Roman" w:eastAsia="宋体" w:cs="Times New Roman"/>
                <w:color w:val="auto"/>
                <w:kern w:val="0"/>
                <w:sz w:val="24"/>
                <w:szCs w:val="24"/>
                <w:lang w:val="en-US" w:eastAsia="zh-CN" w:bidi="ar-SA"/>
              </w:rPr>
              <w:t>按照重点防渗区管理，</w:t>
            </w:r>
            <w:r>
              <w:rPr>
                <w:rFonts w:hint="eastAsia" w:cs="Times New Roman"/>
                <w:color w:val="auto"/>
                <w:kern w:val="0"/>
                <w:sz w:val="24"/>
                <w:szCs w:val="24"/>
                <w:lang w:val="en-US" w:eastAsia="zh-CN" w:bidi="ar-SA"/>
              </w:rPr>
              <w:t>危废贮存点</w:t>
            </w:r>
            <w:r>
              <w:rPr>
                <w:rFonts w:hint="eastAsia" w:ascii="Times New Roman" w:hAnsi="Times New Roman" w:eastAsia="宋体" w:cs="Times New Roman"/>
                <w:color w:val="auto"/>
                <w:kern w:val="0"/>
                <w:sz w:val="24"/>
                <w:szCs w:val="24"/>
                <w:lang w:val="en-US" w:eastAsia="zh-CN" w:bidi="ar-SA"/>
              </w:rPr>
              <w:t>防渗要求按照《危险废物贮存污染控制标准》（GB18597-2023）的要求执行，为重点防渗区，基础敷设2mm厚的高密度聚乙烯防水层，上部敷设10cm厚水泥层，表面铺设防水树脂层，渗透系数≤10</w:t>
            </w:r>
            <w:r>
              <w:rPr>
                <w:rFonts w:hint="eastAsia" w:ascii="Times New Roman" w:hAnsi="Times New Roman" w:eastAsia="宋体" w:cs="Times New Roman"/>
                <w:color w:val="auto"/>
                <w:kern w:val="0"/>
                <w:sz w:val="24"/>
                <w:szCs w:val="24"/>
                <w:vertAlign w:val="superscript"/>
                <w:lang w:val="en-US" w:eastAsia="zh-CN" w:bidi="ar-SA"/>
              </w:rPr>
              <w:t>-10</w:t>
            </w:r>
            <w:r>
              <w:rPr>
                <w:rFonts w:hint="eastAsia" w:ascii="Times New Roman" w:hAnsi="Times New Roman" w:eastAsia="宋体" w:cs="Times New Roman"/>
                <w:color w:val="auto"/>
                <w:kern w:val="0"/>
                <w:sz w:val="24"/>
                <w:szCs w:val="24"/>
                <w:lang w:val="en-US" w:eastAsia="zh-CN" w:bidi="ar-SA"/>
              </w:rPr>
              <w:t>cm/s。</w:t>
            </w:r>
          </w:p>
          <w:p w14:paraId="398A1479">
            <w:pPr>
              <w:spacing w:line="360" w:lineRule="auto"/>
              <w:ind w:firstLine="480" w:firstLineChars="200"/>
              <w:rPr>
                <w:rFonts w:hint="eastAsia" w:ascii="Times New Roman" w:hAnsi="Times New Roman" w:eastAsia="宋体" w:cs="Times New Roman"/>
                <w:color w:val="auto"/>
                <w:kern w:val="0"/>
                <w:sz w:val="24"/>
                <w:lang w:val="en-US" w:eastAsia="zh-CN" w:bidi="ar"/>
              </w:rPr>
            </w:pPr>
            <w:r>
              <w:rPr>
                <w:rFonts w:hint="eastAsia" w:cs="Times New Roman"/>
                <w:color w:val="auto"/>
                <w:kern w:val="0"/>
                <w:sz w:val="24"/>
                <w:lang w:val="en-US" w:eastAsia="zh-CN" w:bidi="ar"/>
              </w:rPr>
              <w:t>2、</w:t>
            </w:r>
            <w:r>
              <w:rPr>
                <w:rFonts w:hint="eastAsia" w:ascii="Times New Roman" w:hAnsi="Times New Roman" w:eastAsia="宋体" w:cs="Times New Roman"/>
                <w:color w:val="auto"/>
                <w:kern w:val="0"/>
                <w:sz w:val="24"/>
                <w:lang w:val="en-US" w:eastAsia="zh-CN" w:bidi="ar"/>
              </w:rPr>
              <w:t>一般污染防治区</w:t>
            </w:r>
          </w:p>
          <w:p w14:paraId="427FF023">
            <w:pPr>
              <w:spacing w:line="360" w:lineRule="auto"/>
              <w:ind w:firstLine="480" w:firstLineChars="200"/>
              <w:rPr>
                <w:rFonts w:hint="eastAsia" w:ascii="Times New Roman" w:hAnsi="Times New Roman" w:eastAsia="宋体" w:cs="Times New Roman"/>
                <w:color w:val="auto"/>
                <w:kern w:val="0"/>
                <w:sz w:val="24"/>
                <w:lang w:val="en-US" w:eastAsia="zh-CN" w:bidi="ar"/>
              </w:rPr>
            </w:pPr>
            <w:r>
              <w:rPr>
                <w:rFonts w:hint="eastAsia" w:ascii="Times New Roman" w:hAnsi="Times New Roman" w:eastAsia="宋体" w:cs="Times New Roman"/>
                <w:color w:val="auto"/>
                <w:kern w:val="0"/>
                <w:sz w:val="24"/>
                <w:lang w:val="en-US" w:eastAsia="zh-CN" w:bidi="ar"/>
              </w:rPr>
              <w:t>一般污染防治区指对地下水环境有污染的物料或污染物渗漏后，可及时发现和处理的区域或部位。本项目一般防渗区为煤炭堆场、初期雨水收集池、沉淀池所在区域及厂区道路，采用抗渗等级不低于P6级的抗渗混凝土，满足《环境影响评价技术导则 地下水环境》（HJ610-2016）表7中一般防渗区防渗技术要求（等效黏土防渗层Mb≥1.5m，渗透系数≤10</w:t>
            </w:r>
            <w:r>
              <w:rPr>
                <w:rFonts w:hint="eastAsia" w:ascii="Times New Roman" w:hAnsi="Times New Roman" w:eastAsia="宋体" w:cs="Times New Roman"/>
                <w:color w:val="auto"/>
                <w:kern w:val="0"/>
                <w:sz w:val="24"/>
                <w:vertAlign w:val="superscript"/>
                <w:lang w:val="en-US" w:eastAsia="zh-CN" w:bidi="ar"/>
              </w:rPr>
              <w:t>-7</w:t>
            </w:r>
            <w:r>
              <w:rPr>
                <w:rFonts w:hint="eastAsia" w:ascii="Times New Roman" w:hAnsi="Times New Roman" w:eastAsia="宋体" w:cs="Times New Roman"/>
                <w:color w:val="auto"/>
                <w:kern w:val="0"/>
                <w:sz w:val="24"/>
                <w:lang w:val="en-US" w:eastAsia="zh-CN" w:bidi="ar"/>
              </w:rPr>
              <w:t>cm/s）。</w:t>
            </w:r>
          </w:p>
          <w:p w14:paraId="2C780227">
            <w:pPr>
              <w:spacing w:line="360" w:lineRule="auto"/>
              <w:ind w:firstLine="480" w:firstLineChars="200"/>
              <w:rPr>
                <w:rFonts w:hint="eastAsia" w:ascii="Times New Roman" w:hAnsi="Times New Roman" w:eastAsia="宋体" w:cs="Times New Roman"/>
                <w:color w:val="auto"/>
                <w:kern w:val="0"/>
                <w:sz w:val="24"/>
                <w:lang w:val="en-US" w:eastAsia="zh-CN" w:bidi="ar"/>
              </w:rPr>
            </w:pPr>
            <w:r>
              <w:rPr>
                <w:rFonts w:hint="eastAsia" w:cs="Times New Roman"/>
                <w:color w:val="auto"/>
                <w:kern w:val="0"/>
                <w:sz w:val="24"/>
                <w:lang w:val="en-US" w:eastAsia="zh-CN" w:bidi="ar"/>
              </w:rPr>
              <w:t>3、</w:t>
            </w:r>
            <w:r>
              <w:rPr>
                <w:rFonts w:hint="eastAsia" w:ascii="Times New Roman" w:hAnsi="Times New Roman" w:eastAsia="宋体" w:cs="Times New Roman"/>
                <w:color w:val="auto"/>
                <w:kern w:val="0"/>
                <w:sz w:val="24"/>
                <w:lang w:val="en-US" w:eastAsia="zh-CN" w:bidi="ar"/>
              </w:rPr>
              <w:t>简单污染区防治区</w:t>
            </w:r>
          </w:p>
          <w:p w14:paraId="2466EC4B">
            <w:pPr>
              <w:spacing w:line="360" w:lineRule="auto"/>
              <w:ind w:firstLine="480" w:firstLineChars="200"/>
              <w:rPr>
                <w:rFonts w:hint="eastAsia" w:ascii="Times New Roman" w:hAnsi="Times New Roman" w:eastAsia="宋体" w:cs="Times New Roman"/>
                <w:color w:val="auto"/>
                <w:kern w:val="0"/>
                <w:sz w:val="24"/>
                <w:lang w:val="en-US" w:eastAsia="zh-CN" w:bidi="ar"/>
              </w:rPr>
            </w:pPr>
            <w:r>
              <w:rPr>
                <w:rFonts w:hint="eastAsia" w:ascii="Times New Roman" w:hAnsi="Times New Roman" w:eastAsia="宋体" w:cs="Times New Roman"/>
                <w:color w:val="auto"/>
                <w:kern w:val="0"/>
                <w:sz w:val="24"/>
                <w:lang w:val="en-US" w:eastAsia="zh-CN" w:bidi="ar"/>
              </w:rPr>
              <w:t>本项目简单防渗区为除一般防渗区以外的厂区其它建筑区，参照《环境影响评价技术导则 地下水环境》(HJ610-2016)表7地下水污染防渗分区参照表中简单防渗区防渗技术要求，主要防渗措施为水泥地面硬化。</w:t>
            </w:r>
          </w:p>
          <w:p w14:paraId="64A18C8D">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80"/>
              <w:jc w:val="center"/>
              <w:textAlignment w:val="auto"/>
              <w:rPr>
                <w:rFonts w:hint="eastAsia" w:ascii="Times New Roman" w:hAnsi="Times New Roman" w:eastAsia="宋体" w:cs="Times New Roman"/>
                <w:b/>
                <w:bCs/>
                <w:color w:val="auto"/>
                <w:sz w:val="21"/>
                <w:szCs w:val="16"/>
                <w:highlight w:val="none"/>
                <w:lang w:val="en-US" w:eastAsia="zh-CN"/>
              </w:rPr>
            </w:pPr>
            <w:r>
              <w:rPr>
                <w:rFonts w:hint="eastAsia" w:ascii="Times New Roman" w:hAnsi="Times New Roman" w:eastAsia="宋体" w:cs="Times New Roman"/>
                <w:b/>
                <w:bCs/>
                <w:color w:val="auto"/>
                <w:sz w:val="21"/>
                <w:szCs w:val="16"/>
                <w:highlight w:val="none"/>
                <w:lang w:val="en-US" w:eastAsia="zh-CN"/>
              </w:rPr>
              <w:t>表4-</w:t>
            </w:r>
            <w:r>
              <w:rPr>
                <w:rFonts w:hint="eastAsia" w:cs="Times New Roman"/>
                <w:b/>
                <w:bCs/>
                <w:color w:val="auto"/>
                <w:sz w:val="21"/>
                <w:szCs w:val="16"/>
                <w:highlight w:val="none"/>
                <w:lang w:val="en-US" w:eastAsia="zh-CN"/>
              </w:rPr>
              <w:t>13</w:t>
            </w:r>
            <w:r>
              <w:rPr>
                <w:rFonts w:hint="eastAsia" w:eastAsia="宋体" w:cs="Times New Roman"/>
                <w:b/>
                <w:bCs/>
                <w:color w:val="auto"/>
                <w:sz w:val="21"/>
                <w:szCs w:val="16"/>
                <w:highlight w:val="none"/>
                <w:lang w:val="en-US" w:eastAsia="zh-CN"/>
              </w:rPr>
              <w:t xml:space="preserve">  </w:t>
            </w:r>
            <w:r>
              <w:rPr>
                <w:rFonts w:hint="eastAsia" w:ascii="Times New Roman" w:hAnsi="Times New Roman" w:eastAsia="宋体" w:cs="Times New Roman"/>
                <w:b/>
                <w:bCs/>
                <w:color w:val="auto"/>
                <w:sz w:val="21"/>
                <w:szCs w:val="16"/>
                <w:highlight w:val="none"/>
                <w:lang w:val="en-US" w:eastAsia="zh-CN"/>
              </w:rPr>
              <w:t>本项目分区防渗情况一览表</w:t>
            </w:r>
          </w:p>
          <w:tbl>
            <w:tblPr>
              <w:tblStyle w:val="38"/>
              <w:tblW w:w="822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583"/>
              <w:gridCol w:w="1272"/>
              <w:gridCol w:w="1753"/>
              <w:gridCol w:w="4617"/>
            </w:tblGrid>
            <w:tr w14:paraId="5DBFC2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24" w:hRule="atLeast"/>
                <w:jc w:val="center"/>
              </w:trPr>
              <w:tc>
                <w:tcPr>
                  <w:tcW w:w="583" w:type="dxa"/>
                  <w:tcBorders>
                    <w:tl2br w:val="nil"/>
                    <w:tr2bl w:val="nil"/>
                  </w:tcBorders>
                  <w:noWrap w:val="0"/>
                  <w:vAlign w:val="center"/>
                </w:tcPr>
                <w:p w14:paraId="4E106652">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imes New Roman" w:hAnsi="Times New Roman" w:eastAsia="宋体" w:cs="Times New Roman"/>
                      <w:color w:val="auto"/>
                      <w:sz w:val="21"/>
                      <w:szCs w:val="16"/>
                      <w:highlight w:val="none"/>
                      <w:lang w:val="en-US" w:eastAsia="zh-CN"/>
                    </w:rPr>
                  </w:pPr>
                  <w:r>
                    <w:rPr>
                      <w:rFonts w:hint="eastAsia" w:ascii="Times New Roman" w:hAnsi="Times New Roman" w:eastAsia="宋体" w:cs="Times New Roman"/>
                      <w:color w:val="auto"/>
                      <w:sz w:val="21"/>
                      <w:szCs w:val="16"/>
                      <w:highlight w:val="none"/>
                      <w:lang w:val="en-US" w:eastAsia="zh-CN"/>
                    </w:rPr>
                    <w:t>序号</w:t>
                  </w:r>
                </w:p>
              </w:tc>
              <w:tc>
                <w:tcPr>
                  <w:tcW w:w="1272" w:type="dxa"/>
                  <w:tcBorders>
                    <w:tl2br w:val="nil"/>
                    <w:tr2bl w:val="nil"/>
                  </w:tcBorders>
                  <w:noWrap w:val="0"/>
                  <w:vAlign w:val="center"/>
                </w:tcPr>
                <w:p w14:paraId="7DBA125B">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imes New Roman" w:hAnsi="Times New Roman" w:eastAsia="宋体" w:cs="Times New Roman"/>
                      <w:color w:val="auto"/>
                      <w:sz w:val="21"/>
                      <w:szCs w:val="16"/>
                      <w:highlight w:val="none"/>
                      <w:lang w:val="en-US" w:eastAsia="zh-CN"/>
                    </w:rPr>
                  </w:pPr>
                  <w:r>
                    <w:rPr>
                      <w:rFonts w:hint="eastAsia" w:ascii="Times New Roman" w:hAnsi="Times New Roman" w:eastAsia="宋体" w:cs="Times New Roman"/>
                      <w:color w:val="auto"/>
                      <w:sz w:val="21"/>
                      <w:szCs w:val="16"/>
                      <w:highlight w:val="none"/>
                      <w:lang w:val="en-US" w:eastAsia="zh-CN"/>
                    </w:rPr>
                    <w:t>污染防治区主要类别</w:t>
                  </w:r>
                </w:p>
              </w:tc>
              <w:tc>
                <w:tcPr>
                  <w:tcW w:w="1753" w:type="dxa"/>
                  <w:tcBorders>
                    <w:tl2br w:val="nil"/>
                    <w:tr2bl w:val="nil"/>
                  </w:tcBorders>
                  <w:noWrap w:val="0"/>
                  <w:vAlign w:val="center"/>
                </w:tcPr>
                <w:p w14:paraId="3E1A2440">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imes New Roman" w:hAnsi="Times New Roman" w:eastAsia="宋体" w:cs="Times New Roman"/>
                      <w:color w:val="auto"/>
                      <w:sz w:val="21"/>
                      <w:szCs w:val="16"/>
                      <w:highlight w:val="none"/>
                      <w:lang w:val="en-US" w:eastAsia="zh-CN"/>
                    </w:rPr>
                  </w:pPr>
                  <w:r>
                    <w:rPr>
                      <w:rFonts w:hint="eastAsia" w:ascii="Times New Roman" w:hAnsi="Times New Roman" w:eastAsia="宋体" w:cs="Times New Roman"/>
                      <w:color w:val="auto"/>
                      <w:sz w:val="21"/>
                      <w:szCs w:val="16"/>
                      <w:highlight w:val="none"/>
                      <w:lang w:val="en-US" w:eastAsia="zh-CN"/>
                    </w:rPr>
                    <w:t>装置、单元名称</w:t>
                  </w:r>
                </w:p>
              </w:tc>
              <w:tc>
                <w:tcPr>
                  <w:tcW w:w="4617" w:type="dxa"/>
                  <w:tcBorders>
                    <w:tl2br w:val="nil"/>
                    <w:tr2bl w:val="nil"/>
                  </w:tcBorders>
                  <w:noWrap w:val="0"/>
                  <w:vAlign w:val="center"/>
                </w:tcPr>
                <w:p w14:paraId="671720D8">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imes New Roman" w:hAnsi="Times New Roman" w:eastAsia="宋体" w:cs="Times New Roman"/>
                      <w:color w:val="auto"/>
                      <w:sz w:val="21"/>
                      <w:szCs w:val="16"/>
                      <w:highlight w:val="none"/>
                      <w:lang w:val="en-US" w:eastAsia="zh-CN"/>
                    </w:rPr>
                  </w:pPr>
                  <w:r>
                    <w:rPr>
                      <w:rFonts w:hint="eastAsia" w:ascii="Times New Roman" w:hAnsi="Times New Roman" w:eastAsia="宋体" w:cs="Times New Roman"/>
                      <w:color w:val="auto"/>
                      <w:sz w:val="21"/>
                      <w:szCs w:val="16"/>
                      <w:highlight w:val="none"/>
                      <w:lang w:val="en-US" w:eastAsia="zh-CN"/>
                    </w:rPr>
                    <w:t>防渗要求</w:t>
                  </w:r>
                </w:p>
              </w:tc>
            </w:tr>
            <w:tr w14:paraId="67E21F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83" w:type="dxa"/>
                  <w:tcBorders>
                    <w:tl2br w:val="nil"/>
                    <w:tr2bl w:val="nil"/>
                  </w:tcBorders>
                  <w:noWrap w:val="0"/>
                  <w:vAlign w:val="center"/>
                </w:tcPr>
                <w:p w14:paraId="248666D9">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rPr>
                      <w:rFonts w:hint="eastAsia" w:ascii="Times New Roman" w:hAnsi="Times New Roman" w:eastAsia="宋体" w:cs="Times New Roman"/>
                      <w:color w:val="auto"/>
                      <w:sz w:val="21"/>
                      <w:szCs w:val="16"/>
                      <w:highlight w:val="none"/>
                      <w:lang w:val="en-US" w:eastAsia="zh-CN"/>
                    </w:rPr>
                  </w:pPr>
                  <w:r>
                    <w:rPr>
                      <w:rFonts w:hint="eastAsia" w:ascii="Times New Roman" w:hAnsi="Times New Roman" w:eastAsia="宋体" w:cs="Times New Roman"/>
                      <w:color w:val="auto"/>
                      <w:sz w:val="21"/>
                      <w:szCs w:val="16"/>
                      <w:highlight w:val="none"/>
                      <w:lang w:val="en-US" w:eastAsia="zh-CN"/>
                    </w:rPr>
                    <w:t>1</w:t>
                  </w:r>
                </w:p>
              </w:tc>
              <w:tc>
                <w:tcPr>
                  <w:tcW w:w="1272" w:type="dxa"/>
                  <w:tcBorders>
                    <w:tl2br w:val="nil"/>
                    <w:tr2bl w:val="nil"/>
                  </w:tcBorders>
                  <w:noWrap w:val="0"/>
                  <w:vAlign w:val="center"/>
                </w:tcPr>
                <w:p w14:paraId="07BB7BEB">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rPr>
                      <w:rFonts w:hint="eastAsia" w:ascii="Times New Roman" w:hAnsi="Times New Roman" w:eastAsia="宋体" w:cs="Times New Roman"/>
                      <w:color w:val="auto"/>
                      <w:sz w:val="21"/>
                      <w:szCs w:val="16"/>
                      <w:highlight w:val="none"/>
                      <w:lang w:val="en-US" w:eastAsia="zh-CN"/>
                    </w:rPr>
                  </w:pPr>
                  <w:r>
                    <w:rPr>
                      <w:rFonts w:hint="eastAsia" w:cs="Times New Roman"/>
                      <w:color w:val="auto"/>
                      <w:sz w:val="21"/>
                      <w:szCs w:val="16"/>
                      <w:highlight w:val="none"/>
                      <w:lang w:val="en-US" w:eastAsia="zh-CN"/>
                    </w:rPr>
                    <w:t>重点防渗区</w:t>
                  </w:r>
                </w:p>
              </w:tc>
              <w:tc>
                <w:tcPr>
                  <w:tcW w:w="1753" w:type="dxa"/>
                  <w:tcBorders>
                    <w:tl2br w:val="nil"/>
                    <w:tr2bl w:val="nil"/>
                  </w:tcBorders>
                  <w:noWrap w:val="0"/>
                  <w:vAlign w:val="center"/>
                </w:tcPr>
                <w:p w14:paraId="713E5DC5">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rPr>
                      <w:rFonts w:hint="eastAsia" w:cs="Times New Roman"/>
                      <w:color w:val="auto"/>
                      <w:sz w:val="21"/>
                      <w:szCs w:val="16"/>
                      <w:highlight w:val="none"/>
                      <w:lang w:val="en-US" w:eastAsia="zh-CN"/>
                    </w:rPr>
                  </w:pPr>
                  <w:r>
                    <w:rPr>
                      <w:rFonts w:hint="eastAsia" w:cs="Times New Roman"/>
                      <w:color w:val="auto"/>
                      <w:sz w:val="21"/>
                      <w:szCs w:val="16"/>
                      <w:highlight w:val="none"/>
                      <w:lang w:val="en-US" w:eastAsia="zh-CN"/>
                    </w:rPr>
                    <w:t>危废贮存点</w:t>
                  </w:r>
                </w:p>
              </w:tc>
              <w:tc>
                <w:tcPr>
                  <w:tcW w:w="4617" w:type="dxa"/>
                  <w:tcBorders>
                    <w:tl2br w:val="nil"/>
                    <w:tr2bl w:val="nil"/>
                  </w:tcBorders>
                  <w:noWrap w:val="0"/>
                  <w:vAlign w:val="center"/>
                </w:tcPr>
                <w:p w14:paraId="6AEAE247">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rPr>
                      <w:rFonts w:hint="eastAsia" w:ascii="Times New Roman" w:hAnsi="Times New Roman" w:eastAsia="宋体" w:cs="Times New Roman"/>
                      <w:color w:val="auto"/>
                      <w:sz w:val="21"/>
                      <w:szCs w:val="16"/>
                      <w:highlight w:val="none"/>
                      <w:lang w:val="en-US" w:eastAsia="zh-CN"/>
                    </w:rPr>
                  </w:pPr>
                  <w:r>
                    <w:rPr>
                      <w:rFonts w:ascii="Times New Roman" w:hAnsi="Times New Roman" w:cs="Times New Roman"/>
                      <w:color w:val="auto"/>
                      <w:sz w:val="21"/>
                      <w:szCs w:val="16"/>
                    </w:rPr>
                    <w:t>地面与裙脚采用坚固防渗的材料建造，防风、防晒、防雨；基础</w:t>
                  </w:r>
                  <w:r>
                    <w:rPr>
                      <w:rFonts w:hint="eastAsia" w:ascii="Times New Roman" w:hAnsi="Times New Roman" w:cs="Times New Roman"/>
                      <w:color w:val="auto"/>
                      <w:sz w:val="21"/>
                      <w:szCs w:val="16"/>
                    </w:rPr>
                    <w:t>敷设</w:t>
                  </w:r>
                  <w:r>
                    <w:rPr>
                      <w:rFonts w:ascii="Times New Roman" w:hAnsi="Times New Roman" w:cs="Times New Roman"/>
                      <w:color w:val="auto"/>
                      <w:sz w:val="21"/>
                      <w:szCs w:val="16"/>
                    </w:rPr>
                    <w:t>至少2mm厚的高密度聚乙烯防水层，上部敷设10cm厚水泥层，渗透系数应≤1×10</w:t>
                  </w:r>
                  <w:r>
                    <w:rPr>
                      <w:rFonts w:ascii="Times New Roman" w:hAnsi="Times New Roman" w:cs="Times New Roman"/>
                      <w:color w:val="auto"/>
                      <w:sz w:val="21"/>
                      <w:szCs w:val="16"/>
                      <w:vertAlign w:val="superscript"/>
                    </w:rPr>
                    <w:t>-10</w:t>
                  </w:r>
                  <w:r>
                    <w:rPr>
                      <w:rFonts w:ascii="Times New Roman" w:hAnsi="Times New Roman" w:cs="Times New Roman"/>
                      <w:color w:val="auto"/>
                      <w:sz w:val="21"/>
                      <w:szCs w:val="16"/>
                    </w:rPr>
                    <w:t>cm/s</w:t>
                  </w:r>
                </w:p>
              </w:tc>
            </w:tr>
            <w:tr w14:paraId="11CA14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83" w:type="dxa"/>
                  <w:tcBorders>
                    <w:tl2br w:val="nil"/>
                    <w:tr2bl w:val="nil"/>
                  </w:tcBorders>
                  <w:noWrap w:val="0"/>
                  <w:vAlign w:val="center"/>
                </w:tcPr>
                <w:p w14:paraId="21B54495">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宋体" w:cs="Times New Roman"/>
                      <w:color w:val="auto"/>
                      <w:sz w:val="21"/>
                      <w:szCs w:val="16"/>
                      <w:highlight w:val="none"/>
                      <w:lang w:val="en-US" w:eastAsia="zh-CN"/>
                    </w:rPr>
                  </w:pPr>
                  <w:r>
                    <w:rPr>
                      <w:rFonts w:hint="eastAsia" w:ascii="Times New Roman" w:hAnsi="Times New Roman" w:eastAsia="宋体" w:cs="Times New Roman"/>
                      <w:color w:val="auto"/>
                      <w:sz w:val="21"/>
                      <w:szCs w:val="16"/>
                      <w:highlight w:val="none"/>
                      <w:lang w:val="en-US" w:eastAsia="zh-CN"/>
                    </w:rPr>
                    <w:t>2</w:t>
                  </w:r>
                </w:p>
              </w:tc>
              <w:tc>
                <w:tcPr>
                  <w:tcW w:w="1272" w:type="dxa"/>
                  <w:tcBorders>
                    <w:tl2br w:val="nil"/>
                    <w:tr2bl w:val="nil"/>
                  </w:tcBorders>
                  <w:noWrap w:val="0"/>
                  <w:vAlign w:val="center"/>
                </w:tcPr>
                <w:p w14:paraId="7069AFC2">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imes New Roman" w:hAnsi="Times New Roman" w:eastAsia="宋体" w:cs="Times New Roman"/>
                      <w:color w:val="auto"/>
                      <w:sz w:val="21"/>
                      <w:szCs w:val="16"/>
                      <w:highlight w:val="none"/>
                      <w:lang w:val="en-US" w:eastAsia="zh-CN"/>
                    </w:rPr>
                  </w:pPr>
                  <w:r>
                    <w:rPr>
                      <w:rFonts w:hint="eastAsia" w:ascii="Times New Roman" w:hAnsi="Times New Roman" w:eastAsia="宋体" w:cs="Times New Roman"/>
                      <w:color w:val="auto"/>
                      <w:sz w:val="21"/>
                      <w:szCs w:val="16"/>
                      <w:highlight w:val="none"/>
                      <w:lang w:val="en-US" w:eastAsia="zh-CN"/>
                    </w:rPr>
                    <w:t>一般防渗区</w:t>
                  </w:r>
                </w:p>
              </w:tc>
              <w:tc>
                <w:tcPr>
                  <w:tcW w:w="1753" w:type="dxa"/>
                  <w:tcBorders>
                    <w:tl2br w:val="nil"/>
                    <w:tr2bl w:val="nil"/>
                  </w:tcBorders>
                  <w:noWrap w:val="0"/>
                  <w:vAlign w:val="center"/>
                </w:tcPr>
                <w:p w14:paraId="1328EFC3">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imes New Roman" w:hAnsi="Times New Roman" w:eastAsia="宋体" w:cs="Times New Roman"/>
                      <w:color w:val="auto"/>
                      <w:sz w:val="21"/>
                      <w:szCs w:val="16"/>
                      <w:highlight w:val="none"/>
                      <w:lang w:val="en-US" w:eastAsia="zh-CN"/>
                    </w:rPr>
                  </w:pPr>
                  <w:r>
                    <w:rPr>
                      <w:rFonts w:hint="eastAsia" w:cs="Times New Roman"/>
                      <w:color w:val="auto"/>
                      <w:sz w:val="21"/>
                      <w:szCs w:val="16"/>
                      <w:highlight w:val="none"/>
                      <w:lang w:val="en-US" w:eastAsia="zh-CN"/>
                    </w:rPr>
                    <w:t>煤炭堆场、初期雨水收集池、沉淀池</w:t>
                  </w:r>
                </w:p>
              </w:tc>
              <w:tc>
                <w:tcPr>
                  <w:tcW w:w="4617" w:type="dxa"/>
                  <w:tcBorders>
                    <w:tl2br w:val="nil"/>
                    <w:tr2bl w:val="nil"/>
                  </w:tcBorders>
                  <w:noWrap w:val="0"/>
                  <w:vAlign w:val="center"/>
                </w:tcPr>
                <w:p w14:paraId="65959161">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imes New Roman" w:hAnsi="Times New Roman" w:eastAsia="宋体" w:cs="Times New Roman"/>
                      <w:color w:val="auto"/>
                      <w:sz w:val="21"/>
                      <w:szCs w:val="16"/>
                      <w:highlight w:val="none"/>
                      <w:lang w:val="en-US" w:eastAsia="zh-CN"/>
                    </w:rPr>
                  </w:pPr>
                  <w:r>
                    <w:rPr>
                      <w:rFonts w:hint="eastAsia" w:ascii="Times New Roman" w:hAnsi="Times New Roman" w:eastAsia="宋体" w:cs="Times New Roman"/>
                      <w:color w:val="auto"/>
                      <w:sz w:val="21"/>
                      <w:szCs w:val="16"/>
                      <w:highlight w:val="none"/>
                      <w:lang w:val="en-US" w:eastAsia="zh-CN"/>
                    </w:rPr>
                    <w:t>采用抗渗等级不低于P6级的抗渗混凝土，满足《环境影响评价技术导则 地下水环境》（HJ610-2016）表7中一般防渗区防渗技术要求（等效黏土防渗层Mb≥1.5m，渗透系数≤10</w:t>
                  </w:r>
                  <w:r>
                    <w:rPr>
                      <w:rFonts w:hint="eastAsia" w:ascii="Times New Roman" w:hAnsi="Times New Roman" w:eastAsia="宋体" w:cs="Times New Roman"/>
                      <w:color w:val="auto"/>
                      <w:sz w:val="21"/>
                      <w:szCs w:val="16"/>
                      <w:highlight w:val="none"/>
                      <w:vertAlign w:val="superscript"/>
                      <w:lang w:val="en-US" w:eastAsia="zh-CN"/>
                    </w:rPr>
                    <w:t>-7</w:t>
                  </w:r>
                  <w:r>
                    <w:rPr>
                      <w:rFonts w:hint="eastAsia" w:ascii="Times New Roman" w:hAnsi="Times New Roman" w:eastAsia="宋体" w:cs="Times New Roman"/>
                      <w:color w:val="auto"/>
                      <w:sz w:val="21"/>
                      <w:szCs w:val="16"/>
                      <w:highlight w:val="none"/>
                      <w:lang w:val="en-US" w:eastAsia="zh-CN"/>
                    </w:rPr>
                    <w:t>cm/s）</w:t>
                  </w:r>
                </w:p>
              </w:tc>
            </w:tr>
            <w:tr w14:paraId="466371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83" w:type="dxa"/>
                  <w:tcBorders>
                    <w:tl2br w:val="nil"/>
                    <w:tr2bl w:val="nil"/>
                  </w:tcBorders>
                  <w:noWrap w:val="0"/>
                  <w:vAlign w:val="center"/>
                </w:tcPr>
                <w:p w14:paraId="1C409233">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default" w:ascii="Times New Roman" w:hAnsi="Times New Roman" w:eastAsia="宋体" w:cs="Times New Roman"/>
                      <w:color w:val="auto"/>
                      <w:sz w:val="21"/>
                      <w:szCs w:val="16"/>
                      <w:highlight w:val="none"/>
                      <w:lang w:val="en-US" w:eastAsia="zh-CN"/>
                    </w:rPr>
                  </w:pPr>
                  <w:r>
                    <w:rPr>
                      <w:rFonts w:hint="eastAsia" w:cs="Times New Roman"/>
                      <w:color w:val="auto"/>
                      <w:sz w:val="21"/>
                      <w:szCs w:val="16"/>
                      <w:highlight w:val="none"/>
                      <w:lang w:val="en-US" w:eastAsia="zh-CN"/>
                    </w:rPr>
                    <w:t>3</w:t>
                  </w:r>
                </w:p>
              </w:tc>
              <w:tc>
                <w:tcPr>
                  <w:tcW w:w="1272" w:type="dxa"/>
                  <w:tcBorders>
                    <w:tl2br w:val="nil"/>
                    <w:tr2bl w:val="nil"/>
                  </w:tcBorders>
                  <w:noWrap w:val="0"/>
                  <w:vAlign w:val="center"/>
                </w:tcPr>
                <w:p w14:paraId="564135EA">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imes New Roman" w:hAnsi="Times New Roman" w:eastAsia="宋体" w:cs="Times New Roman"/>
                      <w:color w:val="auto"/>
                      <w:sz w:val="21"/>
                      <w:szCs w:val="16"/>
                      <w:highlight w:val="none"/>
                      <w:lang w:val="en-US" w:eastAsia="zh-CN"/>
                    </w:rPr>
                  </w:pPr>
                  <w:r>
                    <w:rPr>
                      <w:rFonts w:hint="eastAsia" w:ascii="Times New Roman" w:hAnsi="Times New Roman" w:eastAsia="宋体" w:cs="Times New Roman"/>
                      <w:color w:val="auto"/>
                      <w:sz w:val="21"/>
                      <w:szCs w:val="16"/>
                      <w:highlight w:val="none"/>
                      <w:lang w:val="en-US" w:eastAsia="zh-CN"/>
                    </w:rPr>
                    <w:t>简单防渗区</w:t>
                  </w:r>
                </w:p>
              </w:tc>
              <w:tc>
                <w:tcPr>
                  <w:tcW w:w="1753" w:type="dxa"/>
                  <w:tcBorders>
                    <w:tl2br w:val="nil"/>
                    <w:tr2bl w:val="nil"/>
                  </w:tcBorders>
                  <w:noWrap w:val="0"/>
                  <w:vAlign w:val="center"/>
                </w:tcPr>
                <w:p w14:paraId="0466BBB7">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default" w:ascii="Times New Roman" w:hAnsi="Times New Roman" w:eastAsia="宋体" w:cs="Times New Roman"/>
                      <w:color w:val="auto"/>
                      <w:sz w:val="21"/>
                      <w:szCs w:val="16"/>
                      <w:highlight w:val="none"/>
                      <w:lang w:val="en-US" w:eastAsia="zh-CN"/>
                    </w:rPr>
                  </w:pPr>
                  <w:r>
                    <w:rPr>
                      <w:rFonts w:hint="eastAsia" w:ascii="Times New Roman" w:hAnsi="Times New Roman" w:eastAsia="宋体" w:cs="Times New Roman"/>
                      <w:color w:val="auto"/>
                      <w:sz w:val="21"/>
                      <w:szCs w:val="16"/>
                      <w:highlight w:val="none"/>
                      <w:lang w:val="en-US" w:eastAsia="zh-CN"/>
                    </w:rPr>
                    <w:t>除一般防渗区以外的厂区其它建筑区</w:t>
                  </w:r>
                </w:p>
              </w:tc>
              <w:tc>
                <w:tcPr>
                  <w:tcW w:w="4617" w:type="dxa"/>
                  <w:tcBorders>
                    <w:tl2br w:val="nil"/>
                    <w:tr2bl w:val="nil"/>
                  </w:tcBorders>
                  <w:noWrap w:val="0"/>
                  <w:vAlign w:val="center"/>
                </w:tcPr>
                <w:p w14:paraId="4685A004">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imes New Roman" w:hAnsi="Times New Roman" w:eastAsia="宋体" w:cs="Times New Roman"/>
                      <w:color w:val="auto"/>
                      <w:sz w:val="21"/>
                      <w:szCs w:val="16"/>
                      <w:highlight w:val="none"/>
                      <w:lang w:val="en-US" w:eastAsia="zh-CN"/>
                    </w:rPr>
                  </w:pPr>
                  <w:r>
                    <w:rPr>
                      <w:rFonts w:hint="eastAsia" w:ascii="Times New Roman" w:hAnsi="Times New Roman" w:eastAsia="宋体" w:cs="Times New Roman"/>
                      <w:color w:val="auto"/>
                      <w:sz w:val="21"/>
                      <w:szCs w:val="16"/>
                      <w:highlight w:val="none"/>
                      <w:lang w:val="en-US" w:eastAsia="zh-CN"/>
                    </w:rPr>
                    <w:t>水泥硬化</w:t>
                  </w:r>
                </w:p>
              </w:tc>
            </w:tr>
          </w:tbl>
          <w:p w14:paraId="1B94C7F8">
            <w:pPr>
              <w:spacing w:line="360" w:lineRule="auto"/>
              <w:ind w:firstLine="482" w:firstLineChars="200"/>
              <w:rPr>
                <w:rFonts w:hint="eastAsia"/>
                <w:b/>
                <w:bCs/>
                <w:color w:val="auto"/>
                <w:kern w:val="0"/>
                <w:sz w:val="24"/>
                <w:lang w:bidi="ar"/>
              </w:rPr>
            </w:pPr>
            <w:r>
              <w:rPr>
                <w:rFonts w:hint="eastAsia"/>
                <w:b/>
                <w:bCs/>
                <w:color w:val="auto"/>
                <w:kern w:val="0"/>
                <w:sz w:val="24"/>
                <w:lang w:bidi="ar"/>
              </w:rPr>
              <w:t>六、土壤</w:t>
            </w:r>
          </w:p>
          <w:p w14:paraId="128294F2">
            <w:pPr>
              <w:keepLines w:val="0"/>
              <w:pageBreakBefore w:val="0"/>
              <w:topLinePunct w:val="0"/>
              <w:bidi w:val="0"/>
              <w:spacing w:beforeAutospacing="0" w:afterAutospacing="0" w:line="360" w:lineRule="auto"/>
              <w:ind w:left="0" w:leftChars="0" w:right="0" w:rightChars="0" w:firstLine="480" w:firstLineChars="200"/>
              <w:rPr>
                <w:rFonts w:hint="eastAsia" w:ascii="Times New Roman" w:hAnsi="Times New Roman" w:eastAsia="宋体" w:cs="Times New Roman"/>
                <w:color w:val="auto"/>
                <w:kern w:val="0"/>
                <w:sz w:val="24"/>
                <w:szCs w:val="24"/>
                <w:highlight w:val="none"/>
                <w:lang w:val="en-US" w:bidi="ar"/>
              </w:rPr>
            </w:pPr>
            <w:r>
              <w:rPr>
                <w:rFonts w:hint="eastAsia" w:hAnsi="宋体" w:cs="Times New Roman"/>
                <w:color w:val="auto"/>
                <w:sz w:val="24"/>
                <w:szCs w:val="24"/>
                <w:lang w:val="en-US" w:eastAsia="zh-CN"/>
              </w:rPr>
              <w:t>本项目产品运输</w:t>
            </w:r>
            <w:r>
              <w:rPr>
                <w:rFonts w:hint="eastAsia" w:cs="Times New Roman"/>
                <w:color w:val="auto"/>
                <w:kern w:val="0"/>
                <w:sz w:val="24"/>
                <w:szCs w:val="20"/>
                <w:lang w:val="en-US" w:eastAsia="zh-CN" w:bidi="ar-SA"/>
              </w:rPr>
              <w:t>过程中</w:t>
            </w:r>
            <w:r>
              <w:rPr>
                <w:rFonts w:hint="default" w:cs="Times New Roman"/>
                <w:color w:val="auto"/>
                <w:kern w:val="0"/>
                <w:sz w:val="24"/>
                <w:szCs w:val="20"/>
                <w:lang w:val="en-US" w:eastAsia="zh-CN" w:bidi="ar-SA"/>
              </w:rPr>
              <w:t>采</w:t>
            </w:r>
            <w:r>
              <w:rPr>
                <w:rFonts w:hint="eastAsia" w:cs="Times New Roman"/>
                <w:color w:val="auto"/>
                <w:kern w:val="0"/>
                <w:sz w:val="24"/>
                <w:szCs w:val="20"/>
                <w:lang w:val="en-US" w:eastAsia="zh-CN" w:bidi="ar-SA"/>
              </w:rPr>
              <w:t>用苫布覆盖，出厂时车轮进行清洗，防止物料洒落，</w:t>
            </w:r>
            <w:r>
              <w:rPr>
                <w:rFonts w:hint="default" w:cs="Times New Roman"/>
                <w:color w:val="auto"/>
                <w:kern w:val="0"/>
                <w:sz w:val="24"/>
                <w:szCs w:val="20"/>
                <w:lang w:val="en-US" w:eastAsia="zh-CN" w:bidi="ar-SA"/>
              </w:rPr>
              <w:t>减少运输过程中粉尘排放量</w:t>
            </w:r>
            <w:r>
              <w:rPr>
                <w:rFonts w:hint="eastAsia" w:cs="Times New Roman"/>
                <w:color w:val="auto"/>
                <w:kern w:val="0"/>
                <w:sz w:val="24"/>
                <w:szCs w:val="20"/>
                <w:lang w:val="en-US" w:eastAsia="zh-CN" w:bidi="ar-SA"/>
              </w:rPr>
              <w:t>；</w:t>
            </w:r>
            <w:r>
              <w:rPr>
                <w:rFonts w:hint="eastAsia" w:hAnsi="宋体" w:cs="Times New Roman"/>
                <w:color w:val="auto"/>
                <w:sz w:val="24"/>
                <w:szCs w:val="24"/>
                <w:lang w:val="en-US" w:eastAsia="zh-CN"/>
              </w:rPr>
              <w:t>厂区采用</w:t>
            </w:r>
            <w:r>
              <w:rPr>
                <w:rFonts w:hint="eastAsia" w:ascii="Times New Roman" w:hAnsi="宋体" w:eastAsia="宋体" w:cs="Times New Roman"/>
                <w:color w:val="auto"/>
                <w:sz w:val="24"/>
                <w:szCs w:val="24"/>
                <w:lang w:eastAsia="zh-CN"/>
              </w:rPr>
              <w:t>围挡</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防风抑尘网</w:t>
            </w:r>
            <w:r>
              <w:rPr>
                <w:rFonts w:hint="eastAsia" w:hAnsi="宋体" w:cs="Times New Roman"/>
                <w:color w:val="auto"/>
                <w:sz w:val="24"/>
                <w:szCs w:val="24"/>
                <w:lang w:eastAsia="zh-CN"/>
              </w:rPr>
              <w:t>），</w:t>
            </w:r>
            <w:r>
              <w:rPr>
                <w:rFonts w:hint="eastAsia" w:hAnsi="宋体" w:cs="Times New Roman"/>
                <w:color w:val="auto"/>
                <w:sz w:val="24"/>
                <w:szCs w:val="24"/>
                <w:lang w:val="en-US" w:eastAsia="zh-CN"/>
              </w:rPr>
              <w:t>堆场采用</w:t>
            </w:r>
            <w:r>
              <w:rPr>
                <w:rFonts w:hint="eastAsia" w:ascii="Times New Roman" w:hAnsi="宋体" w:eastAsia="宋体" w:cs="Times New Roman"/>
                <w:color w:val="auto"/>
                <w:sz w:val="24"/>
                <w:szCs w:val="24"/>
                <w:lang w:eastAsia="zh-CN"/>
              </w:rPr>
              <w:t>编织覆盖</w:t>
            </w:r>
            <w:r>
              <w:rPr>
                <w:rFonts w:hint="eastAsia" w:hAnsi="宋体" w:cs="Times New Roman"/>
                <w:color w:val="auto"/>
                <w:sz w:val="24"/>
                <w:szCs w:val="24"/>
                <w:lang w:eastAsia="zh-CN"/>
              </w:rPr>
              <w:t>（</w:t>
            </w:r>
            <w:r>
              <w:rPr>
                <w:rFonts w:hint="eastAsia" w:hAnsi="宋体" w:cs="Times New Roman"/>
                <w:color w:val="auto"/>
                <w:sz w:val="24"/>
                <w:szCs w:val="24"/>
                <w:lang w:val="en-US" w:eastAsia="zh-CN"/>
              </w:rPr>
              <w:t>防尘网</w:t>
            </w:r>
            <w:r>
              <w:rPr>
                <w:rFonts w:hint="eastAsia" w:hAnsi="宋体" w:cs="Times New Roman"/>
                <w:color w:val="auto"/>
                <w:sz w:val="24"/>
                <w:szCs w:val="24"/>
                <w:lang w:eastAsia="zh-CN"/>
              </w:rPr>
              <w:t>）</w:t>
            </w:r>
            <w:r>
              <w:rPr>
                <w:rFonts w:hint="eastAsia" w:ascii="Times New Roman" w:hAnsi="宋体" w:eastAsia="宋体" w:cs="Times New Roman"/>
                <w:color w:val="auto"/>
                <w:sz w:val="24"/>
                <w:szCs w:val="24"/>
                <w:lang w:eastAsia="zh-CN"/>
              </w:rPr>
              <w:t>方式</w:t>
            </w:r>
            <w:r>
              <w:rPr>
                <w:rFonts w:hint="eastAsia" w:hAnsi="宋体" w:cs="Times New Roman"/>
                <w:color w:val="auto"/>
                <w:sz w:val="24"/>
                <w:szCs w:val="24"/>
                <w:lang w:val="en-US" w:eastAsia="zh-CN"/>
              </w:rPr>
              <w:t>降尘，原料及产品装车和卸车过程采用车辆出入冲洗（高压水枪）方式降尘，降尘后颗粒物以无组织形式排放。</w:t>
            </w:r>
            <w:r>
              <w:rPr>
                <w:rFonts w:hint="eastAsia" w:ascii="Times New Roman" w:hAnsi="Times New Roman" w:eastAsia="宋体" w:cs="Times New Roman"/>
                <w:color w:val="auto"/>
                <w:sz w:val="24"/>
                <w:szCs w:val="20"/>
                <w:highlight w:val="none"/>
                <w:lang w:val="en-US" w:eastAsia="zh-CN"/>
              </w:rPr>
              <w:t>废气中不含重金属或二噁英等物质，不会造成大气沉降影响</w:t>
            </w:r>
            <w:r>
              <w:rPr>
                <w:rFonts w:hint="eastAsia" w:eastAsia="宋体" w:cs="Times New Roman"/>
                <w:color w:val="auto"/>
                <w:sz w:val="24"/>
                <w:szCs w:val="20"/>
                <w:highlight w:val="none"/>
                <w:lang w:val="en-US" w:eastAsia="zh-CN"/>
              </w:rPr>
              <w:t>，处理后废气对土壤环境影响较小</w:t>
            </w:r>
            <w:r>
              <w:rPr>
                <w:rFonts w:hint="eastAsia" w:ascii="Times New Roman" w:hAnsi="Times New Roman" w:eastAsia="宋体" w:cs="Times New Roman"/>
                <w:color w:val="auto"/>
                <w:sz w:val="24"/>
                <w:szCs w:val="20"/>
                <w:highlight w:val="none"/>
                <w:lang w:val="en-US" w:eastAsia="zh-CN"/>
              </w:rPr>
              <w:t>；并且</w:t>
            </w:r>
            <w:r>
              <w:rPr>
                <w:rFonts w:hint="eastAsia" w:ascii="Times New Roman" w:hAnsi="Times New Roman" w:eastAsia="宋体" w:cs="Times New Roman"/>
                <w:color w:val="auto"/>
                <w:kern w:val="0"/>
                <w:sz w:val="24"/>
                <w:lang w:val="en-US" w:eastAsia="zh-CN" w:bidi="ar"/>
              </w:rPr>
              <w:t>本项目一般防渗区为</w:t>
            </w:r>
            <w:r>
              <w:rPr>
                <w:rFonts w:hint="eastAsia" w:cs="Times New Roman"/>
                <w:color w:val="auto"/>
                <w:kern w:val="0"/>
                <w:sz w:val="24"/>
                <w:lang w:val="en-US" w:eastAsia="zh-CN" w:bidi="ar"/>
              </w:rPr>
              <w:t>煤炭堆场、初期雨水收集池、沉淀池</w:t>
            </w:r>
            <w:r>
              <w:rPr>
                <w:rFonts w:hint="eastAsia" w:ascii="Times New Roman" w:hAnsi="Times New Roman" w:eastAsia="宋体" w:cs="Times New Roman"/>
                <w:color w:val="auto"/>
                <w:kern w:val="0"/>
                <w:sz w:val="24"/>
                <w:lang w:val="en-US" w:eastAsia="zh-CN" w:bidi="ar"/>
              </w:rPr>
              <w:t>所在区域及厂区道路，采用抗渗等级不低于P6级的抗渗混凝土，满足《环境影响评价技术导则 地下水环境》（HJ610-2016）表7中一般防渗区防渗技术要求（等效黏土防渗层Mb≥1.5m，渗透系数≤10</w:t>
            </w:r>
            <w:r>
              <w:rPr>
                <w:rFonts w:hint="eastAsia" w:ascii="Times New Roman" w:hAnsi="Times New Roman" w:eastAsia="宋体" w:cs="Times New Roman"/>
                <w:color w:val="auto"/>
                <w:kern w:val="0"/>
                <w:sz w:val="24"/>
                <w:vertAlign w:val="superscript"/>
                <w:lang w:val="en-US" w:eastAsia="zh-CN" w:bidi="ar"/>
              </w:rPr>
              <w:t>-7</w:t>
            </w:r>
            <w:r>
              <w:rPr>
                <w:rFonts w:hint="eastAsia" w:ascii="Times New Roman" w:hAnsi="Times New Roman" w:eastAsia="宋体" w:cs="Times New Roman"/>
                <w:color w:val="auto"/>
                <w:kern w:val="0"/>
                <w:sz w:val="24"/>
                <w:lang w:val="en-US" w:eastAsia="zh-CN" w:bidi="ar"/>
              </w:rPr>
              <w:t>cm/s）。除一般防渗区以外的厂区其它建筑区，参照《环境影响评价技术导则 地下水环境》(HJ610-2016)表7地下水污染防渗分区参照表中简单防渗区防渗技术要求。</w:t>
            </w:r>
            <w:r>
              <w:rPr>
                <w:rFonts w:hint="eastAsia" w:ascii="Times New Roman" w:hAnsi="Times New Roman" w:eastAsia="宋体" w:cs="Times New Roman"/>
                <w:color w:val="auto"/>
                <w:sz w:val="24"/>
                <w:szCs w:val="20"/>
                <w:highlight w:val="none"/>
                <w:lang w:val="en-US" w:eastAsia="zh-CN"/>
              </w:rPr>
              <w:t>对土壤</w:t>
            </w:r>
            <w:r>
              <w:rPr>
                <w:rFonts w:hint="eastAsia" w:eastAsia="宋体" w:cs="Times New Roman"/>
                <w:color w:val="auto"/>
                <w:sz w:val="24"/>
                <w:szCs w:val="20"/>
                <w:highlight w:val="none"/>
                <w:lang w:val="en-US" w:eastAsia="zh-CN"/>
              </w:rPr>
              <w:t>环境影响较小</w:t>
            </w:r>
            <w:r>
              <w:rPr>
                <w:rFonts w:hint="eastAsia" w:ascii="Times New Roman" w:hAnsi="Times New Roman" w:eastAsia="宋体" w:cs="Times New Roman"/>
                <w:color w:val="auto"/>
                <w:sz w:val="24"/>
                <w:szCs w:val="20"/>
                <w:highlight w:val="none"/>
                <w:lang w:val="en-US" w:eastAsia="zh-CN"/>
              </w:rPr>
              <w:t>。</w:t>
            </w:r>
          </w:p>
          <w:p w14:paraId="019D6492">
            <w:pPr>
              <w:keepLines w:val="0"/>
              <w:pageBreakBefore w:val="0"/>
              <w:topLinePunct w:val="0"/>
              <w:bidi w:val="0"/>
              <w:spacing w:beforeAutospacing="0" w:afterAutospacing="0" w:line="360" w:lineRule="auto"/>
              <w:ind w:left="0" w:leftChars="0" w:right="0" w:rightChars="0" w:firstLine="482" w:firstLineChars="200"/>
              <w:rPr>
                <w:rFonts w:hint="default" w:ascii="Times New Roman" w:hAnsi="Times New Roman" w:eastAsia="宋体" w:cs="Times New Roman"/>
                <w:b/>
                <w:bCs/>
                <w:color w:val="auto"/>
                <w:sz w:val="24"/>
                <w:szCs w:val="24"/>
                <w:highlight w:val="none"/>
                <w:lang w:val="en-US" w:bidi="zh-CN"/>
              </w:rPr>
            </w:pPr>
            <w:r>
              <w:rPr>
                <w:rFonts w:hint="eastAsia" w:cs="Times New Roman"/>
                <w:b/>
                <w:bCs/>
                <w:color w:val="auto"/>
                <w:sz w:val="24"/>
                <w:szCs w:val="24"/>
                <w:highlight w:val="none"/>
                <w:lang w:val="en-US" w:bidi="zh-CN"/>
              </w:rPr>
              <w:t>七</w:t>
            </w:r>
            <w:r>
              <w:rPr>
                <w:rFonts w:hint="default" w:ascii="Times New Roman" w:hAnsi="Times New Roman" w:eastAsia="宋体" w:cs="Times New Roman"/>
                <w:b/>
                <w:bCs/>
                <w:color w:val="auto"/>
                <w:sz w:val="24"/>
                <w:szCs w:val="24"/>
                <w:highlight w:val="none"/>
                <w:lang w:val="en-US" w:bidi="zh-CN"/>
              </w:rPr>
              <w:t>、生态</w:t>
            </w:r>
          </w:p>
          <w:p w14:paraId="5D256F12">
            <w:pPr>
              <w:keepLines w:val="0"/>
              <w:pageBreakBefore w:val="0"/>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bidi="ar"/>
              </w:rPr>
              <w:t>本项目占地范围内无特殊生态敏感区及重要生态敏感区等生态环境保护目标，对周边生态环境影响较小，无需设置相应生态环境保护措施</w:t>
            </w:r>
            <w:r>
              <w:rPr>
                <w:rFonts w:hint="default" w:ascii="Times New Roman" w:hAnsi="Times New Roman" w:eastAsia="宋体" w:cs="Times New Roman"/>
                <w:color w:val="auto"/>
                <w:kern w:val="0"/>
                <w:sz w:val="24"/>
                <w:szCs w:val="24"/>
                <w:highlight w:val="none"/>
                <w:lang w:val="en-US" w:eastAsia="zh-CN" w:bidi="ar"/>
              </w:rPr>
              <w:t>。</w:t>
            </w:r>
          </w:p>
          <w:p w14:paraId="60185BE4">
            <w:pPr>
              <w:keepLines w:val="0"/>
              <w:pageBreakBefore w:val="0"/>
              <w:topLinePunct w:val="0"/>
              <w:bidi w:val="0"/>
              <w:spacing w:beforeAutospacing="0" w:afterAutospacing="0" w:line="360" w:lineRule="auto"/>
              <w:ind w:left="0" w:leftChars="0" w:right="0" w:rightChars="0" w:firstLine="482" w:firstLineChars="200"/>
              <w:rPr>
                <w:rFonts w:hint="default" w:ascii="Times New Roman" w:hAnsi="Times New Roman" w:eastAsia="宋体" w:cs="Times New Roman"/>
                <w:b/>
                <w:bCs/>
                <w:color w:val="auto"/>
                <w:sz w:val="24"/>
                <w:szCs w:val="24"/>
                <w:highlight w:val="none"/>
                <w:lang w:val="en-US" w:bidi="zh-CN"/>
              </w:rPr>
            </w:pPr>
            <w:r>
              <w:rPr>
                <w:rFonts w:hint="eastAsia" w:cs="Times New Roman"/>
                <w:b/>
                <w:bCs/>
                <w:color w:val="auto"/>
                <w:sz w:val="24"/>
                <w:szCs w:val="24"/>
                <w:highlight w:val="none"/>
                <w:lang w:val="en-US" w:bidi="zh-CN"/>
              </w:rPr>
              <w:t>八</w:t>
            </w:r>
            <w:r>
              <w:rPr>
                <w:rFonts w:hint="eastAsia" w:ascii="Times New Roman" w:hAnsi="Times New Roman" w:cs="Times New Roman"/>
                <w:b/>
                <w:bCs/>
                <w:color w:val="auto"/>
                <w:sz w:val="24"/>
                <w:szCs w:val="24"/>
                <w:highlight w:val="none"/>
                <w:lang w:val="en-US" w:bidi="zh-CN"/>
              </w:rPr>
              <w:t>、环境</w:t>
            </w:r>
            <w:r>
              <w:rPr>
                <w:rFonts w:hint="default" w:ascii="Times New Roman" w:hAnsi="Times New Roman" w:eastAsia="宋体" w:cs="Times New Roman"/>
                <w:b/>
                <w:bCs/>
                <w:color w:val="auto"/>
                <w:sz w:val="24"/>
                <w:szCs w:val="24"/>
                <w:highlight w:val="none"/>
                <w:lang w:val="en-US" w:bidi="zh-CN"/>
              </w:rPr>
              <w:t>风险</w:t>
            </w:r>
          </w:p>
          <w:p w14:paraId="22EE0357">
            <w:pPr>
              <w:pStyle w:val="59"/>
              <w:adjustRightInd w:val="0"/>
              <w:snapToGrid w:val="0"/>
              <w:spacing w:line="360" w:lineRule="auto"/>
              <w:ind w:firstLine="480"/>
              <w:rPr>
                <w:rFonts w:eastAsiaTheme="minorEastAsia"/>
                <w:color w:val="auto"/>
              </w:rPr>
            </w:pPr>
            <w:r>
              <w:rPr>
                <w:rFonts w:hint="eastAsia" w:eastAsiaTheme="minorEastAsia"/>
                <w:color w:val="auto"/>
              </w:rPr>
              <w:t>环境风险评价的目的是分析和预测建设项目存在的潜在危险、有害因素，建设项目建设和运行期间可能发生的突发性事件或事故（一般不包括人为破坏及自然灾害），引起有毒有害和易燃易爆等物质泄漏，所造成的人身安全与环境影响和损害程度，提出合理可行的防范、应急与减缓措施，以将风险可能性和危害程度降至最低。</w:t>
            </w:r>
          </w:p>
          <w:p w14:paraId="723F302F">
            <w:pPr>
              <w:pStyle w:val="59"/>
              <w:adjustRightInd w:val="0"/>
              <w:snapToGrid w:val="0"/>
              <w:spacing w:line="360" w:lineRule="auto"/>
              <w:ind w:firstLine="480"/>
              <w:rPr>
                <w:rFonts w:hint="default" w:ascii="Times New Roman" w:hAnsi="Times New Roman" w:cs="Times New Roman" w:eastAsiaTheme="minorEastAsia"/>
                <w:color w:val="auto"/>
              </w:rPr>
            </w:pPr>
            <w:r>
              <w:rPr>
                <w:rFonts w:hint="eastAsia" w:eastAsiaTheme="minorEastAsia"/>
                <w:color w:val="auto"/>
              </w:rPr>
              <w:t>本</w:t>
            </w:r>
            <w:r>
              <w:rPr>
                <w:rFonts w:hint="eastAsia"/>
                <w:color w:val="auto"/>
                <w:lang w:val="en-US" w:eastAsia="zh-CN"/>
              </w:rPr>
              <w:t>项目设备维修和保养过程中会</w:t>
            </w:r>
            <w:r>
              <w:rPr>
                <w:rFonts w:hint="default" w:ascii="Times New Roman" w:hAnsi="Times New Roman" w:cs="Times New Roman"/>
                <w:color w:val="auto"/>
                <w:lang w:val="en-US" w:eastAsia="zh-CN"/>
              </w:rPr>
              <w:t>产生废机油</w:t>
            </w:r>
            <w:r>
              <w:rPr>
                <w:rFonts w:hint="default" w:ascii="Times New Roman" w:hAnsi="Times New Roman" w:cs="Times New Roman" w:eastAsiaTheme="minorEastAsia"/>
                <w:color w:val="auto"/>
              </w:rPr>
              <w:t>。</w:t>
            </w:r>
          </w:p>
          <w:p w14:paraId="142803E9">
            <w:pPr>
              <w:pStyle w:val="59"/>
              <w:adjustRightInd w:val="0"/>
              <w:snapToGrid w:val="0"/>
              <w:spacing w:line="360" w:lineRule="auto"/>
              <w:ind w:firstLine="48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1、风险潜势初判</w:t>
            </w:r>
          </w:p>
          <w:p w14:paraId="7568BC0A">
            <w:pPr>
              <w:pStyle w:val="59"/>
              <w:adjustRightInd w:val="0"/>
              <w:snapToGrid w:val="0"/>
              <w:spacing w:line="360" w:lineRule="auto"/>
              <w:ind w:firstLine="48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（1）物质及工艺系统危险性</w:t>
            </w:r>
          </w:p>
          <w:p w14:paraId="7E100849">
            <w:pPr>
              <w:pStyle w:val="59"/>
              <w:adjustRightInd w:val="0"/>
              <w:snapToGrid w:val="0"/>
              <w:spacing w:line="360" w:lineRule="auto"/>
              <w:ind w:firstLine="48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根据《建设项目环境风险评价技术导则》HJ169-2018 中附录B，本项目涉及的危险物质为</w:t>
            </w:r>
            <w:r>
              <w:rPr>
                <w:rFonts w:hint="eastAsia" w:cs="Times New Roman"/>
                <w:color w:val="auto"/>
                <w:lang w:val="en-US" w:eastAsia="zh-CN"/>
              </w:rPr>
              <w:t>废机油</w:t>
            </w:r>
            <w:r>
              <w:rPr>
                <w:rFonts w:hint="default" w:ascii="Times New Roman" w:hAnsi="Times New Roman" w:cs="Times New Roman" w:eastAsiaTheme="minorEastAsia"/>
                <w:color w:val="auto"/>
              </w:rPr>
              <w:t>。</w:t>
            </w:r>
          </w:p>
          <w:p w14:paraId="0FD1F2FE">
            <w:pPr>
              <w:pStyle w:val="59"/>
              <w:spacing w:line="240" w:lineRule="auto"/>
              <w:ind w:firstLine="422"/>
              <w:jc w:val="center"/>
              <w:rPr>
                <w:rFonts w:hint="eastAsia" w:ascii="Times New Roman" w:hAnsi="Times New Roman" w:eastAsia="宋体" w:cs="Times New Roman"/>
                <w:b/>
                <w:bCs/>
                <w:color w:val="auto"/>
                <w:sz w:val="21"/>
                <w:szCs w:val="16"/>
              </w:rPr>
            </w:pPr>
            <w:r>
              <w:rPr>
                <w:rFonts w:hint="eastAsia" w:ascii="Times New Roman" w:hAnsi="Times New Roman" w:eastAsia="宋体" w:cs="Times New Roman"/>
                <w:b/>
                <w:bCs/>
                <w:color w:val="auto"/>
                <w:sz w:val="21"/>
                <w:szCs w:val="16"/>
              </w:rPr>
              <w:t>表4-</w:t>
            </w:r>
            <w:r>
              <w:rPr>
                <w:rFonts w:hint="eastAsia" w:ascii="Times New Roman" w:hAnsi="Times New Roman" w:eastAsia="宋体" w:cs="Times New Roman"/>
                <w:b/>
                <w:bCs/>
                <w:color w:val="auto"/>
                <w:sz w:val="21"/>
                <w:szCs w:val="16"/>
                <w:lang w:val="en-US" w:eastAsia="zh-CN"/>
              </w:rPr>
              <w:t>1</w:t>
            </w:r>
            <w:r>
              <w:rPr>
                <w:rFonts w:hint="eastAsia" w:cs="Times New Roman"/>
                <w:b/>
                <w:bCs/>
                <w:color w:val="auto"/>
                <w:sz w:val="21"/>
                <w:szCs w:val="16"/>
                <w:lang w:val="en-US" w:eastAsia="zh-CN"/>
              </w:rPr>
              <w:t>4</w:t>
            </w:r>
            <w:r>
              <w:rPr>
                <w:rFonts w:hint="eastAsia" w:ascii="Times New Roman" w:hAnsi="Times New Roman" w:eastAsia="宋体" w:cs="Times New Roman"/>
                <w:b/>
                <w:bCs/>
                <w:color w:val="auto"/>
                <w:sz w:val="21"/>
                <w:szCs w:val="16"/>
              </w:rPr>
              <w:t xml:space="preserve">  废机油的理化性质及危险特性表</w:t>
            </w:r>
          </w:p>
          <w:tbl>
            <w:tblPr>
              <w:tblStyle w:val="39"/>
              <w:tblW w:w="819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3387"/>
              <w:gridCol w:w="3035"/>
            </w:tblGrid>
            <w:tr w14:paraId="128CB6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70" w:type="dxa"/>
                  <w:tcBorders>
                    <w:tl2br w:val="nil"/>
                    <w:tr2bl w:val="nil"/>
                  </w:tcBorders>
                  <w:vAlign w:val="center"/>
                </w:tcPr>
                <w:p w14:paraId="7F20AD82">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物质名称</w:t>
                  </w:r>
                </w:p>
              </w:tc>
              <w:tc>
                <w:tcPr>
                  <w:tcW w:w="6422" w:type="dxa"/>
                  <w:gridSpan w:val="2"/>
                  <w:tcBorders>
                    <w:tl2br w:val="nil"/>
                    <w:tr2bl w:val="nil"/>
                  </w:tcBorders>
                  <w:vAlign w:val="center"/>
                </w:tcPr>
                <w:p w14:paraId="47067D8D">
                  <w:pPr>
                    <w:pStyle w:val="59"/>
                    <w:adjustRightInd w:val="0"/>
                    <w:snapToGrid w:val="0"/>
                    <w:spacing w:line="360" w:lineRule="auto"/>
                    <w:ind w:firstLine="0" w:firstLineChars="0"/>
                    <w:jc w:val="both"/>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废机油/链烷烃</w:t>
                  </w:r>
                </w:p>
              </w:tc>
            </w:tr>
            <w:tr w14:paraId="3A04CC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70" w:type="dxa"/>
                  <w:tcBorders>
                    <w:tl2br w:val="nil"/>
                    <w:tr2bl w:val="nil"/>
                  </w:tcBorders>
                  <w:vAlign w:val="center"/>
                </w:tcPr>
                <w:p w14:paraId="237AFEF4">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危险性类别</w:t>
                  </w:r>
                </w:p>
              </w:tc>
              <w:tc>
                <w:tcPr>
                  <w:tcW w:w="6422" w:type="dxa"/>
                  <w:gridSpan w:val="2"/>
                  <w:tcBorders>
                    <w:tl2br w:val="nil"/>
                    <w:tr2bl w:val="nil"/>
                  </w:tcBorders>
                  <w:vAlign w:val="center"/>
                </w:tcPr>
                <w:p w14:paraId="706DC2ED">
                  <w:pPr>
                    <w:pStyle w:val="59"/>
                    <w:adjustRightInd w:val="0"/>
                    <w:snapToGrid w:val="0"/>
                    <w:spacing w:line="360" w:lineRule="auto"/>
                    <w:ind w:firstLine="0" w:firstLineChars="0"/>
                    <w:jc w:val="both"/>
                    <w:rPr>
                      <w:rFonts w:hint="eastAsia"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rPr>
                    <w:t>易燃，其蒸气与空气可形成爆炸性混合物，遇明火高热能引起燃烧爆炸。与氧化剂接触发生化学反应，甚至引起燃烧。在火场中，受热的容器有爆炸危险蒸气比空气重，沿地面扩散并易积存于低洼处，遇火源会着火回燃</w:t>
                  </w:r>
                  <w:r>
                    <w:rPr>
                      <w:rFonts w:hint="eastAsia" w:ascii="Times New Roman" w:hAnsi="Times New Roman" w:cs="Times New Roman"/>
                      <w:color w:val="auto"/>
                      <w:sz w:val="21"/>
                      <w:szCs w:val="21"/>
                      <w:lang w:eastAsia="zh-CN"/>
                    </w:rPr>
                    <w:t>。</w:t>
                  </w:r>
                </w:p>
              </w:tc>
            </w:tr>
            <w:tr w14:paraId="0BFE27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70" w:type="dxa"/>
                  <w:vMerge w:val="restart"/>
                  <w:tcBorders>
                    <w:tl2br w:val="nil"/>
                    <w:tr2bl w:val="nil"/>
                  </w:tcBorders>
                  <w:vAlign w:val="center"/>
                </w:tcPr>
                <w:p w14:paraId="351DDD6D">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物理性质</w:t>
                  </w:r>
                </w:p>
              </w:tc>
              <w:tc>
                <w:tcPr>
                  <w:tcW w:w="3387" w:type="dxa"/>
                  <w:tcBorders>
                    <w:tl2br w:val="nil"/>
                    <w:tr2bl w:val="nil"/>
                  </w:tcBorders>
                  <w:vAlign w:val="center"/>
                </w:tcPr>
                <w:p w14:paraId="56C74B02">
                  <w:pPr>
                    <w:spacing w:line="360" w:lineRule="auto"/>
                    <w:jc w:val="both"/>
                    <w:rPr>
                      <w:rFonts w:hint="default" w:ascii="Times New Roman" w:hAnsi="Times New Roman" w:cs="Times New Roman" w:eastAsiaTheme="minorEastAsia"/>
                      <w:color w:val="auto"/>
                      <w:szCs w:val="21"/>
                    </w:rPr>
                  </w:pPr>
                  <w:r>
                    <w:rPr>
                      <w:rFonts w:hint="default" w:ascii="Times New Roman" w:hAnsi="Times New Roman" w:cs="Times New Roman"/>
                      <w:color w:val="auto"/>
                      <w:szCs w:val="21"/>
                    </w:rPr>
                    <w:t>熔点=95.3~-94.3℃</w:t>
                  </w:r>
                </w:p>
              </w:tc>
              <w:tc>
                <w:tcPr>
                  <w:tcW w:w="3035" w:type="dxa"/>
                  <w:tcBorders>
                    <w:tl2br w:val="nil"/>
                    <w:tr2bl w:val="nil"/>
                  </w:tcBorders>
                  <w:vAlign w:val="center"/>
                </w:tcPr>
                <w:p w14:paraId="271DFBD0">
                  <w:pPr>
                    <w:spacing w:line="360" w:lineRule="auto"/>
                    <w:jc w:val="both"/>
                    <w:rPr>
                      <w:rFonts w:hint="default" w:ascii="Times New Roman" w:hAnsi="Times New Roman" w:cs="Times New Roman"/>
                      <w:color w:val="auto"/>
                      <w:szCs w:val="21"/>
                    </w:rPr>
                  </w:pPr>
                  <w:r>
                    <w:rPr>
                      <w:rFonts w:hint="default" w:ascii="Times New Roman" w:hAnsi="Times New Roman" w:cs="Times New Roman"/>
                      <w:color w:val="auto"/>
                      <w:szCs w:val="21"/>
                    </w:rPr>
                    <w:t>沸点=69℃</w:t>
                  </w:r>
                </w:p>
              </w:tc>
            </w:tr>
            <w:tr w14:paraId="37F4E2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770" w:type="dxa"/>
                  <w:vMerge w:val="continue"/>
                  <w:tcBorders>
                    <w:tl2br w:val="nil"/>
                    <w:tr2bl w:val="nil"/>
                  </w:tcBorders>
                  <w:vAlign w:val="center"/>
                </w:tcPr>
                <w:p w14:paraId="56A722CA">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p>
              </w:tc>
              <w:tc>
                <w:tcPr>
                  <w:tcW w:w="3387" w:type="dxa"/>
                  <w:tcBorders>
                    <w:tl2br w:val="nil"/>
                    <w:tr2bl w:val="nil"/>
                  </w:tcBorders>
                  <w:vAlign w:val="center"/>
                </w:tcPr>
                <w:p w14:paraId="76204806">
                  <w:pPr>
                    <w:pStyle w:val="59"/>
                    <w:adjustRightInd w:val="0"/>
                    <w:snapToGrid w:val="0"/>
                    <w:spacing w:line="360" w:lineRule="auto"/>
                    <w:ind w:firstLine="0" w:firstLineChars="0"/>
                    <w:jc w:val="both"/>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相对密度（水=1）=0.66</w:t>
                  </w:r>
                </w:p>
              </w:tc>
              <w:tc>
                <w:tcPr>
                  <w:tcW w:w="3035" w:type="dxa"/>
                  <w:tcBorders>
                    <w:tl2br w:val="nil"/>
                    <w:tr2bl w:val="nil"/>
                  </w:tcBorders>
                  <w:vAlign w:val="center"/>
                </w:tcPr>
                <w:p w14:paraId="0A3A2641">
                  <w:pPr>
                    <w:pStyle w:val="59"/>
                    <w:adjustRightInd w:val="0"/>
                    <w:snapToGrid w:val="0"/>
                    <w:spacing w:line="360" w:lineRule="auto"/>
                    <w:ind w:firstLine="0" w:firstLineChars="0"/>
                    <w:jc w:val="both"/>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相对蒸汽密度（空气=1）=2.97</w:t>
                  </w:r>
                </w:p>
              </w:tc>
            </w:tr>
            <w:tr w14:paraId="3C43EF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70" w:type="dxa"/>
                  <w:vMerge w:val="continue"/>
                  <w:tcBorders>
                    <w:tl2br w:val="nil"/>
                    <w:tr2bl w:val="nil"/>
                  </w:tcBorders>
                  <w:vAlign w:val="center"/>
                </w:tcPr>
                <w:p w14:paraId="39235244">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p>
              </w:tc>
              <w:tc>
                <w:tcPr>
                  <w:tcW w:w="3387" w:type="dxa"/>
                  <w:tcBorders>
                    <w:tl2br w:val="nil"/>
                    <w:tr2bl w:val="nil"/>
                  </w:tcBorders>
                  <w:vAlign w:val="center"/>
                </w:tcPr>
                <w:p w14:paraId="4F9C6CB8">
                  <w:pPr>
                    <w:pStyle w:val="59"/>
                    <w:adjustRightInd w:val="0"/>
                    <w:snapToGrid w:val="0"/>
                    <w:spacing w:line="360" w:lineRule="auto"/>
                    <w:ind w:firstLine="0" w:firstLineChars="0"/>
                    <w:jc w:val="both"/>
                    <w:rPr>
                      <w:rFonts w:hint="default" w:ascii="Times New Roman" w:hAnsi="Times New Roman" w:cs="Times New Roman" w:eastAsiaTheme="minorEastAsia"/>
                      <w:color w:val="auto"/>
                      <w:sz w:val="21"/>
                      <w:szCs w:val="21"/>
                    </w:rPr>
                  </w:pPr>
                  <w:r>
                    <w:rPr>
                      <w:rFonts w:hint="default" w:ascii="Times New Roman" w:hAnsi="Times New Roman" w:cs="Times New Roman"/>
                      <w:color w:val="auto"/>
                      <w:sz w:val="21"/>
                      <w:szCs w:val="21"/>
                    </w:rPr>
                    <w:t>饱和蒸气压=17kPa（20℃）</w:t>
                  </w:r>
                </w:p>
              </w:tc>
              <w:tc>
                <w:tcPr>
                  <w:tcW w:w="3035" w:type="dxa"/>
                  <w:tcBorders>
                    <w:tl2br w:val="nil"/>
                    <w:tr2bl w:val="nil"/>
                  </w:tcBorders>
                  <w:vAlign w:val="center"/>
                </w:tcPr>
                <w:p w14:paraId="3AF61903">
                  <w:pPr>
                    <w:pStyle w:val="59"/>
                    <w:adjustRightInd w:val="0"/>
                    <w:snapToGrid w:val="0"/>
                    <w:spacing w:line="360" w:lineRule="auto"/>
                    <w:ind w:firstLine="0" w:firstLineChars="0"/>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燃烧热=-4159.1kJ/mol</w:t>
                  </w:r>
                </w:p>
              </w:tc>
            </w:tr>
            <w:tr w14:paraId="70DB33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70" w:type="dxa"/>
                  <w:vMerge w:val="continue"/>
                  <w:tcBorders>
                    <w:tl2br w:val="nil"/>
                    <w:tr2bl w:val="nil"/>
                  </w:tcBorders>
                  <w:vAlign w:val="center"/>
                </w:tcPr>
                <w:p w14:paraId="26E3A796">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p>
              </w:tc>
              <w:tc>
                <w:tcPr>
                  <w:tcW w:w="3387" w:type="dxa"/>
                  <w:tcBorders>
                    <w:tl2br w:val="nil"/>
                    <w:tr2bl w:val="nil"/>
                  </w:tcBorders>
                  <w:vAlign w:val="center"/>
                </w:tcPr>
                <w:p w14:paraId="51F25244">
                  <w:pPr>
                    <w:pStyle w:val="59"/>
                    <w:adjustRightInd w:val="0"/>
                    <w:snapToGrid w:val="0"/>
                    <w:spacing w:line="360" w:lineRule="auto"/>
                    <w:ind w:firstLine="0" w:firstLineChars="0"/>
                    <w:jc w:val="both"/>
                    <w:rPr>
                      <w:rFonts w:hint="default" w:ascii="Times New Roman" w:hAnsi="Times New Roman" w:cs="Times New Roman" w:eastAsiaTheme="minorEastAsia"/>
                      <w:color w:val="auto"/>
                      <w:sz w:val="21"/>
                      <w:szCs w:val="21"/>
                    </w:rPr>
                  </w:pPr>
                  <w:r>
                    <w:rPr>
                      <w:rFonts w:hint="default" w:ascii="Times New Roman" w:hAnsi="Times New Roman" w:cs="Times New Roman"/>
                      <w:color w:val="auto"/>
                      <w:sz w:val="21"/>
                      <w:szCs w:val="21"/>
                    </w:rPr>
                    <w:t>临界压力=1.09MPa</w:t>
                  </w:r>
                </w:p>
              </w:tc>
              <w:tc>
                <w:tcPr>
                  <w:tcW w:w="3035" w:type="dxa"/>
                  <w:tcBorders>
                    <w:tl2br w:val="nil"/>
                    <w:tr2bl w:val="nil"/>
                  </w:tcBorders>
                  <w:vAlign w:val="center"/>
                </w:tcPr>
                <w:p w14:paraId="6FD31C93">
                  <w:pPr>
                    <w:pStyle w:val="59"/>
                    <w:adjustRightInd w:val="0"/>
                    <w:snapToGrid w:val="0"/>
                    <w:spacing w:line="360" w:lineRule="auto"/>
                    <w:ind w:firstLine="0" w:firstLineChars="0"/>
                    <w:jc w:val="both"/>
                    <w:rPr>
                      <w:rFonts w:hint="default" w:ascii="Times New Roman" w:hAnsi="Times New Roman" w:cs="Times New Roman" w:eastAsiaTheme="minorEastAsia"/>
                      <w:color w:val="auto"/>
                      <w:sz w:val="21"/>
                      <w:szCs w:val="21"/>
                    </w:rPr>
                  </w:pPr>
                  <w:r>
                    <w:rPr>
                      <w:rFonts w:hint="default" w:ascii="Times New Roman" w:hAnsi="Times New Roman" w:cs="Times New Roman"/>
                      <w:color w:val="auto"/>
                      <w:sz w:val="21"/>
                      <w:szCs w:val="21"/>
                    </w:rPr>
                    <w:t>辛醇/水分配系数=1.9</w:t>
                  </w:r>
                </w:p>
              </w:tc>
            </w:tr>
            <w:tr w14:paraId="6FC06A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70" w:type="dxa"/>
                  <w:vMerge w:val="continue"/>
                  <w:tcBorders>
                    <w:tl2br w:val="nil"/>
                    <w:tr2bl w:val="nil"/>
                  </w:tcBorders>
                  <w:vAlign w:val="center"/>
                </w:tcPr>
                <w:p w14:paraId="76FE3EE6">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p>
              </w:tc>
              <w:tc>
                <w:tcPr>
                  <w:tcW w:w="3387" w:type="dxa"/>
                  <w:tcBorders>
                    <w:tl2br w:val="nil"/>
                    <w:tr2bl w:val="nil"/>
                  </w:tcBorders>
                  <w:vAlign w:val="center"/>
                </w:tcPr>
                <w:p w14:paraId="289CB261">
                  <w:pPr>
                    <w:pStyle w:val="59"/>
                    <w:adjustRightInd w:val="0"/>
                    <w:snapToGrid w:val="0"/>
                    <w:spacing w:line="360" w:lineRule="auto"/>
                    <w:ind w:firstLine="0" w:firstLineChars="0"/>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闪点=22℃</w:t>
                  </w:r>
                </w:p>
              </w:tc>
              <w:tc>
                <w:tcPr>
                  <w:tcW w:w="3035" w:type="dxa"/>
                  <w:tcBorders>
                    <w:tl2br w:val="nil"/>
                    <w:tr2bl w:val="nil"/>
                  </w:tcBorders>
                  <w:vAlign w:val="center"/>
                </w:tcPr>
                <w:p w14:paraId="73D83C89">
                  <w:pPr>
                    <w:pStyle w:val="59"/>
                    <w:adjustRightInd w:val="0"/>
                    <w:snapToGrid w:val="0"/>
                    <w:spacing w:line="360" w:lineRule="auto"/>
                    <w:ind w:firstLine="0" w:firstLineChars="0"/>
                    <w:jc w:val="both"/>
                    <w:rPr>
                      <w:rFonts w:hint="default" w:ascii="Times New Roman" w:hAnsi="Times New Roman" w:cs="Times New Roman" w:eastAsiaTheme="minorEastAsia"/>
                      <w:color w:val="auto"/>
                      <w:sz w:val="21"/>
                      <w:szCs w:val="21"/>
                    </w:rPr>
                  </w:pPr>
                  <w:r>
                    <w:rPr>
                      <w:rFonts w:hint="default" w:ascii="Times New Roman" w:hAnsi="Times New Roman" w:cs="Times New Roman"/>
                      <w:color w:val="auto"/>
                      <w:sz w:val="21"/>
                      <w:szCs w:val="21"/>
                    </w:rPr>
                    <w:t>引燃温度=225℃</w:t>
                  </w:r>
                </w:p>
              </w:tc>
            </w:tr>
            <w:tr w14:paraId="337E4B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770" w:type="dxa"/>
                  <w:vMerge w:val="continue"/>
                  <w:tcBorders>
                    <w:tl2br w:val="nil"/>
                    <w:tr2bl w:val="nil"/>
                  </w:tcBorders>
                  <w:vAlign w:val="center"/>
                </w:tcPr>
                <w:p w14:paraId="13DDE63F">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p>
              </w:tc>
              <w:tc>
                <w:tcPr>
                  <w:tcW w:w="3387" w:type="dxa"/>
                  <w:tcBorders>
                    <w:tl2br w:val="nil"/>
                    <w:tr2bl w:val="nil"/>
                  </w:tcBorders>
                  <w:vAlign w:val="center"/>
                </w:tcPr>
                <w:p w14:paraId="30E1F6B5">
                  <w:pPr>
                    <w:pStyle w:val="59"/>
                    <w:adjustRightInd w:val="0"/>
                    <w:snapToGrid w:val="0"/>
                    <w:spacing w:line="360" w:lineRule="auto"/>
                    <w:ind w:firstLine="0" w:firstLineChars="0"/>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爆炸下限=1.1%</w:t>
                  </w:r>
                </w:p>
              </w:tc>
              <w:tc>
                <w:tcPr>
                  <w:tcW w:w="3035" w:type="dxa"/>
                  <w:tcBorders>
                    <w:tl2br w:val="nil"/>
                    <w:tr2bl w:val="nil"/>
                  </w:tcBorders>
                  <w:vAlign w:val="center"/>
                </w:tcPr>
                <w:p w14:paraId="03B21E89">
                  <w:pPr>
                    <w:pStyle w:val="59"/>
                    <w:adjustRightInd w:val="0"/>
                    <w:snapToGrid w:val="0"/>
                    <w:spacing w:line="360" w:lineRule="auto"/>
                    <w:ind w:firstLine="0" w:firstLineChars="0"/>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爆炸上限=7.5%</w:t>
                  </w:r>
                </w:p>
              </w:tc>
            </w:tr>
            <w:tr w14:paraId="43234D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70" w:type="dxa"/>
                  <w:vMerge w:val="continue"/>
                  <w:tcBorders>
                    <w:tl2br w:val="nil"/>
                    <w:tr2bl w:val="nil"/>
                  </w:tcBorders>
                  <w:vAlign w:val="center"/>
                </w:tcPr>
                <w:p w14:paraId="11813F30">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p>
              </w:tc>
              <w:tc>
                <w:tcPr>
                  <w:tcW w:w="6422" w:type="dxa"/>
                  <w:gridSpan w:val="2"/>
                  <w:tcBorders>
                    <w:tl2br w:val="nil"/>
                    <w:tr2bl w:val="nil"/>
                  </w:tcBorders>
                  <w:vAlign w:val="center"/>
                </w:tcPr>
                <w:p w14:paraId="630CD93F">
                  <w:pPr>
                    <w:pStyle w:val="59"/>
                    <w:adjustRightInd w:val="0"/>
                    <w:snapToGrid w:val="0"/>
                    <w:spacing w:line="360" w:lineRule="auto"/>
                    <w:ind w:firstLine="0" w:firstLineChars="0"/>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溶解性:不溶于水，溶于乙醇、乙醚、丙酮、氯仿等多数有机溶剂</w:t>
                  </w:r>
                </w:p>
              </w:tc>
            </w:tr>
            <w:tr w14:paraId="496C1A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70" w:type="dxa"/>
                  <w:tcBorders>
                    <w:tl2br w:val="nil"/>
                    <w:tr2bl w:val="nil"/>
                  </w:tcBorders>
                  <w:vAlign w:val="center"/>
                </w:tcPr>
                <w:p w14:paraId="1B64DBC6">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外观与气味</w:t>
                  </w:r>
                </w:p>
              </w:tc>
              <w:tc>
                <w:tcPr>
                  <w:tcW w:w="6422" w:type="dxa"/>
                  <w:gridSpan w:val="2"/>
                  <w:tcBorders>
                    <w:tl2br w:val="nil"/>
                    <w:tr2bl w:val="nil"/>
                  </w:tcBorders>
                  <w:vAlign w:val="center"/>
                </w:tcPr>
                <w:p w14:paraId="794ED56C">
                  <w:pPr>
                    <w:pStyle w:val="59"/>
                    <w:adjustRightInd w:val="0"/>
                    <w:snapToGrid w:val="0"/>
                    <w:spacing w:line="360" w:lineRule="auto"/>
                    <w:ind w:firstLine="0" w:firstLineChars="0"/>
                    <w:jc w:val="both"/>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高挥发性无色液体，有汽油味</w:t>
                  </w:r>
                </w:p>
              </w:tc>
            </w:tr>
            <w:tr w14:paraId="55FE71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92" w:type="dxa"/>
                  <w:gridSpan w:val="3"/>
                  <w:tcBorders>
                    <w:tl2br w:val="nil"/>
                    <w:tr2bl w:val="nil"/>
                  </w:tcBorders>
                  <w:vAlign w:val="center"/>
                </w:tcPr>
                <w:p w14:paraId="671FE131">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火灾爆炸危险数据</w:t>
                  </w:r>
                </w:p>
              </w:tc>
            </w:tr>
            <w:tr w14:paraId="69BB73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770" w:type="dxa"/>
                  <w:tcBorders>
                    <w:tl2br w:val="nil"/>
                    <w:tr2bl w:val="nil"/>
                  </w:tcBorders>
                  <w:vAlign w:val="center"/>
                </w:tcPr>
                <w:p w14:paraId="781E029E">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灭火剂</w:t>
                  </w:r>
                </w:p>
              </w:tc>
              <w:tc>
                <w:tcPr>
                  <w:tcW w:w="6422" w:type="dxa"/>
                  <w:gridSpan w:val="2"/>
                  <w:tcBorders>
                    <w:tl2br w:val="nil"/>
                    <w:tr2bl w:val="nil"/>
                  </w:tcBorders>
                  <w:vAlign w:val="center"/>
                </w:tcPr>
                <w:p w14:paraId="51C40257">
                  <w:pPr>
                    <w:pStyle w:val="59"/>
                    <w:adjustRightInd w:val="0"/>
                    <w:snapToGrid w:val="0"/>
                    <w:spacing w:line="360" w:lineRule="auto"/>
                    <w:ind w:firstLine="0" w:firstLineChars="0"/>
                    <w:jc w:val="both"/>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用抗溶性泡沫、干粉、二氧化碳、砂土灭火</w:t>
                  </w:r>
                </w:p>
              </w:tc>
            </w:tr>
            <w:tr w14:paraId="09A9F3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70" w:type="dxa"/>
                  <w:tcBorders>
                    <w:tl2br w:val="nil"/>
                    <w:tr2bl w:val="nil"/>
                  </w:tcBorders>
                  <w:vAlign w:val="center"/>
                </w:tcPr>
                <w:p w14:paraId="3A781F73">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危险特性</w:t>
                  </w:r>
                </w:p>
              </w:tc>
              <w:tc>
                <w:tcPr>
                  <w:tcW w:w="6422" w:type="dxa"/>
                  <w:gridSpan w:val="2"/>
                  <w:tcBorders>
                    <w:tl2br w:val="nil"/>
                    <w:tr2bl w:val="nil"/>
                  </w:tcBorders>
                  <w:vAlign w:val="center"/>
                </w:tcPr>
                <w:p w14:paraId="01D68B56">
                  <w:pPr>
                    <w:pStyle w:val="59"/>
                    <w:adjustRightInd w:val="0"/>
                    <w:snapToGrid w:val="0"/>
                    <w:spacing w:line="360" w:lineRule="auto"/>
                    <w:ind w:firstLine="0" w:firstLineChars="0"/>
                    <w:jc w:val="both"/>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高闪点液体，可燃，并有腐蚀性、属于危险废物</w:t>
                  </w:r>
                </w:p>
              </w:tc>
            </w:tr>
            <w:tr w14:paraId="7ED208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70" w:type="dxa"/>
                  <w:tcBorders>
                    <w:tl2br w:val="nil"/>
                    <w:tr2bl w:val="nil"/>
                  </w:tcBorders>
                  <w:vAlign w:val="center"/>
                </w:tcPr>
                <w:p w14:paraId="11F096AE">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健康危害</w:t>
                  </w:r>
                </w:p>
                <w:p w14:paraId="157626F6">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(急性、慢性)</w:t>
                  </w:r>
                </w:p>
              </w:tc>
              <w:tc>
                <w:tcPr>
                  <w:tcW w:w="6422" w:type="dxa"/>
                  <w:gridSpan w:val="2"/>
                  <w:tcBorders>
                    <w:tl2br w:val="nil"/>
                    <w:tr2bl w:val="nil"/>
                  </w:tcBorders>
                  <w:vAlign w:val="center"/>
                </w:tcPr>
                <w:p w14:paraId="4AF1CFE3">
                  <w:pPr>
                    <w:pStyle w:val="59"/>
                    <w:adjustRightInd w:val="0"/>
                    <w:snapToGrid w:val="0"/>
                    <w:spacing w:line="360" w:lineRule="auto"/>
                    <w:ind w:firstLine="0" w:firstLineChars="0"/>
                    <w:jc w:val="both"/>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本品有麻醉和刺激作用。长期接触可致周围神经炎急性中毒:吸入高浓度本品出现头痛、头晕、恶心、共济失调等，重者引起神志丧失甚至死亡。对眼和上呼吸道有刺激性慢性中毒:长期接触出现头痛、头晕、乏力、胃纳减退:其后四肢远端逐渐发展成感觉异常，麻木，触、痛、震动和位置等感觉减退，尤以下肢为甚，上肢较少受累。进一步发展为下肢无力，肌肉疼痛，肌肉萎缩及运动障碍。神经-肌电图检查示感觉神经及运动神经传导速度减慢。</w:t>
                  </w:r>
                </w:p>
              </w:tc>
            </w:tr>
            <w:tr w14:paraId="3A2C88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70" w:type="dxa"/>
                  <w:tcBorders>
                    <w:tl2br w:val="nil"/>
                    <w:tr2bl w:val="nil"/>
                  </w:tcBorders>
                  <w:vAlign w:val="center"/>
                </w:tcPr>
                <w:p w14:paraId="61C06FE2">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泄漏紧急处理</w:t>
                  </w:r>
                </w:p>
              </w:tc>
              <w:tc>
                <w:tcPr>
                  <w:tcW w:w="6422" w:type="dxa"/>
                  <w:gridSpan w:val="2"/>
                  <w:tcBorders>
                    <w:tl2br w:val="nil"/>
                    <w:tr2bl w:val="nil"/>
                  </w:tcBorders>
                  <w:vAlign w:val="center"/>
                </w:tcPr>
                <w:p w14:paraId="77233841">
                  <w:pPr>
                    <w:pStyle w:val="59"/>
                    <w:adjustRightInd w:val="0"/>
                    <w:snapToGrid w:val="0"/>
                    <w:spacing w:line="360" w:lineRule="auto"/>
                    <w:ind w:firstLine="0" w:firstLineChars="0"/>
                    <w:jc w:val="both"/>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少量溢出时先进行溢流的围堵，避免污染面积扩散，用沙或泥土吸收溢出的液体，然后移至安全地区，以待日后处理。较大面积泄漏时，需使用围油栏对油污进行控制，防止扩散，并使用收油机、油拖网、吸油毡、浮式储油罐进行吸附、收集。</w:t>
                  </w:r>
                </w:p>
              </w:tc>
            </w:tr>
            <w:tr w14:paraId="26BBE1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770" w:type="dxa"/>
                  <w:tcBorders>
                    <w:tl2br w:val="nil"/>
                    <w:tr2bl w:val="nil"/>
                  </w:tcBorders>
                  <w:vAlign w:val="center"/>
                </w:tcPr>
                <w:p w14:paraId="668C6392">
                  <w:pPr>
                    <w:pStyle w:val="59"/>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火灾事故处理</w:t>
                  </w:r>
                </w:p>
              </w:tc>
              <w:tc>
                <w:tcPr>
                  <w:tcW w:w="6422" w:type="dxa"/>
                  <w:gridSpan w:val="2"/>
                  <w:tcBorders>
                    <w:tl2br w:val="nil"/>
                    <w:tr2bl w:val="nil"/>
                  </w:tcBorders>
                  <w:vAlign w:val="center"/>
                </w:tcPr>
                <w:p w14:paraId="1A26D633">
                  <w:pPr>
                    <w:pStyle w:val="59"/>
                    <w:adjustRightInd w:val="0"/>
                    <w:snapToGrid w:val="0"/>
                    <w:spacing w:line="360" w:lineRule="auto"/>
                    <w:ind w:firstLine="0" w:firstLineChars="0"/>
                    <w:jc w:val="both"/>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小型火灾时立刻用储区附近备用的灭火器灭火，如其有迅速扩大之势，应避免靠近，须立即打开消火栓降低着火点及附近油漆的温度，控制火势，避免发生爆炸，待火焰减低后再用灭火器灭之大型火灾时应立刻开启消火栓降温，控制火势，避免爆炸，等待救援。</w:t>
                  </w:r>
                </w:p>
              </w:tc>
            </w:tr>
          </w:tbl>
          <w:p w14:paraId="23CA2AFA">
            <w:pPr>
              <w:pStyle w:val="59"/>
              <w:spacing w:line="240" w:lineRule="auto"/>
              <w:ind w:firstLine="422"/>
              <w:jc w:val="center"/>
              <w:rPr>
                <w:rFonts w:hint="eastAsia" w:ascii="Times New Roman" w:hAnsi="Times New Roman" w:eastAsia="宋体" w:cs="Times New Roman"/>
                <w:b/>
                <w:bCs/>
                <w:color w:val="auto"/>
                <w:sz w:val="21"/>
                <w:szCs w:val="16"/>
              </w:rPr>
            </w:pPr>
            <w:r>
              <w:rPr>
                <w:rFonts w:hint="eastAsia" w:ascii="Times New Roman" w:hAnsi="Times New Roman" w:eastAsia="宋体" w:cs="Times New Roman"/>
                <w:b/>
                <w:bCs/>
                <w:color w:val="auto"/>
                <w:sz w:val="21"/>
                <w:szCs w:val="16"/>
              </w:rPr>
              <w:t>表4-</w:t>
            </w:r>
            <w:r>
              <w:rPr>
                <w:rFonts w:hint="eastAsia" w:cs="Times New Roman"/>
                <w:b/>
                <w:bCs/>
                <w:color w:val="auto"/>
                <w:sz w:val="21"/>
                <w:szCs w:val="16"/>
                <w:lang w:val="en-US" w:eastAsia="zh-CN"/>
              </w:rPr>
              <w:t>15</w:t>
            </w:r>
            <w:r>
              <w:rPr>
                <w:rFonts w:hint="eastAsia" w:ascii="Times New Roman" w:hAnsi="Times New Roman" w:eastAsia="宋体" w:cs="Times New Roman"/>
                <w:b/>
                <w:bCs/>
                <w:color w:val="auto"/>
                <w:sz w:val="21"/>
                <w:szCs w:val="16"/>
              </w:rPr>
              <w:t xml:space="preserve">  危险物质数量与临界量比值</w:t>
            </w:r>
          </w:p>
          <w:tbl>
            <w:tblPr>
              <w:tblStyle w:val="3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38"/>
              <w:gridCol w:w="2562"/>
              <w:gridCol w:w="1305"/>
              <w:gridCol w:w="857"/>
              <w:gridCol w:w="1623"/>
            </w:tblGrid>
            <w:tr w14:paraId="0C7035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738" w:type="dxa"/>
                  <w:tcBorders>
                    <w:tl2br w:val="nil"/>
                    <w:tr2bl w:val="nil"/>
                  </w:tcBorders>
                  <w:vAlign w:val="center"/>
                </w:tcPr>
                <w:p w14:paraId="0B23889C">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单元名称</w:t>
                  </w:r>
                </w:p>
              </w:tc>
              <w:tc>
                <w:tcPr>
                  <w:tcW w:w="2562" w:type="dxa"/>
                  <w:tcBorders>
                    <w:tl2br w:val="nil"/>
                    <w:tr2bl w:val="nil"/>
                  </w:tcBorders>
                  <w:vAlign w:val="center"/>
                </w:tcPr>
                <w:p w14:paraId="5BAD83FC">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危险物质</w:t>
                  </w:r>
                </w:p>
              </w:tc>
              <w:tc>
                <w:tcPr>
                  <w:tcW w:w="1305" w:type="dxa"/>
                  <w:tcBorders>
                    <w:tl2br w:val="nil"/>
                    <w:tr2bl w:val="nil"/>
                  </w:tcBorders>
                  <w:vAlign w:val="center"/>
                </w:tcPr>
                <w:p w14:paraId="3CEA8F1B">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最大存储量</w:t>
                  </w:r>
                </w:p>
              </w:tc>
              <w:tc>
                <w:tcPr>
                  <w:tcW w:w="857" w:type="dxa"/>
                  <w:tcBorders>
                    <w:tl2br w:val="nil"/>
                    <w:tr2bl w:val="nil"/>
                  </w:tcBorders>
                  <w:vAlign w:val="center"/>
                </w:tcPr>
                <w:p w14:paraId="6D3A78AA">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临界量</w:t>
                  </w:r>
                </w:p>
              </w:tc>
              <w:tc>
                <w:tcPr>
                  <w:tcW w:w="1623" w:type="dxa"/>
                  <w:tcBorders>
                    <w:tl2br w:val="nil"/>
                    <w:tr2bl w:val="nil"/>
                  </w:tcBorders>
                  <w:vAlign w:val="center"/>
                </w:tcPr>
                <w:p w14:paraId="73B0FA8C">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drawing>
                      <wp:inline distT="0" distB="0" distL="114300" distR="114300">
                        <wp:extent cx="614680" cy="424815"/>
                        <wp:effectExtent l="0" t="0" r="0" b="139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9"/>
                                <a:stretch>
                                  <a:fillRect/>
                                </a:stretch>
                              </pic:blipFill>
                              <pic:spPr>
                                <a:xfrm>
                                  <a:off x="0" y="0"/>
                                  <a:ext cx="614680" cy="424815"/>
                                </a:xfrm>
                                <a:prstGeom prst="rect">
                                  <a:avLst/>
                                </a:prstGeom>
                                <a:noFill/>
                                <a:ln>
                                  <a:noFill/>
                                </a:ln>
                              </pic:spPr>
                            </pic:pic>
                          </a:graphicData>
                        </a:graphic>
                      </wp:inline>
                    </w:drawing>
                  </w:r>
                </w:p>
              </w:tc>
            </w:tr>
            <w:tr w14:paraId="640732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38" w:type="dxa"/>
                  <w:vMerge w:val="restart"/>
                  <w:tcBorders>
                    <w:tl2br w:val="nil"/>
                    <w:tr2bl w:val="nil"/>
                  </w:tcBorders>
                  <w:vAlign w:val="center"/>
                </w:tcPr>
                <w:p w14:paraId="4A7E8891">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设备维修和保养</w:t>
                  </w:r>
                </w:p>
              </w:tc>
              <w:tc>
                <w:tcPr>
                  <w:tcW w:w="2562" w:type="dxa"/>
                  <w:tcBorders>
                    <w:tl2br w:val="nil"/>
                    <w:tr2bl w:val="nil"/>
                  </w:tcBorders>
                  <w:vAlign w:val="center"/>
                </w:tcPr>
                <w:p w14:paraId="61B08E66">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废机油</w:t>
                  </w:r>
                </w:p>
              </w:tc>
              <w:tc>
                <w:tcPr>
                  <w:tcW w:w="1305" w:type="dxa"/>
                  <w:tcBorders>
                    <w:tl2br w:val="nil"/>
                    <w:tr2bl w:val="nil"/>
                  </w:tcBorders>
                  <w:vAlign w:val="center"/>
                </w:tcPr>
                <w:p w14:paraId="505DD66B">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0.</w:t>
                  </w:r>
                  <w:r>
                    <w:rPr>
                      <w:rFonts w:hint="eastAsia" w:ascii="Times New Roman" w:hAnsi="Times New Roman" w:cs="Times New Roman" w:eastAsiaTheme="minorEastAsia"/>
                      <w:color w:val="auto"/>
                      <w:sz w:val="21"/>
                      <w:szCs w:val="21"/>
                      <w:lang w:val="en-US" w:eastAsia="zh-CN"/>
                    </w:rPr>
                    <w:t>1</w:t>
                  </w:r>
                  <w:r>
                    <w:rPr>
                      <w:rFonts w:hint="default" w:ascii="Times New Roman" w:hAnsi="Times New Roman" w:cs="Times New Roman" w:eastAsiaTheme="minorEastAsia"/>
                      <w:color w:val="auto"/>
                      <w:sz w:val="21"/>
                      <w:szCs w:val="21"/>
                    </w:rPr>
                    <w:t>t</w:t>
                  </w:r>
                </w:p>
              </w:tc>
              <w:tc>
                <w:tcPr>
                  <w:tcW w:w="857" w:type="dxa"/>
                  <w:tcBorders>
                    <w:tl2br w:val="nil"/>
                    <w:tr2bl w:val="nil"/>
                  </w:tcBorders>
                  <w:vAlign w:val="center"/>
                </w:tcPr>
                <w:p w14:paraId="169D167D">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2500t</w:t>
                  </w:r>
                </w:p>
              </w:tc>
              <w:tc>
                <w:tcPr>
                  <w:tcW w:w="1623" w:type="dxa"/>
                  <w:tcBorders>
                    <w:tl2br w:val="nil"/>
                    <w:tr2bl w:val="nil"/>
                  </w:tcBorders>
                  <w:vAlign w:val="center"/>
                </w:tcPr>
                <w:p w14:paraId="2C627D19">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0.00004</w:t>
                  </w:r>
                </w:p>
              </w:tc>
            </w:tr>
            <w:tr w14:paraId="0178C6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38" w:type="dxa"/>
                  <w:vMerge w:val="continue"/>
                  <w:tcBorders>
                    <w:tl2br w:val="nil"/>
                    <w:tr2bl w:val="nil"/>
                  </w:tcBorders>
                  <w:vAlign w:val="center"/>
                </w:tcPr>
                <w:p w14:paraId="5086D1D8">
                  <w:pPr>
                    <w:pStyle w:val="59"/>
                    <w:adjustRightInd w:val="0"/>
                    <w:snapToGrid w:val="0"/>
                    <w:spacing w:line="360" w:lineRule="auto"/>
                    <w:ind w:firstLine="0" w:firstLineChars="0"/>
                    <w:jc w:val="center"/>
                    <w:rPr>
                      <w:rFonts w:hint="default" w:ascii="Times New Roman" w:hAnsi="Times New Roman" w:cs="Times New Roman"/>
                      <w:color w:val="auto"/>
                      <w:sz w:val="21"/>
                      <w:szCs w:val="21"/>
                      <w:lang w:val="en-US" w:eastAsia="zh-CN"/>
                    </w:rPr>
                  </w:pPr>
                </w:p>
              </w:tc>
              <w:tc>
                <w:tcPr>
                  <w:tcW w:w="2562" w:type="dxa"/>
                  <w:tcBorders>
                    <w:tl2br w:val="nil"/>
                    <w:tr2bl w:val="nil"/>
                  </w:tcBorders>
                  <w:vAlign w:val="center"/>
                </w:tcPr>
                <w:p w14:paraId="5A6D6A79">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废含油抹布和含油手套</w:t>
                  </w:r>
                </w:p>
              </w:tc>
              <w:tc>
                <w:tcPr>
                  <w:tcW w:w="1305" w:type="dxa"/>
                  <w:tcBorders>
                    <w:tl2br w:val="nil"/>
                    <w:tr2bl w:val="nil"/>
                  </w:tcBorders>
                  <w:vAlign w:val="center"/>
                </w:tcPr>
                <w:p w14:paraId="73F60D96">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0.0015t</w:t>
                  </w:r>
                </w:p>
              </w:tc>
              <w:tc>
                <w:tcPr>
                  <w:tcW w:w="857" w:type="dxa"/>
                  <w:tcBorders>
                    <w:tl2br w:val="nil"/>
                    <w:tr2bl w:val="nil"/>
                  </w:tcBorders>
                  <w:vAlign w:val="center"/>
                </w:tcPr>
                <w:p w14:paraId="3345E687">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2500t</w:t>
                  </w:r>
                </w:p>
              </w:tc>
              <w:tc>
                <w:tcPr>
                  <w:tcW w:w="1623" w:type="dxa"/>
                  <w:tcBorders>
                    <w:tl2br w:val="nil"/>
                    <w:tr2bl w:val="nil"/>
                  </w:tcBorders>
                  <w:vAlign w:val="center"/>
                </w:tcPr>
                <w:p w14:paraId="1CB6849C">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0.0000006</w:t>
                  </w:r>
                </w:p>
              </w:tc>
            </w:tr>
            <w:tr w14:paraId="280806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462" w:type="dxa"/>
                  <w:gridSpan w:val="4"/>
                  <w:tcBorders>
                    <w:tl2br w:val="nil"/>
                    <w:tr2bl w:val="nil"/>
                  </w:tcBorders>
                  <w:vAlign w:val="center"/>
                </w:tcPr>
                <w:p w14:paraId="6F1543F5">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Q</w:t>
                  </w:r>
                </w:p>
              </w:tc>
              <w:tc>
                <w:tcPr>
                  <w:tcW w:w="1623" w:type="dxa"/>
                  <w:tcBorders>
                    <w:tl2br w:val="nil"/>
                    <w:tr2bl w:val="nil"/>
                  </w:tcBorders>
                  <w:vAlign w:val="center"/>
                </w:tcPr>
                <w:p w14:paraId="79BD9FF0">
                  <w:pPr>
                    <w:pStyle w:val="59"/>
                    <w:adjustRightInd w:val="0"/>
                    <w:snapToGrid w:val="0"/>
                    <w:spacing w:line="360" w:lineRule="auto"/>
                    <w:ind w:firstLine="0" w:firstLineChars="0"/>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0.0000406</w:t>
                  </w:r>
                </w:p>
              </w:tc>
            </w:tr>
          </w:tbl>
          <w:p w14:paraId="1C69C112">
            <w:pPr>
              <w:pStyle w:val="59"/>
              <w:adjustRightInd w:val="0"/>
              <w:snapToGrid w:val="0"/>
              <w:spacing w:line="360" w:lineRule="auto"/>
              <w:ind w:firstLine="48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（2）危险物质及工艺系统危险性（P）分级</w:t>
            </w:r>
          </w:p>
          <w:p w14:paraId="2932DDEF">
            <w:pPr>
              <w:pStyle w:val="59"/>
              <w:adjustRightInd w:val="0"/>
              <w:snapToGrid w:val="0"/>
              <w:spacing w:line="360" w:lineRule="auto"/>
              <w:ind w:firstLine="48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计算所涉及的每种危险物质在厂界内的最大存在总量与其附录B中对应临界量的比值Q。当只涉及一种危险物质时，计算该物质的总量与其临界量比值。</w:t>
            </w:r>
          </w:p>
          <w:p w14:paraId="6F23F5EB">
            <w:pPr>
              <w:pStyle w:val="59"/>
              <w:adjustRightInd w:val="0"/>
              <w:snapToGrid w:val="0"/>
              <w:spacing w:line="360" w:lineRule="auto"/>
              <w:ind w:firstLine="48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根据《建设项目环境风险评价技术导则》（HJ169-2018）中附录B中表B.2其他危险物质临界量推荐值。</w:t>
            </w:r>
          </w:p>
          <w:p w14:paraId="40A60B48">
            <w:pPr>
              <w:pStyle w:val="59"/>
              <w:adjustRightInd w:val="0"/>
              <w:snapToGrid w:val="0"/>
              <w:spacing w:line="360" w:lineRule="auto"/>
              <w:ind w:firstLine="482"/>
              <w:jc w:val="center"/>
              <w:rPr>
                <w:rFonts w:hint="default" w:ascii="Times New Roman" w:hAnsi="Times New Roman" w:cs="Times New Roman" w:eastAsiaTheme="minorEastAsia"/>
                <w:color w:val="auto"/>
              </w:rPr>
            </w:pPr>
            <w:r>
              <w:rPr>
                <w:rFonts w:hint="default" w:ascii="Times New Roman" w:hAnsi="Times New Roman" w:cs="Times New Roman"/>
                <w:b/>
                <w:color w:val="auto"/>
                <w:position w:val="-30"/>
              </w:rPr>
              <w:object>
                <v:shape id="_x0000_i1025" o:spt="75" type="#_x0000_t75" style="height:34pt;width:110pt;" o:ole="t" filled="f" o:preferrelative="t" stroked="f" coordsize="21600,21600">
                  <v:path/>
                  <v:fill on="f" focussize="0,0"/>
                  <v:stroke on="f" joinstyle="miter"/>
                  <v:imagedata r:id="rId21" o:title=""/>
                  <o:lock v:ext="edit" aspectratio="t"/>
                  <w10:wrap type="none"/>
                  <w10:anchorlock/>
                </v:shape>
                <o:OLEObject Type="Embed" ProgID="Equation.3" ShapeID="_x0000_i1025" DrawAspect="Content" ObjectID="_1468075725" r:id="rId20">
                  <o:LockedField>false</o:LockedField>
                </o:OLEObject>
              </w:object>
            </w:r>
          </w:p>
          <w:p w14:paraId="2EF6A9B0">
            <w:pPr>
              <w:pStyle w:val="59"/>
              <w:adjustRightInd w:val="0"/>
              <w:snapToGrid w:val="0"/>
              <w:spacing w:line="360" w:lineRule="auto"/>
              <w:ind w:firstLine="48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式中：</w:t>
            </w:r>
            <w:r>
              <w:rPr>
                <w:rFonts w:hint="default" w:ascii="Times New Roman" w:hAnsi="Times New Roman" w:cs="Times New Roman" w:eastAsiaTheme="minorEastAsia"/>
                <w:color w:val="auto"/>
              </w:rPr>
              <w:drawing>
                <wp:inline distT="0" distB="0" distL="114300" distR="114300">
                  <wp:extent cx="857885" cy="230505"/>
                  <wp:effectExtent l="0" t="0" r="18415" b="17780"/>
                  <wp:docPr id="1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5"/>
                          <pic:cNvPicPr>
                            <a:picLocks noChangeAspect="1"/>
                          </pic:cNvPicPr>
                        </pic:nvPicPr>
                        <pic:blipFill>
                          <a:blip r:embed="rId22"/>
                          <a:stretch>
                            <a:fillRect/>
                          </a:stretch>
                        </pic:blipFill>
                        <pic:spPr>
                          <a:xfrm>
                            <a:off x="0" y="0"/>
                            <a:ext cx="857885" cy="230505"/>
                          </a:xfrm>
                          <a:prstGeom prst="rect">
                            <a:avLst/>
                          </a:prstGeom>
                          <a:noFill/>
                          <a:ln>
                            <a:noFill/>
                          </a:ln>
                        </pic:spPr>
                      </pic:pic>
                    </a:graphicData>
                  </a:graphic>
                </wp:inline>
              </w:drawing>
            </w:r>
            <w:r>
              <w:rPr>
                <w:rFonts w:hint="default" w:ascii="Times New Roman" w:hAnsi="Times New Roman" w:cs="Times New Roman" w:eastAsiaTheme="minorEastAsia"/>
                <w:color w:val="auto"/>
              </w:rPr>
              <w:t>——每种危险物质的最大存在总量，t。</w:t>
            </w:r>
          </w:p>
          <w:p w14:paraId="42F0A3B1">
            <w:pPr>
              <w:pStyle w:val="59"/>
              <w:adjustRightInd w:val="0"/>
              <w:snapToGrid w:val="0"/>
              <w:spacing w:line="360" w:lineRule="auto"/>
              <w:ind w:firstLine="48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drawing>
                <wp:inline distT="0" distB="0" distL="114300" distR="114300">
                  <wp:extent cx="1023620" cy="247015"/>
                  <wp:effectExtent l="0" t="0" r="5080" b="635"/>
                  <wp:docPr id="1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6"/>
                          <pic:cNvPicPr>
                            <a:picLocks noChangeAspect="1"/>
                          </pic:cNvPicPr>
                        </pic:nvPicPr>
                        <pic:blipFill>
                          <a:blip r:embed="rId23"/>
                          <a:stretch>
                            <a:fillRect/>
                          </a:stretch>
                        </pic:blipFill>
                        <pic:spPr>
                          <a:xfrm>
                            <a:off x="0" y="0"/>
                            <a:ext cx="1023620" cy="247015"/>
                          </a:xfrm>
                          <a:prstGeom prst="rect">
                            <a:avLst/>
                          </a:prstGeom>
                          <a:noFill/>
                          <a:ln>
                            <a:noFill/>
                          </a:ln>
                        </pic:spPr>
                      </pic:pic>
                    </a:graphicData>
                  </a:graphic>
                </wp:inline>
              </w:drawing>
            </w:r>
            <w:r>
              <w:rPr>
                <w:rFonts w:hint="default" w:ascii="Times New Roman" w:hAnsi="Times New Roman" w:cs="Times New Roman" w:eastAsiaTheme="minorEastAsia"/>
                <w:color w:val="auto"/>
              </w:rPr>
              <w:t>——每种危险物质的临界量，t。</w:t>
            </w:r>
          </w:p>
          <w:p w14:paraId="3FD62E35">
            <w:pPr>
              <w:pStyle w:val="59"/>
              <w:adjustRightInd w:val="0"/>
              <w:snapToGrid w:val="0"/>
              <w:spacing w:line="360" w:lineRule="auto"/>
              <w:ind w:firstLine="48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当Q＜1时，该项目环境风险潜势为Ⅰ。</w:t>
            </w:r>
          </w:p>
          <w:p w14:paraId="5F9859A3">
            <w:pPr>
              <w:pStyle w:val="59"/>
              <w:adjustRightInd w:val="0"/>
              <w:snapToGrid w:val="0"/>
              <w:spacing w:line="360" w:lineRule="auto"/>
              <w:ind w:firstLine="48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当Q≥1时，将Q值划分为（1）1≤Q＜10（2）10≤Q＜100（3）Q≥100</w:t>
            </w:r>
          </w:p>
          <w:p w14:paraId="7F53AA22">
            <w:pPr>
              <w:pStyle w:val="59"/>
              <w:adjustRightInd w:val="0"/>
              <w:snapToGrid w:val="0"/>
              <w:spacing w:line="360" w:lineRule="auto"/>
              <w:ind w:firstLine="48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本项目Q=0.0000406＜1，本项目环境风险潜势为Ⅰ。</w:t>
            </w:r>
          </w:p>
          <w:p w14:paraId="58C62648">
            <w:pPr>
              <w:pStyle w:val="59"/>
              <w:adjustRightInd w:val="0"/>
              <w:snapToGrid w:val="0"/>
              <w:spacing w:line="360" w:lineRule="auto"/>
              <w:ind w:firstLine="480"/>
              <w:rPr>
                <w:rFonts w:hint="default" w:ascii="Times New Roman" w:hAnsi="Times New Roman" w:cs="Times New Roman" w:eastAsiaTheme="minorEastAsia"/>
                <w:color w:val="auto"/>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3</w:t>
            </w:r>
            <w:r>
              <w:rPr>
                <w:rFonts w:hint="eastAsia" w:ascii="Times New Roman" w:hAnsi="Times New Roman" w:cs="Times New Roman"/>
                <w:color w:val="auto"/>
                <w:lang w:eastAsia="zh-CN"/>
              </w:rPr>
              <w:t>）</w:t>
            </w:r>
            <w:r>
              <w:rPr>
                <w:rFonts w:hint="default" w:ascii="Times New Roman" w:hAnsi="Times New Roman" w:cs="Times New Roman" w:eastAsiaTheme="minorEastAsia"/>
                <w:color w:val="auto"/>
              </w:rPr>
              <w:t>风险源分布：危险废物储存在</w:t>
            </w:r>
            <w:r>
              <w:rPr>
                <w:rFonts w:hint="eastAsia" w:cs="Times New Roman" w:eastAsiaTheme="minorEastAsia"/>
                <w:color w:val="auto"/>
                <w:lang w:eastAsia="zh-CN"/>
              </w:rPr>
              <w:t>危废贮存点</w:t>
            </w:r>
            <w:r>
              <w:rPr>
                <w:rFonts w:hint="default" w:ascii="Times New Roman" w:hAnsi="Times New Roman" w:cs="Times New Roman" w:eastAsiaTheme="minorEastAsia"/>
                <w:color w:val="auto"/>
              </w:rPr>
              <w:t>。</w:t>
            </w:r>
          </w:p>
          <w:p w14:paraId="61147A87">
            <w:pPr>
              <w:pStyle w:val="59"/>
              <w:adjustRightInd w:val="0"/>
              <w:snapToGrid w:val="0"/>
              <w:spacing w:line="360" w:lineRule="auto"/>
              <w:ind w:firstLine="48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（4）环境影响途径：①</w:t>
            </w:r>
            <w:r>
              <w:rPr>
                <w:rFonts w:hint="eastAsia" w:cs="Times New Roman" w:eastAsiaTheme="minorEastAsia"/>
                <w:color w:val="auto"/>
                <w:lang w:eastAsia="zh-CN"/>
              </w:rPr>
              <w:t>危废贮存点</w:t>
            </w:r>
            <w:r>
              <w:rPr>
                <w:rFonts w:hint="default" w:ascii="Times New Roman" w:hAnsi="Times New Roman" w:cs="Times New Roman" w:eastAsiaTheme="minorEastAsia"/>
                <w:color w:val="auto"/>
              </w:rPr>
              <w:t>因管理不善或乱排、乱倒，危废和渗出液可能进入附近土壤和水体。</w:t>
            </w:r>
          </w:p>
          <w:p w14:paraId="3C02D0BC">
            <w:pPr>
              <w:pStyle w:val="59"/>
              <w:adjustRightInd w:val="0"/>
              <w:snapToGrid w:val="0"/>
              <w:spacing w:line="360" w:lineRule="auto"/>
              <w:ind w:firstLine="480"/>
              <w:rPr>
                <w:rFonts w:hint="default" w:ascii="Times New Roman" w:hAnsi="Times New Roman" w:cs="Times New Roman" w:eastAsiaTheme="minorEastAsia"/>
                <w:color w:val="auto"/>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5</w:t>
            </w:r>
            <w:r>
              <w:rPr>
                <w:rFonts w:hint="eastAsia" w:ascii="Times New Roman" w:hAnsi="Times New Roman" w:cs="Times New Roman"/>
                <w:color w:val="auto"/>
                <w:lang w:eastAsia="zh-CN"/>
              </w:rPr>
              <w:t>）</w:t>
            </w:r>
            <w:r>
              <w:rPr>
                <w:rFonts w:hint="default" w:ascii="Times New Roman" w:hAnsi="Times New Roman" w:cs="Times New Roman" w:eastAsiaTheme="minorEastAsia"/>
                <w:color w:val="auto"/>
              </w:rPr>
              <w:t>风险防范措施要求：①管理过程：安排专人负责厂区安全管理，操作人员须经过专业培训；同时对公司员工也应进行消防培训，加强员工安全意识。</w:t>
            </w:r>
          </w:p>
          <w:p w14:paraId="1E976889">
            <w:pPr>
              <w:pStyle w:val="59"/>
              <w:adjustRightInd w:val="0"/>
              <w:snapToGrid w:val="0"/>
              <w:spacing w:line="360" w:lineRule="auto"/>
              <w:ind w:firstLine="48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②贮存过程：仓库管理人员须经过专业知识培训。</w:t>
            </w:r>
          </w:p>
          <w:p w14:paraId="58D7CEA1">
            <w:pPr>
              <w:pStyle w:val="59"/>
              <w:adjustRightInd w:val="0"/>
              <w:snapToGrid w:val="0"/>
              <w:spacing w:line="360" w:lineRule="auto"/>
              <w:ind w:firstLine="48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③运输过程：企业须配备消防器材，有经过消防安全培训合格的驾驶员、押运员；运输包装上应印制清晰的提醒符号或标志。</w:t>
            </w:r>
          </w:p>
          <w:p w14:paraId="7521C465">
            <w:pPr>
              <w:pStyle w:val="59"/>
              <w:adjustRightInd w:val="0"/>
              <w:snapToGrid w:val="0"/>
              <w:spacing w:line="360" w:lineRule="auto"/>
              <w:ind w:firstLine="48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rPr>
              <w:t>④生产过程：企业应做好日常监督检查与维修保养，平时组织专门人员周期性巡回检查，有异常现象及时检修。</w:t>
            </w:r>
          </w:p>
          <w:p w14:paraId="5D0F1AC3">
            <w:pPr>
              <w:keepLines w:val="0"/>
              <w:pageBreakBefore w:val="0"/>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kern w:val="0"/>
                <w:sz w:val="24"/>
                <w:szCs w:val="24"/>
                <w:highlight w:val="none"/>
                <w:lang w:val="en-US" w:eastAsia="zh-CN" w:bidi="ar"/>
              </w:rPr>
            </w:pPr>
          </w:p>
          <w:p w14:paraId="72232A42">
            <w:pPr>
              <w:keepLines w:val="0"/>
              <w:pageBreakBefore w:val="0"/>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kern w:val="0"/>
                <w:sz w:val="24"/>
                <w:szCs w:val="24"/>
                <w:highlight w:val="none"/>
                <w:lang w:val="en-US" w:eastAsia="zh-CN" w:bidi="ar"/>
              </w:rPr>
            </w:pPr>
          </w:p>
          <w:p w14:paraId="24D351EF">
            <w:pPr>
              <w:keepLines w:val="0"/>
              <w:pageBreakBefore w:val="0"/>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kern w:val="0"/>
                <w:sz w:val="24"/>
                <w:szCs w:val="24"/>
                <w:highlight w:val="none"/>
                <w:lang w:val="en-US" w:eastAsia="zh-CN" w:bidi="ar"/>
              </w:rPr>
            </w:pPr>
          </w:p>
          <w:p w14:paraId="41EEA6D2">
            <w:pPr>
              <w:keepLines w:val="0"/>
              <w:pageBreakBefore w:val="0"/>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kern w:val="0"/>
                <w:sz w:val="24"/>
                <w:szCs w:val="24"/>
                <w:highlight w:val="none"/>
                <w:lang w:val="en-US" w:eastAsia="zh-CN" w:bidi="ar"/>
              </w:rPr>
            </w:pPr>
          </w:p>
          <w:p w14:paraId="7B2D7DC6">
            <w:pPr>
              <w:keepLines w:val="0"/>
              <w:pageBreakBefore w:val="0"/>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kern w:val="0"/>
                <w:sz w:val="24"/>
                <w:szCs w:val="24"/>
                <w:highlight w:val="none"/>
                <w:lang w:val="en-US" w:eastAsia="zh-CN" w:bidi="ar"/>
              </w:rPr>
            </w:pPr>
          </w:p>
          <w:p w14:paraId="18BBCC99">
            <w:pPr>
              <w:keepLines w:val="0"/>
              <w:pageBreakBefore w:val="0"/>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kern w:val="0"/>
                <w:sz w:val="24"/>
                <w:szCs w:val="24"/>
                <w:highlight w:val="none"/>
                <w:lang w:val="en-US" w:eastAsia="zh-CN" w:bidi="ar"/>
              </w:rPr>
            </w:pPr>
          </w:p>
          <w:p w14:paraId="292B47CC">
            <w:pPr>
              <w:keepLines w:val="0"/>
              <w:pageBreakBefore w:val="0"/>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kern w:val="0"/>
                <w:sz w:val="24"/>
                <w:szCs w:val="24"/>
                <w:highlight w:val="none"/>
                <w:lang w:val="en-US" w:eastAsia="zh-CN" w:bidi="ar"/>
              </w:rPr>
            </w:pPr>
          </w:p>
          <w:p w14:paraId="141700DF">
            <w:pPr>
              <w:pStyle w:val="59"/>
              <w:adjustRightInd w:val="0"/>
              <w:snapToGrid w:val="0"/>
              <w:spacing w:line="360" w:lineRule="auto"/>
              <w:ind w:left="0" w:leftChars="0" w:firstLine="0" w:firstLineChars="0"/>
              <w:rPr>
                <w:rFonts w:cs="宋体"/>
                <w:b/>
                <w:color w:val="auto"/>
                <w:sz w:val="28"/>
                <w:szCs w:val="28"/>
              </w:rPr>
            </w:pPr>
          </w:p>
        </w:tc>
      </w:tr>
    </w:tbl>
    <w:p w14:paraId="5D9AADA8">
      <w:pPr>
        <w:rPr>
          <w:color w:val="auto"/>
        </w:rPr>
        <w:sectPr>
          <w:pgSz w:w="11907" w:h="16840"/>
          <w:pgMar w:top="1701" w:right="1531" w:bottom="2127" w:left="1531" w:header="851" w:footer="1644" w:gutter="0"/>
          <w:pgBorders>
            <w:top w:val="none" w:sz="0" w:space="0"/>
            <w:left w:val="none" w:sz="0" w:space="0"/>
            <w:bottom w:val="none" w:sz="0" w:space="0"/>
            <w:right w:val="none" w:sz="0" w:space="0"/>
          </w:pgBorders>
          <w:cols w:space="720" w:num="1"/>
          <w:docGrid w:linePitch="312" w:charSpace="0"/>
        </w:sectPr>
      </w:pPr>
    </w:p>
    <w:p w14:paraId="22E9A144">
      <w:pPr>
        <w:pStyle w:val="15"/>
        <w:outlineLvl w:val="0"/>
        <w:rPr>
          <w:rFonts w:ascii="Times New Roman" w:hAnsi="Times New Roman"/>
          <w:snapToGrid w:val="0"/>
          <w:color w:val="auto"/>
          <w:sz w:val="30"/>
          <w:szCs w:val="30"/>
        </w:rPr>
      </w:pPr>
      <w:bookmarkStart w:id="16" w:name="_Toc73523374"/>
      <w:r>
        <w:rPr>
          <w:rFonts w:hint="eastAsia" w:ascii="Times New Roman" w:hAnsi="Times New Roman"/>
          <w:snapToGrid w:val="0"/>
          <w:color w:val="auto"/>
          <w:sz w:val="30"/>
          <w:szCs w:val="30"/>
        </w:rPr>
        <w:t>五、</w:t>
      </w:r>
      <w:bookmarkStart w:id="17" w:name="_Hlk54167917"/>
      <w:r>
        <w:rPr>
          <w:rFonts w:hint="eastAsia" w:ascii="Times New Roman" w:hAnsi="Times New Roman"/>
          <w:snapToGrid w:val="0"/>
          <w:color w:val="auto"/>
          <w:sz w:val="30"/>
          <w:szCs w:val="30"/>
        </w:rPr>
        <w:t>环境保护措施监督检查清单</w:t>
      </w:r>
      <w:bookmarkEnd w:id="16"/>
      <w:bookmarkEnd w:id="17"/>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1973"/>
        <w:gridCol w:w="1425"/>
        <w:gridCol w:w="2433"/>
        <w:gridCol w:w="2081"/>
      </w:tblGrid>
      <w:tr w14:paraId="0379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tcBorders>
              <w:tl2br w:val="single" w:color="auto" w:sz="4" w:space="0"/>
            </w:tcBorders>
          </w:tcPr>
          <w:p w14:paraId="493A1855">
            <w:pPr>
              <w:adjustRightInd w:val="0"/>
              <w:snapToGrid w:val="0"/>
              <w:jc w:val="right"/>
              <w:rPr>
                <w:rFonts w:ascii="宋体" w:hAnsi="宋体" w:cs="宋体"/>
                <w:color w:val="auto"/>
                <w:sz w:val="22"/>
                <w:szCs w:val="22"/>
              </w:rPr>
            </w:pPr>
            <w:r>
              <w:rPr>
                <w:rFonts w:hint="eastAsia" w:ascii="宋体" w:hAnsi="宋体" w:cs="宋体"/>
                <w:color w:val="auto"/>
                <w:sz w:val="22"/>
                <w:szCs w:val="22"/>
              </w:rPr>
              <w:t>内</w:t>
            </w:r>
            <w:r>
              <w:rPr>
                <w:rFonts w:ascii="宋体" w:hAnsi="宋体" w:cs="宋体"/>
                <w:color w:val="auto"/>
                <w:sz w:val="22"/>
                <w:szCs w:val="22"/>
              </w:rPr>
              <w:t>容</w:t>
            </w:r>
          </w:p>
          <w:p w14:paraId="1B4469D5">
            <w:pPr>
              <w:adjustRightInd w:val="0"/>
              <w:snapToGrid w:val="0"/>
              <w:jc w:val="center"/>
              <w:rPr>
                <w:rFonts w:ascii="宋体" w:hAnsi="宋体" w:cs="宋体"/>
                <w:color w:val="auto"/>
                <w:sz w:val="22"/>
                <w:szCs w:val="22"/>
              </w:rPr>
            </w:pPr>
          </w:p>
          <w:p w14:paraId="12F5BBB4">
            <w:pPr>
              <w:adjustRightInd w:val="0"/>
              <w:snapToGrid w:val="0"/>
              <w:jc w:val="left"/>
              <w:rPr>
                <w:rFonts w:ascii="宋体" w:hAnsi="宋体" w:cs="宋体"/>
                <w:color w:val="auto"/>
                <w:sz w:val="22"/>
                <w:szCs w:val="22"/>
              </w:rPr>
            </w:pPr>
            <w:r>
              <w:rPr>
                <w:rFonts w:ascii="宋体" w:hAnsi="宋体" w:cs="宋体"/>
                <w:color w:val="auto"/>
                <w:sz w:val="22"/>
                <w:szCs w:val="22"/>
              </w:rPr>
              <w:t>要素</w:t>
            </w:r>
          </w:p>
        </w:tc>
        <w:tc>
          <w:tcPr>
            <w:tcW w:w="1973" w:type="dxa"/>
            <w:vAlign w:val="center"/>
          </w:tcPr>
          <w:p w14:paraId="34585095">
            <w:pPr>
              <w:adjustRightInd w:val="0"/>
              <w:snapToGrid w:val="0"/>
              <w:jc w:val="center"/>
              <w:rPr>
                <w:rFonts w:ascii="宋体" w:hAnsi="宋体" w:cs="宋体"/>
                <w:color w:val="auto"/>
                <w:sz w:val="22"/>
                <w:szCs w:val="22"/>
              </w:rPr>
            </w:pPr>
            <w:r>
              <w:rPr>
                <w:rFonts w:ascii="宋体" w:hAnsi="宋体" w:cs="宋体"/>
                <w:color w:val="auto"/>
                <w:sz w:val="22"/>
                <w:szCs w:val="22"/>
              </w:rPr>
              <w:t>排放口(编号、名称)/污染源</w:t>
            </w:r>
          </w:p>
        </w:tc>
        <w:tc>
          <w:tcPr>
            <w:tcW w:w="1425" w:type="dxa"/>
            <w:vAlign w:val="center"/>
          </w:tcPr>
          <w:p w14:paraId="38422491">
            <w:pPr>
              <w:adjustRightInd w:val="0"/>
              <w:snapToGrid w:val="0"/>
              <w:jc w:val="center"/>
              <w:rPr>
                <w:rFonts w:ascii="宋体" w:hAnsi="宋体" w:cs="宋体"/>
                <w:color w:val="auto"/>
                <w:sz w:val="22"/>
                <w:szCs w:val="22"/>
              </w:rPr>
            </w:pPr>
            <w:r>
              <w:rPr>
                <w:rFonts w:ascii="宋体" w:hAnsi="宋体" w:cs="宋体"/>
                <w:color w:val="auto"/>
                <w:sz w:val="22"/>
                <w:szCs w:val="22"/>
              </w:rPr>
              <w:t>污染物项目</w:t>
            </w:r>
          </w:p>
        </w:tc>
        <w:tc>
          <w:tcPr>
            <w:tcW w:w="2433" w:type="dxa"/>
            <w:vAlign w:val="center"/>
          </w:tcPr>
          <w:p w14:paraId="7339E284">
            <w:pPr>
              <w:adjustRightInd w:val="0"/>
              <w:snapToGrid w:val="0"/>
              <w:jc w:val="center"/>
              <w:rPr>
                <w:rFonts w:ascii="宋体" w:hAnsi="宋体" w:cs="宋体"/>
                <w:color w:val="auto"/>
                <w:sz w:val="22"/>
                <w:szCs w:val="22"/>
              </w:rPr>
            </w:pPr>
            <w:r>
              <w:rPr>
                <w:rFonts w:ascii="宋体" w:hAnsi="宋体" w:cs="宋体"/>
                <w:color w:val="auto"/>
                <w:sz w:val="22"/>
                <w:szCs w:val="22"/>
              </w:rPr>
              <w:t>环境保护措施</w:t>
            </w:r>
          </w:p>
        </w:tc>
        <w:tc>
          <w:tcPr>
            <w:tcW w:w="2081" w:type="dxa"/>
            <w:vAlign w:val="center"/>
          </w:tcPr>
          <w:p w14:paraId="1A1BDB47">
            <w:pPr>
              <w:adjustRightInd w:val="0"/>
              <w:snapToGrid w:val="0"/>
              <w:jc w:val="center"/>
              <w:rPr>
                <w:rFonts w:ascii="宋体" w:hAnsi="宋体" w:cs="宋体"/>
                <w:color w:val="auto"/>
                <w:sz w:val="22"/>
                <w:szCs w:val="22"/>
              </w:rPr>
            </w:pPr>
            <w:r>
              <w:rPr>
                <w:rFonts w:ascii="宋体" w:hAnsi="宋体" w:cs="宋体"/>
                <w:color w:val="auto"/>
                <w:sz w:val="22"/>
                <w:szCs w:val="22"/>
              </w:rPr>
              <w:t>执行标准</w:t>
            </w:r>
          </w:p>
        </w:tc>
      </w:tr>
      <w:tr w14:paraId="7686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48" w:type="dxa"/>
            <w:vMerge w:val="restart"/>
            <w:vAlign w:val="center"/>
          </w:tcPr>
          <w:p w14:paraId="37E161A8">
            <w:pPr>
              <w:adjustRightInd w:val="0"/>
              <w:snapToGrid w:val="0"/>
              <w:jc w:val="center"/>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大气环境</w:t>
            </w:r>
          </w:p>
        </w:tc>
        <w:tc>
          <w:tcPr>
            <w:tcW w:w="1973" w:type="dxa"/>
            <w:vAlign w:val="center"/>
          </w:tcPr>
          <w:p w14:paraId="75B028CC">
            <w:pPr>
              <w:adjustRightInd w:val="0"/>
              <w:snapToGrid w:val="0"/>
              <w:jc w:val="center"/>
              <w:rPr>
                <w:rFonts w:hint="eastAsia"/>
                <w:color w:val="auto"/>
                <w:sz w:val="22"/>
                <w:szCs w:val="22"/>
                <w:lang w:val="en-US" w:eastAsia="zh-CN"/>
              </w:rPr>
            </w:pPr>
            <w:r>
              <w:rPr>
                <w:rFonts w:hint="eastAsia"/>
                <w:color w:val="auto"/>
                <w:sz w:val="22"/>
                <w:szCs w:val="22"/>
                <w:lang w:val="en-US" w:eastAsia="zh-CN"/>
              </w:rPr>
              <w:t>运输过程</w:t>
            </w:r>
          </w:p>
        </w:tc>
        <w:tc>
          <w:tcPr>
            <w:tcW w:w="1425" w:type="dxa"/>
            <w:vAlign w:val="center"/>
          </w:tcPr>
          <w:p w14:paraId="4852BF21">
            <w:pPr>
              <w:adjustRightInd w:val="0"/>
              <w:snapToGrid w:val="0"/>
              <w:jc w:val="center"/>
              <w:rPr>
                <w:rFonts w:hint="eastAsia"/>
                <w:color w:val="auto"/>
                <w:sz w:val="22"/>
                <w:szCs w:val="22"/>
              </w:rPr>
            </w:pPr>
            <w:r>
              <w:rPr>
                <w:rFonts w:hint="eastAsia"/>
                <w:color w:val="auto"/>
                <w:sz w:val="22"/>
                <w:szCs w:val="22"/>
              </w:rPr>
              <w:t>颗粒物</w:t>
            </w:r>
          </w:p>
        </w:tc>
        <w:tc>
          <w:tcPr>
            <w:tcW w:w="2433" w:type="dxa"/>
            <w:vAlign w:val="center"/>
          </w:tcPr>
          <w:p w14:paraId="28628035">
            <w:pPr>
              <w:adjustRightInd w:val="0"/>
              <w:snapToGrid w:val="0"/>
              <w:jc w:val="center"/>
              <w:rPr>
                <w:rFonts w:hint="eastAsia"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苫布覆盖，</w:t>
            </w:r>
            <w:r>
              <w:rPr>
                <w:rFonts w:hint="eastAsia" w:cs="Times New Roman"/>
                <w:color w:val="auto"/>
                <w:sz w:val="22"/>
                <w:szCs w:val="22"/>
                <w:lang w:val="en-US" w:eastAsia="zh-CN"/>
              </w:rPr>
              <w:t>出厂时车轮进行清洗，防止物料洒落，</w:t>
            </w:r>
            <w:r>
              <w:rPr>
                <w:rFonts w:hint="default" w:ascii="Times New Roman" w:hAnsi="Times New Roman" w:eastAsia="宋体" w:cs="Times New Roman"/>
                <w:color w:val="auto"/>
                <w:sz w:val="22"/>
                <w:szCs w:val="22"/>
                <w:lang w:val="en-US" w:eastAsia="zh-CN"/>
              </w:rPr>
              <w:t>减少运输过程中粉尘排放量</w:t>
            </w:r>
          </w:p>
        </w:tc>
        <w:tc>
          <w:tcPr>
            <w:tcW w:w="2081" w:type="dxa"/>
            <w:vMerge w:val="restart"/>
            <w:vAlign w:val="center"/>
          </w:tcPr>
          <w:p w14:paraId="528F26BC">
            <w:pPr>
              <w:adjustRightInd w:val="0"/>
              <w:snapToGrid w:val="0"/>
              <w:jc w:val="center"/>
              <w:rPr>
                <w:rFonts w:hint="eastAsia"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《煤炭工业污染物排放标准》（GB20426-2006）表5煤炭工业无组织排放限值</w:t>
            </w:r>
          </w:p>
        </w:tc>
      </w:tr>
      <w:tr w14:paraId="3883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trPr>
        <w:tc>
          <w:tcPr>
            <w:tcW w:w="1148" w:type="dxa"/>
            <w:vMerge w:val="continue"/>
            <w:vAlign w:val="center"/>
          </w:tcPr>
          <w:p w14:paraId="0D784367">
            <w:pPr>
              <w:adjustRightInd w:val="0"/>
              <w:snapToGrid w:val="0"/>
              <w:jc w:val="center"/>
              <w:rPr>
                <w:rFonts w:hint="eastAsia" w:ascii="宋体" w:hAnsi="宋体" w:cs="宋体"/>
                <w:color w:val="auto"/>
                <w:sz w:val="22"/>
                <w:szCs w:val="22"/>
                <w:lang w:val="en-US" w:eastAsia="zh-CN"/>
              </w:rPr>
            </w:pPr>
          </w:p>
        </w:tc>
        <w:tc>
          <w:tcPr>
            <w:tcW w:w="1973" w:type="dxa"/>
            <w:vAlign w:val="center"/>
          </w:tcPr>
          <w:p w14:paraId="2C3134F6">
            <w:pPr>
              <w:adjustRightInd w:val="0"/>
              <w:snapToGrid w:val="0"/>
              <w:jc w:val="center"/>
              <w:rPr>
                <w:rFonts w:hint="eastAsia"/>
                <w:color w:val="auto"/>
                <w:sz w:val="22"/>
                <w:szCs w:val="22"/>
                <w:lang w:val="en-US" w:eastAsia="zh-CN"/>
              </w:rPr>
            </w:pPr>
            <w:r>
              <w:rPr>
                <w:rFonts w:hint="eastAsia"/>
                <w:color w:val="auto"/>
                <w:sz w:val="22"/>
                <w:szCs w:val="22"/>
                <w:lang w:val="en-US" w:eastAsia="zh-CN"/>
              </w:rPr>
              <w:t>堆存和装卸过程</w:t>
            </w:r>
          </w:p>
        </w:tc>
        <w:tc>
          <w:tcPr>
            <w:tcW w:w="1425" w:type="dxa"/>
            <w:vAlign w:val="center"/>
          </w:tcPr>
          <w:p w14:paraId="71AA8503">
            <w:pPr>
              <w:adjustRightInd w:val="0"/>
              <w:snapToGrid w:val="0"/>
              <w:jc w:val="center"/>
              <w:rPr>
                <w:rFonts w:hint="eastAsia"/>
                <w:color w:val="auto"/>
                <w:sz w:val="22"/>
                <w:szCs w:val="22"/>
              </w:rPr>
            </w:pPr>
            <w:r>
              <w:rPr>
                <w:rFonts w:hint="eastAsia"/>
                <w:color w:val="auto"/>
                <w:sz w:val="22"/>
                <w:szCs w:val="22"/>
              </w:rPr>
              <w:t>颗粒物</w:t>
            </w:r>
          </w:p>
        </w:tc>
        <w:tc>
          <w:tcPr>
            <w:tcW w:w="2433" w:type="dxa"/>
            <w:vAlign w:val="center"/>
          </w:tcPr>
          <w:p w14:paraId="4CE9EF86">
            <w:pPr>
              <w:adjustRightInd w:val="0"/>
              <w:snapToGrid w:val="0"/>
              <w:jc w:val="center"/>
              <w:rPr>
                <w:rFonts w:hint="eastAsia"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厂区采用围挡（防风抑尘网）</w:t>
            </w:r>
            <w:r>
              <w:rPr>
                <w:rFonts w:hint="eastAsia" w:cs="Times New Roman"/>
                <w:color w:val="auto"/>
                <w:sz w:val="22"/>
                <w:szCs w:val="22"/>
                <w:lang w:val="en-US" w:eastAsia="zh-CN"/>
              </w:rPr>
              <w:t>（</w:t>
            </w:r>
            <w:r>
              <w:rPr>
                <w:rFonts w:hint="eastAsia"/>
                <w:color w:val="auto"/>
                <w:lang w:val="en-US" w:eastAsia="zh-CN"/>
              </w:rPr>
              <w:t>长600m，高4m，面积2400m</w:t>
            </w:r>
            <w:r>
              <w:rPr>
                <w:rFonts w:hint="eastAsia"/>
                <w:color w:val="auto"/>
                <w:vertAlign w:val="superscript"/>
                <w:lang w:val="en-US" w:eastAsia="zh-CN"/>
              </w:rPr>
              <w:t>2</w:t>
            </w:r>
            <w:r>
              <w:rPr>
                <w:rFonts w:hint="eastAsia" w:cs="Times New Roman"/>
                <w:color w:val="auto"/>
                <w:sz w:val="22"/>
                <w:szCs w:val="22"/>
                <w:lang w:val="en-US" w:eastAsia="zh-CN"/>
              </w:rPr>
              <w:t>）</w:t>
            </w:r>
            <w:r>
              <w:rPr>
                <w:rFonts w:hint="eastAsia" w:ascii="Times New Roman" w:hAnsi="Times New Roman" w:eastAsia="宋体" w:cs="Times New Roman"/>
                <w:color w:val="auto"/>
                <w:sz w:val="22"/>
                <w:szCs w:val="22"/>
                <w:lang w:val="en-US" w:eastAsia="zh-CN"/>
              </w:rPr>
              <w:t>，堆场采用编织覆盖（防尘网）方式降尘，原料及产品装车和卸车过程采用车辆出入冲洗（高压水枪）方式降尘</w:t>
            </w:r>
          </w:p>
        </w:tc>
        <w:tc>
          <w:tcPr>
            <w:tcW w:w="2081" w:type="dxa"/>
            <w:vMerge w:val="continue"/>
            <w:vAlign w:val="center"/>
          </w:tcPr>
          <w:p w14:paraId="49E51E58">
            <w:pPr>
              <w:adjustRightInd w:val="0"/>
              <w:snapToGrid w:val="0"/>
              <w:jc w:val="center"/>
              <w:rPr>
                <w:rFonts w:hint="eastAsia" w:ascii="Times New Roman" w:hAnsi="Times New Roman" w:eastAsia="宋体" w:cs="Times New Roman"/>
                <w:color w:val="auto"/>
                <w:sz w:val="22"/>
                <w:szCs w:val="22"/>
                <w:lang w:val="en-US" w:eastAsia="zh-CN"/>
              </w:rPr>
            </w:pPr>
          </w:p>
        </w:tc>
      </w:tr>
      <w:tr w14:paraId="28E7E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148" w:type="dxa"/>
            <w:vMerge w:val="restart"/>
            <w:vAlign w:val="center"/>
          </w:tcPr>
          <w:p w14:paraId="18E35BE7">
            <w:pPr>
              <w:adjustRightInd w:val="0"/>
              <w:snapToGrid w:val="0"/>
              <w:jc w:val="center"/>
              <w:rPr>
                <w:rFonts w:ascii="宋体" w:hAnsi="宋体" w:cs="宋体"/>
                <w:color w:val="auto"/>
                <w:sz w:val="22"/>
                <w:szCs w:val="22"/>
              </w:rPr>
            </w:pPr>
            <w:r>
              <w:rPr>
                <w:rFonts w:ascii="宋体" w:hAnsi="宋体" w:cs="宋体"/>
                <w:color w:val="auto"/>
                <w:sz w:val="22"/>
                <w:szCs w:val="22"/>
              </w:rPr>
              <w:t>地表水</w:t>
            </w:r>
          </w:p>
          <w:p w14:paraId="2EFBE830">
            <w:pPr>
              <w:adjustRightInd w:val="0"/>
              <w:snapToGrid w:val="0"/>
              <w:jc w:val="center"/>
              <w:rPr>
                <w:rFonts w:ascii="宋体" w:hAnsi="宋体" w:cs="宋体"/>
                <w:color w:val="auto"/>
                <w:sz w:val="22"/>
                <w:szCs w:val="22"/>
              </w:rPr>
            </w:pPr>
            <w:r>
              <w:rPr>
                <w:rFonts w:ascii="宋体" w:hAnsi="宋体" w:cs="宋体"/>
                <w:color w:val="auto"/>
                <w:sz w:val="22"/>
                <w:szCs w:val="22"/>
              </w:rPr>
              <w:t>环境</w:t>
            </w:r>
          </w:p>
        </w:tc>
        <w:tc>
          <w:tcPr>
            <w:tcW w:w="1973" w:type="dxa"/>
            <w:vAlign w:val="center"/>
          </w:tcPr>
          <w:p w14:paraId="6C6EBF95">
            <w:pPr>
              <w:adjustRightInd w:val="0"/>
              <w:snapToGrid w:val="0"/>
              <w:jc w:val="center"/>
              <w:rPr>
                <w:color w:val="auto"/>
                <w:sz w:val="22"/>
                <w:szCs w:val="22"/>
              </w:rPr>
            </w:pPr>
            <w:r>
              <w:rPr>
                <w:color w:val="auto"/>
                <w:sz w:val="22"/>
                <w:szCs w:val="22"/>
              </w:rPr>
              <w:t>生活污水</w:t>
            </w:r>
          </w:p>
        </w:tc>
        <w:tc>
          <w:tcPr>
            <w:tcW w:w="1425" w:type="dxa"/>
            <w:vAlign w:val="center"/>
          </w:tcPr>
          <w:p w14:paraId="345432C5">
            <w:pPr>
              <w:adjustRightInd w:val="0"/>
              <w:snapToGrid w:val="0"/>
              <w:jc w:val="center"/>
              <w:rPr>
                <w:color w:val="auto"/>
                <w:sz w:val="22"/>
                <w:szCs w:val="22"/>
              </w:rPr>
            </w:pPr>
            <w:r>
              <w:rPr>
                <w:color w:val="auto"/>
                <w:sz w:val="22"/>
                <w:szCs w:val="22"/>
              </w:rPr>
              <w:t>COD，氨氮</w:t>
            </w:r>
          </w:p>
        </w:tc>
        <w:tc>
          <w:tcPr>
            <w:tcW w:w="2433" w:type="dxa"/>
            <w:vAlign w:val="center"/>
          </w:tcPr>
          <w:p w14:paraId="5C6C97B6">
            <w:pPr>
              <w:adjustRightInd w:val="0"/>
              <w:snapToGrid w:val="0"/>
              <w:jc w:val="center"/>
              <w:rPr>
                <w:rFonts w:hint="default" w:eastAsia="宋体"/>
                <w:color w:val="auto"/>
                <w:sz w:val="22"/>
                <w:szCs w:val="22"/>
                <w:lang w:val="en-US" w:eastAsia="zh-CN"/>
              </w:rPr>
            </w:pPr>
            <w:r>
              <w:rPr>
                <w:rFonts w:hint="eastAsia"/>
                <w:color w:val="auto"/>
                <w:spacing w:val="-2"/>
                <w:sz w:val="22"/>
                <w:szCs w:val="22"/>
                <w:lang w:val="en-US" w:eastAsia="zh-CN"/>
              </w:rPr>
              <w:t>防渗旱厕，</w:t>
            </w:r>
            <w:r>
              <w:rPr>
                <w:rFonts w:hint="eastAsia"/>
                <w:color w:val="auto"/>
                <w:sz w:val="22"/>
                <w:szCs w:val="22"/>
                <w:lang w:val="en-US" w:eastAsia="zh-CN"/>
              </w:rPr>
              <w:t>定期清掏，外运堆肥，不外排</w:t>
            </w:r>
          </w:p>
        </w:tc>
        <w:tc>
          <w:tcPr>
            <w:tcW w:w="2081" w:type="dxa"/>
            <w:vAlign w:val="center"/>
          </w:tcPr>
          <w:p w14:paraId="53AAC735">
            <w:pPr>
              <w:adjustRightInd w:val="0"/>
              <w:snapToGrid w:val="0"/>
              <w:jc w:val="center"/>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w:t>
            </w:r>
          </w:p>
        </w:tc>
      </w:tr>
      <w:tr w14:paraId="2B71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148" w:type="dxa"/>
            <w:vMerge w:val="continue"/>
            <w:vAlign w:val="center"/>
          </w:tcPr>
          <w:p w14:paraId="213747D1">
            <w:pPr>
              <w:adjustRightInd w:val="0"/>
              <w:snapToGrid w:val="0"/>
              <w:jc w:val="center"/>
              <w:rPr>
                <w:rFonts w:ascii="宋体" w:hAnsi="宋体" w:cs="宋体"/>
                <w:color w:val="auto"/>
                <w:sz w:val="22"/>
                <w:szCs w:val="22"/>
              </w:rPr>
            </w:pPr>
          </w:p>
        </w:tc>
        <w:tc>
          <w:tcPr>
            <w:tcW w:w="1973" w:type="dxa"/>
            <w:vAlign w:val="center"/>
          </w:tcPr>
          <w:p w14:paraId="55F67632">
            <w:pPr>
              <w:adjustRightInd w:val="0"/>
              <w:snapToGrid w:val="0"/>
              <w:jc w:val="center"/>
              <w:rPr>
                <w:rFonts w:hint="default" w:eastAsia="宋体"/>
                <w:color w:val="auto"/>
                <w:sz w:val="22"/>
                <w:szCs w:val="22"/>
                <w:lang w:val="en-US" w:eastAsia="zh-CN"/>
              </w:rPr>
            </w:pPr>
            <w:r>
              <w:rPr>
                <w:rFonts w:hint="eastAsia"/>
                <w:color w:val="auto"/>
                <w:sz w:val="22"/>
                <w:szCs w:val="22"/>
                <w:lang w:val="en-US" w:eastAsia="zh-CN"/>
              </w:rPr>
              <w:t>车辆冲洗废水</w:t>
            </w:r>
          </w:p>
        </w:tc>
        <w:tc>
          <w:tcPr>
            <w:tcW w:w="1425" w:type="dxa"/>
            <w:vAlign w:val="center"/>
          </w:tcPr>
          <w:p w14:paraId="50649D5E">
            <w:pPr>
              <w:adjustRightInd w:val="0"/>
              <w:snapToGrid w:val="0"/>
              <w:jc w:val="center"/>
              <w:rPr>
                <w:rFonts w:hint="default" w:eastAsia="宋体"/>
                <w:color w:val="auto"/>
                <w:sz w:val="22"/>
                <w:szCs w:val="22"/>
                <w:lang w:val="en-US" w:eastAsia="zh-CN"/>
              </w:rPr>
            </w:pPr>
            <w:r>
              <w:rPr>
                <w:rFonts w:hint="eastAsia"/>
                <w:color w:val="auto"/>
                <w:sz w:val="22"/>
                <w:szCs w:val="22"/>
                <w:lang w:val="en-US" w:eastAsia="zh-CN"/>
              </w:rPr>
              <w:t>SS</w:t>
            </w:r>
          </w:p>
        </w:tc>
        <w:tc>
          <w:tcPr>
            <w:tcW w:w="2433" w:type="dxa"/>
            <w:vAlign w:val="center"/>
          </w:tcPr>
          <w:p w14:paraId="4A6C48E0">
            <w:pPr>
              <w:adjustRightInd w:val="0"/>
              <w:snapToGrid w:val="0"/>
              <w:jc w:val="center"/>
              <w:rPr>
                <w:rFonts w:hint="default"/>
                <w:color w:val="auto"/>
                <w:spacing w:val="-2"/>
                <w:sz w:val="22"/>
                <w:szCs w:val="22"/>
                <w:lang w:val="en-US" w:eastAsia="zh-CN"/>
              </w:rPr>
            </w:pPr>
            <w:r>
              <w:rPr>
                <w:rFonts w:hint="eastAsia"/>
                <w:color w:val="auto"/>
                <w:spacing w:val="-2"/>
                <w:sz w:val="22"/>
                <w:szCs w:val="22"/>
                <w:lang w:val="en-US" w:eastAsia="zh-CN"/>
              </w:rPr>
              <w:t>经沉淀池</w:t>
            </w:r>
            <w:r>
              <w:rPr>
                <w:rFonts w:hint="eastAsia"/>
                <w:color w:val="auto"/>
                <w:sz w:val="22"/>
                <w:szCs w:val="22"/>
                <w:lang w:val="en-US" w:eastAsia="zh-CN"/>
              </w:rPr>
              <w:t>沉淀后废水全部用于厂区路面降尘</w:t>
            </w:r>
          </w:p>
        </w:tc>
        <w:tc>
          <w:tcPr>
            <w:tcW w:w="2081" w:type="dxa"/>
            <w:vAlign w:val="center"/>
          </w:tcPr>
          <w:p w14:paraId="2F913AF1">
            <w:pPr>
              <w:adjustRightInd w:val="0"/>
              <w:snapToGrid w:val="0"/>
              <w:jc w:val="center"/>
              <w:rPr>
                <w:rFonts w:hint="default"/>
                <w:color w:val="auto"/>
                <w:sz w:val="22"/>
                <w:szCs w:val="22"/>
                <w:lang w:val="en-US" w:eastAsia="zh-CN"/>
              </w:rPr>
            </w:pPr>
            <w:r>
              <w:rPr>
                <w:rFonts w:hint="eastAsia"/>
                <w:color w:val="auto"/>
                <w:sz w:val="22"/>
                <w:szCs w:val="22"/>
                <w:lang w:val="en-US" w:eastAsia="zh-CN"/>
              </w:rPr>
              <w:t>/</w:t>
            </w:r>
          </w:p>
        </w:tc>
      </w:tr>
      <w:tr w14:paraId="01E6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48" w:type="dxa"/>
            <w:vMerge w:val="continue"/>
            <w:vAlign w:val="center"/>
          </w:tcPr>
          <w:p w14:paraId="39EDFD91">
            <w:pPr>
              <w:adjustRightInd w:val="0"/>
              <w:snapToGrid w:val="0"/>
              <w:jc w:val="center"/>
              <w:rPr>
                <w:rFonts w:ascii="宋体" w:hAnsi="宋体" w:cs="宋体"/>
                <w:color w:val="auto"/>
                <w:sz w:val="22"/>
                <w:szCs w:val="22"/>
              </w:rPr>
            </w:pPr>
          </w:p>
        </w:tc>
        <w:tc>
          <w:tcPr>
            <w:tcW w:w="1973" w:type="dxa"/>
            <w:vAlign w:val="center"/>
          </w:tcPr>
          <w:p w14:paraId="5C15F586">
            <w:pPr>
              <w:adjustRightInd w:val="0"/>
              <w:snapToGrid w:val="0"/>
              <w:jc w:val="center"/>
              <w:rPr>
                <w:rFonts w:hint="default"/>
                <w:color w:val="auto"/>
                <w:sz w:val="22"/>
                <w:szCs w:val="22"/>
                <w:lang w:val="en-US" w:eastAsia="zh-CN"/>
              </w:rPr>
            </w:pPr>
            <w:r>
              <w:rPr>
                <w:rFonts w:hint="eastAsia"/>
                <w:color w:val="auto"/>
                <w:sz w:val="22"/>
                <w:szCs w:val="22"/>
                <w:lang w:val="en-US" w:eastAsia="zh-CN"/>
              </w:rPr>
              <w:t>降尘用水</w:t>
            </w:r>
          </w:p>
        </w:tc>
        <w:tc>
          <w:tcPr>
            <w:tcW w:w="1425" w:type="dxa"/>
            <w:vAlign w:val="center"/>
          </w:tcPr>
          <w:p w14:paraId="565DF8C9">
            <w:pPr>
              <w:adjustRightInd w:val="0"/>
              <w:snapToGrid w:val="0"/>
              <w:jc w:val="center"/>
              <w:rPr>
                <w:rFonts w:hint="default"/>
                <w:color w:val="auto"/>
                <w:sz w:val="22"/>
                <w:szCs w:val="22"/>
                <w:lang w:val="en-US" w:eastAsia="zh-CN"/>
              </w:rPr>
            </w:pPr>
            <w:r>
              <w:rPr>
                <w:rFonts w:hint="eastAsia"/>
                <w:color w:val="auto"/>
                <w:sz w:val="22"/>
                <w:szCs w:val="22"/>
                <w:lang w:val="en-US" w:eastAsia="zh-CN"/>
              </w:rPr>
              <w:t>/</w:t>
            </w:r>
          </w:p>
        </w:tc>
        <w:tc>
          <w:tcPr>
            <w:tcW w:w="2433" w:type="dxa"/>
            <w:vAlign w:val="center"/>
          </w:tcPr>
          <w:p w14:paraId="645437F8">
            <w:pPr>
              <w:adjustRightInd w:val="0"/>
              <w:snapToGrid w:val="0"/>
              <w:jc w:val="center"/>
              <w:rPr>
                <w:rFonts w:hint="default"/>
                <w:color w:val="auto"/>
                <w:spacing w:val="-2"/>
                <w:sz w:val="22"/>
                <w:szCs w:val="22"/>
                <w:lang w:val="en-US" w:eastAsia="zh-CN"/>
              </w:rPr>
            </w:pPr>
            <w:r>
              <w:rPr>
                <w:rFonts w:hint="eastAsia"/>
                <w:color w:val="auto"/>
                <w:spacing w:val="-2"/>
                <w:sz w:val="22"/>
                <w:szCs w:val="22"/>
                <w:lang w:val="en-US" w:eastAsia="zh-CN"/>
              </w:rPr>
              <w:t>自然蒸发</w:t>
            </w:r>
          </w:p>
        </w:tc>
        <w:tc>
          <w:tcPr>
            <w:tcW w:w="2081" w:type="dxa"/>
            <w:vAlign w:val="center"/>
          </w:tcPr>
          <w:p w14:paraId="1DB1FF6C">
            <w:pPr>
              <w:adjustRightInd w:val="0"/>
              <w:snapToGrid w:val="0"/>
              <w:jc w:val="center"/>
              <w:rPr>
                <w:rFonts w:hint="default"/>
                <w:color w:val="auto"/>
                <w:sz w:val="22"/>
                <w:szCs w:val="22"/>
                <w:lang w:val="en-US" w:eastAsia="zh-CN"/>
              </w:rPr>
            </w:pPr>
            <w:r>
              <w:rPr>
                <w:rFonts w:hint="eastAsia"/>
                <w:color w:val="auto"/>
                <w:sz w:val="22"/>
                <w:szCs w:val="22"/>
                <w:lang w:val="en-US" w:eastAsia="zh-CN"/>
              </w:rPr>
              <w:t>/</w:t>
            </w:r>
          </w:p>
        </w:tc>
      </w:tr>
      <w:tr w14:paraId="4677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1148" w:type="dxa"/>
            <w:vMerge w:val="continue"/>
            <w:vAlign w:val="center"/>
          </w:tcPr>
          <w:p w14:paraId="20A3C247">
            <w:pPr>
              <w:adjustRightInd w:val="0"/>
              <w:snapToGrid w:val="0"/>
              <w:jc w:val="center"/>
              <w:rPr>
                <w:rFonts w:ascii="宋体" w:hAnsi="宋体" w:cs="宋体"/>
                <w:color w:val="auto"/>
                <w:sz w:val="22"/>
                <w:szCs w:val="22"/>
              </w:rPr>
            </w:pPr>
          </w:p>
        </w:tc>
        <w:tc>
          <w:tcPr>
            <w:tcW w:w="1973" w:type="dxa"/>
            <w:vAlign w:val="center"/>
          </w:tcPr>
          <w:p w14:paraId="14876190">
            <w:pPr>
              <w:adjustRightInd w:val="0"/>
              <w:snapToGrid w:val="0"/>
              <w:jc w:val="center"/>
              <w:rPr>
                <w:rFonts w:hint="default" w:eastAsia="宋体"/>
                <w:color w:val="auto"/>
                <w:sz w:val="22"/>
                <w:szCs w:val="22"/>
                <w:lang w:val="en-US" w:eastAsia="zh-CN"/>
              </w:rPr>
            </w:pPr>
            <w:r>
              <w:rPr>
                <w:rFonts w:hint="eastAsia"/>
                <w:color w:val="auto"/>
                <w:sz w:val="22"/>
                <w:szCs w:val="22"/>
                <w:lang w:val="en-US" w:eastAsia="zh-CN"/>
              </w:rPr>
              <w:t>初期雨水</w:t>
            </w:r>
          </w:p>
        </w:tc>
        <w:tc>
          <w:tcPr>
            <w:tcW w:w="1425" w:type="dxa"/>
            <w:vAlign w:val="center"/>
          </w:tcPr>
          <w:p w14:paraId="613F0BA8">
            <w:pPr>
              <w:adjustRightInd w:val="0"/>
              <w:snapToGrid w:val="0"/>
              <w:jc w:val="center"/>
              <w:rPr>
                <w:rFonts w:hint="eastAsia" w:eastAsia="宋体"/>
                <w:color w:val="auto"/>
                <w:sz w:val="22"/>
                <w:szCs w:val="22"/>
                <w:lang w:val="en-US" w:eastAsia="zh-CN"/>
              </w:rPr>
            </w:pPr>
            <w:r>
              <w:rPr>
                <w:rFonts w:hint="eastAsia"/>
                <w:color w:val="auto"/>
                <w:sz w:val="22"/>
                <w:szCs w:val="22"/>
                <w:lang w:val="en-US" w:eastAsia="zh-CN"/>
              </w:rPr>
              <w:t>SS</w:t>
            </w:r>
          </w:p>
        </w:tc>
        <w:tc>
          <w:tcPr>
            <w:tcW w:w="2433" w:type="dxa"/>
            <w:vAlign w:val="center"/>
          </w:tcPr>
          <w:p w14:paraId="293510DD">
            <w:pPr>
              <w:adjustRightInd w:val="0"/>
              <w:snapToGrid w:val="0"/>
              <w:jc w:val="center"/>
              <w:rPr>
                <w:rFonts w:hint="default"/>
                <w:color w:val="auto"/>
                <w:spacing w:val="-2"/>
                <w:sz w:val="22"/>
                <w:szCs w:val="22"/>
                <w:lang w:val="en-US" w:eastAsia="zh-CN"/>
              </w:rPr>
            </w:pPr>
            <w:r>
              <w:rPr>
                <w:rFonts w:hint="eastAsia"/>
                <w:color w:val="auto"/>
                <w:spacing w:val="-2"/>
                <w:sz w:val="22"/>
                <w:szCs w:val="22"/>
                <w:lang w:val="en-US" w:eastAsia="zh-CN"/>
              </w:rPr>
              <w:t>经雨水导流槽（</w:t>
            </w:r>
            <w:r>
              <w:rPr>
                <w:rFonts w:hint="eastAsia"/>
                <w:color w:val="auto"/>
                <w:szCs w:val="21"/>
                <w:lang w:val="en-US" w:eastAsia="zh-CN"/>
              </w:rPr>
              <w:t>600m</w:t>
            </w:r>
            <w:r>
              <w:rPr>
                <w:rFonts w:hint="eastAsia"/>
                <w:color w:val="auto"/>
                <w:spacing w:val="-2"/>
                <w:sz w:val="22"/>
                <w:szCs w:val="22"/>
                <w:lang w:val="en-US" w:eastAsia="zh-CN"/>
              </w:rPr>
              <w:t>）收集至初期雨水收集池</w:t>
            </w:r>
            <w:r>
              <w:rPr>
                <w:rFonts w:hint="eastAsia"/>
                <w:color w:val="auto"/>
                <w:szCs w:val="21"/>
                <w:lang w:val="en-US" w:eastAsia="zh-CN"/>
              </w:rPr>
              <w:t>（最大容积200m</w:t>
            </w:r>
            <w:r>
              <w:rPr>
                <w:rFonts w:hint="eastAsia"/>
                <w:color w:val="auto"/>
                <w:szCs w:val="21"/>
                <w:vertAlign w:val="superscript"/>
                <w:lang w:val="en-US" w:eastAsia="zh-CN"/>
              </w:rPr>
              <w:t>3</w:t>
            </w:r>
            <w:r>
              <w:rPr>
                <w:rFonts w:hint="eastAsia"/>
                <w:color w:val="auto"/>
                <w:szCs w:val="21"/>
                <w:lang w:val="en-US" w:eastAsia="zh-CN"/>
              </w:rPr>
              <w:t>）</w:t>
            </w:r>
            <w:r>
              <w:rPr>
                <w:rFonts w:hint="eastAsia"/>
                <w:color w:val="auto"/>
                <w:spacing w:val="-2"/>
                <w:sz w:val="22"/>
                <w:szCs w:val="22"/>
                <w:lang w:val="en-US" w:eastAsia="zh-CN"/>
              </w:rPr>
              <w:t>，</w:t>
            </w:r>
            <w:r>
              <w:rPr>
                <w:rFonts w:hint="eastAsia"/>
                <w:color w:val="auto"/>
                <w:sz w:val="22"/>
                <w:szCs w:val="22"/>
                <w:lang w:val="en-US" w:eastAsia="zh-CN"/>
              </w:rPr>
              <w:t>沉淀后全部用于车辆冲洗、厂区路面降尘</w:t>
            </w:r>
          </w:p>
        </w:tc>
        <w:tc>
          <w:tcPr>
            <w:tcW w:w="2081" w:type="dxa"/>
            <w:vAlign w:val="center"/>
          </w:tcPr>
          <w:p w14:paraId="34456B7B">
            <w:pPr>
              <w:adjustRightInd w:val="0"/>
              <w:snapToGrid w:val="0"/>
              <w:jc w:val="center"/>
              <w:rPr>
                <w:rFonts w:hint="default"/>
                <w:color w:val="auto"/>
                <w:sz w:val="22"/>
                <w:szCs w:val="22"/>
                <w:lang w:val="en-US" w:eastAsia="zh-CN"/>
              </w:rPr>
            </w:pPr>
            <w:r>
              <w:rPr>
                <w:rFonts w:hint="eastAsia"/>
                <w:color w:val="auto"/>
                <w:sz w:val="22"/>
                <w:szCs w:val="22"/>
                <w:lang w:val="en-US" w:eastAsia="zh-CN"/>
              </w:rPr>
              <w:t>/</w:t>
            </w:r>
          </w:p>
        </w:tc>
      </w:tr>
      <w:tr w14:paraId="20FE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48" w:type="dxa"/>
            <w:vAlign w:val="center"/>
          </w:tcPr>
          <w:p w14:paraId="49581FE9">
            <w:pPr>
              <w:adjustRightInd w:val="0"/>
              <w:snapToGrid w:val="0"/>
              <w:jc w:val="center"/>
              <w:rPr>
                <w:rFonts w:ascii="宋体" w:hAnsi="宋体" w:cs="宋体"/>
                <w:color w:val="auto"/>
                <w:sz w:val="22"/>
                <w:szCs w:val="22"/>
              </w:rPr>
            </w:pPr>
            <w:r>
              <w:rPr>
                <w:rFonts w:ascii="宋体" w:hAnsi="宋体" w:cs="宋体"/>
                <w:color w:val="auto"/>
                <w:sz w:val="22"/>
                <w:szCs w:val="22"/>
              </w:rPr>
              <w:t>声环境</w:t>
            </w:r>
          </w:p>
        </w:tc>
        <w:tc>
          <w:tcPr>
            <w:tcW w:w="1973" w:type="dxa"/>
            <w:vAlign w:val="center"/>
          </w:tcPr>
          <w:p w14:paraId="41E1A779">
            <w:pPr>
              <w:widowControl/>
              <w:jc w:val="center"/>
              <w:rPr>
                <w:rFonts w:hint="default" w:eastAsia="宋体"/>
                <w:color w:val="auto"/>
                <w:sz w:val="22"/>
                <w:szCs w:val="22"/>
                <w:lang w:val="en-US" w:eastAsia="zh-CN"/>
              </w:rPr>
            </w:pPr>
            <w:r>
              <w:rPr>
                <w:rFonts w:hint="eastAsia"/>
                <w:color w:val="auto"/>
                <w:sz w:val="22"/>
                <w:szCs w:val="22"/>
                <w:lang w:val="en-US" w:eastAsia="zh-CN"/>
              </w:rPr>
              <w:t>铲车、炮雾机、运输车</w:t>
            </w:r>
          </w:p>
        </w:tc>
        <w:tc>
          <w:tcPr>
            <w:tcW w:w="1425" w:type="dxa"/>
            <w:vAlign w:val="center"/>
          </w:tcPr>
          <w:p w14:paraId="48D7E232">
            <w:pPr>
              <w:adjustRightInd w:val="0"/>
              <w:snapToGrid w:val="0"/>
              <w:jc w:val="center"/>
              <w:rPr>
                <w:rFonts w:ascii="宋体" w:hAnsi="宋体" w:cs="宋体"/>
                <w:color w:val="auto"/>
                <w:sz w:val="22"/>
                <w:szCs w:val="22"/>
              </w:rPr>
            </w:pPr>
            <w:r>
              <w:rPr>
                <w:color w:val="auto"/>
                <w:sz w:val="22"/>
                <w:szCs w:val="22"/>
              </w:rPr>
              <w:t>噪声</w:t>
            </w:r>
          </w:p>
        </w:tc>
        <w:tc>
          <w:tcPr>
            <w:tcW w:w="2433" w:type="dxa"/>
            <w:vAlign w:val="center"/>
          </w:tcPr>
          <w:p w14:paraId="422DCC76">
            <w:pPr>
              <w:adjustRightInd w:val="0"/>
              <w:snapToGrid w:val="0"/>
              <w:jc w:val="center"/>
              <w:rPr>
                <w:rFonts w:ascii="宋体" w:hAnsi="宋体" w:cs="宋体"/>
                <w:color w:val="auto"/>
                <w:sz w:val="22"/>
                <w:szCs w:val="22"/>
              </w:rPr>
            </w:pPr>
            <w:r>
              <w:rPr>
                <w:color w:val="auto"/>
                <w:sz w:val="22"/>
                <w:szCs w:val="22"/>
              </w:rPr>
              <w:t>选用低噪声设备，优化厂区布置</w:t>
            </w:r>
          </w:p>
        </w:tc>
        <w:tc>
          <w:tcPr>
            <w:tcW w:w="2081" w:type="dxa"/>
            <w:vAlign w:val="center"/>
          </w:tcPr>
          <w:p w14:paraId="08F3BECB">
            <w:pPr>
              <w:adjustRightInd w:val="0"/>
              <w:snapToGrid w:val="0"/>
              <w:jc w:val="center"/>
              <w:rPr>
                <w:rFonts w:ascii="宋体" w:hAnsi="宋体" w:cs="宋体"/>
                <w:color w:val="auto"/>
                <w:sz w:val="22"/>
                <w:szCs w:val="22"/>
              </w:rPr>
            </w:pPr>
            <w:r>
              <w:rPr>
                <w:color w:val="auto"/>
                <w:sz w:val="22"/>
                <w:szCs w:val="22"/>
              </w:rPr>
              <w:t>《工业企业厂界环境噪声排放标准》（GB12348-2008）表1中</w:t>
            </w:r>
            <w:r>
              <w:rPr>
                <w:rFonts w:hint="eastAsia"/>
                <w:color w:val="auto"/>
                <w:sz w:val="22"/>
                <w:szCs w:val="22"/>
                <w:lang w:val="en-US" w:eastAsia="zh-CN"/>
              </w:rPr>
              <w:t>2</w:t>
            </w:r>
            <w:r>
              <w:rPr>
                <w:color w:val="auto"/>
                <w:sz w:val="22"/>
                <w:szCs w:val="22"/>
              </w:rPr>
              <w:t>类标准</w:t>
            </w:r>
          </w:p>
        </w:tc>
      </w:tr>
      <w:tr w14:paraId="5CD4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148" w:type="dxa"/>
            <w:vAlign w:val="center"/>
          </w:tcPr>
          <w:p w14:paraId="6127C367">
            <w:pPr>
              <w:adjustRightInd w:val="0"/>
              <w:snapToGrid w:val="0"/>
              <w:jc w:val="center"/>
              <w:rPr>
                <w:rFonts w:ascii="宋体" w:hAnsi="宋体" w:cs="宋体"/>
                <w:color w:val="auto"/>
                <w:sz w:val="22"/>
                <w:szCs w:val="22"/>
              </w:rPr>
            </w:pPr>
            <w:r>
              <w:rPr>
                <w:rFonts w:ascii="宋体" w:hAnsi="宋体" w:cs="宋体"/>
                <w:color w:val="auto"/>
                <w:sz w:val="22"/>
                <w:szCs w:val="22"/>
              </w:rPr>
              <w:t>电磁</w:t>
            </w:r>
          </w:p>
          <w:p w14:paraId="3A3AC1E9">
            <w:pPr>
              <w:adjustRightInd w:val="0"/>
              <w:snapToGrid w:val="0"/>
              <w:jc w:val="center"/>
              <w:rPr>
                <w:rFonts w:ascii="宋体" w:hAnsi="宋体" w:cs="宋体"/>
                <w:color w:val="auto"/>
                <w:sz w:val="22"/>
                <w:szCs w:val="22"/>
              </w:rPr>
            </w:pPr>
            <w:r>
              <w:rPr>
                <w:rFonts w:ascii="宋体" w:hAnsi="宋体" w:cs="宋体"/>
                <w:color w:val="auto"/>
                <w:sz w:val="22"/>
                <w:szCs w:val="22"/>
              </w:rPr>
              <w:t>辐射</w:t>
            </w:r>
          </w:p>
        </w:tc>
        <w:tc>
          <w:tcPr>
            <w:tcW w:w="1973" w:type="dxa"/>
            <w:vAlign w:val="center"/>
          </w:tcPr>
          <w:p w14:paraId="2371435F">
            <w:pPr>
              <w:adjustRightInd w:val="0"/>
              <w:snapToGrid w:val="0"/>
              <w:jc w:val="center"/>
              <w:rPr>
                <w:color w:val="auto"/>
                <w:sz w:val="22"/>
                <w:szCs w:val="22"/>
              </w:rPr>
            </w:pPr>
            <w:r>
              <w:rPr>
                <w:color w:val="auto"/>
                <w:sz w:val="22"/>
                <w:szCs w:val="22"/>
              </w:rPr>
              <w:t>/</w:t>
            </w:r>
          </w:p>
        </w:tc>
        <w:tc>
          <w:tcPr>
            <w:tcW w:w="1425" w:type="dxa"/>
            <w:vAlign w:val="center"/>
          </w:tcPr>
          <w:p w14:paraId="443FF96A">
            <w:pPr>
              <w:adjustRightInd w:val="0"/>
              <w:snapToGrid w:val="0"/>
              <w:jc w:val="center"/>
              <w:rPr>
                <w:color w:val="auto"/>
                <w:sz w:val="22"/>
                <w:szCs w:val="22"/>
              </w:rPr>
            </w:pPr>
            <w:r>
              <w:rPr>
                <w:color w:val="auto"/>
                <w:sz w:val="22"/>
                <w:szCs w:val="22"/>
              </w:rPr>
              <w:t>/</w:t>
            </w:r>
          </w:p>
        </w:tc>
        <w:tc>
          <w:tcPr>
            <w:tcW w:w="2433" w:type="dxa"/>
            <w:vAlign w:val="center"/>
          </w:tcPr>
          <w:p w14:paraId="1C9D14BD">
            <w:pPr>
              <w:adjustRightInd w:val="0"/>
              <w:snapToGrid w:val="0"/>
              <w:jc w:val="center"/>
              <w:rPr>
                <w:color w:val="auto"/>
                <w:sz w:val="22"/>
                <w:szCs w:val="22"/>
              </w:rPr>
            </w:pPr>
            <w:r>
              <w:rPr>
                <w:color w:val="auto"/>
                <w:sz w:val="22"/>
                <w:szCs w:val="22"/>
              </w:rPr>
              <w:t>/</w:t>
            </w:r>
          </w:p>
        </w:tc>
        <w:tc>
          <w:tcPr>
            <w:tcW w:w="2081" w:type="dxa"/>
            <w:vAlign w:val="center"/>
          </w:tcPr>
          <w:p w14:paraId="6F431F26">
            <w:pPr>
              <w:adjustRightInd w:val="0"/>
              <w:snapToGrid w:val="0"/>
              <w:jc w:val="center"/>
              <w:rPr>
                <w:color w:val="auto"/>
                <w:sz w:val="22"/>
                <w:szCs w:val="22"/>
              </w:rPr>
            </w:pPr>
            <w:r>
              <w:rPr>
                <w:color w:val="auto"/>
                <w:sz w:val="22"/>
                <w:szCs w:val="22"/>
              </w:rPr>
              <w:t>/</w:t>
            </w:r>
          </w:p>
        </w:tc>
      </w:tr>
      <w:tr w14:paraId="18027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148" w:type="dxa"/>
            <w:vAlign w:val="center"/>
          </w:tcPr>
          <w:p w14:paraId="5BAE2160">
            <w:pPr>
              <w:adjustRightInd w:val="0"/>
              <w:snapToGrid w:val="0"/>
              <w:jc w:val="center"/>
              <w:rPr>
                <w:rFonts w:ascii="宋体" w:hAnsi="宋体" w:cs="宋体"/>
                <w:color w:val="auto"/>
                <w:sz w:val="22"/>
                <w:szCs w:val="22"/>
              </w:rPr>
            </w:pPr>
            <w:r>
              <w:rPr>
                <w:rFonts w:ascii="宋体" w:hAnsi="宋体" w:cs="宋体"/>
                <w:color w:val="auto"/>
                <w:sz w:val="22"/>
                <w:szCs w:val="22"/>
              </w:rPr>
              <w:t>固体</w:t>
            </w:r>
          </w:p>
          <w:p w14:paraId="5E95BC31">
            <w:pPr>
              <w:adjustRightInd w:val="0"/>
              <w:snapToGrid w:val="0"/>
              <w:jc w:val="center"/>
              <w:rPr>
                <w:rFonts w:ascii="宋体" w:hAnsi="宋体" w:cs="宋体"/>
                <w:color w:val="auto"/>
                <w:sz w:val="22"/>
                <w:szCs w:val="22"/>
              </w:rPr>
            </w:pPr>
            <w:r>
              <w:rPr>
                <w:rFonts w:ascii="宋体" w:hAnsi="宋体" w:cs="宋体"/>
                <w:color w:val="auto"/>
                <w:sz w:val="22"/>
                <w:szCs w:val="22"/>
              </w:rPr>
              <w:t>废物</w:t>
            </w:r>
          </w:p>
        </w:tc>
        <w:tc>
          <w:tcPr>
            <w:tcW w:w="7912" w:type="dxa"/>
            <w:gridSpan w:val="4"/>
            <w:vAlign w:val="center"/>
          </w:tcPr>
          <w:p w14:paraId="3DC454E2">
            <w:pPr>
              <w:adjustRightInd w:val="0"/>
              <w:snapToGrid w:val="0"/>
              <w:jc w:val="left"/>
              <w:rPr>
                <w:rFonts w:ascii="宋体" w:hAnsi="宋体" w:cs="宋体"/>
                <w:color w:val="auto"/>
                <w:sz w:val="22"/>
                <w:szCs w:val="22"/>
              </w:rPr>
            </w:pPr>
            <w:r>
              <w:rPr>
                <w:rFonts w:hint="eastAsia"/>
                <w:color w:val="auto"/>
                <w:lang w:val="en-US" w:eastAsia="zh-CN"/>
              </w:rPr>
              <w:t>沉渣集中收集全部用于铺路；废机油、废含油手套、废含油抹布集中收集暂存在危废贮存点，定期委托有资质公司处理；</w:t>
            </w:r>
            <w:r>
              <w:rPr>
                <w:rFonts w:hint="eastAsia" w:eastAsiaTheme="minorEastAsia"/>
                <w:color w:val="auto"/>
                <w:sz w:val="22"/>
                <w:szCs w:val="18"/>
              </w:rPr>
              <w:t>本项目生活垃圾集中收集由市政部门统一处理。</w:t>
            </w:r>
          </w:p>
        </w:tc>
      </w:tr>
      <w:tr w14:paraId="161C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1148" w:type="dxa"/>
            <w:vAlign w:val="center"/>
          </w:tcPr>
          <w:p w14:paraId="7D6E5A77">
            <w:pPr>
              <w:adjustRightInd w:val="0"/>
              <w:snapToGrid w:val="0"/>
              <w:jc w:val="center"/>
              <w:rPr>
                <w:rFonts w:ascii="宋体" w:hAnsi="宋体" w:eastAsia="宋体" w:cs="宋体"/>
                <w:color w:val="auto"/>
                <w:sz w:val="22"/>
                <w:szCs w:val="22"/>
              </w:rPr>
            </w:pPr>
            <w:r>
              <w:rPr>
                <w:rFonts w:ascii="宋体" w:hAnsi="宋体" w:eastAsia="宋体" w:cs="宋体"/>
                <w:color w:val="auto"/>
                <w:sz w:val="22"/>
                <w:szCs w:val="22"/>
              </w:rPr>
              <w:t>土壤及地下水污染防治措施</w:t>
            </w:r>
          </w:p>
        </w:tc>
        <w:tc>
          <w:tcPr>
            <w:tcW w:w="7912" w:type="dxa"/>
            <w:gridSpan w:val="4"/>
            <w:vAlign w:val="center"/>
          </w:tcPr>
          <w:p w14:paraId="7BB46608">
            <w:pPr>
              <w:adjustRightInd w:val="0"/>
              <w:snapToGrid w:val="0"/>
              <w:jc w:val="center"/>
              <w:rPr>
                <w:rFonts w:hint="default" w:ascii="宋体" w:hAnsi="宋体" w:eastAsia="宋体" w:cs="宋体"/>
                <w:color w:val="auto"/>
                <w:sz w:val="22"/>
                <w:szCs w:val="22"/>
                <w:lang w:val="en-US" w:eastAsia="zh-CN"/>
              </w:rPr>
            </w:pPr>
            <w:r>
              <w:rPr>
                <w:rFonts w:hint="eastAsia" w:eastAsia="宋体" w:cs="Times New Roman"/>
                <w:color w:val="auto"/>
                <w:sz w:val="22"/>
                <w:szCs w:val="18"/>
                <w:highlight w:val="none"/>
                <w:lang w:val="en-US" w:eastAsia="zh-CN"/>
              </w:rPr>
              <w:t>项目</w:t>
            </w:r>
            <w:r>
              <w:rPr>
                <w:rFonts w:hint="eastAsia" w:cs="Times New Roman"/>
                <w:color w:val="auto"/>
                <w:sz w:val="21"/>
                <w:szCs w:val="21"/>
                <w:highlight w:val="none"/>
                <w:lang w:val="en-US" w:eastAsia="zh-CN"/>
              </w:rPr>
              <w:t>危废贮存点采取</w:t>
            </w:r>
            <w:r>
              <w:rPr>
                <w:rFonts w:ascii="Times New Roman" w:hAnsi="Times New Roman" w:cs="Times New Roman"/>
                <w:color w:val="auto"/>
                <w:sz w:val="21"/>
                <w:szCs w:val="21"/>
              </w:rPr>
              <w:t>地面与裙脚采用坚固防渗的材料建造，防风、防晒、防雨；基础</w:t>
            </w:r>
            <w:r>
              <w:rPr>
                <w:rFonts w:hint="eastAsia" w:ascii="Times New Roman" w:hAnsi="Times New Roman" w:cs="Times New Roman"/>
                <w:color w:val="auto"/>
                <w:sz w:val="21"/>
                <w:szCs w:val="21"/>
              </w:rPr>
              <w:t>敷设</w:t>
            </w:r>
            <w:r>
              <w:rPr>
                <w:rFonts w:ascii="Times New Roman" w:hAnsi="Times New Roman" w:cs="Times New Roman"/>
                <w:color w:val="auto"/>
                <w:sz w:val="21"/>
                <w:szCs w:val="21"/>
              </w:rPr>
              <w:t>至少2mm厚的高密度聚乙烯防水层，上部敷设10cm厚水泥层，渗透系数应≤1×10</w:t>
            </w:r>
            <w:r>
              <w:rPr>
                <w:rFonts w:ascii="Times New Roman" w:hAnsi="Times New Roman" w:cs="Times New Roman"/>
                <w:color w:val="auto"/>
                <w:sz w:val="21"/>
                <w:szCs w:val="21"/>
                <w:vertAlign w:val="superscript"/>
              </w:rPr>
              <w:t>-10</w:t>
            </w:r>
            <w:r>
              <w:rPr>
                <w:rFonts w:ascii="Times New Roman" w:hAnsi="Times New Roman" w:cs="Times New Roman"/>
                <w:color w:val="auto"/>
                <w:sz w:val="21"/>
                <w:szCs w:val="21"/>
              </w:rPr>
              <w:t>cm/s</w:t>
            </w:r>
            <w:r>
              <w:rPr>
                <w:rFonts w:hint="eastAsia" w:ascii="Times New Roman" w:hAnsi="Times New Roman" w:cs="Times New Roman"/>
                <w:color w:val="auto"/>
                <w:sz w:val="21"/>
                <w:szCs w:val="21"/>
                <w:lang w:val="en-US" w:eastAsia="zh-CN"/>
              </w:rPr>
              <w:t>的防渗措施，满足重点防渗区要求。</w:t>
            </w:r>
            <w:r>
              <w:rPr>
                <w:rFonts w:hint="eastAsia" w:eastAsia="宋体" w:cs="Times New Roman"/>
                <w:color w:val="auto"/>
                <w:sz w:val="22"/>
                <w:szCs w:val="18"/>
                <w:highlight w:val="none"/>
                <w:lang w:val="en-US" w:eastAsia="zh-CN"/>
              </w:rPr>
              <w:t>煤炭堆场、初期雨水收集池、沉淀池地面采取防渗性能不低于1.5m厚等效粘土防渗层，渗透系数K≤1×10</w:t>
            </w:r>
            <w:r>
              <w:rPr>
                <w:rFonts w:hint="eastAsia" w:eastAsia="宋体" w:cs="Times New Roman"/>
                <w:color w:val="auto"/>
                <w:sz w:val="22"/>
                <w:szCs w:val="18"/>
                <w:highlight w:val="none"/>
                <w:vertAlign w:val="superscript"/>
                <w:lang w:val="en-US" w:eastAsia="zh-CN"/>
              </w:rPr>
              <w:t>-7</w:t>
            </w:r>
            <w:r>
              <w:rPr>
                <w:rFonts w:hint="eastAsia" w:eastAsia="宋体" w:cs="Times New Roman"/>
                <w:color w:val="auto"/>
                <w:sz w:val="22"/>
                <w:szCs w:val="18"/>
                <w:highlight w:val="none"/>
                <w:lang w:val="en-US" w:eastAsia="zh-CN"/>
              </w:rPr>
              <w:t>cm/s的防渗性能措施，满足一般防渗区要求。厂区道路进行水泥硬化，满足简单防渗区要求。除一般防渗区全厂区其他区域敷设水泥硬化路面，满足简单防渗区要求。</w:t>
            </w:r>
          </w:p>
        </w:tc>
      </w:tr>
      <w:tr w14:paraId="2894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48" w:type="dxa"/>
            <w:vAlign w:val="center"/>
          </w:tcPr>
          <w:p w14:paraId="0B11B42F">
            <w:pPr>
              <w:adjustRightInd w:val="0"/>
              <w:snapToGrid w:val="0"/>
              <w:jc w:val="center"/>
              <w:rPr>
                <w:rFonts w:ascii="宋体" w:hAnsi="宋体" w:cs="宋体"/>
                <w:color w:val="auto"/>
                <w:sz w:val="22"/>
                <w:szCs w:val="22"/>
              </w:rPr>
            </w:pPr>
            <w:r>
              <w:rPr>
                <w:rFonts w:ascii="宋体" w:hAnsi="宋体" w:cs="宋体"/>
                <w:color w:val="auto"/>
                <w:sz w:val="22"/>
                <w:szCs w:val="22"/>
              </w:rPr>
              <w:t>生态保护</w:t>
            </w:r>
          </w:p>
          <w:p w14:paraId="052D72DA">
            <w:pPr>
              <w:adjustRightInd w:val="0"/>
              <w:snapToGrid w:val="0"/>
              <w:jc w:val="center"/>
              <w:rPr>
                <w:rFonts w:ascii="宋体" w:hAnsi="宋体" w:cs="宋体"/>
                <w:color w:val="auto"/>
                <w:sz w:val="22"/>
                <w:szCs w:val="22"/>
              </w:rPr>
            </w:pPr>
            <w:r>
              <w:rPr>
                <w:rFonts w:ascii="宋体" w:hAnsi="宋体" w:cs="宋体"/>
                <w:color w:val="auto"/>
                <w:sz w:val="22"/>
                <w:szCs w:val="22"/>
              </w:rPr>
              <w:t>措施</w:t>
            </w:r>
          </w:p>
        </w:tc>
        <w:tc>
          <w:tcPr>
            <w:tcW w:w="7912" w:type="dxa"/>
            <w:gridSpan w:val="4"/>
            <w:vAlign w:val="center"/>
          </w:tcPr>
          <w:p w14:paraId="54C59B42">
            <w:pPr>
              <w:adjustRightInd w:val="0"/>
              <w:snapToGrid w:val="0"/>
              <w:jc w:val="center"/>
              <w:rPr>
                <w:rFonts w:ascii="宋体" w:hAnsi="宋体" w:cs="宋体"/>
                <w:color w:val="auto"/>
                <w:sz w:val="22"/>
                <w:szCs w:val="22"/>
              </w:rPr>
            </w:pPr>
            <w:r>
              <w:rPr>
                <w:rFonts w:hint="eastAsia" w:ascii="宋体" w:hAnsi="宋体" w:cs="宋体"/>
                <w:color w:val="auto"/>
                <w:sz w:val="22"/>
                <w:szCs w:val="22"/>
              </w:rPr>
              <w:t>/</w:t>
            </w:r>
          </w:p>
        </w:tc>
      </w:tr>
      <w:tr w14:paraId="3F5A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148" w:type="dxa"/>
            <w:vAlign w:val="center"/>
          </w:tcPr>
          <w:p w14:paraId="6EFF420E">
            <w:pPr>
              <w:adjustRightInd w:val="0"/>
              <w:snapToGrid w:val="0"/>
              <w:jc w:val="center"/>
              <w:rPr>
                <w:rFonts w:ascii="宋体" w:hAnsi="宋体" w:cs="宋体"/>
                <w:color w:val="auto"/>
                <w:spacing w:val="-8"/>
                <w:sz w:val="22"/>
                <w:szCs w:val="22"/>
              </w:rPr>
            </w:pPr>
            <w:r>
              <w:rPr>
                <w:rFonts w:ascii="宋体" w:hAnsi="宋体" w:cs="宋体"/>
                <w:color w:val="auto"/>
                <w:spacing w:val="-8"/>
                <w:sz w:val="22"/>
                <w:szCs w:val="22"/>
              </w:rPr>
              <w:t>环境风险</w:t>
            </w:r>
          </w:p>
          <w:p w14:paraId="19D726B5">
            <w:pPr>
              <w:adjustRightInd w:val="0"/>
              <w:snapToGrid w:val="0"/>
              <w:jc w:val="center"/>
              <w:rPr>
                <w:rFonts w:ascii="宋体" w:hAnsi="宋体" w:cs="宋体"/>
                <w:color w:val="auto"/>
                <w:sz w:val="22"/>
                <w:szCs w:val="22"/>
              </w:rPr>
            </w:pPr>
            <w:r>
              <w:rPr>
                <w:rFonts w:ascii="宋体" w:hAnsi="宋体" w:cs="宋体"/>
                <w:color w:val="auto"/>
                <w:spacing w:val="-8"/>
                <w:sz w:val="22"/>
                <w:szCs w:val="22"/>
              </w:rPr>
              <w:t>防范措施</w:t>
            </w:r>
          </w:p>
        </w:tc>
        <w:tc>
          <w:tcPr>
            <w:tcW w:w="7912" w:type="dxa"/>
            <w:gridSpan w:val="4"/>
            <w:vAlign w:val="center"/>
          </w:tcPr>
          <w:p w14:paraId="04C407A9">
            <w:pPr>
              <w:pStyle w:val="59"/>
              <w:adjustRightInd w:val="0"/>
              <w:snapToGrid w:val="0"/>
              <w:spacing w:line="240" w:lineRule="auto"/>
              <w:ind w:left="0" w:leftChars="0" w:firstLine="0" w:firstLineChars="0"/>
              <w:rPr>
                <w:rFonts w:hint="default" w:ascii="Times New Roman" w:hAnsi="Times New Roman" w:eastAsia="宋体" w:cs="Times New Roman"/>
                <w:bCs/>
                <w:color w:val="auto"/>
                <w:kern w:val="0"/>
                <w:sz w:val="22"/>
                <w:szCs w:val="22"/>
                <w:lang w:val="en-US" w:eastAsia="zh-CN" w:bidi="ar-SA"/>
              </w:rPr>
            </w:pPr>
            <w:r>
              <w:rPr>
                <w:rFonts w:hint="default" w:ascii="Times New Roman" w:hAnsi="Times New Roman" w:eastAsia="宋体" w:cs="Times New Roman"/>
                <w:bCs/>
                <w:color w:val="auto"/>
                <w:kern w:val="0"/>
                <w:sz w:val="22"/>
                <w:szCs w:val="22"/>
                <w:lang w:val="en-US" w:eastAsia="zh-CN" w:bidi="ar-SA"/>
              </w:rPr>
              <w:t>①管理过程：安排专人负责厂区安全管理，操作人员须经过专业培训；同时对公司员工也应进行消防培训，加强员工安全意识。</w:t>
            </w:r>
          </w:p>
          <w:p w14:paraId="599AC55A">
            <w:pPr>
              <w:pStyle w:val="59"/>
              <w:adjustRightInd w:val="0"/>
              <w:snapToGrid w:val="0"/>
              <w:spacing w:line="240" w:lineRule="auto"/>
              <w:ind w:left="0" w:leftChars="0" w:firstLine="0" w:firstLineChars="0"/>
              <w:rPr>
                <w:rFonts w:hint="default" w:ascii="Times New Roman" w:hAnsi="Times New Roman" w:eastAsia="宋体" w:cs="Times New Roman"/>
                <w:bCs/>
                <w:color w:val="auto"/>
                <w:kern w:val="0"/>
                <w:sz w:val="22"/>
                <w:szCs w:val="22"/>
                <w:lang w:val="en-US" w:eastAsia="zh-CN" w:bidi="ar-SA"/>
              </w:rPr>
            </w:pPr>
            <w:r>
              <w:rPr>
                <w:rFonts w:hint="default" w:ascii="Times New Roman" w:hAnsi="Times New Roman" w:eastAsia="宋体" w:cs="Times New Roman"/>
                <w:bCs/>
                <w:color w:val="auto"/>
                <w:kern w:val="0"/>
                <w:sz w:val="22"/>
                <w:szCs w:val="22"/>
                <w:lang w:val="en-US" w:eastAsia="zh-CN" w:bidi="ar-SA"/>
              </w:rPr>
              <w:t>②贮存过程：仓库管理人员须经过专业知识培训。</w:t>
            </w:r>
          </w:p>
          <w:p w14:paraId="3B2E44F4">
            <w:pPr>
              <w:pStyle w:val="59"/>
              <w:adjustRightInd w:val="0"/>
              <w:snapToGrid w:val="0"/>
              <w:spacing w:line="240" w:lineRule="auto"/>
              <w:ind w:left="0" w:leftChars="0" w:firstLine="0" w:firstLineChars="0"/>
              <w:rPr>
                <w:rFonts w:hint="default" w:ascii="Times New Roman" w:hAnsi="Times New Roman" w:eastAsia="宋体" w:cs="Times New Roman"/>
                <w:bCs/>
                <w:color w:val="auto"/>
                <w:kern w:val="0"/>
                <w:sz w:val="22"/>
                <w:szCs w:val="22"/>
                <w:lang w:val="en-US" w:eastAsia="zh-CN" w:bidi="ar-SA"/>
              </w:rPr>
            </w:pPr>
            <w:r>
              <w:rPr>
                <w:rFonts w:hint="default" w:ascii="Times New Roman" w:hAnsi="Times New Roman" w:eastAsia="宋体" w:cs="Times New Roman"/>
                <w:bCs/>
                <w:color w:val="auto"/>
                <w:kern w:val="0"/>
                <w:sz w:val="22"/>
                <w:szCs w:val="22"/>
                <w:lang w:val="en-US" w:eastAsia="zh-CN" w:bidi="ar-SA"/>
              </w:rPr>
              <w:t>③运输过程：企业须配备消防器材，有经过消防安全培训合格的驾驶员、押运员；运输包装上应印制清晰的提醒符号或标志。</w:t>
            </w:r>
          </w:p>
          <w:p w14:paraId="71021AE5">
            <w:pPr>
              <w:adjustRightInd w:val="0"/>
              <w:snapToGrid w:val="0"/>
              <w:spacing w:line="240" w:lineRule="auto"/>
              <w:jc w:val="center"/>
              <w:rPr>
                <w:rFonts w:hint="eastAsia" w:ascii="宋体" w:hAnsi="宋体" w:eastAsia="宋体" w:cs="宋体"/>
                <w:color w:val="auto"/>
                <w:sz w:val="22"/>
                <w:szCs w:val="22"/>
                <w:highlight w:val="red"/>
                <w:lang w:eastAsia="zh-CN"/>
              </w:rPr>
            </w:pPr>
            <w:r>
              <w:rPr>
                <w:rFonts w:hint="default" w:ascii="Times New Roman" w:hAnsi="Times New Roman" w:eastAsia="宋体" w:cs="Times New Roman"/>
                <w:bCs/>
                <w:color w:val="auto"/>
                <w:kern w:val="0"/>
                <w:sz w:val="22"/>
                <w:szCs w:val="22"/>
                <w:lang w:val="en-US" w:eastAsia="zh-CN" w:bidi="ar-SA"/>
              </w:rPr>
              <w:t>③生产过程：企业应做好日常监督检查与维修保养，平时组织专门人员周期性巡回检查，有异常现象及时检修。</w:t>
            </w:r>
          </w:p>
        </w:tc>
      </w:tr>
      <w:tr w14:paraId="4189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1148" w:type="dxa"/>
            <w:vAlign w:val="center"/>
          </w:tcPr>
          <w:p w14:paraId="162D4467">
            <w:pPr>
              <w:adjustRightInd w:val="0"/>
              <w:snapToGrid w:val="0"/>
              <w:jc w:val="center"/>
              <w:rPr>
                <w:color w:val="auto"/>
                <w:spacing w:val="-8"/>
                <w:sz w:val="22"/>
                <w:szCs w:val="22"/>
              </w:rPr>
            </w:pPr>
            <w:r>
              <w:rPr>
                <w:color w:val="auto"/>
                <w:spacing w:val="-8"/>
                <w:sz w:val="22"/>
                <w:szCs w:val="22"/>
              </w:rPr>
              <w:t>其他环境</w:t>
            </w:r>
          </w:p>
          <w:p w14:paraId="75402B57">
            <w:pPr>
              <w:adjustRightInd w:val="0"/>
              <w:snapToGrid w:val="0"/>
              <w:jc w:val="center"/>
              <w:rPr>
                <w:rFonts w:ascii="宋体" w:hAnsi="宋体" w:cs="宋体"/>
                <w:color w:val="auto"/>
                <w:spacing w:val="-8"/>
                <w:sz w:val="22"/>
                <w:szCs w:val="22"/>
              </w:rPr>
            </w:pPr>
            <w:r>
              <w:rPr>
                <w:color w:val="auto"/>
                <w:spacing w:val="-8"/>
                <w:sz w:val="22"/>
                <w:szCs w:val="22"/>
              </w:rPr>
              <w:t>管理要求</w:t>
            </w:r>
          </w:p>
        </w:tc>
        <w:tc>
          <w:tcPr>
            <w:tcW w:w="7912" w:type="dxa"/>
            <w:gridSpan w:val="4"/>
            <w:vAlign w:val="center"/>
          </w:tcPr>
          <w:p w14:paraId="5691D680">
            <w:pPr>
              <w:adjustRightInd w:val="0"/>
              <w:snapToGrid w:val="0"/>
              <w:jc w:val="center"/>
              <w:rPr>
                <w:rFonts w:ascii="宋体" w:hAnsi="宋体" w:cs="宋体"/>
                <w:color w:val="auto"/>
                <w:sz w:val="22"/>
                <w:szCs w:val="22"/>
              </w:rPr>
            </w:pPr>
            <w:r>
              <w:rPr>
                <w:bCs/>
                <w:color w:val="auto"/>
                <w:kern w:val="0"/>
                <w:sz w:val="22"/>
                <w:szCs w:val="22"/>
              </w:rPr>
              <w:t>根据《关于做好环境影响评价制度与排污许可制衔接相关工作的通知》（环办环评[2017]84号），建设项目发生实际排污行为之前，排污单位应当按照国家环境保护相关法律法规以及排污许可证申请与核发技术规范要求申请排污许可证，不得无证排污或不按证排污</w:t>
            </w:r>
            <w:r>
              <w:rPr>
                <w:rFonts w:hint="eastAsia"/>
                <w:bCs/>
                <w:color w:val="auto"/>
                <w:kern w:val="0"/>
                <w:sz w:val="22"/>
                <w:szCs w:val="22"/>
              </w:rPr>
              <w:t>。</w:t>
            </w:r>
          </w:p>
        </w:tc>
      </w:tr>
    </w:tbl>
    <w:p w14:paraId="2E304F15">
      <w:pPr>
        <w:pStyle w:val="15"/>
        <w:outlineLvl w:val="0"/>
        <w:rPr>
          <w:rFonts w:ascii="Times New Roman" w:hAnsi="Times New Roman"/>
          <w:snapToGrid w:val="0"/>
          <w:color w:val="auto"/>
          <w:sz w:val="30"/>
          <w:szCs w:val="30"/>
        </w:rPr>
      </w:pPr>
      <w:r>
        <w:rPr>
          <w:rFonts w:ascii="Times New Roman" w:hAnsi="Times New Roman"/>
          <w:snapToGrid w:val="0"/>
          <w:color w:val="auto"/>
        </w:rPr>
        <w:br w:type="page"/>
      </w:r>
      <w:bookmarkStart w:id="18" w:name="_Toc73523375"/>
      <w:r>
        <w:rPr>
          <w:rFonts w:hint="eastAsia" w:ascii="Times New Roman" w:hAnsi="Times New Roman"/>
          <w:snapToGrid w:val="0"/>
          <w:color w:val="auto"/>
          <w:sz w:val="30"/>
          <w:szCs w:val="30"/>
        </w:rPr>
        <w:t>六、结论</w:t>
      </w:r>
      <w:bookmarkEnd w:id="18"/>
    </w:p>
    <w:tbl>
      <w:tblPr>
        <w:tblStyle w:val="3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3264B5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609472C6">
            <w:pPr>
              <w:spacing w:line="360" w:lineRule="auto"/>
              <w:ind w:firstLine="480" w:firstLineChars="200"/>
              <w:rPr>
                <w:rFonts w:cs="宋体"/>
                <w:color w:val="auto"/>
                <w:sz w:val="24"/>
              </w:rPr>
            </w:pPr>
            <w:r>
              <w:rPr>
                <w:rFonts w:hint="eastAsia" w:cs="宋体"/>
                <w:color w:val="auto"/>
                <w:sz w:val="24"/>
              </w:rPr>
              <w:t>通过本项目所在地环境现状调查、污染分析、环境影响分析可知，企业在运营过程中充分落实本环评提出的各项污染防治对策，认真做好“三同时”及日常环保管理工作，从环保角度出发，本项目建设可行。</w:t>
            </w:r>
          </w:p>
          <w:p w14:paraId="5078CF44">
            <w:pPr>
              <w:spacing w:line="360" w:lineRule="auto"/>
              <w:rPr>
                <w:rFonts w:cs="宋体"/>
                <w:color w:val="auto"/>
                <w:sz w:val="24"/>
              </w:rPr>
            </w:pPr>
          </w:p>
        </w:tc>
      </w:tr>
    </w:tbl>
    <w:p w14:paraId="13A643FD">
      <w:pPr>
        <w:rPr>
          <w:color w:val="auto"/>
        </w:rPr>
        <w:sectPr>
          <w:pgSz w:w="11906" w:h="16838"/>
          <w:pgMar w:top="1701" w:right="1531" w:bottom="1701" w:left="1531" w:header="1644" w:footer="1247" w:gutter="0"/>
          <w:pgBorders>
            <w:top w:val="none" w:sz="0" w:space="0"/>
            <w:left w:val="none" w:sz="0" w:space="0"/>
            <w:bottom w:val="none" w:sz="0" w:space="0"/>
            <w:right w:val="none" w:sz="0" w:space="0"/>
          </w:pgBorders>
          <w:cols w:space="720" w:num="1"/>
          <w:docGrid w:linePitch="312" w:charSpace="0"/>
        </w:sectPr>
      </w:pPr>
    </w:p>
    <w:p w14:paraId="599E4099">
      <w:pPr>
        <w:pStyle w:val="35"/>
        <w:adjustRightInd w:val="0"/>
        <w:snapToGrid w:val="0"/>
        <w:spacing w:before="0" w:beforeAutospacing="0" w:after="0" w:afterAutospacing="0"/>
        <w:jc w:val="both"/>
        <w:outlineLvl w:val="0"/>
        <w:rPr>
          <w:rFonts w:ascii="Times New Roman" w:hAnsi="Times New Roman"/>
          <w:snapToGrid w:val="0"/>
          <w:color w:val="auto"/>
          <w:sz w:val="32"/>
          <w:szCs w:val="32"/>
        </w:rPr>
      </w:pPr>
      <w:bookmarkStart w:id="19" w:name="_Toc73523376"/>
      <w:r>
        <w:rPr>
          <w:rFonts w:hint="eastAsia" w:ascii="Times New Roman" w:hAnsi="Times New Roman"/>
          <w:snapToGrid w:val="0"/>
          <w:color w:val="auto"/>
          <w:sz w:val="36"/>
          <w:szCs w:val="36"/>
        </w:rPr>
        <w:t>附表</w:t>
      </w:r>
      <w:bookmarkEnd w:id="19"/>
      <w:bookmarkStart w:id="20" w:name="_Toc73523377"/>
      <w:r>
        <w:rPr>
          <w:rFonts w:hint="eastAsia" w:ascii="Times New Roman" w:hAnsi="Times New Roman"/>
          <w:snapToGrid w:val="0"/>
          <w:color w:val="auto"/>
          <w:sz w:val="32"/>
          <w:szCs w:val="32"/>
        </w:rPr>
        <w:t>：</w:t>
      </w:r>
    </w:p>
    <w:p w14:paraId="21AB379E">
      <w:pPr>
        <w:pStyle w:val="35"/>
        <w:adjustRightInd w:val="0"/>
        <w:snapToGrid w:val="0"/>
        <w:spacing w:before="0" w:beforeAutospacing="0" w:after="0" w:afterAutospacing="0"/>
        <w:jc w:val="center"/>
        <w:outlineLvl w:val="0"/>
        <w:rPr>
          <w:rFonts w:ascii="Times New Roman" w:hAnsi="Times New Roman"/>
          <w:snapToGrid w:val="0"/>
          <w:color w:val="auto"/>
          <w:sz w:val="32"/>
          <w:szCs w:val="32"/>
        </w:rPr>
      </w:pPr>
      <w:r>
        <w:rPr>
          <w:rFonts w:hint="eastAsia" w:ascii="Times New Roman" w:hAnsi="Times New Roman"/>
          <w:snapToGrid w:val="0"/>
          <w:color w:val="auto"/>
          <w:sz w:val="36"/>
          <w:szCs w:val="36"/>
        </w:rPr>
        <w:t>建设项目污染物排放量汇总表</w:t>
      </w:r>
      <w:bookmarkEnd w:id="20"/>
    </w:p>
    <w:tbl>
      <w:tblPr>
        <w:tblStyle w:val="38"/>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2"/>
        <w:gridCol w:w="1980"/>
        <w:gridCol w:w="1620"/>
        <w:gridCol w:w="1290"/>
        <w:gridCol w:w="1651"/>
        <w:gridCol w:w="1604"/>
        <w:gridCol w:w="1364"/>
        <w:gridCol w:w="1725"/>
        <w:gridCol w:w="1412"/>
      </w:tblGrid>
      <w:tr w14:paraId="226457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1142" w:type="dxa"/>
            <w:tcBorders>
              <w:tl2br w:val="single" w:color="auto" w:sz="4" w:space="0"/>
            </w:tcBorders>
            <w:tcMar>
              <w:left w:w="28" w:type="dxa"/>
              <w:right w:w="28" w:type="dxa"/>
            </w:tcMar>
            <w:vAlign w:val="center"/>
          </w:tcPr>
          <w:p w14:paraId="18D7D26F">
            <w:pPr>
              <w:pStyle w:val="71"/>
              <w:spacing w:beforeLines="0" w:afterLines="0" w:line="240" w:lineRule="exact"/>
              <w:jc w:val="right"/>
              <w:rPr>
                <w:rFonts w:ascii="Times New Roman"/>
                <w:color w:val="auto"/>
                <w:kern w:val="2"/>
                <w:sz w:val="20"/>
              </w:rPr>
            </w:pPr>
            <w:r>
              <w:rPr>
                <w:rFonts w:ascii="Times New Roman"/>
                <w:color w:val="auto"/>
                <w:kern w:val="2"/>
                <w:sz w:val="20"/>
              </w:rPr>
              <w:t>项目</w:t>
            </w:r>
          </w:p>
          <w:p w14:paraId="4ABA5D0F">
            <w:pPr>
              <w:spacing w:line="240" w:lineRule="exact"/>
              <w:rPr>
                <w:color w:val="auto"/>
              </w:rPr>
            </w:pPr>
          </w:p>
          <w:p w14:paraId="657F85E1">
            <w:pPr>
              <w:pStyle w:val="71"/>
              <w:spacing w:beforeLines="0" w:afterLines="0" w:line="240" w:lineRule="exact"/>
              <w:jc w:val="left"/>
              <w:rPr>
                <w:rFonts w:ascii="Times New Roman"/>
                <w:color w:val="auto"/>
                <w:kern w:val="2"/>
                <w:sz w:val="22"/>
                <w:szCs w:val="22"/>
              </w:rPr>
            </w:pPr>
            <w:r>
              <w:rPr>
                <w:rFonts w:ascii="Times New Roman"/>
                <w:color w:val="auto"/>
                <w:kern w:val="2"/>
                <w:sz w:val="20"/>
              </w:rPr>
              <w:t>分类</w:t>
            </w:r>
          </w:p>
        </w:tc>
        <w:tc>
          <w:tcPr>
            <w:tcW w:w="1980" w:type="dxa"/>
            <w:tcMar>
              <w:left w:w="28" w:type="dxa"/>
              <w:right w:w="28" w:type="dxa"/>
            </w:tcMar>
            <w:vAlign w:val="center"/>
          </w:tcPr>
          <w:p w14:paraId="58985BE3">
            <w:pPr>
              <w:pStyle w:val="71"/>
              <w:spacing w:beforeLines="0" w:afterLines="0" w:line="240" w:lineRule="exact"/>
              <w:rPr>
                <w:rFonts w:ascii="Times New Roman"/>
                <w:color w:val="auto"/>
                <w:kern w:val="2"/>
                <w:sz w:val="22"/>
                <w:szCs w:val="22"/>
              </w:rPr>
            </w:pPr>
            <w:r>
              <w:rPr>
                <w:rFonts w:ascii="Times New Roman"/>
                <w:color w:val="auto"/>
                <w:kern w:val="2"/>
                <w:sz w:val="22"/>
                <w:szCs w:val="22"/>
              </w:rPr>
              <w:t>污染物名称</w:t>
            </w:r>
          </w:p>
        </w:tc>
        <w:tc>
          <w:tcPr>
            <w:tcW w:w="1620" w:type="dxa"/>
            <w:tcMar>
              <w:left w:w="28" w:type="dxa"/>
              <w:right w:w="28" w:type="dxa"/>
            </w:tcMar>
            <w:vAlign w:val="center"/>
          </w:tcPr>
          <w:p w14:paraId="282079D2">
            <w:pPr>
              <w:pStyle w:val="71"/>
              <w:spacing w:beforeLines="0" w:afterLines="0" w:line="240" w:lineRule="exact"/>
              <w:rPr>
                <w:rFonts w:ascii="Times New Roman"/>
                <w:color w:val="auto"/>
                <w:kern w:val="2"/>
                <w:sz w:val="22"/>
                <w:szCs w:val="22"/>
              </w:rPr>
            </w:pPr>
            <w:r>
              <w:rPr>
                <w:rFonts w:ascii="Times New Roman"/>
                <w:color w:val="auto"/>
                <w:kern w:val="2"/>
                <w:sz w:val="22"/>
                <w:szCs w:val="22"/>
              </w:rPr>
              <w:t>现有工程</w:t>
            </w:r>
          </w:p>
          <w:p w14:paraId="7A505FD3">
            <w:pPr>
              <w:pStyle w:val="71"/>
              <w:spacing w:beforeLines="0" w:afterLines="0" w:line="240" w:lineRule="exact"/>
              <w:rPr>
                <w:rFonts w:ascii="Times New Roman"/>
                <w:color w:val="auto"/>
                <w:kern w:val="2"/>
                <w:sz w:val="22"/>
                <w:szCs w:val="22"/>
              </w:rPr>
            </w:pPr>
            <w:r>
              <w:rPr>
                <w:rFonts w:ascii="Times New Roman"/>
                <w:color w:val="auto"/>
                <w:kern w:val="2"/>
                <w:sz w:val="22"/>
                <w:szCs w:val="22"/>
              </w:rPr>
              <w:t>排放量（固体废物产生量）</w:t>
            </w:r>
            <w:r>
              <w:rPr>
                <w:rFonts w:ascii="Times New Roman"/>
                <w:color w:val="auto"/>
                <w:kern w:val="2"/>
                <w:sz w:val="22"/>
                <w:szCs w:val="22"/>
              </w:rPr>
              <w:fldChar w:fldCharType="begin"/>
            </w:r>
            <w:r>
              <w:rPr>
                <w:rFonts w:ascii="Times New Roman"/>
                <w:color w:val="auto"/>
                <w:kern w:val="2"/>
                <w:sz w:val="22"/>
                <w:szCs w:val="22"/>
              </w:rPr>
              <w:instrText xml:space="preserve"> = 1 \* GB3 \* MERGEFORMAT </w:instrText>
            </w:r>
            <w:r>
              <w:rPr>
                <w:rFonts w:ascii="Times New Roman"/>
                <w:color w:val="auto"/>
                <w:kern w:val="2"/>
                <w:sz w:val="22"/>
                <w:szCs w:val="22"/>
              </w:rPr>
              <w:fldChar w:fldCharType="separate"/>
            </w:r>
            <w:r>
              <w:rPr>
                <w:rFonts w:ascii="Times New Roman"/>
                <w:color w:val="auto"/>
                <w:kern w:val="2"/>
                <w:sz w:val="22"/>
                <w:szCs w:val="22"/>
              </w:rPr>
              <w:t>①</w:t>
            </w:r>
            <w:r>
              <w:rPr>
                <w:rFonts w:ascii="Times New Roman"/>
                <w:color w:val="auto"/>
                <w:kern w:val="2"/>
                <w:sz w:val="22"/>
                <w:szCs w:val="22"/>
              </w:rPr>
              <w:fldChar w:fldCharType="end"/>
            </w:r>
          </w:p>
        </w:tc>
        <w:tc>
          <w:tcPr>
            <w:tcW w:w="1290" w:type="dxa"/>
            <w:tcMar>
              <w:left w:w="28" w:type="dxa"/>
              <w:right w:w="28" w:type="dxa"/>
            </w:tcMar>
            <w:vAlign w:val="center"/>
          </w:tcPr>
          <w:p w14:paraId="17C9A5FB">
            <w:pPr>
              <w:pStyle w:val="71"/>
              <w:spacing w:beforeLines="0" w:afterLines="0" w:line="240" w:lineRule="exact"/>
              <w:rPr>
                <w:rFonts w:ascii="Times New Roman"/>
                <w:color w:val="auto"/>
                <w:kern w:val="2"/>
                <w:sz w:val="22"/>
                <w:szCs w:val="22"/>
              </w:rPr>
            </w:pPr>
            <w:r>
              <w:rPr>
                <w:rFonts w:ascii="Times New Roman"/>
                <w:color w:val="auto"/>
                <w:kern w:val="2"/>
                <w:sz w:val="22"/>
                <w:szCs w:val="22"/>
              </w:rPr>
              <w:t>现有工程</w:t>
            </w:r>
          </w:p>
          <w:p w14:paraId="745180CF">
            <w:pPr>
              <w:pStyle w:val="71"/>
              <w:spacing w:beforeLines="0" w:afterLines="0" w:line="240" w:lineRule="exact"/>
              <w:rPr>
                <w:rFonts w:ascii="Times New Roman"/>
                <w:color w:val="auto"/>
                <w:kern w:val="2"/>
                <w:sz w:val="22"/>
                <w:szCs w:val="22"/>
              </w:rPr>
            </w:pPr>
            <w:r>
              <w:rPr>
                <w:rFonts w:ascii="Times New Roman"/>
                <w:color w:val="auto"/>
                <w:kern w:val="2"/>
                <w:sz w:val="22"/>
                <w:szCs w:val="22"/>
              </w:rPr>
              <w:t>许可排放量</w:t>
            </w:r>
          </w:p>
          <w:p w14:paraId="56521C37">
            <w:pPr>
              <w:pStyle w:val="71"/>
              <w:spacing w:beforeLines="0" w:afterLines="0" w:line="240" w:lineRule="exact"/>
              <w:rPr>
                <w:rFonts w:ascii="Times New Roman"/>
                <w:color w:val="auto"/>
                <w:kern w:val="2"/>
                <w:sz w:val="22"/>
                <w:szCs w:val="22"/>
              </w:rPr>
            </w:pPr>
            <w:r>
              <w:rPr>
                <w:rFonts w:ascii="Times New Roman"/>
                <w:color w:val="auto"/>
                <w:kern w:val="2"/>
                <w:sz w:val="22"/>
                <w:szCs w:val="22"/>
              </w:rPr>
              <w:fldChar w:fldCharType="begin"/>
            </w:r>
            <w:r>
              <w:rPr>
                <w:rFonts w:ascii="Times New Roman"/>
                <w:color w:val="auto"/>
                <w:kern w:val="2"/>
                <w:sz w:val="22"/>
                <w:szCs w:val="22"/>
              </w:rPr>
              <w:instrText xml:space="preserve"> = 2 \* GB3 \* MERGEFORMAT </w:instrText>
            </w:r>
            <w:r>
              <w:rPr>
                <w:rFonts w:ascii="Times New Roman"/>
                <w:color w:val="auto"/>
                <w:kern w:val="2"/>
                <w:sz w:val="22"/>
                <w:szCs w:val="22"/>
              </w:rPr>
              <w:fldChar w:fldCharType="separate"/>
            </w:r>
            <w:r>
              <w:rPr>
                <w:rFonts w:ascii="Times New Roman"/>
                <w:color w:val="auto"/>
                <w:kern w:val="2"/>
                <w:sz w:val="22"/>
                <w:szCs w:val="22"/>
              </w:rPr>
              <w:t>②</w:t>
            </w:r>
            <w:r>
              <w:rPr>
                <w:rFonts w:ascii="Times New Roman"/>
                <w:color w:val="auto"/>
                <w:kern w:val="2"/>
                <w:sz w:val="22"/>
                <w:szCs w:val="22"/>
              </w:rPr>
              <w:fldChar w:fldCharType="end"/>
            </w:r>
          </w:p>
        </w:tc>
        <w:tc>
          <w:tcPr>
            <w:tcW w:w="1651" w:type="dxa"/>
            <w:tcMar>
              <w:left w:w="28" w:type="dxa"/>
              <w:right w:w="28" w:type="dxa"/>
            </w:tcMar>
            <w:vAlign w:val="center"/>
          </w:tcPr>
          <w:p w14:paraId="20101618">
            <w:pPr>
              <w:pStyle w:val="71"/>
              <w:spacing w:beforeLines="0" w:afterLines="0" w:line="240" w:lineRule="exact"/>
              <w:rPr>
                <w:rFonts w:ascii="Times New Roman"/>
                <w:color w:val="auto"/>
                <w:kern w:val="2"/>
                <w:sz w:val="22"/>
                <w:szCs w:val="22"/>
              </w:rPr>
            </w:pPr>
            <w:r>
              <w:rPr>
                <w:rFonts w:ascii="Times New Roman"/>
                <w:color w:val="auto"/>
                <w:kern w:val="2"/>
                <w:sz w:val="22"/>
                <w:szCs w:val="22"/>
              </w:rPr>
              <w:t>在建工程</w:t>
            </w:r>
          </w:p>
          <w:p w14:paraId="73272405">
            <w:pPr>
              <w:pStyle w:val="71"/>
              <w:spacing w:beforeLines="0" w:afterLines="0" w:line="240" w:lineRule="exact"/>
              <w:rPr>
                <w:rFonts w:ascii="Times New Roman"/>
                <w:color w:val="auto"/>
                <w:kern w:val="2"/>
                <w:sz w:val="22"/>
                <w:szCs w:val="22"/>
              </w:rPr>
            </w:pPr>
            <w:r>
              <w:rPr>
                <w:rFonts w:ascii="Times New Roman"/>
                <w:color w:val="auto"/>
                <w:kern w:val="2"/>
                <w:sz w:val="22"/>
                <w:szCs w:val="22"/>
              </w:rPr>
              <w:t>排放量（固体废物产生量）</w:t>
            </w:r>
            <w:r>
              <w:rPr>
                <w:rFonts w:ascii="Times New Roman"/>
                <w:color w:val="auto"/>
                <w:kern w:val="2"/>
                <w:sz w:val="22"/>
                <w:szCs w:val="22"/>
              </w:rPr>
              <w:fldChar w:fldCharType="begin"/>
            </w:r>
            <w:r>
              <w:rPr>
                <w:rFonts w:ascii="Times New Roman"/>
                <w:color w:val="auto"/>
                <w:kern w:val="2"/>
                <w:sz w:val="22"/>
                <w:szCs w:val="22"/>
              </w:rPr>
              <w:instrText xml:space="preserve"> = 3 \* GB3 \* MERGEFORMAT </w:instrText>
            </w:r>
            <w:r>
              <w:rPr>
                <w:rFonts w:ascii="Times New Roman"/>
                <w:color w:val="auto"/>
                <w:kern w:val="2"/>
                <w:sz w:val="22"/>
                <w:szCs w:val="22"/>
              </w:rPr>
              <w:fldChar w:fldCharType="separate"/>
            </w:r>
            <w:r>
              <w:rPr>
                <w:rFonts w:ascii="Times New Roman"/>
                <w:color w:val="auto"/>
                <w:kern w:val="2"/>
                <w:sz w:val="22"/>
                <w:szCs w:val="22"/>
              </w:rPr>
              <w:t>③</w:t>
            </w:r>
            <w:r>
              <w:rPr>
                <w:rFonts w:ascii="Times New Roman"/>
                <w:color w:val="auto"/>
                <w:kern w:val="2"/>
                <w:sz w:val="22"/>
                <w:szCs w:val="22"/>
              </w:rPr>
              <w:fldChar w:fldCharType="end"/>
            </w:r>
          </w:p>
        </w:tc>
        <w:tc>
          <w:tcPr>
            <w:tcW w:w="1604" w:type="dxa"/>
            <w:tcMar>
              <w:left w:w="28" w:type="dxa"/>
              <w:right w:w="28" w:type="dxa"/>
            </w:tcMar>
            <w:vAlign w:val="center"/>
          </w:tcPr>
          <w:p w14:paraId="4E9BC48E">
            <w:pPr>
              <w:pStyle w:val="71"/>
              <w:spacing w:beforeLines="0" w:afterLines="0" w:line="240" w:lineRule="exact"/>
              <w:rPr>
                <w:rFonts w:ascii="Times New Roman"/>
                <w:color w:val="auto"/>
                <w:kern w:val="2"/>
                <w:sz w:val="22"/>
                <w:szCs w:val="22"/>
              </w:rPr>
            </w:pPr>
            <w:r>
              <w:rPr>
                <w:rFonts w:ascii="Times New Roman"/>
                <w:color w:val="auto"/>
                <w:kern w:val="2"/>
                <w:sz w:val="22"/>
                <w:szCs w:val="22"/>
              </w:rPr>
              <w:t>本项目</w:t>
            </w:r>
          </w:p>
          <w:p w14:paraId="6034744F">
            <w:pPr>
              <w:pStyle w:val="71"/>
              <w:spacing w:beforeLines="0" w:afterLines="0" w:line="240" w:lineRule="exact"/>
              <w:rPr>
                <w:rFonts w:ascii="Times New Roman"/>
                <w:color w:val="auto"/>
                <w:kern w:val="2"/>
                <w:sz w:val="22"/>
                <w:szCs w:val="22"/>
              </w:rPr>
            </w:pPr>
            <w:r>
              <w:rPr>
                <w:rFonts w:ascii="Times New Roman"/>
                <w:color w:val="auto"/>
                <w:kern w:val="2"/>
                <w:sz w:val="22"/>
                <w:szCs w:val="22"/>
              </w:rPr>
              <w:t>排放量（固体废物产生量）</w:t>
            </w:r>
            <w:r>
              <w:rPr>
                <w:rFonts w:ascii="Times New Roman"/>
                <w:color w:val="auto"/>
                <w:kern w:val="2"/>
                <w:sz w:val="22"/>
                <w:szCs w:val="22"/>
              </w:rPr>
              <w:fldChar w:fldCharType="begin"/>
            </w:r>
            <w:r>
              <w:rPr>
                <w:rFonts w:ascii="Times New Roman"/>
                <w:color w:val="auto"/>
                <w:kern w:val="2"/>
                <w:sz w:val="22"/>
                <w:szCs w:val="22"/>
              </w:rPr>
              <w:instrText xml:space="preserve"> = 4 \* GB3 \* MERGEFORMAT </w:instrText>
            </w:r>
            <w:r>
              <w:rPr>
                <w:rFonts w:ascii="Times New Roman"/>
                <w:color w:val="auto"/>
                <w:kern w:val="2"/>
                <w:sz w:val="22"/>
                <w:szCs w:val="22"/>
              </w:rPr>
              <w:fldChar w:fldCharType="separate"/>
            </w:r>
            <w:r>
              <w:rPr>
                <w:rFonts w:ascii="Times New Roman"/>
                <w:color w:val="auto"/>
                <w:kern w:val="2"/>
                <w:sz w:val="22"/>
                <w:szCs w:val="22"/>
              </w:rPr>
              <w:t>④</w:t>
            </w:r>
            <w:r>
              <w:rPr>
                <w:rFonts w:ascii="Times New Roman"/>
                <w:color w:val="auto"/>
                <w:kern w:val="2"/>
                <w:sz w:val="22"/>
                <w:szCs w:val="22"/>
              </w:rPr>
              <w:fldChar w:fldCharType="end"/>
            </w:r>
          </w:p>
        </w:tc>
        <w:tc>
          <w:tcPr>
            <w:tcW w:w="1364" w:type="dxa"/>
            <w:tcMar>
              <w:left w:w="28" w:type="dxa"/>
              <w:right w:w="28" w:type="dxa"/>
            </w:tcMar>
            <w:vAlign w:val="center"/>
          </w:tcPr>
          <w:p w14:paraId="22E0594D">
            <w:pPr>
              <w:pStyle w:val="71"/>
              <w:spacing w:beforeLines="0" w:afterLines="0" w:line="240" w:lineRule="exact"/>
              <w:rPr>
                <w:rFonts w:ascii="Times New Roman"/>
                <w:color w:val="auto"/>
                <w:kern w:val="2"/>
                <w:sz w:val="22"/>
                <w:szCs w:val="22"/>
              </w:rPr>
            </w:pPr>
            <w:r>
              <w:rPr>
                <w:rFonts w:ascii="Times New Roman"/>
                <w:color w:val="auto"/>
                <w:kern w:val="2"/>
                <w:sz w:val="22"/>
                <w:szCs w:val="22"/>
              </w:rPr>
              <w:t>以新带老削减量（新建项目不填）</w:t>
            </w:r>
            <w:r>
              <w:rPr>
                <w:rFonts w:ascii="Times New Roman"/>
                <w:color w:val="auto"/>
                <w:kern w:val="2"/>
                <w:sz w:val="22"/>
                <w:szCs w:val="22"/>
              </w:rPr>
              <w:fldChar w:fldCharType="begin"/>
            </w:r>
            <w:r>
              <w:rPr>
                <w:rFonts w:ascii="Times New Roman"/>
                <w:color w:val="auto"/>
                <w:kern w:val="2"/>
                <w:sz w:val="22"/>
                <w:szCs w:val="22"/>
              </w:rPr>
              <w:instrText xml:space="preserve"> = 5 \* GB3 \* MERGEFORMAT </w:instrText>
            </w:r>
            <w:r>
              <w:rPr>
                <w:rFonts w:ascii="Times New Roman"/>
                <w:color w:val="auto"/>
                <w:kern w:val="2"/>
                <w:sz w:val="22"/>
                <w:szCs w:val="22"/>
              </w:rPr>
              <w:fldChar w:fldCharType="separate"/>
            </w:r>
            <w:r>
              <w:rPr>
                <w:rFonts w:ascii="Times New Roman"/>
                <w:color w:val="auto"/>
                <w:kern w:val="2"/>
                <w:sz w:val="22"/>
                <w:szCs w:val="22"/>
              </w:rPr>
              <w:t>⑤</w:t>
            </w:r>
            <w:r>
              <w:rPr>
                <w:rFonts w:ascii="Times New Roman"/>
                <w:color w:val="auto"/>
                <w:kern w:val="2"/>
                <w:sz w:val="22"/>
                <w:szCs w:val="22"/>
              </w:rPr>
              <w:fldChar w:fldCharType="end"/>
            </w:r>
          </w:p>
        </w:tc>
        <w:tc>
          <w:tcPr>
            <w:tcW w:w="1725" w:type="dxa"/>
            <w:tcMar>
              <w:left w:w="28" w:type="dxa"/>
              <w:right w:w="28" w:type="dxa"/>
            </w:tcMar>
            <w:vAlign w:val="center"/>
          </w:tcPr>
          <w:p w14:paraId="7273EF8F">
            <w:pPr>
              <w:pStyle w:val="71"/>
              <w:spacing w:beforeLines="0" w:afterLines="0" w:line="240" w:lineRule="exact"/>
              <w:rPr>
                <w:rFonts w:ascii="Times New Roman"/>
                <w:color w:val="auto"/>
                <w:kern w:val="2"/>
                <w:sz w:val="22"/>
                <w:szCs w:val="22"/>
              </w:rPr>
            </w:pPr>
            <w:r>
              <w:rPr>
                <w:rFonts w:ascii="Times New Roman"/>
                <w:color w:val="auto"/>
                <w:kern w:val="2"/>
                <w:sz w:val="22"/>
                <w:szCs w:val="22"/>
              </w:rPr>
              <w:t>本项目建成后</w:t>
            </w:r>
          </w:p>
          <w:p w14:paraId="146E1749">
            <w:pPr>
              <w:pStyle w:val="71"/>
              <w:spacing w:beforeLines="0" w:afterLines="0" w:line="240" w:lineRule="exact"/>
              <w:rPr>
                <w:rFonts w:ascii="Times New Roman"/>
                <w:color w:val="auto"/>
                <w:kern w:val="2"/>
                <w:sz w:val="22"/>
                <w:szCs w:val="22"/>
              </w:rPr>
            </w:pPr>
            <w:r>
              <w:rPr>
                <w:rFonts w:ascii="Times New Roman"/>
                <w:color w:val="auto"/>
                <w:kern w:val="2"/>
                <w:sz w:val="22"/>
                <w:szCs w:val="22"/>
              </w:rPr>
              <w:t>全厂排放量（固体废物产生量）</w:t>
            </w:r>
            <w:r>
              <w:rPr>
                <w:rFonts w:ascii="Times New Roman"/>
                <w:color w:val="auto"/>
                <w:kern w:val="2"/>
                <w:sz w:val="22"/>
                <w:szCs w:val="22"/>
              </w:rPr>
              <w:fldChar w:fldCharType="begin"/>
            </w:r>
            <w:r>
              <w:rPr>
                <w:rFonts w:ascii="Times New Roman"/>
                <w:color w:val="auto"/>
                <w:kern w:val="2"/>
                <w:sz w:val="22"/>
                <w:szCs w:val="22"/>
              </w:rPr>
              <w:instrText xml:space="preserve"> = 6 \* GB3 \* MERGEFORMAT </w:instrText>
            </w:r>
            <w:r>
              <w:rPr>
                <w:rFonts w:ascii="Times New Roman"/>
                <w:color w:val="auto"/>
                <w:kern w:val="2"/>
                <w:sz w:val="22"/>
                <w:szCs w:val="22"/>
              </w:rPr>
              <w:fldChar w:fldCharType="separate"/>
            </w:r>
            <w:r>
              <w:rPr>
                <w:rFonts w:ascii="Times New Roman"/>
                <w:color w:val="auto"/>
                <w:kern w:val="2"/>
                <w:sz w:val="22"/>
                <w:szCs w:val="22"/>
              </w:rPr>
              <w:t>⑥</w:t>
            </w:r>
            <w:r>
              <w:rPr>
                <w:rFonts w:ascii="Times New Roman"/>
                <w:color w:val="auto"/>
                <w:kern w:val="2"/>
                <w:sz w:val="22"/>
                <w:szCs w:val="22"/>
              </w:rPr>
              <w:fldChar w:fldCharType="end"/>
            </w:r>
          </w:p>
        </w:tc>
        <w:tc>
          <w:tcPr>
            <w:tcW w:w="1412" w:type="dxa"/>
            <w:tcMar>
              <w:left w:w="28" w:type="dxa"/>
              <w:right w:w="28" w:type="dxa"/>
            </w:tcMar>
            <w:vAlign w:val="center"/>
          </w:tcPr>
          <w:p w14:paraId="3D122EA5">
            <w:pPr>
              <w:pStyle w:val="71"/>
              <w:spacing w:beforeLines="0" w:afterLines="0" w:line="240" w:lineRule="exact"/>
              <w:rPr>
                <w:rFonts w:ascii="Times New Roman"/>
                <w:color w:val="auto"/>
                <w:kern w:val="2"/>
                <w:sz w:val="22"/>
                <w:szCs w:val="22"/>
              </w:rPr>
            </w:pPr>
            <w:r>
              <w:rPr>
                <w:rFonts w:ascii="Times New Roman"/>
                <w:color w:val="auto"/>
                <w:kern w:val="2"/>
                <w:sz w:val="22"/>
                <w:szCs w:val="22"/>
              </w:rPr>
              <w:t>变化量</w:t>
            </w:r>
          </w:p>
          <w:p w14:paraId="6FE9DE07">
            <w:pPr>
              <w:pStyle w:val="71"/>
              <w:spacing w:beforeLines="0" w:afterLines="0" w:line="240" w:lineRule="exact"/>
              <w:rPr>
                <w:rFonts w:ascii="Times New Roman"/>
                <w:color w:val="auto"/>
                <w:kern w:val="2"/>
                <w:sz w:val="22"/>
                <w:szCs w:val="22"/>
              </w:rPr>
            </w:pPr>
            <w:r>
              <w:rPr>
                <w:rFonts w:ascii="Times New Roman"/>
                <w:color w:val="auto"/>
                <w:kern w:val="2"/>
                <w:sz w:val="22"/>
                <w:szCs w:val="22"/>
              </w:rPr>
              <w:fldChar w:fldCharType="begin"/>
            </w:r>
            <w:r>
              <w:rPr>
                <w:rFonts w:ascii="Times New Roman"/>
                <w:color w:val="auto"/>
                <w:kern w:val="2"/>
                <w:sz w:val="22"/>
                <w:szCs w:val="22"/>
              </w:rPr>
              <w:instrText xml:space="preserve"> = 7 \* GB3 \* MERGEFORMAT </w:instrText>
            </w:r>
            <w:r>
              <w:rPr>
                <w:rFonts w:ascii="Times New Roman"/>
                <w:color w:val="auto"/>
                <w:kern w:val="2"/>
                <w:sz w:val="22"/>
                <w:szCs w:val="22"/>
              </w:rPr>
              <w:fldChar w:fldCharType="separate"/>
            </w:r>
            <w:r>
              <w:rPr>
                <w:rFonts w:ascii="Times New Roman"/>
                <w:color w:val="auto"/>
                <w:kern w:val="2"/>
                <w:sz w:val="22"/>
                <w:szCs w:val="22"/>
              </w:rPr>
              <w:t>⑦</w:t>
            </w:r>
            <w:r>
              <w:rPr>
                <w:rFonts w:ascii="Times New Roman"/>
                <w:color w:val="auto"/>
                <w:kern w:val="2"/>
                <w:sz w:val="22"/>
                <w:szCs w:val="22"/>
              </w:rPr>
              <w:fldChar w:fldCharType="end"/>
            </w:r>
          </w:p>
        </w:tc>
      </w:tr>
      <w:tr w14:paraId="2636A2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1142" w:type="dxa"/>
            <w:vAlign w:val="center"/>
          </w:tcPr>
          <w:p w14:paraId="3F7AD5AE">
            <w:pPr>
              <w:pStyle w:val="71"/>
              <w:spacing w:beforeLines="0" w:afterLines="0" w:line="240" w:lineRule="exact"/>
              <w:rPr>
                <w:rFonts w:ascii="Times New Roman"/>
                <w:color w:val="auto"/>
                <w:kern w:val="2"/>
                <w:szCs w:val="21"/>
              </w:rPr>
            </w:pPr>
            <w:r>
              <w:rPr>
                <w:rFonts w:hint="eastAsia" w:ascii="Times New Roman"/>
                <w:color w:val="auto"/>
                <w:kern w:val="2"/>
                <w:szCs w:val="21"/>
              </w:rPr>
              <w:t>废气</w:t>
            </w:r>
          </w:p>
        </w:tc>
        <w:tc>
          <w:tcPr>
            <w:tcW w:w="1980" w:type="dxa"/>
            <w:vAlign w:val="center"/>
          </w:tcPr>
          <w:p w14:paraId="32F01735">
            <w:pPr>
              <w:pStyle w:val="71"/>
              <w:spacing w:beforeLines="0" w:afterLines="0" w:line="240" w:lineRule="exact"/>
              <w:rPr>
                <w:rFonts w:ascii="Times New Roman"/>
                <w:color w:val="auto"/>
                <w:kern w:val="2"/>
                <w:sz w:val="22"/>
                <w:szCs w:val="22"/>
              </w:rPr>
            </w:pPr>
            <w:r>
              <w:rPr>
                <w:rFonts w:hint="eastAsia" w:ascii="Times New Roman"/>
                <w:color w:val="auto"/>
                <w:kern w:val="2"/>
                <w:sz w:val="22"/>
                <w:szCs w:val="22"/>
              </w:rPr>
              <w:t>工业粉尘</w:t>
            </w:r>
          </w:p>
        </w:tc>
        <w:tc>
          <w:tcPr>
            <w:tcW w:w="1620" w:type="dxa"/>
            <w:vAlign w:val="center"/>
          </w:tcPr>
          <w:p w14:paraId="5296744C">
            <w:pPr>
              <w:pStyle w:val="71"/>
              <w:spacing w:beforeLines="0" w:afterLines="0" w:line="240" w:lineRule="exact"/>
              <w:rPr>
                <w:rFonts w:ascii="Times New Roman"/>
                <w:color w:val="auto"/>
                <w:kern w:val="2"/>
                <w:sz w:val="22"/>
                <w:szCs w:val="22"/>
              </w:rPr>
            </w:pPr>
            <w:r>
              <w:rPr>
                <w:rFonts w:ascii="Times New Roman"/>
                <w:color w:val="auto"/>
                <w:kern w:val="2"/>
                <w:sz w:val="22"/>
                <w:szCs w:val="22"/>
              </w:rPr>
              <w:t>/</w:t>
            </w:r>
          </w:p>
        </w:tc>
        <w:tc>
          <w:tcPr>
            <w:tcW w:w="1290" w:type="dxa"/>
            <w:vAlign w:val="center"/>
          </w:tcPr>
          <w:p w14:paraId="7C2A7CCB">
            <w:pPr>
              <w:pStyle w:val="71"/>
              <w:spacing w:beforeLines="0" w:afterLines="0" w:line="240" w:lineRule="exact"/>
              <w:rPr>
                <w:rFonts w:ascii="Times New Roman"/>
                <w:color w:val="auto"/>
                <w:kern w:val="2"/>
                <w:sz w:val="22"/>
                <w:szCs w:val="22"/>
              </w:rPr>
            </w:pPr>
            <w:r>
              <w:rPr>
                <w:rFonts w:ascii="Times New Roman"/>
                <w:color w:val="auto"/>
                <w:kern w:val="2"/>
                <w:sz w:val="22"/>
                <w:szCs w:val="22"/>
              </w:rPr>
              <w:t>/</w:t>
            </w:r>
          </w:p>
        </w:tc>
        <w:tc>
          <w:tcPr>
            <w:tcW w:w="1651" w:type="dxa"/>
            <w:vAlign w:val="center"/>
          </w:tcPr>
          <w:p w14:paraId="23A6E2DA">
            <w:pPr>
              <w:pStyle w:val="71"/>
              <w:spacing w:beforeLines="0" w:afterLines="0" w:line="240" w:lineRule="exact"/>
              <w:rPr>
                <w:rFonts w:ascii="Times New Roman"/>
                <w:color w:val="auto"/>
                <w:kern w:val="2"/>
                <w:sz w:val="22"/>
                <w:szCs w:val="22"/>
              </w:rPr>
            </w:pPr>
            <w:r>
              <w:rPr>
                <w:rFonts w:ascii="Times New Roman"/>
                <w:color w:val="auto"/>
                <w:kern w:val="2"/>
                <w:sz w:val="22"/>
                <w:szCs w:val="22"/>
              </w:rPr>
              <w:t>/</w:t>
            </w:r>
          </w:p>
        </w:tc>
        <w:tc>
          <w:tcPr>
            <w:tcW w:w="1604" w:type="dxa"/>
            <w:vAlign w:val="bottom"/>
          </w:tcPr>
          <w:p w14:paraId="626FDFCE">
            <w:pPr>
              <w:pStyle w:val="77"/>
              <w:spacing w:before="24" w:after="24" w:line="240" w:lineRule="exact"/>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eastAsia="宋体" w:cs="Times New Roman"/>
                <w:snapToGrid w:val="0"/>
                <w:color w:val="auto"/>
                <w:sz w:val="21"/>
                <w:lang w:val="en-US" w:eastAsia="zh-CN"/>
              </w:rPr>
              <w:t>9.059t/a</w:t>
            </w:r>
          </w:p>
        </w:tc>
        <w:tc>
          <w:tcPr>
            <w:tcW w:w="1364" w:type="dxa"/>
            <w:vAlign w:val="center"/>
          </w:tcPr>
          <w:p w14:paraId="5ED6A82D">
            <w:pPr>
              <w:pStyle w:val="77"/>
              <w:spacing w:before="24" w:after="24" w:line="240" w:lineRule="exact"/>
              <w:rPr>
                <w:rFonts w:hint="eastAsia" w:ascii="Times New Roman" w:hAnsi="Times New Roman" w:eastAsia="宋体" w:cs="Times New Roman"/>
                <w:color w:val="auto"/>
                <w:kern w:val="2"/>
                <w:sz w:val="22"/>
                <w:szCs w:val="22"/>
              </w:rPr>
            </w:pPr>
            <w:r>
              <w:rPr>
                <w:rFonts w:hint="eastAsia" w:ascii="Times New Roman" w:hAnsi="Times New Roman" w:eastAsia="宋体" w:cs="Times New Roman"/>
                <w:color w:val="auto"/>
                <w:kern w:val="2"/>
                <w:sz w:val="22"/>
                <w:szCs w:val="22"/>
              </w:rPr>
              <w:t>/</w:t>
            </w:r>
          </w:p>
        </w:tc>
        <w:tc>
          <w:tcPr>
            <w:tcW w:w="1725" w:type="dxa"/>
            <w:vAlign w:val="bottom"/>
          </w:tcPr>
          <w:p w14:paraId="2C34BCA1">
            <w:pPr>
              <w:pStyle w:val="77"/>
              <w:spacing w:before="24" w:after="24" w:line="240" w:lineRule="exact"/>
              <w:rPr>
                <w:rFonts w:hint="eastAsia" w:ascii="Times New Roman" w:hAnsi="Times New Roman" w:eastAsia="宋体" w:cs="Times New Roman"/>
                <w:snapToGrid w:val="0"/>
                <w:color w:val="auto"/>
                <w:kern w:val="0"/>
                <w:sz w:val="21"/>
                <w:szCs w:val="21"/>
                <w:lang w:val="en-US" w:eastAsia="zh-CN" w:bidi="ar-SA"/>
              </w:rPr>
            </w:pPr>
            <w:r>
              <w:rPr>
                <w:rFonts w:hint="eastAsia" w:ascii="Times New Roman" w:hAnsi="Times New Roman" w:eastAsia="宋体" w:cs="Times New Roman"/>
                <w:snapToGrid w:val="0"/>
                <w:color w:val="auto"/>
                <w:sz w:val="21"/>
                <w:lang w:val="en-US" w:eastAsia="zh-CN"/>
              </w:rPr>
              <w:t>9.059t/a</w:t>
            </w:r>
          </w:p>
        </w:tc>
        <w:tc>
          <w:tcPr>
            <w:tcW w:w="1412" w:type="dxa"/>
            <w:vAlign w:val="bottom"/>
          </w:tcPr>
          <w:p w14:paraId="5422D40D">
            <w:pPr>
              <w:pStyle w:val="77"/>
              <w:spacing w:before="24" w:after="24" w:line="240" w:lineRule="exact"/>
              <w:rPr>
                <w:rFonts w:hint="eastAsia" w:ascii="Times New Roman" w:hAnsi="Times New Roman" w:eastAsia="宋体" w:cs="Times New Roman"/>
                <w:color w:val="auto"/>
                <w:kern w:val="2"/>
                <w:sz w:val="22"/>
                <w:szCs w:val="22"/>
                <w:lang w:val="en-US" w:eastAsia="zh-CN" w:bidi="ar-SA"/>
              </w:rPr>
            </w:pPr>
            <w:r>
              <w:rPr>
                <w:rFonts w:hint="eastAsia" w:ascii="Times New Roman" w:hAnsi="Times New Roman" w:eastAsia="宋体" w:cs="Times New Roman"/>
                <w:snapToGrid w:val="0"/>
                <w:color w:val="auto"/>
                <w:sz w:val="21"/>
                <w:lang w:val="en-US" w:eastAsia="zh-CN"/>
              </w:rPr>
              <w:t>9.059t/a</w:t>
            </w:r>
          </w:p>
        </w:tc>
      </w:tr>
      <w:tr w14:paraId="5CF539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1142" w:type="dxa"/>
            <w:vMerge w:val="restart"/>
            <w:vAlign w:val="center"/>
          </w:tcPr>
          <w:p w14:paraId="4BC1B59F">
            <w:pPr>
              <w:pStyle w:val="71"/>
              <w:spacing w:beforeLines="0" w:afterLines="0" w:line="240" w:lineRule="exact"/>
              <w:rPr>
                <w:rFonts w:ascii="Times New Roman"/>
                <w:color w:val="auto"/>
                <w:kern w:val="2"/>
                <w:szCs w:val="21"/>
              </w:rPr>
            </w:pPr>
            <w:r>
              <w:rPr>
                <w:rFonts w:ascii="Times New Roman"/>
                <w:color w:val="auto"/>
                <w:kern w:val="2"/>
                <w:szCs w:val="21"/>
              </w:rPr>
              <w:t>废水</w:t>
            </w:r>
          </w:p>
        </w:tc>
        <w:tc>
          <w:tcPr>
            <w:tcW w:w="1980" w:type="dxa"/>
            <w:vAlign w:val="center"/>
          </w:tcPr>
          <w:p w14:paraId="5CB93076">
            <w:pPr>
              <w:spacing w:line="240" w:lineRule="exact"/>
              <w:jc w:val="center"/>
              <w:rPr>
                <w:color w:val="auto"/>
                <w:sz w:val="22"/>
                <w:szCs w:val="22"/>
              </w:rPr>
            </w:pPr>
            <w:r>
              <w:rPr>
                <w:color w:val="auto"/>
                <w:sz w:val="22"/>
                <w:szCs w:val="22"/>
              </w:rPr>
              <w:t>COD</w:t>
            </w:r>
          </w:p>
        </w:tc>
        <w:tc>
          <w:tcPr>
            <w:tcW w:w="1620" w:type="dxa"/>
            <w:vAlign w:val="center"/>
          </w:tcPr>
          <w:p w14:paraId="5CBE85E4">
            <w:pPr>
              <w:spacing w:line="240" w:lineRule="exact"/>
              <w:jc w:val="center"/>
              <w:rPr>
                <w:color w:val="auto"/>
                <w:sz w:val="22"/>
                <w:szCs w:val="22"/>
              </w:rPr>
            </w:pPr>
            <w:r>
              <w:rPr>
                <w:color w:val="auto"/>
                <w:sz w:val="22"/>
                <w:szCs w:val="22"/>
              </w:rPr>
              <w:t>/</w:t>
            </w:r>
          </w:p>
        </w:tc>
        <w:tc>
          <w:tcPr>
            <w:tcW w:w="1290" w:type="dxa"/>
            <w:vAlign w:val="center"/>
          </w:tcPr>
          <w:p w14:paraId="11F1AC1F">
            <w:pPr>
              <w:spacing w:line="240" w:lineRule="exact"/>
              <w:jc w:val="center"/>
              <w:rPr>
                <w:color w:val="auto"/>
                <w:sz w:val="22"/>
                <w:szCs w:val="22"/>
              </w:rPr>
            </w:pPr>
            <w:r>
              <w:rPr>
                <w:color w:val="auto"/>
                <w:sz w:val="22"/>
                <w:szCs w:val="22"/>
              </w:rPr>
              <w:t>/</w:t>
            </w:r>
          </w:p>
        </w:tc>
        <w:tc>
          <w:tcPr>
            <w:tcW w:w="1651" w:type="dxa"/>
            <w:vAlign w:val="center"/>
          </w:tcPr>
          <w:p w14:paraId="2A364DC8">
            <w:pPr>
              <w:spacing w:line="240" w:lineRule="exact"/>
              <w:jc w:val="center"/>
              <w:rPr>
                <w:color w:val="auto"/>
                <w:sz w:val="22"/>
                <w:szCs w:val="22"/>
              </w:rPr>
            </w:pPr>
            <w:r>
              <w:rPr>
                <w:color w:val="auto"/>
                <w:sz w:val="22"/>
                <w:szCs w:val="22"/>
              </w:rPr>
              <w:t>/</w:t>
            </w:r>
          </w:p>
        </w:tc>
        <w:tc>
          <w:tcPr>
            <w:tcW w:w="1604" w:type="dxa"/>
            <w:vAlign w:val="center"/>
          </w:tcPr>
          <w:p w14:paraId="2D3CFF46">
            <w:pPr>
              <w:spacing w:line="240" w:lineRule="exact"/>
              <w:jc w:val="center"/>
              <w:rPr>
                <w:rFonts w:hint="eastAsia" w:ascii="Times New Roman" w:hAnsi="Times New Roman" w:eastAsia="宋体" w:cs="Times New Roman"/>
                <w:snapToGrid w:val="0"/>
                <w:color w:val="auto"/>
                <w:kern w:val="0"/>
                <w:sz w:val="21"/>
                <w:szCs w:val="21"/>
                <w:lang w:val="en-US" w:eastAsia="zh-CN" w:bidi="ar-SA"/>
              </w:rPr>
            </w:pPr>
            <w:r>
              <w:rPr>
                <w:rFonts w:hint="eastAsia" w:ascii="Times New Roman" w:hAnsi="Times New Roman" w:eastAsia="宋体" w:cs="Times New Roman"/>
                <w:snapToGrid w:val="0"/>
                <w:color w:val="auto"/>
                <w:kern w:val="0"/>
                <w:sz w:val="21"/>
                <w:szCs w:val="21"/>
                <w:lang w:val="en-US" w:eastAsia="zh-CN" w:bidi="ar-SA"/>
              </w:rPr>
              <w:t>/</w:t>
            </w:r>
          </w:p>
        </w:tc>
        <w:tc>
          <w:tcPr>
            <w:tcW w:w="1364" w:type="dxa"/>
            <w:vAlign w:val="center"/>
          </w:tcPr>
          <w:p w14:paraId="2F5A3D52">
            <w:pPr>
              <w:spacing w:line="240" w:lineRule="exact"/>
              <w:jc w:val="center"/>
              <w:rPr>
                <w:color w:val="auto"/>
                <w:sz w:val="22"/>
                <w:szCs w:val="22"/>
              </w:rPr>
            </w:pPr>
            <w:r>
              <w:rPr>
                <w:color w:val="auto"/>
                <w:sz w:val="22"/>
                <w:szCs w:val="22"/>
              </w:rPr>
              <w:t>/</w:t>
            </w:r>
          </w:p>
        </w:tc>
        <w:tc>
          <w:tcPr>
            <w:tcW w:w="1725" w:type="dxa"/>
            <w:vAlign w:val="center"/>
          </w:tcPr>
          <w:p w14:paraId="6402EA13">
            <w:pPr>
              <w:spacing w:line="240" w:lineRule="exact"/>
              <w:jc w:val="center"/>
              <w:rPr>
                <w:rFonts w:hint="eastAsia" w:ascii="Times New Roman" w:hAnsi="Times New Roman" w:eastAsia="宋体" w:cs="Times New Roman"/>
                <w:snapToGrid w:val="0"/>
                <w:color w:val="auto"/>
                <w:kern w:val="0"/>
                <w:sz w:val="21"/>
                <w:szCs w:val="21"/>
                <w:lang w:val="en-US" w:eastAsia="zh-CN" w:bidi="ar-SA"/>
              </w:rPr>
            </w:pPr>
            <w:r>
              <w:rPr>
                <w:rFonts w:hint="eastAsia" w:ascii="Times New Roman" w:hAnsi="Times New Roman" w:eastAsia="宋体" w:cs="Times New Roman"/>
                <w:snapToGrid w:val="0"/>
                <w:color w:val="auto"/>
                <w:kern w:val="0"/>
                <w:sz w:val="21"/>
                <w:szCs w:val="21"/>
                <w:lang w:val="en-US" w:eastAsia="zh-CN" w:bidi="ar-SA"/>
              </w:rPr>
              <w:t>/</w:t>
            </w:r>
          </w:p>
        </w:tc>
        <w:tc>
          <w:tcPr>
            <w:tcW w:w="1412" w:type="dxa"/>
            <w:vAlign w:val="center"/>
          </w:tcPr>
          <w:p w14:paraId="45C9401B">
            <w:pPr>
              <w:spacing w:line="240" w:lineRule="exact"/>
              <w:jc w:val="center"/>
              <w:rPr>
                <w:color w:val="auto"/>
                <w:sz w:val="22"/>
                <w:szCs w:val="22"/>
              </w:rPr>
            </w:pPr>
            <w:r>
              <w:rPr>
                <w:rFonts w:hint="eastAsia" w:ascii="Times New Roman" w:hAnsi="Times New Roman" w:eastAsia="宋体" w:cs="Times New Roman"/>
                <w:snapToGrid w:val="0"/>
                <w:color w:val="auto"/>
                <w:kern w:val="0"/>
                <w:sz w:val="21"/>
                <w:szCs w:val="21"/>
                <w:lang w:val="en-US" w:eastAsia="zh-CN" w:bidi="ar-SA"/>
              </w:rPr>
              <w:t>/</w:t>
            </w:r>
          </w:p>
        </w:tc>
      </w:tr>
      <w:tr w14:paraId="34BAAD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142" w:type="dxa"/>
            <w:vMerge w:val="continue"/>
            <w:vAlign w:val="center"/>
          </w:tcPr>
          <w:p w14:paraId="220CE4E5">
            <w:pPr>
              <w:pStyle w:val="71"/>
              <w:spacing w:beforeLines="0" w:afterLines="0" w:line="240" w:lineRule="exact"/>
              <w:rPr>
                <w:rFonts w:ascii="Times New Roman"/>
                <w:color w:val="auto"/>
                <w:kern w:val="2"/>
                <w:szCs w:val="21"/>
              </w:rPr>
            </w:pPr>
          </w:p>
        </w:tc>
        <w:tc>
          <w:tcPr>
            <w:tcW w:w="1980" w:type="dxa"/>
            <w:vAlign w:val="center"/>
          </w:tcPr>
          <w:p w14:paraId="19B39C16">
            <w:pPr>
              <w:spacing w:line="240" w:lineRule="exact"/>
              <w:jc w:val="center"/>
              <w:rPr>
                <w:color w:val="auto"/>
                <w:sz w:val="22"/>
                <w:szCs w:val="22"/>
              </w:rPr>
            </w:pPr>
            <w:r>
              <w:rPr>
                <w:color w:val="auto"/>
                <w:sz w:val="22"/>
                <w:szCs w:val="22"/>
              </w:rPr>
              <w:t>NH</w:t>
            </w:r>
            <w:r>
              <w:rPr>
                <w:color w:val="auto"/>
                <w:sz w:val="22"/>
                <w:szCs w:val="22"/>
                <w:vertAlign w:val="subscript"/>
              </w:rPr>
              <w:t>3</w:t>
            </w:r>
            <w:r>
              <w:rPr>
                <w:color w:val="auto"/>
                <w:sz w:val="22"/>
                <w:szCs w:val="22"/>
              </w:rPr>
              <w:t>-N</w:t>
            </w:r>
          </w:p>
        </w:tc>
        <w:tc>
          <w:tcPr>
            <w:tcW w:w="1620" w:type="dxa"/>
            <w:vAlign w:val="center"/>
          </w:tcPr>
          <w:p w14:paraId="177F1ACD">
            <w:pPr>
              <w:spacing w:line="240" w:lineRule="exact"/>
              <w:jc w:val="center"/>
              <w:rPr>
                <w:color w:val="auto"/>
                <w:sz w:val="22"/>
                <w:szCs w:val="22"/>
              </w:rPr>
            </w:pPr>
            <w:r>
              <w:rPr>
                <w:color w:val="auto"/>
                <w:sz w:val="22"/>
                <w:szCs w:val="22"/>
              </w:rPr>
              <w:t>/</w:t>
            </w:r>
          </w:p>
        </w:tc>
        <w:tc>
          <w:tcPr>
            <w:tcW w:w="1290" w:type="dxa"/>
            <w:vAlign w:val="center"/>
          </w:tcPr>
          <w:p w14:paraId="4EE31158">
            <w:pPr>
              <w:spacing w:line="240" w:lineRule="exact"/>
              <w:jc w:val="center"/>
              <w:rPr>
                <w:color w:val="auto"/>
                <w:sz w:val="22"/>
                <w:szCs w:val="22"/>
              </w:rPr>
            </w:pPr>
            <w:r>
              <w:rPr>
                <w:color w:val="auto"/>
                <w:sz w:val="22"/>
                <w:szCs w:val="22"/>
              </w:rPr>
              <w:t>/</w:t>
            </w:r>
          </w:p>
        </w:tc>
        <w:tc>
          <w:tcPr>
            <w:tcW w:w="1651" w:type="dxa"/>
            <w:vAlign w:val="center"/>
          </w:tcPr>
          <w:p w14:paraId="3311E190">
            <w:pPr>
              <w:spacing w:line="240" w:lineRule="exact"/>
              <w:jc w:val="center"/>
              <w:rPr>
                <w:color w:val="auto"/>
                <w:sz w:val="22"/>
                <w:szCs w:val="22"/>
              </w:rPr>
            </w:pPr>
            <w:r>
              <w:rPr>
                <w:color w:val="auto"/>
                <w:sz w:val="22"/>
                <w:szCs w:val="22"/>
              </w:rPr>
              <w:t>/</w:t>
            </w:r>
          </w:p>
        </w:tc>
        <w:tc>
          <w:tcPr>
            <w:tcW w:w="1604" w:type="dxa"/>
            <w:vAlign w:val="center"/>
          </w:tcPr>
          <w:p w14:paraId="51B1CFAF">
            <w:pPr>
              <w:spacing w:line="240" w:lineRule="exact"/>
              <w:jc w:val="center"/>
              <w:rPr>
                <w:rFonts w:hint="eastAsia" w:ascii="Times New Roman" w:hAnsi="Times New Roman" w:eastAsia="宋体" w:cs="Times New Roman"/>
                <w:snapToGrid w:val="0"/>
                <w:color w:val="auto"/>
                <w:kern w:val="0"/>
                <w:sz w:val="21"/>
                <w:szCs w:val="21"/>
                <w:lang w:val="en-US" w:eastAsia="zh-CN" w:bidi="ar-SA"/>
              </w:rPr>
            </w:pPr>
            <w:r>
              <w:rPr>
                <w:rFonts w:hint="eastAsia" w:ascii="Times New Roman" w:hAnsi="Times New Roman" w:eastAsia="宋体" w:cs="Times New Roman"/>
                <w:snapToGrid w:val="0"/>
                <w:color w:val="auto"/>
                <w:kern w:val="0"/>
                <w:sz w:val="21"/>
                <w:szCs w:val="21"/>
                <w:lang w:val="en-US" w:eastAsia="zh-CN" w:bidi="ar-SA"/>
              </w:rPr>
              <w:t>/</w:t>
            </w:r>
          </w:p>
        </w:tc>
        <w:tc>
          <w:tcPr>
            <w:tcW w:w="1364" w:type="dxa"/>
            <w:vAlign w:val="center"/>
          </w:tcPr>
          <w:p w14:paraId="6806AA5B">
            <w:pPr>
              <w:spacing w:line="240" w:lineRule="exact"/>
              <w:jc w:val="center"/>
              <w:rPr>
                <w:color w:val="auto"/>
                <w:sz w:val="22"/>
                <w:szCs w:val="22"/>
              </w:rPr>
            </w:pPr>
            <w:r>
              <w:rPr>
                <w:color w:val="auto"/>
                <w:sz w:val="22"/>
                <w:szCs w:val="22"/>
              </w:rPr>
              <w:t>/</w:t>
            </w:r>
          </w:p>
        </w:tc>
        <w:tc>
          <w:tcPr>
            <w:tcW w:w="1725" w:type="dxa"/>
            <w:vAlign w:val="center"/>
          </w:tcPr>
          <w:p w14:paraId="5DE3B71F">
            <w:pPr>
              <w:spacing w:line="240" w:lineRule="exact"/>
              <w:jc w:val="center"/>
              <w:rPr>
                <w:rFonts w:hint="eastAsia" w:ascii="Times New Roman" w:hAnsi="Times New Roman" w:eastAsia="宋体" w:cs="Times New Roman"/>
                <w:snapToGrid w:val="0"/>
                <w:color w:val="auto"/>
                <w:kern w:val="0"/>
                <w:sz w:val="21"/>
                <w:szCs w:val="21"/>
                <w:lang w:val="en-US" w:eastAsia="zh-CN" w:bidi="ar-SA"/>
              </w:rPr>
            </w:pPr>
            <w:r>
              <w:rPr>
                <w:rFonts w:hint="eastAsia" w:ascii="Times New Roman" w:hAnsi="Times New Roman" w:eastAsia="宋体" w:cs="Times New Roman"/>
                <w:snapToGrid w:val="0"/>
                <w:color w:val="auto"/>
                <w:kern w:val="0"/>
                <w:sz w:val="21"/>
                <w:szCs w:val="21"/>
                <w:lang w:val="en-US" w:eastAsia="zh-CN" w:bidi="ar-SA"/>
              </w:rPr>
              <w:t>/</w:t>
            </w:r>
          </w:p>
        </w:tc>
        <w:tc>
          <w:tcPr>
            <w:tcW w:w="1412" w:type="dxa"/>
            <w:vAlign w:val="center"/>
          </w:tcPr>
          <w:p w14:paraId="78D3E999">
            <w:pPr>
              <w:spacing w:line="240" w:lineRule="exact"/>
              <w:jc w:val="center"/>
              <w:rPr>
                <w:color w:val="auto"/>
                <w:sz w:val="22"/>
                <w:szCs w:val="22"/>
              </w:rPr>
            </w:pPr>
            <w:r>
              <w:rPr>
                <w:rFonts w:hint="eastAsia" w:ascii="Times New Roman" w:hAnsi="Times New Roman" w:eastAsia="宋体" w:cs="Times New Roman"/>
                <w:snapToGrid w:val="0"/>
                <w:color w:val="auto"/>
                <w:kern w:val="0"/>
                <w:sz w:val="21"/>
                <w:szCs w:val="21"/>
                <w:lang w:val="en-US" w:eastAsia="zh-CN" w:bidi="ar-SA"/>
              </w:rPr>
              <w:t>/</w:t>
            </w:r>
          </w:p>
        </w:tc>
      </w:tr>
      <w:tr w14:paraId="10A9B8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142" w:type="dxa"/>
            <w:vAlign w:val="center"/>
          </w:tcPr>
          <w:p w14:paraId="424A4508">
            <w:pPr>
              <w:pStyle w:val="71"/>
              <w:spacing w:beforeLines="0" w:afterLines="0" w:line="240" w:lineRule="exact"/>
              <w:rPr>
                <w:rFonts w:hint="eastAsia" w:ascii="Times New Roman"/>
                <w:color w:val="auto"/>
                <w:kern w:val="2"/>
                <w:szCs w:val="21"/>
                <w:lang w:val="en-US" w:eastAsia="zh-CN"/>
              </w:rPr>
            </w:pPr>
            <w:r>
              <w:rPr>
                <w:rFonts w:hint="eastAsia" w:ascii="Times New Roman"/>
                <w:color w:val="auto"/>
                <w:kern w:val="2"/>
                <w:szCs w:val="21"/>
                <w:lang w:val="en-US" w:eastAsia="zh-CN"/>
              </w:rPr>
              <w:t>一般固体废物</w:t>
            </w:r>
          </w:p>
        </w:tc>
        <w:tc>
          <w:tcPr>
            <w:tcW w:w="1980" w:type="dxa"/>
            <w:vAlign w:val="center"/>
          </w:tcPr>
          <w:p w14:paraId="33D9ADB0">
            <w:pPr>
              <w:pStyle w:val="74"/>
              <w:adjustRightInd w:val="0"/>
              <w:snapToGrid w:val="0"/>
              <w:spacing w:line="240" w:lineRule="exact"/>
              <w:rPr>
                <w:color w:val="auto"/>
                <w:kern w:val="2"/>
                <w:sz w:val="22"/>
                <w:szCs w:val="22"/>
              </w:rPr>
            </w:pPr>
            <w:r>
              <w:rPr>
                <w:rFonts w:hint="eastAsia"/>
                <w:color w:val="auto"/>
                <w:kern w:val="2"/>
                <w:sz w:val="22"/>
                <w:szCs w:val="22"/>
                <w:lang w:val="en-US" w:eastAsia="zh-CN"/>
              </w:rPr>
              <w:t>沉渣</w:t>
            </w:r>
          </w:p>
        </w:tc>
        <w:tc>
          <w:tcPr>
            <w:tcW w:w="1620" w:type="dxa"/>
            <w:vAlign w:val="center"/>
          </w:tcPr>
          <w:p w14:paraId="73C54FE8">
            <w:pPr>
              <w:spacing w:line="240" w:lineRule="exact"/>
              <w:jc w:val="center"/>
              <w:rPr>
                <w:color w:val="auto"/>
                <w:sz w:val="22"/>
                <w:szCs w:val="22"/>
              </w:rPr>
            </w:pPr>
            <w:r>
              <w:rPr>
                <w:color w:val="auto"/>
                <w:sz w:val="22"/>
                <w:szCs w:val="22"/>
              </w:rPr>
              <w:t>/</w:t>
            </w:r>
          </w:p>
        </w:tc>
        <w:tc>
          <w:tcPr>
            <w:tcW w:w="1290" w:type="dxa"/>
            <w:vAlign w:val="center"/>
          </w:tcPr>
          <w:p w14:paraId="05C27E5A">
            <w:pPr>
              <w:spacing w:line="240" w:lineRule="exact"/>
              <w:jc w:val="center"/>
              <w:rPr>
                <w:color w:val="auto"/>
                <w:sz w:val="22"/>
                <w:szCs w:val="22"/>
              </w:rPr>
            </w:pPr>
            <w:r>
              <w:rPr>
                <w:color w:val="auto"/>
                <w:sz w:val="22"/>
                <w:szCs w:val="22"/>
              </w:rPr>
              <w:t>/</w:t>
            </w:r>
          </w:p>
        </w:tc>
        <w:tc>
          <w:tcPr>
            <w:tcW w:w="1651" w:type="dxa"/>
            <w:vAlign w:val="center"/>
          </w:tcPr>
          <w:p w14:paraId="6095614F">
            <w:pPr>
              <w:spacing w:line="240" w:lineRule="exact"/>
              <w:jc w:val="center"/>
              <w:rPr>
                <w:color w:val="auto"/>
                <w:sz w:val="22"/>
                <w:szCs w:val="22"/>
              </w:rPr>
            </w:pPr>
            <w:r>
              <w:rPr>
                <w:color w:val="auto"/>
                <w:sz w:val="22"/>
                <w:szCs w:val="22"/>
              </w:rPr>
              <w:t>/</w:t>
            </w:r>
          </w:p>
        </w:tc>
        <w:tc>
          <w:tcPr>
            <w:tcW w:w="1604" w:type="dxa"/>
            <w:vAlign w:val="center"/>
          </w:tcPr>
          <w:p w14:paraId="198FB760">
            <w:pPr>
              <w:pStyle w:val="77"/>
              <w:spacing w:before="24" w:after="24" w:line="240" w:lineRule="exact"/>
              <w:rPr>
                <w:rFonts w:hint="eastAsia" w:ascii="Times New Roman" w:hAnsi="Times New Roman" w:eastAsia="宋体" w:cs="Times New Roman"/>
                <w:snapToGrid w:val="0"/>
                <w:color w:val="auto"/>
                <w:sz w:val="21"/>
                <w:lang w:val="en-US" w:eastAsia="zh-CN"/>
              </w:rPr>
            </w:pPr>
            <w:r>
              <w:rPr>
                <w:rFonts w:hint="eastAsia" w:ascii="Times New Roman" w:hAnsi="Times New Roman" w:eastAsia="宋体" w:cs="Times New Roman"/>
                <w:snapToGrid w:val="0"/>
                <w:color w:val="auto"/>
                <w:sz w:val="21"/>
                <w:lang w:val="en-US" w:eastAsia="zh-CN"/>
              </w:rPr>
              <w:t>1.939t/a</w:t>
            </w:r>
          </w:p>
        </w:tc>
        <w:tc>
          <w:tcPr>
            <w:tcW w:w="1364" w:type="dxa"/>
            <w:vAlign w:val="center"/>
          </w:tcPr>
          <w:p w14:paraId="2016F7A8">
            <w:pPr>
              <w:spacing w:line="240" w:lineRule="exact"/>
              <w:jc w:val="center"/>
              <w:rPr>
                <w:color w:val="auto"/>
                <w:sz w:val="22"/>
                <w:szCs w:val="22"/>
              </w:rPr>
            </w:pPr>
            <w:r>
              <w:rPr>
                <w:color w:val="auto"/>
                <w:sz w:val="22"/>
                <w:szCs w:val="22"/>
              </w:rPr>
              <w:t>/</w:t>
            </w:r>
          </w:p>
        </w:tc>
        <w:tc>
          <w:tcPr>
            <w:tcW w:w="1725" w:type="dxa"/>
            <w:vAlign w:val="center"/>
          </w:tcPr>
          <w:p w14:paraId="2DF105C3">
            <w:pPr>
              <w:pStyle w:val="77"/>
              <w:spacing w:before="24" w:after="24" w:line="240" w:lineRule="exact"/>
              <w:rPr>
                <w:rFonts w:hint="eastAsia" w:ascii="Times New Roman" w:hAnsi="Times New Roman" w:eastAsia="宋体" w:cs="Times New Roman"/>
                <w:snapToGrid w:val="0"/>
                <w:color w:val="auto"/>
                <w:kern w:val="0"/>
                <w:sz w:val="21"/>
                <w:szCs w:val="21"/>
                <w:lang w:val="en-US" w:eastAsia="zh-CN" w:bidi="ar-SA"/>
              </w:rPr>
            </w:pPr>
            <w:r>
              <w:rPr>
                <w:rFonts w:hint="eastAsia" w:ascii="Times New Roman" w:hAnsi="Times New Roman" w:eastAsia="宋体" w:cs="Times New Roman"/>
                <w:snapToGrid w:val="0"/>
                <w:color w:val="auto"/>
                <w:sz w:val="21"/>
                <w:lang w:val="en-US" w:eastAsia="zh-CN"/>
              </w:rPr>
              <w:t>1.939t/a</w:t>
            </w:r>
          </w:p>
        </w:tc>
        <w:tc>
          <w:tcPr>
            <w:tcW w:w="1412" w:type="dxa"/>
            <w:vAlign w:val="center"/>
          </w:tcPr>
          <w:p w14:paraId="430DCD1C">
            <w:pPr>
              <w:pStyle w:val="77"/>
              <w:spacing w:before="24" w:after="24" w:line="240" w:lineRule="exact"/>
              <w:rPr>
                <w:rFonts w:hint="eastAsia" w:ascii="Times New Roman" w:hAnsi="Times New Roman" w:eastAsia="宋体" w:cs="Times New Roman"/>
                <w:color w:val="auto"/>
                <w:kern w:val="2"/>
                <w:sz w:val="22"/>
                <w:szCs w:val="22"/>
                <w:lang w:val="en-US" w:eastAsia="zh-CN"/>
              </w:rPr>
            </w:pPr>
            <w:r>
              <w:rPr>
                <w:rFonts w:hint="eastAsia" w:ascii="Times New Roman" w:hAnsi="Times New Roman" w:eastAsia="宋体" w:cs="Times New Roman"/>
                <w:snapToGrid w:val="0"/>
                <w:color w:val="auto"/>
                <w:sz w:val="21"/>
                <w:lang w:val="en-US" w:eastAsia="zh-CN"/>
              </w:rPr>
              <w:t>1.939t/a</w:t>
            </w:r>
          </w:p>
        </w:tc>
      </w:tr>
      <w:tr w14:paraId="30CECF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142" w:type="dxa"/>
            <w:vMerge w:val="restart"/>
            <w:vAlign w:val="center"/>
          </w:tcPr>
          <w:p w14:paraId="67404BF8">
            <w:pPr>
              <w:pStyle w:val="71"/>
              <w:spacing w:beforeLines="0" w:afterLines="0" w:line="240" w:lineRule="exact"/>
              <w:rPr>
                <w:rFonts w:hint="default" w:ascii="Times New Roman"/>
                <w:color w:val="auto"/>
                <w:kern w:val="2"/>
                <w:szCs w:val="21"/>
                <w:lang w:val="en-US" w:eastAsia="zh-CN"/>
              </w:rPr>
            </w:pPr>
            <w:r>
              <w:rPr>
                <w:rFonts w:hint="eastAsia" w:ascii="Times New Roman"/>
                <w:color w:val="auto"/>
                <w:kern w:val="2"/>
                <w:szCs w:val="21"/>
                <w:lang w:val="en-US" w:eastAsia="zh-CN"/>
              </w:rPr>
              <w:t>危险废物</w:t>
            </w:r>
          </w:p>
        </w:tc>
        <w:tc>
          <w:tcPr>
            <w:tcW w:w="1980" w:type="dxa"/>
            <w:vAlign w:val="center"/>
          </w:tcPr>
          <w:p w14:paraId="041019E6">
            <w:pPr>
              <w:pStyle w:val="74"/>
              <w:adjustRightInd w:val="0"/>
              <w:snapToGrid w:val="0"/>
              <w:spacing w:line="240" w:lineRule="exact"/>
              <w:rPr>
                <w:rFonts w:hint="eastAsia"/>
                <w:color w:val="auto"/>
                <w:kern w:val="2"/>
                <w:sz w:val="22"/>
                <w:szCs w:val="22"/>
                <w:lang w:val="en-US" w:eastAsia="zh-CN"/>
              </w:rPr>
            </w:pPr>
            <w:r>
              <w:rPr>
                <w:rFonts w:hint="eastAsia"/>
                <w:color w:val="auto"/>
                <w:kern w:val="2"/>
                <w:sz w:val="22"/>
                <w:szCs w:val="22"/>
                <w:lang w:val="en-US" w:eastAsia="zh-CN"/>
              </w:rPr>
              <w:t>废机油</w:t>
            </w:r>
          </w:p>
        </w:tc>
        <w:tc>
          <w:tcPr>
            <w:tcW w:w="1620" w:type="dxa"/>
            <w:vAlign w:val="center"/>
          </w:tcPr>
          <w:p w14:paraId="5E12A8AD">
            <w:pPr>
              <w:spacing w:line="240" w:lineRule="exact"/>
              <w:jc w:val="center"/>
              <w:rPr>
                <w:color w:val="auto"/>
                <w:sz w:val="22"/>
                <w:szCs w:val="22"/>
              </w:rPr>
            </w:pPr>
            <w:r>
              <w:rPr>
                <w:color w:val="auto"/>
                <w:sz w:val="22"/>
                <w:szCs w:val="22"/>
              </w:rPr>
              <w:t>/</w:t>
            </w:r>
          </w:p>
        </w:tc>
        <w:tc>
          <w:tcPr>
            <w:tcW w:w="1290" w:type="dxa"/>
            <w:vAlign w:val="center"/>
          </w:tcPr>
          <w:p w14:paraId="05EF5FE1">
            <w:pPr>
              <w:spacing w:line="240" w:lineRule="exact"/>
              <w:jc w:val="center"/>
              <w:rPr>
                <w:color w:val="auto"/>
                <w:sz w:val="22"/>
                <w:szCs w:val="22"/>
              </w:rPr>
            </w:pPr>
            <w:r>
              <w:rPr>
                <w:color w:val="auto"/>
                <w:sz w:val="22"/>
                <w:szCs w:val="22"/>
              </w:rPr>
              <w:t>/</w:t>
            </w:r>
          </w:p>
        </w:tc>
        <w:tc>
          <w:tcPr>
            <w:tcW w:w="1651" w:type="dxa"/>
            <w:vAlign w:val="center"/>
          </w:tcPr>
          <w:p w14:paraId="25E2A352">
            <w:pPr>
              <w:spacing w:line="240" w:lineRule="exact"/>
              <w:jc w:val="center"/>
              <w:rPr>
                <w:color w:val="auto"/>
                <w:sz w:val="22"/>
                <w:szCs w:val="22"/>
              </w:rPr>
            </w:pPr>
            <w:r>
              <w:rPr>
                <w:color w:val="auto"/>
                <w:sz w:val="22"/>
                <w:szCs w:val="22"/>
              </w:rPr>
              <w:t>/</w:t>
            </w:r>
          </w:p>
        </w:tc>
        <w:tc>
          <w:tcPr>
            <w:tcW w:w="1604" w:type="dxa"/>
            <w:vAlign w:val="center"/>
          </w:tcPr>
          <w:p w14:paraId="5C00088D">
            <w:pPr>
              <w:pStyle w:val="77"/>
              <w:spacing w:before="24" w:after="24" w:line="240" w:lineRule="exact"/>
              <w:rPr>
                <w:rFonts w:hint="eastAsia" w:ascii="Times New Roman" w:hAnsi="Times New Roman" w:eastAsia="宋体" w:cs="Times New Roman"/>
                <w:snapToGrid w:val="0"/>
                <w:color w:val="auto"/>
                <w:sz w:val="21"/>
                <w:lang w:val="en-US" w:eastAsia="zh-CN"/>
              </w:rPr>
            </w:pPr>
            <w:r>
              <w:rPr>
                <w:rFonts w:hint="eastAsia" w:ascii="Times New Roman" w:hAnsi="Times New Roman" w:eastAsia="宋体" w:cs="Times New Roman"/>
                <w:snapToGrid w:val="0"/>
                <w:color w:val="auto"/>
                <w:sz w:val="21"/>
                <w:lang w:val="en-US" w:eastAsia="zh-CN"/>
              </w:rPr>
              <w:t>0.1t/a</w:t>
            </w:r>
          </w:p>
        </w:tc>
        <w:tc>
          <w:tcPr>
            <w:tcW w:w="1364" w:type="dxa"/>
            <w:vAlign w:val="center"/>
          </w:tcPr>
          <w:p w14:paraId="5B90D091">
            <w:pPr>
              <w:spacing w:line="240" w:lineRule="exact"/>
              <w:jc w:val="center"/>
              <w:rPr>
                <w:color w:val="auto"/>
                <w:sz w:val="22"/>
                <w:szCs w:val="22"/>
              </w:rPr>
            </w:pPr>
            <w:r>
              <w:rPr>
                <w:rFonts w:hint="eastAsia"/>
                <w:color w:val="auto"/>
                <w:sz w:val="22"/>
                <w:szCs w:val="22"/>
                <w:lang w:val="en-US" w:eastAsia="zh-CN"/>
              </w:rPr>
              <w:t>/</w:t>
            </w:r>
          </w:p>
        </w:tc>
        <w:tc>
          <w:tcPr>
            <w:tcW w:w="1725" w:type="dxa"/>
            <w:vAlign w:val="center"/>
          </w:tcPr>
          <w:p w14:paraId="14C47F9F">
            <w:pPr>
              <w:spacing w:before="24" w:after="24" w:line="240" w:lineRule="exact"/>
              <w:jc w:val="center"/>
              <w:rPr>
                <w:rFonts w:hint="eastAsia" w:ascii="Times New Roman" w:hAnsi="Times New Roman" w:eastAsia="宋体" w:cs="Times New Roman"/>
                <w:snapToGrid w:val="0"/>
                <w:color w:val="auto"/>
                <w:sz w:val="21"/>
                <w:lang w:val="en-US" w:eastAsia="zh-CN"/>
              </w:rPr>
            </w:pPr>
            <w:r>
              <w:rPr>
                <w:rFonts w:hint="eastAsia" w:ascii="Times New Roman" w:hAnsi="Times New Roman" w:eastAsia="宋体" w:cs="Times New Roman"/>
                <w:snapToGrid w:val="0"/>
                <w:color w:val="auto"/>
                <w:sz w:val="21"/>
                <w:lang w:val="en-US" w:eastAsia="zh-CN"/>
              </w:rPr>
              <w:t>0.1t/a</w:t>
            </w:r>
          </w:p>
        </w:tc>
        <w:tc>
          <w:tcPr>
            <w:tcW w:w="1412" w:type="dxa"/>
            <w:vAlign w:val="center"/>
          </w:tcPr>
          <w:p w14:paraId="73D60CDD">
            <w:pPr>
              <w:spacing w:before="24" w:after="24" w:line="240" w:lineRule="exact"/>
              <w:jc w:val="center"/>
              <w:rPr>
                <w:rFonts w:hint="eastAsia" w:ascii="Times New Roman" w:hAnsi="Times New Roman" w:eastAsia="宋体" w:cs="Times New Roman"/>
                <w:snapToGrid w:val="0"/>
                <w:color w:val="auto"/>
                <w:sz w:val="21"/>
                <w:lang w:val="en-US" w:eastAsia="zh-CN"/>
              </w:rPr>
            </w:pPr>
            <w:r>
              <w:rPr>
                <w:rFonts w:hint="eastAsia" w:ascii="Times New Roman" w:hAnsi="Times New Roman" w:eastAsia="宋体" w:cs="Times New Roman"/>
                <w:snapToGrid w:val="0"/>
                <w:color w:val="auto"/>
                <w:sz w:val="21"/>
                <w:lang w:val="en-US" w:eastAsia="zh-CN"/>
              </w:rPr>
              <w:t>0.1t/a</w:t>
            </w:r>
          </w:p>
        </w:tc>
      </w:tr>
      <w:tr w14:paraId="07DA0D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142" w:type="dxa"/>
            <w:vMerge w:val="continue"/>
            <w:vAlign w:val="center"/>
          </w:tcPr>
          <w:p w14:paraId="57BECE94">
            <w:pPr>
              <w:pStyle w:val="71"/>
              <w:spacing w:beforeLines="0" w:afterLines="0" w:line="240" w:lineRule="exact"/>
              <w:rPr>
                <w:rFonts w:hint="eastAsia" w:ascii="Times New Roman"/>
                <w:color w:val="auto"/>
                <w:kern w:val="2"/>
                <w:szCs w:val="21"/>
                <w:lang w:val="en-US" w:eastAsia="zh-CN"/>
              </w:rPr>
            </w:pPr>
          </w:p>
        </w:tc>
        <w:tc>
          <w:tcPr>
            <w:tcW w:w="1980" w:type="dxa"/>
            <w:vAlign w:val="center"/>
          </w:tcPr>
          <w:p w14:paraId="0DC7FBFD">
            <w:pPr>
              <w:pStyle w:val="74"/>
              <w:adjustRightInd w:val="0"/>
              <w:snapToGrid w:val="0"/>
              <w:spacing w:line="240" w:lineRule="exact"/>
              <w:rPr>
                <w:rFonts w:hint="eastAsia"/>
                <w:color w:val="auto"/>
                <w:kern w:val="2"/>
                <w:sz w:val="22"/>
                <w:szCs w:val="22"/>
                <w:lang w:val="en-US" w:eastAsia="zh-CN"/>
              </w:rPr>
            </w:pPr>
            <w:r>
              <w:rPr>
                <w:rFonts w:hint="eastAsia"/>
                <w:color w:val="auto"/>
                <w:lang w:val="en-US" w:eastAsia="zh-CN"/>
              </w:rPr>
              <w:t>废含油手套、废含油抹布</w:t>
            </w:r>
          </w:p>
        </w:tc>
        <w:tc>
          <w:tcPr>
            <w:tcW w:w="1620" w:type="dxa"/>
            <w:vAlign w:val="center"/>
          </w:tcPr>
          <w:p w14:paraId="3B093FE9">
            <w:pPr>
              <w:spacing w:line="240" w:lineRule="exact"/>
              <w:jc w:val="center"/>
              <w:rPr>
                <w:color w:val="auto"/>
                <w:sz w:val="22"/>
                <w:szCs w:val="22"/>
              </w:rPr>
            </w:pPr>
            <w:r>
              <w:rPr>
                <w:color w:val="auto"/>
                <w:sz w:val="22"/>
                <w:szCs w:val="22"/>
              </w:rPr>
              <w:t>/</w:t>
            </w:r>
          </w:p>
        </w:tc>
        <w:tc>
          <w:tcPr>
            <w:tcW w:w="1290" w:type="dxa"/>
            <w:vAlign w:val="center"/>
          </w:tcPr>
          <w:p w14:paraId="1BD64F9C">
            <w:pPr>
              <w:spacing w:line="240" w:lineRule="exact"/>
              <w:jc w:val="center"/>
              <w:rPr>
                <w:color w:val="auto"/>
                <w:sz w:val="22"/>
                <w:szCs w:val="22"/>
              </w:rPr>
            </w:pPr>
            <w:r>
              <w:rPr>
                <w:color w:val="auto"/>
                <w:sz w:val="22"/>
                <w:szCs w:val="22"/>
              </w:rPr>
              <w:t>/</w:t>
            </w:r>
          </w:p>
        </w:tc>
        <w:tc>
          <w:tcPr>
            <w:tcW w:w="1651" w:type="dxa"/>
            <w:vAlign w:val="center"/>
          </w:tcPr>
          <w:p w14:paraId="6EDD90E9">
            <w:pPr>
              <w:spacing w:line="240" w:lineRule="exact"/>
              <w:jc w:val="center"/>
              <w:rPr>
                <w:color w:val="auto"/>
                <w:sz w:val="22"/>
                <w:szCs w:val="22"/>
              </w:rPr>
            </w:pPr>
            <w:r>
              <w:rPr>
                <w:color w:val="auto"/>
                <w:sz w:val="22"/>
                <w:szCs w:val="22"/>
              </w:rPr>
              <w:t>/</w:t>
            </w:r>
          </w:p>
        </w:tc>
        <w:tc>
          <w:tcPr>
            <w:tcW w:w="1604" w:type="dxa"/>
            <w:vAlign w:val="center"/>
          </w:tcPr>
          <w:p w14:paraId="07DB4732">
            <w:pPr>
              <w:pStyle w:val="77"/>
              <w:spacing w:before="24" w:after="24" w:line="240" w:lineRule="exact"/>
              <w:rPr>
                <w:rFonts w:hint="eastAsia" w:ascii="Times New Roman" w:hAnsi="Times New Roman" w:eastAsia="宋体" w:cs="Times New Roman"/>
                <w:snapToGrid w:val="0"/>
                <w:color w:val="auto"/>
                <w:sz w:val="21"/>
                <w:lang w:val="en-US" w:eastAsia="zh-CN"/>
              </w:rPr>
            </w:pPr>
            <w:r>
              <w:rPr>
                <w:rFonts w:hint="eastAsia" w:ascii="Times New Roman" w:hAnsi="Times New Roman" w:eastAsia="宋体" w:cs="Times New Roman"/>
                <w:snapToGrid w:val="0"/>
                <w:color w:val="auto"/>
                <w:sz w:val="21"/>
                <w:lang w:val="en-US" w:eastAsia="zh-CN"/>
              </w:rPr>
              <w:t>0.01t/a</w:t>
            </w:r>
          </w:p>
        </w:tc>
        <w:tc>
          <w:tcPr>
            <w:tcW w:w="1364" w:type="dxa"/>
            <w:vAlign w:val="center"/>
          </w:tcPr>
          <w:p w14:paraId="7A806ED8">
            <w:pPr>
              <w:spacing w:line="240" w:lineRule="exact"/>
              <w:jc w:val="center"/>
              <w:rPr>
                <w:color w:val="auto"/>
                <w:sz w:val="22"/>
                <w:szCs w:val="22"/>
              </w:rPr>
            </w:pPr>
            <w:r>
              <w:rPr>
                <w:rFonts w:hint="eastAsia"/>
                <w:color w:val="auto"/>
                <w:sz w:val="22"/>
                <w:szCs w:val="22"/>
                <w:lang w:val="en-US" w:eastAsia="zh-CN"/>
              </w:rPr>
              <w:t>/</w:t>
            </w:r>
          </w:p>
        </w:tc>
        <w:tc>
          <w:tcPr>
            <w:tcW w:w="1725" w:type="dxa"/>
            <w:vAlign w:val="center"/>
          </w:tcPr>
          <w:p w14:paraId="1ABC8294">
            <w:pPr>
              <w:spacing w:before="24" w:after="24" w:line="240" w:lineRule="exact"/>
              <w:jc w:val="center"/>
              <w:rPr>
                <w:rFonts w:hint="eastAsia" w:ascii="Times New Roman" w:hAnsi="Times New Roman" w:eastAsia="宋体" w:cs="Times New Roman"/>
                <w:snapToGrid w:val="0"/>
                <w:color w:val="auto"/>
                <w:sz w:val="21"/>
                <w:lang w:val="en-US" w:eastAsia="zh-CN"/>
              </w:rPr>
            </w:pPr>
            <w:r>
              <w:rPr>
                <w:rFonts w:hint="eastAsia" w:ascii="Times New Roman" w:hAnsi="Times New Roman" w:eastAsia="宋体" w:cs="Times New Roman"/>
                <w:snapToGrid w:val="0"/>
                <w:color w:val="auto"/>
                <w:sz w:val="21"/>
                <w:lang w:val="en-US" w:eastAsia="zh-CN"/>
              </w:rPr>
              <w:t>0.01t/a</w:t>
            </w:r>
          </w:p>
        </w:tc>
        <w:tc>
          <w:tcPr>
            <w:tcW w:w="1412" w:type="dxa"/>
            <w:vAlign w:val="center"/>
          </w:tcPr>
          <w:p w14:paraId="52907097">
            <w:pPr>
              <w:spacing w:before="24" w:after="24" w:line="240" w:lineRule="exact"/>
              <w:jc w:val="center"/>
              <w:rPr>
                <w:rFonts w:hint="eastAsia" w:ascii="Times New Roman" w:hAnsi="Times New Roman" w:eastAsia="宋体" w:cs="Times New Roman"/>
                <w:snapToGrid w:val="0"/>
                <w:color w:val="auto"/>
                <w:sz w:val="21"/>
                <w:lang w:val="en-US" w:eastAsia="zh-CN"/>
              </w:rPr>
            </w:pPr>
            <w:r>
              <w:rPr>
                <w:rFonts w:hint="eastAsia" w:ascii="Times New Roman" w:hAnsi="Times New Roman" w:eastAsia="宋体" w:cs="Times New Roman"/>
                <w:snapToGrid w:val="0"/>
                <w:color w:val="auto"/>
                <w:sz w:val="21"/>
                <w:lang w:val="en-US" w:eastAsia="zh-CN"/>
              </w:rPr>
              <w:t>0.01t/a</w:t>
            </w:r>
          </w:p>
        </w:tc>
      </w:tr>
      <w:tr w14:paraId="5B7B8F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122" w:type="dxa"/>
            <w:gridSpan w:val="2"/>
            <w:vAlign w:val="center"/>
          </w:tcPr>
          <w:p w14:paraId="4CD287D8">
            <w:pPr>
              <w:pStyle w:val="74"/>
              <w:adjustRightInd w:val="0"/>
              <w:snapToGrid w:val="0"/>
              <w:spacing w:line="240" w:lineRule="exact"/>
              <w:rPr>
                <w:color w:val="auto"/>
                <w:kern w:val="2"/>
                <w:sz w:val="22"/>
                <w:szCs w:val="22"/>
              </w:rPr>
            </w:pPr>
            <w:r>
              <w:rPr>
                <w:color w:val="auto"/>
                <w:kern w:val="2"/>
                <w:sz w:val="22"/>
                <w:szCs w:val="22"/>
              </w:rPr>
              <w:t>生活垃圾</w:t>
            </w:r>
          </w:p>
        </w:tc>
        <w:tc>
          <w:tcPr>
            <w:tcW w:w="1620" w:type="dxa"/>
            <w:vAlign w:val="center"/>
          </w:tcPr>
          <w:p w14:paraId="40E838E7">
            <w:pPr>
              <w:spacing w:line="240" w:lineRule="exact"/>
              <w:jc w:val="center"/>
              <w:rPr>
                <w:color w:val="auto"/>
                <w:sz w:val="22"/>
                <w:szCs w:val="22"/>
              </w:rPr>
            </w:pPr>
            <w:r>
              <w:rPr>
                <w:color w:val="auto"/>
                <w:sz w:val="22"/>
                <w:szCs w:val="22"/>
              </w:rPr>
              <w:t>/</w:t>
            </w:r>
          </w:p>
        </w:tc>
        <w:tc>
          <w:tcPr>
            <w:tcW w:w="1290" w:type="dxa"/>
            <w:vAlign w:val="center"/>
          </w:tcPr>
          <w:p w14:paraId="6D6F6DD6">
            <w:pPr>
              <w:spacing w:line="240" w:lineRule="exact"/>
              <w:jc w:val="center"/>
              <w:rPr>
                <w:color w:val="auto"/>
                <w:sz w:val="22"/>
                <w:szCs w:val="22"/>
              </w:rPr>
            </w:pPr>
            <w:r>
              <w:rPr>
                <w:color w:val="auto"/>
                <w:sz w:val="22"/>
                <w:szCs w:val="22"/>
              </w:rPr>
              <w:t>/</w:t>
            </w:r>
          </w:p>
        </w:tc>
        <w:tc>
          <w:tcPr>
            <w:tcW w:w="1651" w:type="dxa"/>
            <w:vAlign w:val="center"/>
          </w:tcPr>
          <w:p w14:paraId="4741376C">
            <w:pPr>
              <w:spacing w:line="240" w:lineRule="exact"/>
              <w:jc w:val="center"/>
              <w:rPr>
                <w:color w:val="auto"/>
                <w:sz w:val="22"/>
                <w:szCs w:val="22"/>
              </w:rPr>
            </w:pPr>
            <w:r>
              <w:rPr>
                <w:color w:val="auto"/>
                <w:sz w:val="22"/>
                <w:szCs w:val="22"/>
              </w:rPr>
              <w:t>/</w:t>
            </w:r>
          </w:p>
        </w:tc>
        <w:tc>
          <w:tcPr>
            <w:tcW w:w="1604" w:type="dxa"/>
            <w:vAlign w:val="center"/>
          </w:tcPr>
          <w:p w14:paraId="10BF8A24">
            <w:pPr>
              <w:pStyle w:val="77"/>
              <w:spacing w:before="24" w:after="24" w:line="240" w:lineRule="exact"/>
              <w:rPr>
                <w:rFonts w:hint="eastAsia" w:ascii="Times New Roman" w:hAnsi="Times New Roman" w:eastAsia="宋体" w:cs="Times New Roman"/>
                <w:snapToGrid w:val="0"/>
                <w:color w:val="auto"/>
                <w:sz w:val="21"/>
                <w:lang w:val="en-US" w:eastAsia="zh-CN"/>
              </w:rPr>
            </w:pPr>
            <w:r>
              <w:rPr>
                <w:rFonts w:hint="eastAsia" w:ascii="Times New Roman" w:hAnsi="Times New Roman" w:eastAsia="宋体" w:cs="Times New Roman"/>
                <w:snapToGrid w:val="0"/>
                <w:color w:val="auto"/>
                <w:sz w:val="21"/>
                <w:lang w:val="en-US" w:eastAsia="zh-CN"/>
              </w:rPr>
              <w:t>0.84t/a</w:t>
            </w:r>
          </w:p>
        </w:tc>
        <w:tc>
          <w:tcPr>
            <w:tcW w:w="1364" w:type="dxa"/>
            <w:vAlign w:val="center"/>
          </w:tcPr>
          <w:p w14:paraId="52D611E6">
            <w:pPr>
              <w:spacing w:line="240" w:lineRule="exact"/>
              <w:jc w:val="center"/>
              <w:rPr>
                <w:color w:val="auto"/>
                <w:sz w:val="22"/>
                <w:szCs w:val="22"/>
              </w:rPr>
            </w:pPr>
            <w:r>
              <w:rPr>
                <w:color w:val="auto"/>
                <w:sz w:val="22"/>
                <w:szCs w:val="22"/>
              </w:rPr>
              <w:t>/</w:t>
            </w:r>
          </w:p>
        </w:tc>
        <w:tc>
          <w:tcPr>
            <w:tcW w:w="1725" w:type="dxa"/>
            <w:vAlign w:val="center"/>
          </w:tcPr>
          <w:p w14:paraId="359B9B44">
            <w:pPr>
              <w:pStyle w:val="77"/>
              <w:spacing w:before="24" w:after="24" w:line="240" w:lineRule="exact"/>
              <w:rPr>
                <w:rFonts w:ascii="Times New Roman" w:hAnsi="Times New Roman" w:eastAsia="宋体" w:cs="Times New Roman"/>
                <w:color w:val="auto"/>
                <w:kern w:val="2"/>
                <w:sz w:val="22"/>
                <w:szCs w:val="22"/>
              </w:rPr>
            </w:pPr>
            <w:r>
              <w:rPr>
                <w:rFonts w:hint="eastAsia" w:ascii="Times New Roman" w:hAnsi="Times New Roman" w:eastAsia="宋体" w:cs="Times New Roman"/>
                <w:snapToGrid w:val="0"/>
                <w:color w:val="auto"/>
                <w:sz w:val="21"/>
                <w:lang w:val="en-US" w:eastAsia="zh-CN"/>
              </w:rPr>
              <w:t>0.84t/a</w:t>
            </w:r>
          </w:p>
        </w:tc>
        <w:tc>
          <w:tcPr>
            <w:tcW w:w="1412" w:type="dxa"/>
            <w:vAlign w:val="center"/>
          </w:tcPr>
          <w:p w14:paraId="0EE4218B">
            <w:pPr>
              <w:pStyle w:val="77"/>
              <w:spacing w:before="24" w:after="24" w:line="240" w:lineRule="exact"/>
              <w:rPr>
                <w:rFonts w:hint="eastAsia" w:ascii="Times New Roman" w:hAnsi="Times New Roman" w:eastAsia="宋体" w:cs="Times New Roman"/>
                <w:snapToGrid w:val="0"/>
                <w:color w:val="auto"/>
                <w:kern w:val="0"/>
                <w:sz w:val="21"/>
                <w:szCs w:val="21"/>
                <w:lang w:val="en-US" w:eastAsia="zh-CN" w:bidi="ar-SA"/>
              </w:rPr>
            </w:pPr>
            <w:r>
              <w:rPr>
                <w:rFonts w:hint="eastAsia" w:ascii="Times New Roman" w:hAnsi="Times New Roman" w:eastAsia="宋体" w:cs="Times New Roman"/>
                <w:snapToGrid w:val="0"/>
                <w:color w:val="auto"/>
                <w:sz w:val="21"/>
                <w:lang w:val="en-US" w:eastAsia="zh-CN"/>
              </w:rPr>
              <w:t>0.84t/a</w:t>
            </w:r>
          </w:p>
        </w:tc>
      </w:tr>
    </w:tbl>
    <w:p w14:paraId="3DA231B3">
      <w:pPr>
        <w:pStyle w:val="71"/>
        <w:spacing w:before="192" w:beforeLines="80" w:after="24"/>
        <w:jc w:val="left"/>
        <w:rPr>
          <w:rFonts w:ascii="Times New Roman"/>
          <w:snapToGrid w:val="0"/>
          <w:color w:val="auto"/>
          <w:spacing w:val="-6"/>
          <w:kern w:val="21"/>
          <w:sz w:val="20"/>
        </w:rPr>
      </w:pPr>
      <w:r>
        <w:rPr>
          <w:rFonts w:ascii="Times New Roman"/>
          <w:snapToGrid w:val="0"/>
          <w:color w:val="auto"/>
          <w:kern w:val="21"/>
          <w:sz w:val="20"/>
        </w:rPr>
        <w:t>注：</w:t>
      </w:r>
      <w:r>
        <w:rPr>
          <w:rFonts w:ascii="Times New Roman"/>
          <w:snapToGrid w:val="0"/>
          <w:color w:val="auto"/>
          <w:spacing w:val="-16"/>
          <w:kern w:val="21"/>
          <w:sz w:val="20"/>
        </w:rPr>
        <w:fldChar w:fldCharType="begin"/>
      </w:r>
      <w:r>
        <w:rPr>
          <w:rFonts w:ascii="Times New Roman"/>
          <w:snapToGrid w:val="0"/>
          <w:color w:val="auto"/>
          <w:spacing w:val="-16"/>
          <w:kern w:val="21"/>
          <w:sz w:val="20"/>
        </w:rPr>
        <w:instrText xml:space="preserve"> = 6 \* GB3 \* MERGEFORMAT </w:instrText>
      </w:r>
      <w:r>
        <w:rPr>
          <w:rFonts w:ascii="Times New Roman"/>
          <w:snapToGrid w:val="0"/>
          <w:color w:val="auto"/>
          <w:spacing w:val="-16"/>
          <w:kern w:val="21"/>
          <w:sz w:val="20"/>
        </w:rPr>
        <w:fldChar w:fldCharType="separate"/>
      </w:r>
      <w:r>
        <w:rPr>
          <w:rFonts w:hint="eastAsia" w:ascii="Times New Roman"/>
          <w:color w:val="auto"/>
          <w:sz w:val="20"/>
        </w:rPr>
        <w:t>⑥</w:t>
      </w:r>
      <w:r>
        <w:rPr>
          <w:rFonts w:ascii="Times New Roman"/>
          <w:snapToGrid w:val="0"/>
          <w:color w:val="auto"/>
          <w:spacing w:val="-16"/>
          <w:kern w:val="21"/>
          <w:sz w:val="20"/>
        </w:rPr>
        <w:fldChar w:fldCharType="end"/>
      </w:r>
      <w:r>
        <w:rPr>
          <w:rFonts w:ascii="Times New Roman"/>
          <w:snapToGrid w:val="0"/>
          <w:color w:val="auto"/>
          <w:spacing w:val="-16"/>
          <w:kern w:val="21"/>
          <w:sz w:val="20"/>
        </w:rPr>
        <w:t>=</w:t>
      </w:r>
      <w:r>
        <w:rPr>
          <w:rFonts w:ascii="Times New Roman"/>
          <w:snapToGrid w:val="0"/>
          <w:color w:val="auto"/>
          <w:spacing w:val="-6"/>
          <w:kern w:val="21"/>
          <w:sz w:val="20"/>
        </w:rPr>
        <w:fldChar w:fldCharType="begin"/>
      </w:r>
      <w:r>
        <w:rPr>
          <w:rFonts w:ascii="Times New Roman"/>
          <w:snapToGrid w:val="0"/>
          <w:color w:val="auto"/>
          <w:spacing w:val="-6"/>
          <w:kern w:val="21"/>
          <w:sz w:val="20"/>
        </w:rPr>
        <w:instrText xml:space="preserve"> = 1 \* GB3 \* MERGEFORMAT </w:instrText>
      </w:r>
      <w:r>
        <w:rPr>
          <w:rFonts w:ascii="Times New Roman"/>
          <w:snapToGrid w:val="0"/>
          <w:color w:val="auto"/>
          <w:spacing w:val="-6"/>
          <w:kern w:val="21"/>
          <w:sz w:val="20"/>
        </w:rPr>
        <w:fldChar w:fldCharType="separate"/>
      </w:r>
      <w:r>
        <w:rPr>
          <w:rFonts w:hint="eastAsia" w:ascii="Times New Roman"/>
          <w:color w:val="auto"/>
          <w:sz w:val="20"/>
        </w:rPr>
        <w:t>①</w:t>
      </w:r>
      <w:r>
        <w:rPr>
          <w:rFonts w:ascii="Times New Roman"/>
          <w:snapToGrid w:val="0"/>
          <w:color w:val="auto"/>
          <w:spacing w:val="-6"/>
          <w:kern w:val="21"/>
          <w:sz w:val="20"/>
        </w:rPr>
        <w:fldChar w:fldCharType="end"/>
      </w:r>
      <w:r>
        <w:rPr>
          <w:rFonts w:ascii="Times New Roman"/>
          <w:snapToGrid w:val="0"/>
          <w:color w:val="auto"/>
          <w:spacing w:val="-6"/>
          <w:kern w:val="21"/>
          <w:sz w:val="20"/>
        </w:rPr>
        <w:t>+</w:t>
      </w:r>
      <w:r>
        <w:rPr>
          <w:rFonts w:ascii="Times New Roman"/>
          <w:snapToGrid w:val="0"/>
          <w:color w:val="auto"/>
          <w:spacing w:val="-6"/>
          <w:kern w:val="21"/>
          <w:sz w:val="20"/>
        </w:rPr>
        <w:fldChar w:fldCharType="begin"/>
      </w:r>
      <w:r>
        <w:rPr>
          <w:rFonts w:ascii="Times New Roman"/>
          <w:snapToGrid w:val="0"/>
          <w:color w:val="auto"/>
          <w:spacing w:val="-6"/>
          <w:kern w:val="21"/>
          <w:sz w:val="20"/>
        </w:rPr>
        <w:instrText xml:space="preserve"> = 3 \* GB3 \* MERGEFORMAT </w:instrText>
      </w:r>
      <w:r>
        <w:rPr>
          <w:rFonts w:ascii="Times New Roman"/>
          <w:snapToGrid w:val="0"/>
          <w:color w:val="auto"/>
          <w:spacing w:val="-6"/>
          <w:kern w:val="21"/>
          <w:sz w:val="20"/>
        </w:rPr>
        <w:fldChar w:fldCharType="separate"/>
      </w:r>
      <w:r>
        <w:rPr>
          <w:rFonts w:hint="eastAsia" w:ascii="Times New Roman"/>
          <w:color w:val="auto"/>
          <w:sz w:val="20"/>
        </w:rPr>
        <w:t>③</w:t>
      </w:r>
      <w:r>
        <w:rPr>
          <w:rFonts w:ascii="Times New Roman"/>
          <w:snapToGrid w:val="0"/>
          <w:color w:val="auto"/>
          <w:spacing w:val="-6"/>
          <w:kern w:val="21"/>
          <w:sz w:val="20"/>
        </w:rPr>
        <w:fldChar w:fldCharType="end"/>
      </w:r>
      <w:r>
        <w:rPr>
          <w:rFonts w:ascii="Times New Roman"/>
          <w:snapToGrid w:val="0"/>
          <w:color w:val="auto"/>
          <w:spacing w:val="-6"/>
          <w:kern w:val="21"/>
          <w:sz w:val="20"/>
        </w:rPr>
        <w:t>+</w:t>
      </w:r>
      <w:r>
        <w:rPr>
          <w:rFonts w:ascii="Times New Roman"/>
          <w:snapToGrid w:val="0"/>
          <w:color w:val="auto"/>
          <w:spacing w:val="-6"/>
          <w:kern w:val="21"/>
          <w:sz w:val="20"/>
        </w:rPr>
        <w:fldChar w:fldCharType="begin"/>
      </w:r>
      <w:r>
        <w:rPr>
          <w:rFonts w:ascii="Times New Roman"/>
          <w:snapToGrid w:val="0"/>
          <w:color w:val="auto"/>
          <w:spacing w:val="-6"/>
          <w:kern w:val="21"/>
          <w:sz w:val="20"/>
        </w:rPr>
        <w:instrText xml:space="preserve"> = 4 \* GB3 \* MERGEFORMAT </w:instrText>
      </w:r>
      <w:r>
        <w:rPr>
          <w:rFonts w:ascii="Times New Roman"/>
          <w:snapToGrid w:val="0"/>
          <w:color w:val="auto"/>
          <w:spacing w:val="-6"/>
          <w:kern w:val="21"/>
          <w:sz w:val="20"/>
        </w:rPr>
        <w:fldChar w:fldCharType="separate"/>
      </w:r>
      <w:r>
        <w:rPr>
          <w:rFonts w:hint="eastAsia" w:ascii="Times New Roman"/>
          <w:color w:val="auto"/>
          <w:sz w:val="20"/>
        </w:rPr>
        <w:t>④</w:t>
      </w:r>
      <w:r>
        <w:rPr>
          <w:rFonts w:ascii="Times New Roman"/>
          <w:snapToGrid w:val="0"/>
          <w:color w:val="auto"/>
          <w:spacing w:val="-6"/>
          <w:kern w:val="21"/>
          <w:sz w:val="20"/>
        </w:rPr>
        <w:fldChar w:fldCharType="end"/>
      </w:r>
      <w:r>
        <w:rPr>
          <w:rFonts w:ascii="Times New Roman"/>
          <w:snapToGrid w:val="0"/>
          <w:color w:val="auto"/>
          <w:spacing w:val="-6"/>
          <w:kern w:val="21"/>
          <w:sz w:val="20"/>
        </w:rPr>
        <w:t>-</w:t>
      </w:r>
      <w:r>
        <w:rPr>
          <w:rFonts w:ascii="Times New Roman"/>
          <w:snapToGrid w:val="0"/>
          <w:color w:val="auto"/>
          <w:spacing w:val="-16"/>
          <w:kern w:val="21"/>
          <w:sz w:val="20"/>
        </w:rPr>
        <w:fldChar w:fldCharType="begin"/>
      </w:r>
      <w:r>
        <w:rPr>
          <w:rFonts w:ascii="Times New Roman"/>
          <w:snapToGrid w:val="0"/>
          <w:color w:val="auto"/>
          <w:spacing w:val="-16"/>
          <w:kern w:val="21"/>
          <w:sz w:val="20"/>
        </w:rPr>
        <w:instrText xml:space="preserve"> = 5 \* GB3 \* MERGEFORMAT </w:instrText>
      </w:r>
      <w:r>
        <w:rPr>
          <w:rFonts w:ascii="Times New Roman"/>
          <w:snapToGrid w:val="0"/>
          <w:color w:val="auto"/>
          <w:spacing w:val="-16"/>
          <w:kern w:val="21"/>
          <w:sz w:val="20"/>
        </w:rPr>
        <w:fldChar w:fldCharType="separate"/>
      </w:r>
      <w:r>
        <w:rPr>
          <w:rFonts w:hint="eastAsia" w:ascii="Times New Roman"/>
          <w:color w:val="auto"/>
          <w:sz w:val="20"/>
        </w:rPr>
        <w:t>⑤</w:t>
      </w:r>
      <w:r>
        <w:rPr>
          <w:rFonts w:ascii="Times New Roman"/>
          <w:snapToGrid w:val="0"/>
          <w:color w:val="auto"/>
          <w:spacing w:val="-16"/>
          <w:kern w:val="21"/>
          <w:sz w:val="20"/>
        </w:rPr>
        <w:fldChar w:fldCharType="end"/>
      </w:r>
      <w:r>
        <w:rPr>
          <w:rFonts w:ascii="Times New Roman"/>
          <w:snapToGrid w:val="0"/>
          <w:color w:val="auto"/>
          <w:spacing w:val="-16"/>
          <w:kern w:val="21"/>
          <w:sz w:val="20"/>
        </w:rPr>
        <w:t>；</w:t>
      </w:r>
      <w:r>
        <w:rPr>
          <w:rFonts w:ascii="Times New Roman"/>
          <w:snapToGrid w:val="0"/>
          <w:color w:val="auto"/>
          <w:spacing w:val="-6"/>
          <w:kern w:val="21"/>
          <w:sz w:val="20"/>
        </w:rPr>
        <w:fldChar w:fldCharType="begin"/>
      </w:r>
      <w:r>
        <w:rPr>
          <w:rFonts w:ascii="Times New Roman"/>
          <w:snapToGrid w:val="0"/>
          <w:color w:val="auto"/>
          <w:spacing w:val="-6"/>
          <w:kern w:val="21"/>
          <w:sz w:val="20"/>
        </w:rPr>
        <w:instrText xml:space="preserve"> = 7 \* GB3 \* MERGEFORMAT </w:instrText>
      </w:r>
      <w:r>
        <w:rPr>
          <w:rFonts w:ascii="Times New Roman"/>
          <w:snapToGrid w:val="0"/>
          <w:color w:val="auto"/>
          <w:spacing w:val="-6"/>
          <w:kern w:val="21"/>
          <w:sz w:val="20"/>
        </w:rPr>
        <w:fldChar w:fldCharType="separate"/>
      </w:r>
      <w:r>
        <w:rPr>
          <w:rFonts w:hint="eastAsia" w:ascii="Times New Roman"/>
          <w:color w:val="auto"/>
          <w:sz w:val="20"/>
        </w:rPr>
        <w:t>⑦</w:t>
      </w:r>
      <w:r>
        <w:rPr>
          <w:rFonts w:ascii="Times New Roman"/>
          <w:snapToGrid w:val="0"/>
          <w:color w:val="auto"/>
          <w:spacing w:val="-6"/>
          <w:kern w:val="21"/>
          <w:sz w:val="20"/>
        </w:rPr>
        <w:fldChar w:fldCharType="end"/>
      </w:r>
      <w:r>
        <w:rPr>
          <w:rFonts w:ascii="Times New Roman"/>
          <w:snapToGrid w:val="0"/>
          <w:color w:val="auto"/>
          <w:spacing w:val="-6"/>
          <w:kern w:val="21"/>
          <w:sz w:val="20"/>
        </w:rPr>
        <w:t>=</w:t>
      </w:r>
      <w:r>
        <w:rPr>
          <w:rFonts w:ascii="Times New Roman"/>
          <w:snapToGrid w:val="0"/>
          <w:color w:val="auto"/>
          <w:spacing w:val="-16"/>
          <w:kern w:val="21"/>
          <w:sz w:val="20"/>
        </w:rPr>
        <w:fldChar w:fldCharType="begin"/>
      </w:r>
      <w:r>
        <w:rPr>
          <w:rFonts w:ascii="Times New Roman"/>
          <w:snapToGrid w:val="0"/>
          <w:color w:val="auto"/>
          <w:spacing w:val="-16"/>
          <w:kern w:val="21"/>
          <w:sz w:val="20"/>
        </w:rPr>
        <w:instrText xml:space="preserve"> = 6 \* GB3 \* MERGEFORMAT </w:instrText>
      </w:r>
      <w:r>
        <w:rPr>
          <w:rFonts w:ascii="Times New Roman"/>
          <w:snapToGrid w:val="0"/>
          <w:color w:val="auto"/>
          <w:spacing w:val="-16"/>
          <w:kern w:val="21"/>
          <w:sz w:val="20"/>
        </w:rPr>
        <w:fldChar w:fldCharType="separate"/>
      </w:r>
      <w:r>
        <w:rPr>
          <w:rFonts w:hint="eastAsia" w:ascii="Times New Roman"/>
          <w:color w:val="auto"/>
          <w:sz w:val="20"/>
        </w:rPr>
        <w:t>⑥</w:t>
      </w:r>
      <w:r>
        <w:rPr>
          <w:rFonts w:ascii="Times New Roman"/>
          <w:snapToGrid w:val="0"/>
          <w:color w:val="auto"/>
          <w:spacing w:val="-16"/>
          <w:kern w:val="21"/>
          <w:sz w:val="20"/>
        </w:rPr>
        <w:fldChar w:fldCharType="end"/>
      </w:r>
      <w:r>
        <w:rPr>
          <w:rFonts w:ascii="Times New Roman"/>
          <w:snapToGrid w:val="0"/>
          <w:color w:val="auto"/>
          <w:spacing w:val="-16"/>
          <w:kern w:val="21"/>
          <w:sz w:val="20"/>
        </w:rPr>
        <w:t>-</w:t>
      </w:r>
      <w:r>
        <w:rPr>
          <w:rFonts w:ascii="Times New Roman"/>
          <w:snapToGrid w:val="0"/>
          <w:color w:val="auto"/>
          <w:spacing w:val="-6"/>
          <w:kern w:val="21"/>
          <w:sz w:val="20"/>
        </w:rPr>
        <w:fldChar w:fldCharType="begin"/>
      </w:r>
      <w:r>
        <w:rPr>
          <w:rFonts w:ascii="Times New Roman"/>
          <w:snapToGrid w:val="0"/>
          <w:color w:val="auto"/>
          <w:spacing w:val="-6"/>
          <w:kern w:val="21"/>
          <w:sz w:val="20"/>
        </w:rPr>
        <w:instrText xml:space="preserve"> = 1 \* GB3 \* MERGEFORMAT </w:instrText>
      </w:r>
      <w:r>
        <w:rPr>
          <w:rFonts w:ascii="Times New Roman"/>
          <w:snapToGrid w:val="0"/>
          <w:color w:val="auto"/>
          <w:spacing w:val="-6"/>
          <w:kern w:val="21"/>
          <w:sz w:val="20"/>
        </w:rPr>
        <w:fldChar w:fldCharType="separate"/>
      </w:r>
      <w:r>
        <w:rPr>
          <w:rFonts w:hint="eastAsia" w:ascii="Times New Roman"/>
          <w:color w:val="auto"/>
          <w:sz w:val="20"/>
        </w:rPr>
        <w:t>①</w:t>
      </w:r>
      <w:r>
        <w:rPr>
          <w:rFonts w:ascii="Times New Roman"/>
          <w:snapToGrid w:val="0"/>
          <w:color w:val="auto"/>
          <w:spacing w:val="-6"/>
          <w:kern w:val="21"/>
          <w:sz w:val="20"/>
        </w:rPr>
        <w:fldChar w:fldCharType="end"/>
      </w:r>
    </w:p>
    <w:p w14:paraId="555748A2">
      <w:pPr>
        <w:rPr>
          <w:color w:val="auto"/>
          <w:sz w:val="11"/>
          <w:szCs w:val="15"/>
        </w:rPr>
        <w:sectPr>
          <w:footerReference r:id="rId7" w:type="default"/>
          <w:pgSz w:w="16838" w:h="11906" w:orient="landscape"/>
          <w:pgMar w:top="1701" w:right="1531" w:bottom="1701" w:left="1531" w:header="1644" w:footer="1247" w:gutter="0"/>
          <w:pgBorders>
            <w:top w:val="none" w:sz="0" w:space="0"/>
            <w:left w:val="none" w:sz="0" w:space="0"/>
            <w:bottom w:val="none" w:sz="0" w:space="0"/>
            <w:right w:val="none" w:sz="0" w:space="0"/>
          </w:pgBorders>
          <w:cols w:space="720" w:num="1"/>
          <w:docGrid w:linePitch="312" w:charSpace="0"/>
        </w:sectPr>
      </w:pPr>
    </w:p>
    <w:p w14:paraId="1FB85D63">
      <w:pPr>
        <w:outlineLvl w:val="0"/>
        <w:rPr>
          <w:rFonts w:hint="eastAsia"/>
          <w:b/>
          <w:bCs/>
          <w:color w:val="auto"/>
          <w:sz w:val="28"/>
          <w:szCs w:val="28"/>
        </w:rPr>
      </w:pPr>
      <w:bookmarkStart w:id="21" w:name="_Toc73523378"/>
      <w:r>
        <w:rPr>
          <w:rFonts w:hint="eastAsia"/>
          <w:b/>
          <w:bCs/>
          <w:color w:val="auto"/>
          <w:sz w:val="28"/>
          <w:szCs w:val="28"/>
        </w:rPr>
        <w:t>附图1：项目地理位置图</w:t>
      </w:r>
      <w:bookmarkEnd w:id="21"/>
    </w:p>
    <w:p w14:paraId="7F72F361">
      <w:pPr>
        <w:outlineLvl w:val="9"/>
        <w:rPr>
          <w:rFonts w:hint="eastAsia"/>
          <w:b/>
          <w:bCs/>
          <w:color w:val="auto"/>
          <w:sz w:val="28"/>
          <w:szCs w:val="28"/>
        </w:rPr>
      </w:pPr>
    </w:p>
    <w:p w14:paraId="30D4ED42">
      <w:pPr>
        <w:outlineLvl w:val="9"/>
        <w:rPr>
          <w:rFonts w:hint="eastAsia"/>
          <w:b/>
          <w:bCs/>
          <w:color w:val="auto"/>
          <w:sz w:val="28"/>
          <w:szCs w:val="28"/>
        </w:rPr>
      </w:pPr>
    </w:p>
    <w:p w14:paraId="6EDE540D">
      <w:pPr>
        <w:rPr>
          <w:color w:val="auto"/>
        </w:rPr>
      </w:pPr>
      <w:r>
        <w:rPr>
          <w:color w:val="auto"/>
        </w:rPr>
        <mc:AlternateContent>
          <mc:Choice Requires="wps">
            <w:drawing>
              <wp:anchor distT="0" distB="0" distL="114300" distR="114300" simplePos="0" relativeHeight="251663360" behindDoc="0" locked="0" layoutInCell="1" allowOverlap="1">
                <wp:simplePos x="0" y="0"/>
                <wp:positionH relativeFrom="column">
                  <wp:posOffset>8444865</wp:posOffset>
                </wp:positionH>
                <wp:positionV relativeFrom="paragraph">
                  <wp:posOffset>4423410</wp:posOffset>
                </wp:positionV>
                <wp:extent cx="96520" cy="95885"/>
                <wp:effectExtent l="19050" t="21590" r="36830" b="34925"/>
                <wp:wrapNone/>
                <wp:docPr id="74" name="五角星 74"/>
                <wp:cNvGraphicFramePr/>
                <a:graphic xmlns:a="http://schemas.openxmlformats.org/drawingml/2006/main">
                  <a:graphicData uri="http://schemas.microsoft.com/office/word/2010/wordprocessingShape">
                    <wps:wsp>
                      <wps:cNvSpPr/>
                      <wps:spPr>
                        <a:xfrm>
                          <a:off x="0" y="0"/>
                          <a:ext cx="96520" cy="95885"/>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15C12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664.95pt;margin-top:348.3pt;height:7.55pt;width:7.6pt;z-index:251663360;v-text-anchor:middle;mso-width-relative:page;mso-height-relative:page;" fillcolor="#FF0000" filled="t" stroked="t" coordsize="96520,95885" o:gfxdata="UEsDBAoAAAAAAIdO4kAAAAAAAAAAAAAAAAAEAAAAZHJzL1BLAwQUAAAACACHTuJAVmrXlt4AAAAN&#10;AQAADwAAAGRycy9kb3ducmV2LnhtbE2Py07DMBBF90j8gzVIbBB13ILbhDhdgBALQKgPqWI3jU0S&#10;Eo/T2H3w97grWF7N0b1n8vnJduxgBt84UiBGCTBDpdMNVQrWq+fbGTAfkDR2joyCH+NhXlxe5Jhp&#10;d6SFOSxDxWIJ+QwV1CH0Gee+rI1FP3K9oXj7coPFEONQcT3gMZbbjo+TRHKLDcWFGnvzWJuyXe6t&#10;gnbTytfNze77JXy+zz7qXfm0wDelrq9E8gAsmFP4g+GsH9WhiE5btyftWRfzZJymkVUgUymBnZHJ&#10;3b0AtlUwFWIKvMj5/y+KX1BLAwQUAAAACACHTuJA0wpqqnkCAAACBQAADgAAAGRycy9lMm9Eb2Mu&#10;eG1srVTNbhMxEL4j8Q6W73STKGnTqJsqahSEVNFKAXF2vN6sJf9hO9mUx0AcuHHkHXgehHgMPnu3&#10;v3DogRycsWf2m/k+z/js/KAV2QsfpDUlHR4NKBGG20qabUnfv1u9mlISIjMVU9aIkt6IQM/nL1+c&#10;tW4mRraxqhKeAMSEWetK2sToZkUReCM0C0fWCQNnbb1mEVu/LSrPWqBrVYwGg+Oitb5y3nIRAk6X&#10;nZP2iP45gLauJRdLy3damNiheqFYBKXQSBfoPFdb14LHq7oOIhJVUjCNeUUS2Ju0FvMzNtt65hrJ&#10;+xLYc0p4wkkzaZD0DmrJIiM7L/+C0pJ7G2wdj7jVRUckKwIWw8ETbdYNcyJzgdTB3Yke/h8sf7u/&#10;9kRWJT0ZU2KYxo3//PHl9/fPv75+IziDQK0LM8St3bXvdwFmYnuovU7/4EEOWdSbO1HFIRKOw9Pj&#10;yQhqc3hOJ9PpJCEW9586H+JrYTVJRknReX6SlWT7yxC72NuYlCpYJauVVCpv/HZzoTzZM1zvajXA&#10;r4d/FKYMadHqoxO4CWdo2hrNAlM7EA9mSwlTW0wDjz7nfvR1eF6SVOSShaYrJiOkWthMy4iBUVKX&#10;dJoqvC1RGQiRtO3UTFY8bA69xBtb3eBmvO1aNji+kshwyUK8Zh49CiqY4niFpVYW/GxvUdJY/+lf&#10;5ykerQMvJS16Htw/7pgXlKg3Bk11OhyPARvzZjw5SffmH3o2Dz1mpy8sdB/ivXA8myk+qluz9lZ/&#10;wLAvUla4mOHI3ancby5iN4t4LrhYLHIYBsOxeGnWjifwJKGxi120tcz9kITq1On1w2jklurHOM3e&#10;w32Oun+65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VmrXlt4AAAANAQAADwAAAAAAAAABACAA&#10;AAAiAAAAZHJzL2Rvd25yZXYueG1sUEsBAhQAFAAAAAgAh07iQNMKaqp5AgAAAgUAAA4AAAAAAAAA&#10;AQAgAAAALQEAAGRycy9lMm9Eb2MueG1sUEsFBgAAAAAGAAYAWQEAABgGAAAAAA==&#10;" path="m0,36624l36867,36624,48260,0,59652,36624,96519,36624,66693,59259,78086,95884,48260,73249,18433,95884,29826,59259xe">
                <v:path textboxrect="0,0,96520,95885" o:connectlocs="48260,0;0,36624;18433,95884;78086,95884;96519,36624" o:connectangles="247,164,82,82,0"/>
                <v:fill on="t" focussize="0,0"/>
                <v:stroke weight="1pt" color="#FF0000 [3204]" miterlimit="8" joinstyle="miter"/>
                <v:imagedata o:title=""/>
                <o:lock v:ext="edit" aspectratio="f"/>
                <v:textbox>
                  <w:txbxContent>
                    <w:p w14:paraId="4915C12D">
                      <w:pPr>
                        <w:jc w:val="center"/>
                      </w:pPr>
                    </w:p>
                  </w:txbxContent>
                </v:textbox>
              </v:shape>
            </w:pict>
          </mc:Fallback>
        </mc:AlternateContent>
      </w:r>
      <w:r>
        <w:rPr>
          <w:color w:val="auto"/>
        </w:rPr>
        <mc:AlternateContent>
          <mc:Choice Requires="wps">
            <w:drawing>
              <wp:anchor distT="0" distB="0" distL="114300" distR="114300" simplePos="0" relativeHeight="251662336" behindDoc="0" locked="0" layoutInCell="1" allowOverlap="1">
                <wp:simplePos x="0" y="0"/>
                <wp:positionH relativeFrom="column">
                  <wp:posOffset>8166735</wp:posOffset>
                </wp:positionH>
                <wp:positionV relativeFrom="paragraph">
                  <wp:posOffset>4023995</wp:posOffset>
                </wp:positionV>
                <wp:extent cx="1238250" cy="619760"/>
                <wp:effectExtent l="6350" t="6350" r="12700" b="21590"/>
                <wp:wrapNone/>
                <wp:docPr id="73" name="矩形 73"/>
                <wp:cNvGraphicFramePr/>
                <a:graphic xmlns:a="http://schemas.openxmlformats.org/drawingml/2006/main">
                  <a:graphicData uri="http://schemas.microsoft.com/office/word/2010/wordprocessingShape">
                    <wps:wsp>
                      <wps:cNvSpPr/>
                      <wps:spPr>
                        <a:xfrm>
                          <a:off x="0" y="0"/>
                          <a:ext cx="1238250" cy="619760"/>
                        </a:xfrm>
                        <a:prstGeom prst="rect">
                          <a:avLst/>
                        </a:prstGeom>
                      </wps:spPr>
                      <wps:style>
                        <a:lnRef idx="2">
                          <a:schemeClr val="dk1"/>
                        </a:lnRef>
                        <a:fillRef idx="1">
                          <a:schemeClr val="lt1"/>
                        </a:fillRef>
                        <a:effectRef idx="0">
                          <a:schemeClr val="dk1"/>
                        </a:effectRef>
                        <a:fontRef idx="minor">
                          <a:schemeClr val="dk1"/>
                        </a:fontRef>
                      </wps:style>
                      <wps:txbx>
                        <w:txbxContent>
                          <w:p w14:paraId="5757E9C1">
                            <w:pPr>
                              <w:jc w:val="center"/>
                              <w:rPr>
                                <w:sz w:val="18"/>
                                <w:szCs w:val="18"/>
                              </w:rPr>
                            </w:pPr>
                            <w:r>
                              <w:rPr>
                                <w:rFonts w:hint="eastAsia"/>
                                <w:b/>
                                <w:bCs/>
                                <w:sz w:val="20"/>
                                <w:szCs w:val="22"/>
                              </w:rPr>
                              <w:t>图例</w:t>
                            </w:r>
                          </w:p>
                          <w:p w14:paraId="382BE925">
                            <w:pPr>
                              <w:jc w:val="right"/>
                              <w:rPr>
                                <w:color w:val="000000" w:themeColor="text1"/>
                                <w14:textFill>
                                  <w14:solidFill>
                                    <w14:schemeClr w14:val="tx1"/>
                                  </w14:solidFill>
                                </w14:textFill>
                              </w:rPr>
                            </w:pPr>
                            <w:r>
                              <w:rPr>
                                <w:rFonts w:hint="eastAsia"/>
                                <w:b/>
                                <w:bCs/>
                                <w:sz w:val="18"/>
                                <w:szCs w:val="18"/>
                              </w:rPr>
                              <w:t xml:space="preserve">  </w:t>
                            </w:r>
                            <w:r>
                              <w:rPr>
                                <w:rFonts w:hint="eastAsia"/>
                                <w:b/>
                                <w:bCs/>
                                <w:color w:val="000000" w:themeColor="text1"/>
                                <w14:textFill>
                                  <w14:solidFill>
                                    <w14:schemeClr w14:val="tx1"/>
                                  </w14:solidFill>
                                </w14:textFill>
                              </w:rPr>
                              <w:t>本项目位置</w:t>
                            </w:r>
                          </w:p>
                          <w:p w14:paraId="167EB063">
                            <w:pPr>
                              <w:pStyle w:val="4"/>
                              <w:wordWrap w:val="0"/>
                              <w:spacing w:line="360" w:lineRule="auto"/>
                              <w:jc w:val="right"/>
                              <w:rPr>
                                <w:rFonts w:hint="default"/>
                                <w:sz w:val="18"/>
                                <w:szCs w:val="18"/>
                              </w:rPr>
                            </w:pPr>
                          </w:p>
                          <w:p w14:paraId="2D11BCCE">
                            <w:pPr>
                              <w:spacing w:line="360" w:lineRule="auto"/>
                              <w:jc w:val="right"/>
                              <w:rPr>
                                <w:b/>
                                <w:bCs/>
                                <w:sz w:val="18"/>
                                <w:szCs w:val="21"/>
                              </w:rPr>
                            </w:pPr>
                            <w:r>
                              <w:rPr>
                                <w:rFonts w:hint="eastAsia"/>
                                <w:b/>
                                <w:bCs/>
                                <w:sz w:val="18"/>
                                <w:szCs w:val="21"/>
                              </w:rPr>
                              <w:t xml:space="preserve">  监测点位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43.05pt;margin-top:316.85pt;height:48.8pt;width:97.5pt;z-index:251662336;v-text-anchor:middle;mso-width-relative:page;mso-height-relative:page;" fillcolor="#FFFFFF [3201]" filled="t" stroked="t" coordsize="21600,21600" o:gfxdata="UEsDBAoAAAAAAIdO4kAAAAAAAAAAAAAAAAAEAAAAZHJzL1BLAwQUAAAACACHTuJApIFcXdkAAAAN&#10;AQAADwAAAGRycy9kb3ducmV2LnhtbE2PPU/DMBCGdyT+g3VIbNROU6VRiNMBwcaSwFC2a2ySCH9E&#10;sdsk/PpeJxjfu0fvPVceFmvYRU9h8E5CshHAtGu9Glwn4fPj7SkHFiI6hcY7LWHVAQ7V/V2JhfKz&#10;q/WliR2jEhcKlNDHOBach7bXFsPGj9rR7ttPFiPFqeNqwpnKreFbITJucXB0ocdRv/S6/WnOVgI2&#10;y9e6rsd55rURw+tvPTbvtZSPD4l4Bhb1Ev9guOmTOlTkdPJnpwIzlLd5lhArIUvTPbAbsssTGp0k&#10;7NMkBV6V/P8X1RVQSwMEFAAAAAgAh07iQPf43np3AgAAAQUAAA4AAABkcnMvZTJvRG9jLnhtbK1U&#10;zW4TMRC+I/EOlu90kzRt0qibKmoUhFTRSgVxdrzerCX/YTvZlJdB4sZD8DiI1+Czd9umpYce2IN3&#10;xjOeme/zjM8v9lqRnfBBWlPS4dGAEmG4raTZlPTzp9W7KSUhMlMxZY0o6Z0I9GL+9s1562ZiZBur&#10;KuEJgpgwa11JmxjdrCgCb4Rm4cg6YWCsrdcsQvWbovKsRXStitFgcFq01lfOWy5CwO6yM9I+on9N&#10;QFvXkoul5VstTOyieqFYBKTQSBfoPFdb14LH67oOIhJVUiCNeUUSyOu0FvNzNtt45hrJ+xLYa0p4&#10;hkkzaZD0IdSSRUa2Xv4TSkvubbB1POJWFx2QzAhQDAfPuLltmBMZC6gO7oH08P/C8o+7G09kVdLJ&#10;MSWGadz4n+8/f//6QbABdloXZnC6dTe+1wLEBHVfe53+AEH2mdG7B0bFPhKOzeHoeDo6AdkcttPh&#10;2eQ0U148nnY+xPfCapKEknrcWCaS7a5CREa43rukZMEqWa2kUlnxm/Wl8mTHcLur/KWSceSJmzKk&#10;TaVMBqkQhp6t0SsQtQPuYDaUMLXBMPDoc+4np8NhkkH+XkqSilyy0HTF5AjJjc20jJgXJXVJp4en&#10;lUGlid2OzyTF/Xrfk7y21R0uxtuuY4PjK4kMVyzEG+bRooCCIY7XWGplgc/2EiWN9d9e2k/+6BxY&#10;KWnR8sD+dcu8oER9MOips+F4jLAxK+OTyQiKP7SsDy1mqy8teB/iuXA8i8k/qnux9lZ/wawvUlaY&#10;mOHI3bHcK5exG0W8FlwsFtkNc+FYvDK3jqfgiUJjF9toa5n7IRHVsdPzh8nId95PcRq9Qz17Pb5c&#10;8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kgVxd2QAAAA0BAAAPAAAAAAAAAAEAIAAAACIAAABk&#10;cnMvZG93bnJldi54bWxQSwECFAAUAAAACACHTuJA9/jeencCAAABBQAADgAAAAAAAAABACAAAAAo&#10;AQAAZHJzL2Uyb0RvYy54bWxQSwUGAAAAAAYABgBZAQAAEQYAAAAA&#10;">
                <v:fill on="t" focussize="0,0"/>
                <v:stroke weight="1pt" color="#000000 [3200]" miterlimit="8" joinstyle="miter"/>
                <v:imagedata o:title=""/>
                <o:lock v:ext="edit" aspectratio="f"/>
                <v:textbox>
                  <w:txbxContent>
                    <w:p w14:paraId="5757E9C1">
                      <w:pPr>
                        <w:jc w:val="center"/>
                        <w:rPr>
                          <w:sz w:val="18"/>
                          <w:szCs w:val="18"/>
                        </w:rPr>
                      </w:pPr>
                      <w:r>
                        <w:rPr>
                          <w:rFonts w:hint="eastAsia"/>
                          <w:b/>
                          <w:bCs/>
                          <w:sz w:val="20"/>
                          <w:szCs w:val="22"/>
                        </w:rPr>
                        <w:t>图例</w:t>
                      </w:r>
                    </w:p>
                    <w:p w14:paraId="382BE925">
                      <w:pPr>
                        <w:jc w:val="right"/>
                        <w:rPr>
                          <w:color w:val="000000" w:themeColor="text1"/>
                          <w14:textFill>
                            <w14:solidFill>
                              <w14:schemeClr w14:val="tx1"/>
                            </w14:solidFill>
                          </w14:textFill>
                        </w:rPr>
                      </w:pPr>
                      <w:r>
                        <w:rPr>
                          <w:rFonts w:hint="eastAsia"/>
                          <w:b/>
                          <w:bCs/>
                          <w:sz w:val="18"/>
                          <w:szCs w:val="18"/>
                        </w:rPr>
                        <w:t xml:space="preserve">  </w:t>
                      </w:r>
                      <w:r>
                        <w:rPr>
                          <w:rFonts w:hint="eastAsia"/>
                          <w:b/>
                          <w:bCs/>
                          <w:color w:val="000000" w:themeColor="text1"/>
                          <w14:textFill>
                            <w14:solidFill>
                              <w14:schemeClr w14:val="tx1"/>
                            </w14:solidFill>
                          </w14:textFill>
                        </w:rPr>
                        <w:t>本项目位置</w:t>
                      </w:r>
                    </w:p>
                    <w:p w14:paraId="167EB063">
                      <w:pPr>
                        <w:pStyle w:val="4"/>
                        <w:wordWrap w:val="0"/>
                        <w:spacing w:line="360" w:lineRule="auto"/>
                        <w:jc w:val="right"/>
                        <w:rPr>
                          <w:rFonts w:hint="default"/>
                          <w:sz w:val="18"/>
                          <w:szCs w:val="18"/>
                        </w:rPr>
                      </w:pPr>
                    </w:p>
                    <w:p w14:paraId="2D11BCCE">
                      <w:pPr>
                        <w:spacing w:line="360" w:lineRule="auto"/>
                        <w:jc w:val="right"/>
                        <w:rPr>
                          <w:b/>
                          <w:bCs/>
                          <w:sz w:val="18"/>
                          <w:szCs w:val="21"/>
                        </w:rPr>
                      </w:pPr>
                      <w:r>
                        <w:rPr>
                          <w:rFonts w:hint="eastAsia"/>
                          <w:b/>
                          <w:bCs/>
                          <w:sz w:val="18"/>
                          <w:szCs w:val="21"/>
                        </w:rPr>
                        <w:t xml:space="preserve">  监测点位</w:t>
                      </w:r>
                    </w:p>
                  </w:txbxContent>
                </v:textbox>
              </v:rect>
            </w:pict>
          </mc:Fallback>
        </mc:AlternateContent>
      </w:r>
      <w:r>
        <w:rPr>
          <w:color w:val="auto"/>
          <w:sz w:val="30"/>
        </w:rPr>
        <w:drawing>
          <wp:anchor distT="0" distB="0" distL="114300" distR="114300" simplePos="0" relativeHeight="251670528" behindDoc="0" locked="0" layoutInCell="1" allowOverlap="1">
            <wp:simplePos x="0" y="0"/>
            <wp:positionH relativeFrom="column">
              <wp:posOffset>8717915</wp:posOffset>
            </wp:positionH>
            <wp:positionV relativeFrom="paragraph">
              <wp:posOffset>6985</wp:posOffset>
            </wp:positionV>
            <wp:extent cx="712470" cy="676275"/>
            <wp:effectExtent l="0" t="0" r="11430" b="9525"/>
            <wp:wrapNone/>
            <wp:docPr id="22" name="图片 22" descr="微信截图_2023101615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微信截图_20231016153956"/>
                    <pic:cNvPicPr>
                      <a:picLocks noChangeAspect="1"/>
                    </pic:cNvPicPr>
                  </pic:nvPicPr>
                  <pic:blipFill>
                    <a:blip r:embed="rId24"/>
                    <a:stretch>
                      <a:fillRect/>
                    </a:stretch>
                  </pic:blipFill>
                  <pic:spPr>
                    <a:xfrm>
                      <a:off x="0" y="0"/>
                      <a:ext cx="712470" cy="676275"/>
                    </a:xfrm>
                    <a:prstGeom prst="rect">
                      <a:avLst/>
                    </a:prstGeom>
                  </pic:spPr>
                </pic:pic>
              </a:graphicData>
            </a:graphic>
          </wp:anchor>
        </w:drawing>
      </w:r>
      <w:r>
        <w:rPr>
          <w:color w:val="auto"/>
        </w:rPr>
        <mc:AlternateContent>
          <mc:Choice Requires="wps">
            <w:drawing>
              <wp:anchor distT="0" distB="0" distL="114300" distR="114300" simplePos="0" relativeHeight="251661312" behindDoc="0" locked="0" layoutInCell="1" allowOverlap="1">
                <wp:simplePos x="0" y="0"/>
                <wp:positionH relativeFrom="column">
                  <wp:posOffset>4836795</wp:posOffset>
                </wp:positionH>
                <wp:positionV relativeFrom="paragraph">
                  <wp:posOffset>3373755</wp:posOffset>
                </wp:positionV>
                <wp:extent cx="801370" cy="271780"/>
                <wp:effectExtent l="149860" t="525145" r="20320" b="22225"/>
                <wp:wrapNone/>
                <wp:docPr id="26" name="圆角矩形标注 26"/>
                <wp:cNvGraphicFramePr/>
                <a:graphic xmlns:a="http://schemas.openxmlformats.org/drawingml/2006/main">
                  <a:graphicData uri="http://schemas.microsoft.com/office/word/2010/wordprocessingShape">
                    <wps:wsp>
                      <wps:cNvSpPr/>
                      <wps:spPr>
                        <a:xfrm>
                          <a:off x="3894455" y="3733165"/>
                          <a:ext cx="801370" cy="271780"/>
                        </a:xfrm>
                        <a:prstGeom prst="wedgeRoundRectCallout">
                          <a:avLst>
                            <a:gd name="adj1" fmla="val -65286"/>
                            <a:gd name="adj2" fmla="val -228971"/>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353A61">
                            <w:pPr>
                              <w:rPr>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62" type="#_x0000_t62" style="position:absolute;left:0pt;margin-left:380.85pt;margin-top:265.65pt;height:21.4pt;width:63.1pt;z-index:251661312;v-text-anchor:middle;mso-width-relative:page;mso-height-relative:page;" fillcolor="#FFFFFF [3212]" filled="t" stroked="t" coordsize="21600,21600" o:gfxdata="UEsDBAoAAAAAAIdO4kAAAAAAAAAAAAAAAAAEAAAAZHJzL1BLAwQUAAAACACHTuJAlljwmtwAAAAL&#10;AQAADwAAAGRycy9kb3ducmV2LnhtbE2PsU7DMBCGdyTewTokloo6JlCnIU4HJIaKhaYMHd34SALx&#10;OcRuE3h6zATj3X367/uLzWx7dsbRd44UiGUCDKl2pqNGwev+6SYD5oMmo3tHqOALPWzKy4tC58ZN&#10;tMNzFRoWQ8jnWkEbwpBz7usWrfZLNyDF25sbrQ5xHBtuRj3FcNvz2yRZcas7ih9aPeBji/VHdbIK&#10;3r/Xc7Oo0u3L9jDt6sMzys/9QqnrK5E8AAs4hz8YfvWjOpTR6ehOZDzrFciVkBFVcJ+KFFgkskyu&#10;gR3jRt4J4GXB/3cofwBQSwMEFAAAAAgAh07iQPce2VXPAgAAkQUAAA4AAABkcnMvZTJvRG9jLnht&#10;bK1UzW4TMRC+I/EOlu/tZjfNT6NuqihREFJFqxbE2fF6s0b+w3ayKQ8Ad85IIC7AmTOP08JjMPZu&#10;2rT00AM+eMfr8cx83/wcHW+kQGtmHdcqx+l+ByOmqC64Wub41cv53hAj54kqiNCK5fiSOXw8fvrk&#10;qDYjlulKi4JZBEaUG9Umx5X3ZpQkjlZMErevDVNwWWoriYejXSaFJTVYlyLJOp1+UmtbGKspcw7+&#10;zppL3Fq0jzGoy5JTNtN0JZnyjVXLBPEAyVXcODyO0ZYlo/60LB3zSOQYkPq4gxOQF2FPxkdktLTE&#10;VJy2IZDHhHAPkyRcgdMbUzPiCVpZ/o8pyanVTpd+n2qZNEAiI4Ai7dzj5qIihkUsQLUzN6S7/2eW&#10;vlifWcSLHGd9jBSRkPGrT+//fPv4+/OPq19fr798uP75HcElMFUbN4IHF+bMticHYoC9Ka0MXwCE&#10;NjnuDg8PDno9jC5BHnS7ab/XMM02HlFQGHbS7gByQEEhG6SDYcxEcmvIWOefMS1REHJcs2LJzvVK&#10;FeeQ0ikRQq98JJysT5yPzBdt+KR4k2JUSgGJXBOB9vq9bBjjh/TsKGV3lLJseDhI23rY0eruaqX9&#10;fn8QdCDS1jFI21hDFE4LXsy5EPFgl4upsAiiyPE8rvbxHTWhUA2dmA06gRECPVVCLYMoDeTFqSVG&#10;RCyhWam3EfOd127XSSeuh5yEIGfEVU0w0UIDVnIP/Sy4DFkJq30tFMAMGW9yHCS/WWzaxC90cQmF&#10;Y3XTUc7QOQcPJ8T5M2KBeYACQ8afwlYKDfh0K2FUafvuof9BHyobbjGqoSUB+9sVsQwj8VxBzYNJ&#10;vxXsVlhsBbWSUw08Q+4hmijCA+vFViytlq9h9kyCF7giioKvhtX2MPXNaIDpRdlkEtWgTw3xJ+rC&#10;0GA85FXpycrrkvtQCYGYho32AJ0aC6SdKmEU7J6j1u0kHf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lljwmtwAAAALAQAADwAAAAAAAAABACAAAAAiAAAAZHJzL2Rvd25yZXYueG1sUEsBAhQAFAAA&#10;AAgAh07iQPce2VXPAgAAkQUAAA4AAAAAAAAAAQAgAAAAKwEAAGRycy9lMm9Eb2MueG1sUEsFBgAA&#10;AAAGAAYAWQEAAGwGAAAAAA==&#10;" adj="-3302,-38658,14400">
                <v:fill on="t" focussize="0,0"/>
                <v:stroke weight="1pt" color="#000000 [3213]" miterlimit="8" joinstyle="miter"/>
                <v:imagedata o:title=""/>
                <o:lock v:ext="edit" aspectratio="f"/>
                <v:textbox inset="0mm,0mm,0mm,0mm">
                  <w:txbxContent>
                    <w:p w14:paraId="6A353A61">
                      <w:pPr>
                        <w:rPr>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v:textbox>
              </v:shape>
            </w:pict>
          </mc:Fallback>
        </mc:AlternateContent>
      </w:r>
      <w:r>
        <w:rPr>
          <w:color w:val="auto"/>
        </w:rPr>
        <mc:AlternateContent>
          <mc:Choice Requires="wps">
            <w:drawing>
              <wp:anchor distT="0" distB="0" distL="114300" distR="114300" simplePos="0" relativeHeight="251660288" behindDoc="0" locked="0" layoutInCell="1" allowOverlap="1">
                <wp:simplePos x="0" y="0"/>
                <wp:positionH relativeFrom="column">
                  <wp:posOffset>4653280</wp:posOffset>
                </wp:positionH>
                <wp:positionV relativeFrom="paragraph">
                  <wp:posOffset>2772410</wp:posOffset>
                </wp:positionV>
                <wp:extent cx="96520" cy="95885"/>
                <wp:effectExtent l="19050" t="21590" r="36830" b="34925"/>
                <wp:wrapNone/>
                <wp:docPr id="25" name="五角星 25"/>
                <wp:cNvGraphicFramePr/>
                <a:graphic xmlns:a="http://schemas.openxmlformats.org/drawingml/2006/main">
                  <a:graphicData uri="http://schemas.microsoft.com/office/word/2010/wordprocessingShape">
                    <wps:wsp>
                      <wps:cNvSpPr/>
                      <wps:spPr>
                        <a:xfrm>
                          <a:off x="5006975" y="2908935"/>
                          <a:ext cx="96520" cy="95885"/>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EAFF4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66.4pt;margin-top:218.3pt;height:7.55pt;width:7.6pt;z-index:251660288;v-text-anchor:middle;mso-width-relative:page;mso-height-relative:page;" fillcolor="#FF0000" filled="t" stroked="t" coordsize="96520,95885" o:gfxdata="UEsDBAoAAAAAAIdO4kAAAAAAAAAAAAAAAAAEAAAAZHJzL1BLAwQUAAAACACHTuJATfjQPt0AAAAL&#10;AQAADwAAAGRycy9kb3ducmV2LnhtbE2PS0/DMBCE70j8B2uRuCDqpC1JFOL0AEIcAKE+pIrbNlni&#10;kNhOY/fBv2c5wXF2RrPfFIuz6cWRRt86qyCeRCDIVq5ubaNgs366zUD4gLbG3llS8E0eFuXlRYF5&#10;7U52ScdVaASXWJ+jAh3CkEvpK00G/cQNZNn7dKPBwHJsZD3iictNL6dRlEiDreUPGgd60FR1q4NR&#10;0G275GV7s/96Dh9v2bveV49LfFXq+iqO7kEEOoe/MPziMzqUzLRzB1t70StIZ1NGDwrmsyQBwYl0&#10;nvG6HV/u4hRkWcj/G8ofUEsDBBQAAAAIAIdO4kCT483ehgIAAA4FAAAOAAAAZHJzL2Uyb0RvYy54&#10;bWytVM1uEzEQviPxDpbvdJPQtEnUTRU1CkKqaKWCODteb9aS/7CdbMpjIA7ceuQdeB6EeAw+e7e/&#10;cOiBHJyZnfE3M9/M+OR0rxXZCR+kNSUdHgwoEYbbSppNST+8X72aUBIiMxVT1oiSXotAT+cvX5y0&#10;biZGtrGqEp4AxIRZ60raxOhmRRF4IzQLB9YJA2NtvWYRqt8UlWct0LUqRoPBUdFaXzlvuQgBX5ed&#10;kfaI/jmAtq4lF0vLt1qY2KF6oVhESaGRLtB5zrauBY8XdR1EJKqkqDTmE0Egr9NZzE/YbOOZayTv&#10;U2DPSeFJTZpJg6B3UEsWGdl6+ReUltzbYOt4wK0uukIyI6hiOHjCzVXDnMi1gOrg7kgP/w+Wv9td&#10;eiKrko7GlBim0fGfP77+/v7l17cbgm8gqHVhBr8rd+l7LUBM1e5rr9M/6iD7ko7R3ukxcK4BNx1M&#10;pq/zfTYT+0g4HKZH4xGY57BPx5NJthb3MM6H+EZYTZJQUkyhH2dW2e48RMSG761PChusktVKKpUV&#10;v1mfKU92DK1erQb4peRx5ZGbMqTF2I+OYSacYYBrDA5E7UBCMBtKmNpgM3j0Ofaj2+F5QVKSSxaa&#10;LpmM0E2alhHLo6Qu6SRleJuiMsg08dwxm6S4X+97ute2ukaXvO3GNzi+kohwzkK8ZB7zilKw0fEC&#10;R60s6rO9RElj/ed/fU/+GCNYKWkx/6j905Z5QYl6azBg0+HhIWBjVg7Hx6lv/qFl/dBitvrMgvch&#10;3g7Hs5j8o7oVa2/1Ryz+IkWFiRmO2B3LvXIWu73E08HFYpHdsCSOxXNz5XgCT302drGNtpZ5HhJR&#10;HTs9f1iT3PN+pdMePtSz1/0zNv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TfjQPt0AAAALAQAA&#10;DwAAAAAAAAABACAAAAAiAAAAZHJzL2Rvd25yZXYueG1sUEsBAhQAFAAAAAgAh07iQJPjzd6GAgAA&#10;DgUAAA4AAAAAAAAAAQAgAAAALAEAAGRycy9lMm9Eb2MueG1sUEsFBgAAAAAGAAYAWQEAACQGAAAA&#10;AA==&#10;" path="m0,36624l36867,36624,48260,0,59652,36624,96519,36624,66693,59259,78086,95884,48260,73249,18433,95884,29826,59259xe">
                <v:path textboxrect="0,0,96520,95885" o:connectlocs="48260,0;0,36624;18433,95884;78086,95884;96519,36624" o:connectangles="247,164,82,82,0"/>
                <v:fill on="t" focussize="0,0"/>
                <v:stroke weight="1pt" color="#FF0000 [3204]" miterlimit="8" joinstyle="miter"/>
                <v:imagedata o:title=""/>
                <o:lock v:ext="edit" aspectratio="f"/>
                <v:textbox>
                  <w:txbxContent>
                    <w:p w14:paraId="1EEAFF49">
                      <w:pPr>
                        <w:jc w:val="center"/>
                      </w:pPr>
                    </w:p>
                  </w:txbxContent>
                </v:textbox>
              </v:shape>
            </w:pict>
          </mc:Fallback>
        </mc:AlternateContent>
      </w:r>
      <w:r>
        <w:rPr>
          <w:color w:val="auto"/>
        </w:rPr>
        <w:drawing>
          <wp:inline distT="0" distB="0" distL="114300" distR="114300">
            <wp:extent cx="9436735" cy="4669155"/>
            <wp:effectExtent l="0" t="0" r="12065" b="17145"/>
            <wp:docPr id="13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9"/>
                    <pic:cNvPicPr>
                      <a:picLocks noChangeAspect="1"/>
                    </pic:cNvPicPr>
                  </pic:nvPicPr>
                  <pic:blipFill>
                    <a:blip r:embed="rId25"/>
                    <a:stretch>
                      <a:fillRect/>
                    </a:stretch>
                  </pic:blipFill>
                  <pic:spPr>
                    <a:xfrm>
                      <a:off x="0" y="0"/>
                      <a:ext cx="9436735" cy="4669155"/>
                    </a:xfrm>
                    <a:prstGeom prst="rect">
                      <a:avLst/>
                    </a:prstGeom>
                    <a:noFill/>
                    <a:ln>
                      <a:noFill/>
                    </a:ln>
                  </pic:spPr>
                </pic:pic>
              </a:graphicData>
            </a:graphic>
          </wp:inline>
        </w:drawing>
      </w:r>
    </w:p>
    <w:p w14:paraId="5037BD17">
      <w:pPr>
        <w:outlineLvl w:val="0"/>
        <w:rPr>
          <w:b/>
          <w:bCs/>
          <w:color w:val="auto"/>
          <w:sz w:val="28"/>
          <w:szCs w:val="28"/>
        </w:rPr>
        <w:sectPr>
          <w:pgSz w:w="16840" w:h="11907" w:orient="landscape"/>
          <w:pgMar w:top="720" w:right="720" w:bottom="720" w:left="1247" w:header="1644" w:footer="737" w:gutter="0"/>
          <w:pgBorders>
            <w:top w:val="none" w:sz="0" w:space="0"/>
            <w:left w:val="none" w:sz="0" w:space="0"/>
            <w:bottom w:val="none" w:sz="0" w:space="0"/>
            <w:right w:val="none" w:sz="0" w:space="0"/>
          </w:pgBorders>
          <w:cols w:space="720" w:num="1"/>
          <w:docGrid w:type="lines" w:linePitch="435" w:charSpace="0"/>
        </w:sectPr>
      </w:pPr>
      <w:bookmarkStart w:id="22" w:name="_Toc73523379"/>
    </w:p>
    <w:p w14:paraId="1AB19C47">
      <w:pPr>
        <w:tabs>
          <w:tab w:val="left" w:pos="630"/>
        </w:tabs>
        <w:jc w:val="left"/>
        <w:outlineLvl w:val="0"/>
        <w:rPr>
          <w:b/>
          <w:bCs/>
          <w:color w:val="auto"/>
          <w:sz w:val="28"/>
          <w:szCs w:val="28"/>
        </w:rPr>
      </w:pPr>
      <w:r>
        <w:rPr>
          <w:rFonts w:hint="eastAsia"/>
          <w:b/>
          <w:bCs/>
          <w:color w:val="auto"/>
          <w:sz w:val="28"/>
          <w:szCs w:val="28"/>
        </w:rPr>
        <w:t>附图2：项目周围敏感目标图</w:t>
      </w:r>
    </w:p>
    <w:bookmarkEnd w:id="22"/>
    <w:p w14:paraId="780FBDAC">
      <w:pPr>
        <w:tabs>
          <w:tab w:val="left" w:pos="630"/>
        </w:tabs>
        <w:jc w:val="center"/>
        <w:rPr>
          <w:b/>
          <w:bCs/>
          <w:color w:val="auto"/>
          <w:sz w:val="28"/>
          <w:szCs w:val="28"/>
        </w:rPr>
      </w:pPr>
      <w:r>
        <w:rPr>
          <w:color w:val="auto"/>
          <w:sz w:val="21"/>
        </w:rPr>
        <mc:AlternateContent>
          <mc:Choice Requires="wps">
            <w:drawing>
              <wp:anchor distT="0" distB="0" distL="114300" distR="114300" simplePos="0" relativeHeight="251682816" behindDoc="0" locked="0" layoutInCell="1" allowOverlap="1">
                <wp:simplePos x="0" y="0"/>
                <wp:positionH relativeFrom="column">
                  <wp:posOffset>2327275</wp:posOffset>
                </wp:positionH>
                <wp:positionV relativeFrom="paragraph">
                  <wp:posOffset>3909060</wp:posOffset>
                </wp:positionV>
                <wp:extent cx="481965" cy="353695"/>
                <wp:effectExtent l="6350" t="6350" r="788035" b="20955"/>
                <wp:wrapNone/>
                <wp:docPr id="130" name="矩形标注 130"/>
                <wp:cNvGraphicFramePr/>
                <a:graphic xmlns:a="http://schemas.openxmlformats.org/drawingml/2006/main">
                  <a:graphicData uri="http://schemas.microsoft.com/office/word/2010/wordprocessingShape">
                    <wps:wsp>
                      <wps:cNvSpPr/>
                      <wps:spPr>
                        <a:xfrm>
                          <a:off x="4380865" y="3636010"/>
                          <a:ext cx="481965" cy="353695"/>
                        </a:xfrm>
                        <a:prstGeom prst="wedgeRectCallout">
                          <a:avLst>
                            <a:gd name="adj1" fmla="val 200197"/>
                            <a:gd name="adj2" fmla="val -40484"/>
                          </a:avLst>
                        </a:prstGeom>
                        <a:solidFill>
                          <a:schemeClr val="bg1"/>
                        </a:solidFill>
                        <a:ln>
                          <a:solidFill>
                            <a:schemeClr val="tx1"/>
                          </a:solidFill>
                        </a:ln>
                      </wps:spPr>
                      <wps:style>
                        <a:lnRef idx="2">
                          <a:schemeClr val="accent1"/>
                        </a:lnRef>
                        <a:fillRef idx="0">
                          <a:srgbClr val="FFFFFF"/>
                        </a:fillRef>
                        <a:effectRef idx="0">
                          <a:srgbClr val="FFFFFF"/>
                        </a:effectRef>
                        <a:fontRef idx="minor">
                          <a:schemeClr val="tx1"/>
                        </a:fontRef>
                      </wps:style>
                      <wps:txbx>
                        <w:txbxContent>
                          <w:p w14:paraId="72FBC8B8">
                            <w:pPr>
                              <w:jc w:val="center"/>
                              <w:rPr>
                                <w:rFonts w:hint="default" w:eastAsia="宋体"/>
                                <w:color w:val="auto"/>
                                <w:lang w:val="en-US" w:eastAsia="zh-CN"/>
                              </w:rPr>
                            </w:pPr>
                            <w:r>
                              <w:rPr>
                                <w:rFonts w:hint="eastAsia"/>
                                <w:color w:val="auto"/>
                                <w:lang w:val="en-US" w:eastAsia="zh-CN"/>
                              </w:rPr>
                              <w:t>民房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83.25pt;margin-top:307.8pt;height:27.85pt;width:37.95pt;z-index:251682816;v-text-anchor:middle;mso-width-relative:page;mso-height-relative:page;" fillcolor="#FFFFFF [3212]" filled="t" stroked="t" coordsize="21600,21600" o:gfxdata="UEsDBAoAAAAAAIdO4kAAAAAAAAAAAAAAAAAEAAAAZHJzL1BLAwQUAAAACACHTuJAb6ORAtgAAAAL&#10;AQAADwAAAGRycy9kb3ducmV2LnhtbE2Py07DMBBF90j8gzVI7KiTNHVRiNNFAcEO0eYDXHsaR/gR&#10;xe6Dv2dYwXJmju6c226u3rEzzmmMQUK5KIBh0NGMYZDQ718fHoGlrIJRLgaU8I0JNt3tTasaEy/h&#10;E8+7PDAKCalREmzOU8N50ha9Sos4YaDbMc5eZRrngZtZXSjcO14VheBejYE+WDXh1qL+2p28hHlb&#10;Teu3475PvdMf5v0lWv1cS3l/VxZPwDJe8x8Mv/qkDh05HeIpmMSchKUQK0IliHIlgBFR11UN7ECb&#10;dbkE3rX8f4fuB1BLAwQUAAAACACHTuJA3ecGlrkCAABzBQAADgAAAGRycy9lMm9Eb2MueG1srVTN&#10;btNAEL4j8Q6rvbd2EidNojpVlCgIqaIVBXHerNf2ov1jdxOnvACPAeIEZ848DuU1mF27rVt64IAP&#10;9oxndma+b2b29OwgBdoz67hWOR4cpxgxRXXBVZXjt282R1OMnCeqIEIrluNr5vDZ4vmz08bM2VDX&#10;WhTMIgii3LwxOa69N/MkcbRmkrhjbZgCY6mtJB5UWyWFJQ1ElyIZpukkabQtjNWUOQd/160RdxHt&#10;vwTUZckpW2u6k0z5NqplgniA5GpuHF7EasuSUX9Rlo55JHIMSH18QxKQt+GdLE7JvLLE1Jx2JZB/&#10;KeERJkm4gqR3odbEE7Sz/K9QklOrnS79MdUyaYFERgDFIH3EzVVNDItYgGpn7kh3/y8sfbW/tIgX&#10;MAkj4EQRCS3//fn7r59fb758uvnxDYX/wFJj3Bycr8yl7TQHYoB8KK0MXwCDDjnORtN0OhljdJ3j&#10;0WQ0AVgty+zgEQ0O08Es2GlwGI8ms3GwJ/eBjHX+BdMSBSHHDSsq9ho6uSJC6J2PPJP9ufOR8KIr&#10;mhTvBxiVUkD/9kQgmLXB7KRNXfWchn2noyzNplmXv4sJldxWEBI4LXix4UJExVbblbAIEuR4E5/u&#10;8AM3oVADjA5PUuCUEtiSEqYTRGmAaacqjIioYP2otxHOg9OunySNz1NJQpFr4uq2mBihRSu5hw0V&#10;XOZ42j8tFNAc+th2Lkj+sD107dzq4hpGwep2R5yhGw4Zzonzl8QCqQAFrg1/Aa9SaMCnOwmjWtuP&#10;T/0P/jCrYMWogSUD7B92xDKMxEsFUzwbZBmE9VHJxidDUGzfsu1b1E6uNPAObYbqohj8vbgVS6vl&#10;O7hdliErmIiikLtluVNWvl1+uJ8oWy6jG2yiIf5cXRkagoc+K73ceV1yHyYzENWy0ymwi3Fgu3sj&#10;LHtfj173d+Xi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G+jkQLYAAAACwEAAA8AAAAAAAAAAQAg&#10;AAAAIgAAAGRycy9kb3ducmV2LnhtbFBLAQIUABQAAAAIAIdO4kDd5waWuQIAAHMFAAAOAAAAAAAA&#10;AAEAIAAAACcBAABkcnMvZTJvRG9jLnhtbFBLBQYAAAAABgAGAFkBAABSBgAAAAA=&#10;" adj="54043,2055">
                <v:fill on="t" focussize="0,0"/>
                <v:stroke weight="1pt" color="#000000 [3213]" miterlimit="8" joinstyle="miter"/>
                <v:imagedata o:title=""/>
                <o:lock v:ext="edit" aspectratio="f"/>
                <v:textbox>
                  <w:txbxContent>
                    <w:p w14:paraId="72FBC8B8">
                      <w:pPr>
                        <w:jc w:val="center"/>
                        <w:rPr>
                          <w:rFonts w:hint="default" w:eastAsia="宋体"/>
                          <w:color w:val="auto"/>
                          <w:lang w:val="en-US" w:eastAsia="zh-CN"/>
                        </w:rPr>
                      </w:pPr>
                      <w:r>
                        <w:rPr>
                          <w:rFonts w:hint="eastAsia"/>
                          <w:color w:val="auto"/>
                          <w:lang w:val="en-US" w:eastAsia="zh-CN"/>
                        </w:rPr>
                        <w:t>民房</w:t>
                      </w:r>
                    </w:p>
                  </w:txbxContent>
                </v:textbox>
              </v:shape>
            </w:pict>
          </mc:Fallback>
        </mc:AlternateContent>
      </w:r>
      <w:r>
        <w:rPr>
          <w:color w:val="auto"/>
        </w:rPr>
        <mc:AlternateContent>
          <mc:Choice Requires="wps">
            <w:drawing>
              <wp:anchor distT="0" distB="0" distL="114300" distR="114300" simplePos="0" relativeHeight="251666432" behindDoc="0" locked="0" layoutInCell="1" allowOverlap="1">
                <wp:simplePos x="0" y="0"/>
                <wp:positionH relativeFrom="column">
                  <wp:posOffset>7934960</wp:posOffset>
                </wp:positionH>
                <wp:positionV relativeFrom="paragraph">
                  <wp:posOffset>5302250</wp:posOffset>
                </wp:positionV>
                <wp:extent cx="304165" cy="124460"/>
                <wp:effectExtent l="14605" t="14605" r="24130" b="32385"/>
                <wp:wrapNone/>
                <wp:docPr id="30" name="矩形 30"/>
                <wp:cNvGraphicFramePr/>
                <a:graphic xmlns:a="http://schemas.openxmlformats.org/drawingml/2006/main">
                  <a:graphicData uri="http://schemas.microsoft.com/office/word/2010/wordprocessingShape">
                    <wps:wsp>
                      <wps:cNvSpPr/>
                      <wps:spPr>
                        <a:xfrm>
                          <a:off x="0" y="0"/>
                          <a:ext cx="304165" cy="124460"/>
                        </a:xfrm>
                        <a:prstGeom prst="rect">
                          <a:avLst/>
                        </a:prstGeom>
                        <a:noFill/>
                        <a:ln w="28575">
                          <a:solidFill>
                            <a:srgbClr val="1C189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4.8pt;margin-top:417.5pt;height:9.8pt;width:23.95pt;z-index:251666432;v-text-anchor:middle;mso-width-relative:page;mso-height-relative:page;" filled="f" stroked="t" coordsize="21600,21600" o:gfxdata="UEsDBAoAAAAAAIdO4kAAAAAAAAAAAAAAAAAEAAAAZHJzL1BLAwQUAAAACACHTuJALfo1c9wAAAAN&#10;AQAADwAAAGRycy9kb3ducmV2LnhtbE2PzU7DMBCE70i8g7VI3Kid0KRtiNNDVUC0EoJQiasbL05E&#10;bEex+8Pbsz3BcWY/zc6Uy7Pt2RHH0HknIZkIYOgarztnJOw+Hu/mwEJUTqveO5TwgwGW1fVVqQrt&#10;T+4dj3U0jEJcKJSENsah4Dw0LVoVJn5AR7cvP1oVSY6G61GdKNz2PBUi51Z1jj60asBVi813fbAS&#10;Plfb7VNWv3Lxgm+JmZn15nm3lvL2JhEPwCKe4x8Ml/pUHSrqtPcHpwPrSafTRU6shPl9RqsuSLqY&#10;ZcD2ZGXTHHhV8v8rql9QSwMEFAAAAAgAh07iQCBZ3/5tAgAAzAQAAA4AAABkcnMvZTJvRG9jLnht&#10;bK1UzW4TMRC+I/EOlu90s2naplE3VZSoCKmikQri7Hi9WUv+w3ayKS+DxI2H4HEQr8Fn7/aHwqEH&#10;cnBmPONvPJ+/2YvLg1ZkL3yQ1lS0PBpRIgy3tTTbin78cPVmSkmIzNRMWSMqeicCvZy/fnXRuZkY&#10;29aqWngCEBNmnatoG6ObFUXgrdAsHFknDIKN9ZpFuH5b1J51QNeqGI9Gp0Vnfe285SIE7K76IB0Q&#10;/UsAbdNILlaW77QwsUf1QrGIlkIrXaDzfNumETzeNE0QkaiKotOYVxSBvUlrMb9gs61nrpV8uAJ7&#10;yRWe9aSZNCj6ALVikZGdl39Bacm9DbaJR9zqom8kM4IuytEzbm5b5kTuBVQH90B6+H+w/P1+7Yms&#10;K3oMSgzTePFfX7///PGNYAPsdC7MkHTr1n7wAszU6qHxOv2jCXLIjN49MCoOkXBsHo8m5ekJJRyh&#10;cjyZnGbM4vGw8yG+FVaTZFTU48Eyj2x/HSIKIvU+JdUy9koqlR9NGdJVdDw9OUv4DEpsoACY2qGb&#10;YLaUMLWFxHn0GTJYJet0PAEFv90slSd7BmGUy3J6fpy6Rbk/0lLtFQttn5dDvWS0jJgCJXVFp6P0&#10;G04rA5DEWc9Ssja2vgPH3vbiC45fScBesxDXzENtIB7zGG+wNMqiKTtYlLTWf/nXfsqHCBClpIN6&#10;0fDnHfOCEvXOQB7n5WSS5J6dycnZGI5/Gtk8jZidXtrEAybf8Wym/KjuzcZb/Qlju0hVEWKGo3ZP&#10;7eAsYz9VGHwuFoucBok7Fq/NreMJvH/AxS7aRua3fWRnIA0iz28wDGSaoqd+znr8CM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C36NXPcAAAADQEAAA8AAAAAAAAAAQAgAAAAIgAAAGRycy9kb3du&#10;cmV2LnhtbFBLAQIUABQAAAAIAIdO4kAgWd/+bQIAAMwEAAAOAAAAAAAAAAEAIAAAACsBAABkcnMv&#10;ZTJvRG9jLnhtbFBLBQYAAAAABgAGAFkBAAAKBgAAAAA=&#10;">
                <v:fill on="f" focussize="0,0"/>
                <v:stroke weight="2.25pt" color="#1C1893 [3204]" miterlimit="8" joinstyle="miter"/>
                <v:imagedata o:title=""/>
                <o:lock v:ext="edit" aspectratio="f"/>
              </v:rect>
            </w:pict>
          </mc:Fallback>
        </mc:AlternateContent>
      </w:r>
      <w:r>
        <w:rPr>
          <w:color w:val="auto"/>
        </w:rPr>
        <mc:AlternateContent>
          <mc:Choice Requires="wps">
            <w:drawing>
              <wp:anchor distT="0" distB="0" distL="114300" distR="114300" simplePos="0" relativeHeight="251668480" behindDoc="0" locked="0" layoutInCell="1" allowOverlap="1">
                <wp:simplePos x="0" y="0"/>
                <wp:positionH relativeFrom="column">
                  <wp:posOffset>7931150</wp:posOffset>
                </wp:positionH>
                <wp:positionV relativeFrom="paragraph">
                  <wp:posOffset>5831840</wp:posOffset>
                </wp:positionV>
                <wp:extent cx="314325" cy="124460"/>
                <wp:effectExtent l="13970" t="14605" r="14605" b="32385"/>
                <wp:wrapNone/>
                <wp:docPr id="32" name="矩形 32"/>
                <wp:cNvGraphicFramePr/>
                <a:graphic xmlns:a="http://schemas.openxmlformats.org/drawingml/2006/main">
                  <a:graphicData uri="http://schemas.microsoft.com/office/word/2010/wordprocessingShape">
                    <wps:wsp>
                      <wps:cNvSpPr/>
                      <wps:spPr>
                        <a:xfrm>
                          <a:off x="0" y="0"/>
                          <a:ext cx="314325" cy="124460"/>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4.5pt;margin-top:459.2pt;height:9.8pt;width:24.75pt;z-index:251668480;v-text-anchor:middle;mso-width-relative:page;mso-height-relative:page;" filled="f" stroked="t" coordsize="21600,21600" o:gfxdata="UEsDBAoAAAAAAIdO4kAAAAAAAAAAAAAAAAAEAAAAZHJzL1BLAwQUAAAACACHTuJApYb4idgAAAAN&#10;AQAADwAAAGRycy9kb3ducmV2LnhtbE2PwU7DMBBE70j8g7VIXBC1E0yVpHEqUQlxpkXi6sauEzVe&#10;R7Gbhr9ne4LjzI5m39TbxQ9stlPsAyrIVgKYxTaYHp2Cr8P7cwEsJo1GDwGtgh8bYdvc39W6MuGK&#10;n3beJ8eoBGOlFXQpjRXnse2s13EVRot0O4XJ60RyctxM+krlfuC5EGvudY/0odOj3XW2Pe8vXsEs&#10;NcrTeie5d0veuv776S18KPX4kIkNsGSX9BeGGz6hQ0NMx3BBE9lAOpcljUkKyqyQwG6RvCxegR3J&#10;eikE8Kbm/1c0v1BLAwQUAAAACACHTuJAiEGwXGwCAADMBAAADgAAAGRycy9lMm9Eb2MueG1srVRL&#10;btswEN0X6B0I7hvZivOpETkwYrgoEDQB0qJrmqIsAvyVpC2nlynQXQ+R4xS9Rh8pJXbTLrKoFtQM&#10;Z/SG8/hGF5c7rchW+CCtqej4aESJMNzW0qwr+unj8s05JSEyUzNljajovQj0cvb61UXnpqK0rVW1&#10;8AQgJkw7V9E2RjctisBboVk4sk4YBBvrNYtw/bqoPeuArlVRjkanRWd97bzlIgTsLvogHRD9SwBt&#10;00guFpZvtDCxR/VCsYiWQitdoLN82qYRPN40TRCRqIqi05hXFIG9Smsxu2DTtWeulXw4AnvJEZ71&#10;pJk0KPoEtWCRkY2Xf0Fpyb0NtolH3OqibyQzgi7Go2fc3LXMidwLqA7uifTw/2D5h+2tJ7Ku6HFJ&#10;iWEaN/7r24+fD98JNsBO58IUSXfu1g9egJla3TVepzeaILvM6P0To2IXCcfm8XhyXJ5QwhEal5PJ&#10;aWa82H/sfIjvhNUkGRX1uLDMI9teh4iCSH1MSbWMXUql8qUpQ7qKlucnZwmfQYkNFABTO3QTzJoS&#10;ptaQOI8+QwarZJ0+T0DBr1dXypMtgzCWeEaPJ/sjLdVesND2eTnUS0bLiClQUlf0fJSetI3DKoNX&#10;4qxnKVkrW9+DY2978QXHlxKw1yzEW+ahNmgR8xhvsDTKoik7WJS01n/9137KhwgQpaSDetHwlw3z&#10;ghL13kAeb8eTSZJ7diYnZyUcfxhZHUbMRl9Z8DDG5DuezZQf1aPZeKs/Y2znqSpCzHDU7qkdnKvY&#10;TxUGn4v5PKdB4o7Fa3PneALvL3C+ibaR+W737AykQeSZxWEg0xQd+jlr/xOa/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lhviJ2AAAAA0BAAAPAAAAAAAAAAEAIAAAACIAAABkcnMvZG93bnJldi54&#10;bWxQSwECFAAUAAAACACHTuJAiEGwXGwCAADMBAAADgAAAAAAAAABACAAAAAnAQAAZHJzL2Uyb0Rv&#10;Yy54bWxQSwUGAAAAAAYABgBZAQAABQYAAAAA&#10;">
                <v:fill on="f" focussize="0,0"/>
                <v:stroke weight="2.25pt" color="#FFFF00 [3204]" miterlimit="8" joinstyle="miter"/>
                <v:imagedata o:title=""/>
                <o:lock v:ext="edit" aspectratio="f"/>
              </v:rect>
            </w:pict>
          </mc:Fallback>
        </mc:AlternateContent>
      </w:r>
      <w:r>
        <w:rPr>
          <w:color w:val="auto"/>
        </w:rPr>
        <mc:AlternateContent>
          <mc:Choice Requires="wps">
            <w:drawing>
              <wp:anchor distT="0" distB="0" distL="114300" distR="114300" simplePos="0" relativeHeight="251665408" behindDoc="0" locked="0" layoutInCell="1" allowOverlap="1">
                <wp:simplePos x="0" y="0"/>
                <wp:positionH relativeFrom="column">
                  <wp:posOffset>7925435</wp:posOffset>
                </wp:positionH>
                <wp:positionV relativeFrom="paragraph">
                  <wp:posOffset>5567680</wp:posOffset>
                </wp:positionV>
                <wp:extent cx="314325" cy="124460"/>
                <wp:effectExtent l="13970" t="14605" r="14605" b="32385"/>
                <wp:wrapNone/>
                <wp:docPr id="48" name="矩形 48"/>
                <wp:cNvGraphicFramePr/>
                <a:graphic xmlns:a="http://schemas.openxmlformats.org/drawingml/2006/main">
                  <a:graphicData uri="http://schemas.microsoft.com/office/word/2010/wordprocessingShape">
                    <wps:wsp>
                      <wps:cNvSpPr/>
                      <wps:spPr>
                        <a:xfrm>
                          <a:off x="0" y="0"/>
                          <a:ext cx="314325" cy="124460"/>
                        </a:xfrm>
                        <a:prstGeom prst="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4.05pt;margin-top:438.4pt;height:9.8pt;width:24.75pt;z-index:251665408;v-text-anchor:middle;mso-width-relative:page;mso-height-relative:page;" filled="f" stroked="t" coordsize="21600,21600" o:gfxdata="UEsDBAoAAAAAAIdO4kAAAAAAAAAAAAAAAAAEAAAAZHJzL1BLAwQUAAAACACHTuJAAMWYK9oAAAAN&#10;AQAADwAAAGRycy9kb3ducmV2LnhtbE2PwU7DMBBE70j8g7VI3KidUKVJiFMhBOKCVFE4cHTiJYmI&#10;11HspoWvZ3uC48w+zc5U25MbxYJzGDxpSFYKBFLr7UCdhve3p5scRIiGrBk9oYZvDLCtLy8qU1p/&#10;pFdc9rETHEKhNBr6GKdSytD26ExY+QmJb59+diaynDtpZ3PkcDfKVKlMOjMQf+jNhA89tl/7g9Pw&#10;8+KH+50cm2WnlqT46G4fnXrW+voqUXcgIp7iHwzn+lwdau7U+APZIEbW6TpPmNWQbzIecUbSYpOB&#10;aNgqsjXIupL/V9S/UEsDBBQAAAAIAIdO4kD6PPuObQIAAMwEAAAOAAAAZHJzL2Uyb0RvYy54bWyt&#10;VEtu2zAQ3RfoHQjuG8mOnKRG5MCNkaJA0ARIi65pirII8FeStpxepkB3PUSPU/QafaSUT9MusqgX&#10;0gxn9Ibz5o1Pz/ZakZ3wQVpT08lBSYkw3DbSbGr68cPFqxNKQmSmYcoaUdNbEejZ4uWL097NxdR2&#10;VjXCE4CYMO9dTbsY3bwoAu+EZuHAOmEQbK3XLML1m6LxrAe6VsW0LI+K3vrGectFCDhdDUE6Ivrn&#10;ANq2lVysLN9qYeKA6oViES2FTrpAF/m2bSt4vGrbICJRNUWnMT9RBPY6PYvFKZtvPHOd5OMV2HOu&#10;8KQnzaRB0XuoFYuMbL38C0pL7m2wbTzgVhdDI5kRdDEpn3Bz0zEnci+gOrh70sP/g+Xvd9eeyKam&#10;FeZumMbEf339/vPHN4IDsNO7MEfSjbv2oxdgplb3rdfpjSbIPjN6e8+o2EfCcXg4qQ6nM0o4QpNp&#10;VR1lxouHj50P8a2wmiSjph4Dyzyy3WWIKIjUu5RUy9gLqVQemjKkr+n0ZHac8BmU2EIBMLVDN8Fs&#10;KGFqA4nz6DNksEo26fMEFPxmfa482bEkjPJNObu72R9pqfaKhW7Iy6FBMlpGbIGSuqYnZfqlY1xW&#10;GbwSZwNLyVrb5hYcezuILzh+IQF7yUK8Zh5qgxaxj/EKj1ZZNGVHi5LO+i//Ok/5EAGilPRQLxr+&#10;vGVeUKLeGcjj9aSqktyzU82Op3D848j6ccRs9bkFDxNsvuPZTPlR3Zmtt/oT1naZqiLEDEftgdrR&#10;OY/DVmHxuVgucxok7li8NDeOJ/BhgMtttK3Ms31gZyQNIs8sjguZtuixn7Me/oQ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AxZgr2gAAAA0BAAAPAAAAAAAAAAEAIAAAACIAAABkcnMvZG93bnJl&#10;di54bWxQSwECFAAUAAAACACHTuJA+jz7jm0CAADMBAAADgAAAAAAAAABACAAAAApAQAAZHJzL2Uy&#10;b0RvYy54bWxQSwUGAAAAAAYABgBZAQAACAYAAAAA&#10;">
                <v:fill on="f" focussize="0,0"/>
                <v:stroke weight="2.25pt" color="#00B050 [3204]" miterlimit="8" joinstyle="miter"/>
                <v:imagedata o:title=""/>
                <o:lock v:ext="edit" aspectratio="f"/>
              </v:rect>
            </w:pict>
          </mc:Fallback>
        </mc:AlternateContent>
      </w:r>
      <w:r>
        <w:rPr>
          <w:color w:val="auto"/>
        </w:rPr>
        <mc:AlternateContent>
          <mc:Choice Requires="wps">
            <w:drawing>
              <wp:anchor distT="0" distB="0" distL="114300" distR="114300" simplePos="0" relativeHeight="251664384" behindDoc="0" locked="0" layoutInCell="1" allowOverlap="1">
                <wp:simplePos x="0" y="0"/>
                <wp:positionH relativeFrom="column">
                  <wp:posOffset>7791450</wp:posOffset>
                </wp:positionH>
                <wp:positionV relativeFrom="paragraph">
                  <wp:posOffset>4698365</wp:posOffset>
                </wp:positionV>
                <wp:extent cx="1295400" cy="1306830"/>
                <wp:effectExtent l="6350" t="6350" r="12700" b="20320"/>
                <wp:wrapNone/>
                <wp:docPr id="45" name="矩形 45"/>
                <wp:cNvGraphicFramePr/>
                <a:graphic xmlns:a="http://schemas.openxmlformats.org/drawingml/2006/main">
                  <a:graphicData uri="http://schemas.microsoft.com/office/word/2010/wordprocessingShape">
                    <wps:wsp>
                      <wps:cNvSpPr/>
                      <wps:spPr>
                        <a:xfrm>
                          <a:off x="0" y="0"/>
                          <a:ext cx="1295400" cy="1306830"/>
                        </a:xfrm>
                        <a:prstGeom prst="rect">
                          <a:avLst/>
                        </a:prstGeom>
                      </wps:spPr>
                      <wps:style>
                        <a:lnRef idx="2">
                          <a:schemeClr val="dk1"/>
                        </a:lnRef>
                        <a:fillRef idx="1">
                          <a:schemeClr val="lt1"/>
                        </a:fillRef>
                        <a:effectRef idx="0">
                          <a:schemeClr val="dk1"/>
                        </a:effectRef>
                        <a:fontRef idx="minor">
                          <a:schemeClr val="dk1"/>
                        </a:fontRef>
                      </wps:style>
                      <wps:txbx>
                        <w:txbxContent>
                          <w:p w14:paraId="770C8FBD">
                            <w:pPr>
                              <w:jc w:val="center"/>
                              <w:rPr>
                                <w:b/>
                                <w:bCs/>
                                <w:sz w:val="18"/>
                                <w:szCs w:val="18"/>
                              </w:rPr>
                            </w:pPr>
                            <w:r>
                              <w:rPr>
                                <w:rFonts w:hint="eastAsia"/>
                                <w:b/>
                                <w:bCs/>
                                <w:sz w:val="28"/>
                                <w:szCs w:val="36"/>
                              </w:rPr>
                              <w:t>图例</w:t>
                            </w:r>
                          </w:p>
                          <w:p w14:paraId="166C6296">
                            <w:pPr>
                              <w:spacing w:line="240" w:lineRule="exact"/>
                              <w:jc w:val="right"/>
                              <w:rPr>
                                <w:color w:val="000000" w:themeColor="text1"/>
                                <w:szCs w:val="21"/>
                                <w14:textFill>
                                  <w14:solidFill>
                                    <w14:schemeClr w14:val="tx1"/>
                                  </w14:solidFill>
                                </w14:textFill>
                              </w:rPr>
                            </w:pPr>
                            <w:r>
                              <w:rPr>
                                <w:rFonts w:hint="eastAsia"/>
                                <w:b/>
                                <w:bCs/>
                                <w:sz w:val="18"/>
                                <w:szCs w:val="18"/>
                              </w:rPr>
                              <w:t xml:space="preserve"> </w:t>
                            </w:r>
                            <w:r>
                              <w:rPr>
                                <w:rFonts w:hint="eastAsia"/>
                                <w:b/>
                                <w:bCs/>
                                <w:szCs w:val="21"/>
                              </w:rPr>
                              <w:t xml:space="preserve"> </w:t>
                            </w:r>
                            <w:r>
                              <w:rPr>
                                <w:rFonts w:hint="eastAsia"/>
                                <w:b/>
                                <w:bCs/>
                                <w:color w:val="000000" w:themeColor="text1"/>
                                <w:szCs w:val="21"/>
                                <w14:textFill>
                                  <w14:solidFill>
                                    <w14:schemeClr w14:val="tx1"/>
                                  </w14:solidFill>
                                </w14:textFill>
                              </w:rPr>
                              <w:t>本项目厂界</w:t>
                            </w:r>
                          </w:p>
                          <w:p w14:paraId="32FF74F3">
                            <w:pPr>
                              <w:pStyle w:val="4"/>
                              <w:wordWrap w:val="0"/>
                              <w:spacing w:line="240" w:lineRule="exact"/>
                              <w:jc w:val="right"/>
                              <w:rPr>
                                <w:rFonts w:hint="eastAsia"/>
                                <w:color w:val="000000" w:themeColor="text1"/>
                                <w:sz w:val="21"/>
                                <w:szCs w:val="21"/>
                                <w:lang w:val="en-US" w:eastAsia="zh-CN"/>
                                <w14:textFill>
                                  <w14:solidFill>
                                    <w14:schemeClr w14:val="tx1"/>
                                  </w14:solidFill>
                                </w14:textFill>
                              </w:rPr>
                            </w:pPr>
                            <w:r>
                              <w:rPr>
                                <w:color w:val="000000" w:themeColor="text1"/>
                                <w:sz w:val="21"/>
                                <w:szCs w:val="21"/>
                                <w14:textFill>
                                  <w14:solidFill>
                                    <w14:schemeClr w14:val="tx1"/>
                                  </w14:solidFill>
                                </w14:textFill>
                              </w:rPr>
                              <w:t>大气环境</w:t>
                            </w:r>
                            <w:r>
                              <w:rPr>
                                <w:rFonts w:hint="eastAsia"/>
                                <w:color w:val="000000" w:themeColor="text1"/>
                                <w:sz w:val="21"/>
                                <w:szCs w:val="21"/>
                                <w:lang w:val="en-US" w:eastAsia="zh-CN"/>
                                <w14:textFill>
                                  <w14:solidFill>
                                    <w14:schemeClr w14:val="tx1"/>
                                  </w14:solidFill>
                                </w14:textFill>
                              </w:rPr>
                              <w:t>影</w:t>
                            </w:r>
                          </w:p>
                          <w:p w14:paraId="0F9EA26A">
                            <w:pPr>
                              <w:pStyle w:val="4"/>
                              <w:wordWrap w:val="0"/>
                              <w:spacing w:line="240" w:lineRule="exact"/>
                              <w:jc w:val="right"/>
                              <w:rPr>
                                <w:rFonts w:hint="default"/>
                                <w:sz w:val="21"/>
                                <w:szCs w:val="21"/>
                              </w:rPr>
                            </w:pPr>
                            <w:r>
                              <w:rPr>
                                <w:rFonts w:hint="eastAsia"/>
                                <w:color w:val="000000" w:themeColor="text1"/>
                                <w:sz w:val="21"/>
                                <w:szCs w:val="21"/>
                                <w:lang w:val="en-US" w:eastAsia="zh-CN"/>
                                <w14:textFill>
                                  <w14:solidFill>
                                    <w14:schemeClr w14:val="tx1"/>
                                  </w14:solidFill>
                                </w14:textFill>
                              </w:rPr>
                              <w:t>响评价</w:t>
                            </w:r>
                            <w:r>
                              <w:rPr>
                                <w:color w:val="000000" w:themeColor="text1"/>
                                <w:sz w:val="21"/>
                                <w:szCs w:val="21"/>
                                <w14:textFill>
                                  <w14:solidFill>
                                    <w14:schemeClr w14:val="tx1"/>
                                  </w14:solidFill>
                                </w14:textFill>
                              </w:rPr>
                              <w:t>范围</w:t>
                            </w:r>
                          </w:p>
                          <w:p w14:paraId="2BB81D19">
                            <w:pPr>
                              <w:spacing w:line="240" w:lineRule="exact"/>
                              <w:jc w:val="right"/>
                              <w:rPr>
                                <w:rFonts w:hint="eastAsia"/>
                                <w:b/>
                                <w:bCs/>
                                <w:color w:val="000000" w:themeColor="text1"/>
                                <w:szCs w:val="21"/>
                                <w:lang w:val="en-US" w:eastAsia="zh-CN"/>
                                <w14:textFill>
                                  <w14:solidFill>
                                    <w14:schemeClr w14:val="tx1"/>
                                  </w14:solidFill>
                                </w14:textFill>
                              </w:rPr>
                            </w:pPr>
                            <w:r>
                              <w:rPr>
                                <w:rFonts w:hint="eastAsia"/>
                                <w:b/>
                                <w:bCs/>
                                <w:szCs w:val="21"/>
                              </w:rPr>
                              <w:t xml:space="preserve">  </w:t>
                            </w:r>
                            <w:r>
                              <w:rPr>
                                <w:rFonts w:hint="eastAsia"/>
                                <w:b/>
                                <w:bCs/>
                                <w:color w:val="000000" w:themeColor="text1"/>
                                <w:szCs w:val="21"/>
                                <w14:textFill>
                                  <w14:solidFill>
                                    <w14:schemeClr w14:val="tx1"/>
                                  </w14:solidFill>
                                </w14:textFill>
                              </w:rPr>
                              <w:t>声环境</w:t>
                            </w:r>
                            <w:r>
                              <w:rPr>
                                <w:rFonts w:hint="eastAsia"/>
                                <w:b/>
                                <w:bCs/>
                                <w:color w:val="000000" w:themeColor="text1"/>
                                <w:szCs w:val="21"/>
                                <w:lang w:val="en-US" w:eastAsia="zh-CN"/>
                                <w14:textFill>
                                  <w14:solidFill>
                                    <w14:schemeClr w14:val="tx1"/>
                                  </w14:solidFill>
                                </w14:textFill>
                              </w:rPr>
                              <w:t>影</w:t>
                            </w:r>
                          </w:p>
                          <w:p w14:paraId="793214EB">
                            <w:pPr>
                              <w:spacing w:line="240" w:lineRule="exact"/>
                              <w:jc w:val="right"/>
                              <w:rPr>
                                <w:b/>
                                <w:bCs/>
                                <w:color w:val="000000" w:themeColor="text1"/>
                                <w:szCs w:val="21"/>
                                <w14:textFill>
                                  <w14:solidFill>
                                    <w14:schemeClr w14:val="tx1"/>
                                  </w14:solidFill>
                                </w14:textFill>
                              </w:rPr>
                            </w:pPr>
                            <w:r>
                              <w:rPr>
                                <w:rFonts w:hint="eastAsia"/>
                                <w:b/>
                                <w:bCs/>
                                <w:color w:val="000000" w:themeColor="text1"/>
                                <w:szCs w:val="21"/>
                                <w:lang w:val="en-US" w:eastAsia="zh-CN"/>
                                <w14:textFill>
                                  <w14:solidFill>
                                    <w14:schemeClr w14:val="tx1"/>
                                  </w14:solidFill>
                                </w14:textFill>
                              </w:rPr>
                              <w:t>响评价</w:t>
                            </w:r>
                            <w:r>
                              <w:rPr>
                                <w:rFonts w:hint="eastAsia"/>
                                <w:b/>
                                <w:bCs/>
                                <w:color w:val="000000" w:themeColor="text1"/>
                                <w:szCs w:val="21"/>
                                <w14:textFill>
                                  <w14:solidFill>
                                    <w14:schemeClr w14:val="tx1"/>
                                  </w14:solidFill>
                                </w14:textFill>
                              </w:rPr>
                              <w:t>范围</w:t>
                            </w:r>
                          </w:p>
                          <w:p w14:paraId="37174339">
                            <w:pPr>
                              <w:pStyle w:val="18"/>
                              <w:spacing w:line="240" w:lineRule="exact"/>
                              <w:jc w:val="right"/>
                            </w:pPr>
                            <w:r>
                              <w:rPr>
                                <w:rFonts w:hint="eastAsia" w:eastAsia="宋体"/>
                                <w:b/>
                                <w:bCs/>
                                <w:color w:val="000000" w:themeColor="text1"/>
                                <w:sz w:val="21"/>
                                <w:szCs w:val="21"/>
                                <w14:textFill>
                                  <w14:solidFill>
                                    <w14:schemeClr w14:val="tx1"/>
                                  </w14:solidFill>
                                </w14:textFill>
                              </w:rPr>
                              <w:t>敏感目标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13.5pt;margin-top:369.95pt;height:102.9pt;width:102pt;z-index:251664384;v-text-anchor:middle;mso-width-relative:page;mso-height-relative:page;" fillcolor="#FFFFFF [3201]" filled="t" stroked="t" coordsize="21600,21600" o:gfxdata="UEsDBAoAAAAAAIdO4kAAAAAAAAAAAAAAAAAEAAAAZHJzL1BLAwQUAAAACACHTuJAI6NvVdoAAAAN&#10;AQAADwAAAGRycy9kb3ducmV2LnhtbE2PvVLDMBCEe2Z4B80xQ0ckOwFjYzkFAx2NHQroFOuwPejH&#10;YymxzdNzqaDcvZ29b8v9Yg074xQG7yQkGwEMXev14DoJ74fXu0dgISqnlfEOJawYYF9dX5Wq0H52&#10;NZ6b2DEqcaFQEvoYx4Lz0PZoVdj4ER3dvvxkVSQ5dVxPaqZya3gqxAO3anD0oVcjPvfYfjcnK0E1&#10;y+e6rh/zzGsjhpefemzeailvbxLxBCziEv/CcMEndKiI6ehPTgdmSKdpRmOihGyb58Aukd02Ieso&#10;Id/dZ8Crkv9fUf0CUEsDBBQAAAAIAIdO4kCShB5RdwIAAAIFAAAOAAAAZHJzL2Uyb0RvYy54bWyt&#10;VEtu2zAQ3RfoHQjuG8mO8zMiB0YMFwWCJkBadE1TlEWAv5K05fQyBbrrIXqcotfoI6UkTppFFtWC&#10;muEMZ+Y9zvD8YqcV2QofpDUVHR2UlAjDbS3NuqKfPy3fnVISIjM1U9aIit6JQC9mb9+cd24qxra1&#10;qhaeIIgJ085VtI3RTYsi8FZoFg6sEwbGxnrNIlS/LmrPOkTXqhiX5XHRWV87b7kIAbuL3kiHiP41&#10;AW3TSC4Wlm+0MLGP6oViEZBCK12gs1xt0wger5smiEhURYE05hVJIK/SWszO2XTtmWslH0pgrynh&#10;GSbNpEHSh1ALFhnZePlPKC25t8E28YBbXfRAMiNAMSqfcXPbMicyFlAd3APp4f+F5R+3N57IuqKT&#10;I0oM07jxP99//v71g2AD7HQuTOF06278oAWICequ8Tr9AYLsMqN3D4yKXSQcm6Px2dGkBNkcttFh&#10;eXx6mDkvHo87H+J7YTVJQkU9riwzybZXISIlXO9dUrZglayXUqms+PXqUnmyZbjeZf5SzTjyxE0Z&#10;0qVaTnIlDE3boFlQlHYAHsyaEqbWmAYefc795HTYT1Lm76UkqcgFC21fTI6Q3NhUy4iBUVJX9HT/&#10;tDKoNNHbE5qkuFvtBpZXtr7DzXjbt2xwfCmR4YqFeMM8ehSkYorjNZZGWeCzg0RJa/23l/aTP1oH&#10;Vko69Dywf90wLyhRHwya6mw0maQhycrk6GQMxe9bVvsWs9GXFryP8F44nsXkH9W92Hirv2DY5ykr&#10;TMxw5O5ZHpTL2M8ingsu5vPshsFwLF6ZW8dT8EShsfNNtI3M/ZCI6tkZ+MNo5DsfxjjN3r6evR6f&#10;rtl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I6NvVdoAAAANAQAADwAAAAAAAAABACAAAAAiAAAA&#10;ZHJzL2Rvd25yZXYueG1sUEsBAhQAFAAAAAgAh07iQJKEHlF3AgAAAgUAAA4AAAAAAAAAAQAgAAAA&#10;KQEAAGRycy9lMm9Eb2MueG1sUEsFBgAAAAAGAAYAWQEAABIGAAAAAA==&#10;">
                <v:fill on="t" focussize="0,0"/>
                <v:stroke weight="1pt" color="#000000 [3200]" miterlimit="8" joinstyle="miter"/>
                <v:imagedata o:title=""/>
                <o:lock v:ext="edit" aspectratio="f"/>
                <v:textbox>
                  <w:txbxContent>
                    <w:p w14:paraId="770C8FBD">
                      <w:pPr>
                        <w:jc w:val="center"/>
                        <w:rPr>
                          <w:b/>
                          <w:bCs/>
                          <w:sz w:val="18"/>
                          <w:szCs w:val="18"/>
                        </w:rPr>
                      </w:pPr>
                      <w:r>
                        <w:rPr>
                          <w:rFonts w:hint="eastAsia"/>
                          <w:b/>
                          <w:bCs/>
                          <w:sz w:val="28"/>
                          <w:szCs w:val="36"/>
                        </w:rPr>
                        <w:t>图例</w:t>
                      </w:r>
                    </w:p>
                    <w:p w14:paraId="166C6296">
                      <w:pPr>
                        <w:spacing w:line="240" w:lineRule="exact"/>
                        <w:jc w:val="right"/>
                        <w:rPr>
                          <w:color w:val="000000" w:themeColor="text1"/>
                          <w:szCs w:val="21"/>
                          <w14:textFill>
                            <w14:solidFill>
                              <w14:schemeClr w14:val="tx1"/>
                            </w14:solidFill>
                          </w14:textFill>
                        </w:rPr>
                      </w:pPr>
                      <w:r>
                        <w:rPr>
                          <w:rFonts w:hint="eastAsia"/>
                          <w:b/>
                          <w:bCs/>
                          <w:sz w:val="18"/>
                          <w:szCs w:val="18"/>
                        </w:rPr>
                        <w:t xml:space="preserve"> </w:t>
                      </w:r>
                      <w:r>
                        <w:rPr>
                          <w:rFonts w:hint="eastAsia"/>
                          <w:b/>
                          <w:bCs/>
                          <w:szCs w:val="21"/>
                        </w:rPr>
                        <w:t xml:space="preserve"> </w:t>
                      </w:r>
                      <w:r>
                        <w:rPr>
                          <w:rFonts w:hint="eastAsia"/>
                          <w:b/>
                          <w:bCs/>
                          <w:color w:val="000000" w:themeColor="text1"/>
                          <w:szCs w:val="21"/>
                          <w14:textFill>
                            <w14:solidFill>
                              <w14:schemeClr w14:val="tx1"/>
                            </w14:solidFill>
                          </w14:textFill>
                        </w:rPr>
                        <w:t>本项目厂界</w:t>
                      </w:r>
                    </w:p>
                    <w:p w14:paraId="32FF74F3">
                      <w:pPr>
                        <w:pStyle w:val="4"/>
                        <w:wordWrap w:val="0"/>
                        <w:spacing w:line="240" w:lineRule="exact"/>
                        <w:jc w:val="right"/>
                        <w:rPr>
                          <w:rFonts w:hint="eastAsia"/>
                          <w:color w:val="000000" w:themeColor="text1"/>
                          <w:sz w:val="21"/>
                          <w:szCs w:val="21"/>
                          <w:lang w:val="en-US" w:eastAsia="zh-CN"/>
                          <w14:textFill>
                            <w14:solidFill>
                              <w14:schemeClr w14:val="tx1"/>
                            </w14:solidFill>
                          </w14:textFill>
                        </w:rPr>
                      </w:pPr>
                      <w:r>
                        <w:rPr>
                          <w:color w:val="000000" w:themeColor="text1"/>
                          <w:sz w:val="21"/>
                          <w:szCs w:val="21"/>
                          <w14:textFill>
                            <w14:solidFill>
                              <w14:schemeClr w14:val="tx1"/>
                            </w14:solidFill>
                          </w14:textFill>
                        </w:rPr>
                        <w:t>大气环境</w:t>
                      </w:r>
                      <w:r>
                        <w:rPr>
                          <w:rFonts w:hint="eastAsia"/>
                          <w:color w:val="000000" w:themeColor="text1"/>
                          <w:sz w:val="21"/>
                          <w:szCs w:val="21"/>
                          <w:lang w:val="en-US" w:eastAsia="zh-CN"/>
                          <w14:textFill>
                            <w14:solidFill>
                              <w14:schemeClr w14:val="tx1"/>
                            </w14:solidFill>
                          </w14:textFill>
                        </w:rPr>
                        <w:t>影</w:t>
                      </w:r>
                    </w:p>
                    <w:p w14:paraId="0F9EA26A">
                      <w:pPr>
                        <w:pStyle w:val="4"/>
                        <w:wordWrap w:val="0"/>
                        <w:spacing w:line="240" w:lineRule="exact"/>
                        <w:jc w:val="right"/>
                        <w:rPr>
                          <w:rFonts w:hint="default"/>
                          <w:sz w:val="21"/>
                          <w:szCs w:val="21"/>
                        </w:rPr>
                      </w:pPr>
                      <w:r>
                        <w:rPr>
                          <w:rFonts w:hint="eastAsia"/>
                          <w:color w:val="000000" w:themeColor="text1"/>
                          <w:sz w:val="21"/>
                          <w:szCs w:val="21"/>
                          <w:lang w:val="en-US" w:eastAsia="zh-CN"/>
                          <w14:textFill>
                            <w14:solidFill>
                              <w14:schemeClr w14:val="tx1"/>
                            </w14:solidFill>
                          </w14:textFill>
                        </w:rPr>
                        <w:t>响评价</w:t>
                      </w:r>
                      <w:r>
                        <w:rPr>
                          <w:color w:val="000000" w:themeColor="text1"/>
                          <w:sz w:val="21"/>
                          <w:szCs w:val="21"/>
                          <w14:textFill>
                            <w14:solidFill>
                              <w14:schemeClr w14:val="tx1"/>
                            </w14:solidFill>
                          </w14:textFill>
                        </w:rPr>
                        <w:t>范围</w:t>
                      </w:r>
                    </w:p>
                    <w:p w14:paraId="2BB81D19">
                      <w:pPr>
                        <w:spacing w:line="240" w:lineRule="exact"/>
                        <w:jc w:val="right"/>
                        <w:rPr>
                          <w:rFonts w:hint="eastAsia"/>
                          <w:b/>
                          <w:bCs/>
                          <w:color w:val="000000" w:themeColor="text1"/>
                          <w:szCs w:val="21"/>
                          <w:lang w:val="en-US" w:eastAsia="zh-CN"/>
                          <w14:textFill>
                            <w14:solidFill>
                              <w14:schemeClr w14:val="tx1"/>
                            </w14:solidFill>
                          </w14:textFill>
                        </w:rPr>
                      </w:pPr>
                      <w:r>
                        <w:rPr>
                          <w:rFonts w:hint="eastAsia"/>
                          <w:b/>
                          <w:bCs/>
                          <w:szCs w:val="21"/>
                        </w:rPr>
                        <w:t xml:space="preserve">  </w:t>
                      </w:r>
                      <w:r>
                        <w:rPr>
                          <w:rFonts w:hint="eastAsia"/>
                          <w:b/>
                          <w:bCs/>
                          <w:color w:val="000000" w:themeColor="text1"/>
                          <w:szCs w:val="21"/>
                          <w14:textFill>
                            <w14:solidFill>
                              <w14:schemeClr w14:val="tx1"/>
                            </w14:solidFill>
                          </w14:textFill>
                        </w:rPr>
                        <w:t>声环境</w:t>
                      </w:r>
                      <w:r>
                        <w:rPr>
                          <w:rFonts w:hint="eastAsia"/>
                          <w:b/>
                          <w:bCs/>
                          <w:color w:val="000000" w:themeColor="text1"/>
                          <w:szCs w:val="21"/>
                          <w:lang w:val="en-US" w:eastAsia="zh-CN"/>
                          <w14:textFill>
                            <w14:solidFill>
                              <w14:schemeClr w14:val="tx1"/>
                            </w14:solidFill>
                          </w14:textFill>
                        </w:rPr>
                        <w:t>影</w:t>
                      </w:r>
                    </w:p>
                    <w:p w14:paraId="793214EB">
                      <w:pPr>
                        <w:spacing w:line="240" w:lineRule="exact"/>
                        <w:jc w:val="right"/>
                        <w:rPr>
                          <w:b/>
                          <w:bCs/>
                          <w:color w:val="000000" w:themeColor="text1"/>
                          <w:szCs w:val="21"/>
                          <w14:textFill>
                            <w14:solidFill>
                              <w14:schemeClr w14:val="tx1"/>
                            </w14:solidFill>
                          </w14:textFill>
                        </w:rPr>
                      </w:pPr>
                      <w:r>
                        <w:rPr>
                          <w:rFonts w:hint="eastAsia"/>
                          <w:b/>
                          <w:bCs/>
                          <w:color w:val="000000" w:themeColor="text1"/>
                          <w:szCs w:val="21"/>
                          <w:lang w:val="en-US" w:eastAsia="zh-CN"/>
                          <w14:textFill>
                            <w14:solidFill>
                              <w14:schemeClr w14:val="tx1"/>
                            </w14:solidFill>
                          </w14:textFill>
                        </w:rPr>
                        <w:t>响评价</w:t>
                      </w:r>
                      <w:r>
                        <w:rPr>
                          <w:rFonts w:hint="eastAsia"/>
                          <w:b/>
                          <w:bCs/>
                          <w:color w:val="000000" w:themeColor="text1"/>
                          <w:szCs w:val="21"/>
                          <w14:textFill>
                            <w14:solidFill>
                              <w14:schemeClr w14:val="tx1"/>
                            </w14:solidFill>
                          </w14:textFill>
                        </w:rPr>
                        <w:t>范围</w:t>
                      </w:r>
                    </w:p>
                    <w:p w14:paraId="37174339">
                      <w:pPr>
                        <w:pStyle w:val="18"/>
                        <w:spacing w:line="240" w:lineRule="exact"/>
                        <w:jc w:val="right"/>
                      </w:pPr>
                      <w:r>
                        <w:rPr>
                          <w:rFonts w:hint="eastAsia" w:eastAsia="宋体"/>
                          <w:b/>
                          <w:bCs/>
                          <w:color w:val="000000" w:themeColor="text1"/>
                          <w:sz w:val="21"/>
                          <w:szCs w:val="21"/>
                          <w14:textFill>
                            <w14:solidFill>
                              <w14:schemeClr w14:val="tx1"/>
                            </w14:solidFill>
                          </w14:textFill>
                        </w:rPr>
                        <w:t>敏感目标</w:t>
                      </w:r>
                    </w:p>
                  </w:txbxContent>
                </v:textbox>
              </v:rect>
            </w:pict>
          </mc:Fallback>
        </mc:AlternateContent>
      </w:r>
      <w:r>
        <w:rPr>
          <w:color w:val="auto"/>
          <w:sz w:val="30"/>
        </w:rPr>
        <w:drawing>
          <wp:anchor distT="0" distB="0" distL="114300" distR="114300" simplePos="0" relativeHeight="251669504" behindDoc="0" locked="0" layoutInCell="1" allowOverlap="1">
            <wp:simplePos x="0" y="0"/>
            <wp:positionH relativeFrom="column">
              <wp:posOffset>7772400</wp:posOffset>
            </wp:positionH>
            <wp:positionV relativeFrom="paragraph">
              <wp:posOffset>58420</wp:posOffset>
            </wp:positionV>
            <wp:extent cx="712470" cy="676275"/>
            <wp:effectExtent l="0" t="0" r="11430" b="9525"/>
            <wp:wrapNone/>
            <wp:docPr id="18" name="图片 18" descr="微信截图_2023101615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截图_20231016153956"/>
                    <pic:cNvPicPr>
                      <a:picLocks noChangeAspect="1"/>
                    </pic:cNvPicPr>
                  </pic:nvPicPr>
                  <pic:blipFill>
                    <a:blip r:embed="rId24"/>
                    <a:stretch>
                      <a:fillRect/>
                    </a:stretch>
                  </pic:blipFill>
                  <pic:spPr>
                    <a:xfrm>
                      <a:off x="0" y="0"/>
                      <a:ext cx="712470" cy="676275"/>
                    </a:xfrm>
                    <a:prstGeom prst="rect">
                      <a:avLst/>
                    </a:prstGeom>
                  </pic:spPr>
                </pic:pic>
              </a:graphicData>
            </a:graphic>
          </wp:anchor>
        </w:drawing>
      </w:r>
      <w:r>
        <w:rPr>
          <w:color w:val="auto"/>
        </w:rPr>
        <w:drawing>
          <wp:inline distT="0" distB="0" distL="114300" distR="114300">
            <wp:extent cx="6104255" cy="5935345"/>
            <wp:effectExtent l="0" t="0" r="10795" b="8255"/>
            <wp:docPr id="12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8"/>
                    <pic:cNvPicPr>
                      <a:picLocks noChangeAspect="1"/>
                    </pic:cNvPicPr>
                  </pic:nvPicPr>
                  <pic:blipFill>
                    <a:blip r:embed="rId26"/>
                    <a:stretch>
                      <a:fillRect/>
                    </a:stretch>
                  </pic:blipFill>
                  <pic:spPr>
                    <a:xfrm>
                      <a:off x="0" y="0"/>
                      <a:ext cx="6104255" cy="5935345"/>
                    </a:xfrm>
                    <a:prstGeom prst="rect">
                      <a:avLst/>
                    </a:prstGeom>
                    <a:noFill/>
                    <a:ln>
                      <a:noFill/>
                    </a:ln>
                  </pic:spPr>
                </pic:pic>
              </a:graphicData>
            </a:graphic>
          </wp:inline>
        </w:drawing>
      </w:r>
    </w:p>
    <w:p w14:paraId="26CF8CBD">
      <w:pPr>
        <w:jc w:val="right"/>
        <w:rPr>
          <w:color w:val="auto"/>
          <w:sz w:val="28"/>
        </w:rPr>
        <w:sectPr>
          <w:pgSz w:w="16840" w:h="11907" w:orient="landscape"/>
          <w:pgMar w:top="720" w:right="720" w:bottom="720" w:left="1247" w:header="680" w:footer="850" w:gutter="0"/>
          <w:pgBorders>
            <w:top w:val="none" w:sz="0" w:space="0"/>
            <w:left w:val="none" w:sz="0" w:space="0"/>
            <w:bottom w:val="none" w:sz="0" w:space="0"/>
            <w:right w:val="none" w:sz="0" w:space="0"/>
          </w:pgBorders>
          <w:cols w:space="720" w:num="1"/>
          <w:docGrid w:type="lines" w:linePitch="435" w:charSpace="0"/>
        </w:sectPr>
      </w:pPr>
      <w:r>
        <w:rPr>
          <w:color w:val="auto"/>
        </w:rPr>
        <mc:AlternateContent>
          <mc:Choice Requires="wps">
            <w:drawing>
              <wp:anchor distT="0" distB="0" distL="114300" distR="114300" simplePos="0" relativeHeight="251667456" behindDoc="0" locked="0" layoutInCell="1" allowOverlap="1">
                <wp:simplePos x="0" y="0"/>
                <wp:positionH relativeFrom="column">
                  <wp:posOffset>7924800</wp:posOffset>
                </wp:positionH>
                <wp:positionV relativeFrom="paragraph">
                  <wp:posOffset>-1028065</wp:posOffset>
                </wp:positionV>
                <wp:extent cx="314325" cy="124460"/>
                <wp:effectExtent l="13970" t="14605" r="14605" b="32385"/>
                <wp:wrapNone/>
                <wp:docPr id="31" name="矩形 31"/>
                <wp:cNvGraphicFramePr/>
                <a:graphic xmlns:a="http://schemas.openxmlformats.org/drawingml/2006/main">
                  <a:graphicData uri="http://schemas.microsoft.com/office/word/2010/wordprocessingShape">
                    <wps:wsp>
                      <wps:cNvSpPr/>
                      <wps:spPr>
                        <a:xfrm>
                          <a:off x="0" y="0"/>
                          <a:ext cx="314325" cy="12446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4pt;margin-top:-80.95pt;height:9.8pt;width:24.75pt;z-index:251667456;v-text-anchor:middle;mso-width-relative:page;mso-height-relative:page;" filled="f" stroked="t" coordsize="21600,21600" o:gfxdata="UEsDBAoAAAAAAIdO4kAAAAAAAAAAAAAAAAAEAAAAZHJzL1BLAwQUAAAACACHTuJAY33w6twAAAAP&#10;AQAADwAAAGRycy9kb3ducmV2LnhtbE2PQU+DQBCF7yb+h82YeDHtAlZskaUHG+OtiWjqdWCnQGRn&#10;Cbtt0V/vctLje/Py5nv5djK9ONPoOssK4mUEgri2uuNGwcf7y2INwnlkjb1lUvBNDrbF9VWOmbYX&#10;fqNz6RsRSthlqKD1fsikdHVLBt3SDsThdrSjQR/k2Eg94iWUm14mUZRKgx2HDy0O9NxS/VWejILq&#10;MPQ/x535nA5lyrh/3SPv7pS6vYmjJxCeJv8Xhhk/oEMRmCp7Yu1EH3SyWocxXsEiTuMNiDmTbB4f&#10;QFSzt0ruQRa5/L+j+AVQSwMEFAAAAAgAh07iQO9+lYtrAgAAzAQAAA4AAABkcnMvZTJvRG9jLnht&#10;bK1Uy24TMRTdI/EPlvd0kjR9EHVSRY2CkCpaqSDWjsfOWPIL28mk/AwSOz6in4P4DY490weFRRdk&#10;4dzre32u7/G5c3a+N5rsRIjK2ZqOD0aUCMtdo+ympp8+rt6cUhITsw3Tzoqa3opIz+evX511fiYm&#10;rnW6EYEAxMZZ52vapuRnVRV5KwyLB84Li6B0wbAEN2yqJrAO6EZXk9HouOpcaHxwXMSI3WUfpANi&#10;eAmgk1JxsXR8a4RNPWoQmiW0FFvlI52X20opeLqSMopEdE3RaSorisBe57Wan7HZJjDfKj5cgb3k&#10;Cs96MkxZFH2AWrLEyDaov6CM4sFFJ9MBd6bqGymMoIvx6Bk3Ny3zovQCqqN/ID3+P1j+YXcdiGpq&#10;ejimxDKDF//17cfPu+8EG2Cn83GGpBt/HQYvwsyt7mUw+R9NkH1h9PaBUbFPhGPzcDw9nBxRwhEa&#10;T6bT48J49XjYh5jeCWdINmoa8GCFR7a7jAkFkXqfkmtZt1Jal0fTlnQ1nZwenWR8BiVKKACm8egm&#10;2g0lTG8gcZ5CgYxOqyYfz0AxbNYXOpAdgzBWqxF+uVuU+yMt116y2PZ5JdRLxqiEKdDK1PQ0H74/&#10;rS1AMmc9S9lau+YWHAfXiy96vlKAvWQxXbMAtUGLmMd0hUVqh6bcYFHSuvD1X/s5HyJAlJIO6kXD&#10;X7YsCEr0ewt5vB1Pp1nuxZkenUzghKeR9dOI3ZoLBx6gANyumDk/6XtTBmc+Y2wXuSpCzHLU7qkd&#10;nIvUTxUGn4vFoqRB4p6lS3vjeQbvH3CxTU6q8raP7AykQeTlDYaBzFP01C9Zjx+h+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jffDq3AAAAA8BAAAPAAAAAAAAAAEAIAAAACIAAABkcnMvZG93bnJl&#10;di54bWxQSwECFAAUAAAACACHTuJA736Vi2sCAADMBAAADgAAAAAAAAABACAAAAArAQAAZHJzL2Uy&#10;b0RvYy54bWxQSwUGAAAAAAYABgBZAQAACAYAAAAA&#10;">
                <v:fill on="f" focussize="0,0"/>
                <v:stroke weight="2.25pt" color="#FF0000 [3204]" miterlimit="8" joinstyle="miter"/>
                <v:imagedata o:title=""/>
                <o:lock v:ext="edit" aspectratio="f"/>
              </v:rect>
            </w:pict>
          </mc:Fallback>
        </mc:AlternateContent>
      </w:r>
    </w:p>
    <w:p w14:paraId="277F33B5">
      <w:pPr>
        <w:pStyle w:val="19"/>
        <w:outlineLvl w:val="0"/>
        <w:rPr>
          <w:color w:val="auto"/>
        </w:rPr>
      </w:pPr>
      <w:r>
        <w:rPr>
          <w:rFonts w:hint="eastAsia" w:ascii="Times New Roman"/>
          <w:b/>
          <w:bCs/>
          <w:color w:val="auto"/>
          <w:sz w:val="28"/>
        </w:rPr>
        <w:t>附图</w:t>
      </w:r>
      <w:r>
        <w:rPr>
          <w:rFonts w:ascii="Times New Roman"/>
          <w:b/>
          <w:bCs/>
          <w:color w:val="auto"/>
          <w:sz w:val="28"/>
        </w:rPr>
        <w:t>3</w:t>
      </w:r>
      <w:r>
        <w:rPr>
          <w:rFonts w:hint="eastAsia"/>
          <w:b/>
          <w:bCs/>
          <w:color w:val="auto"/>
          <w:sz w:val="28"/>
        </w:rPr>
        <w:t>：</w:t>
      </w:r>
      <w:r>
        <w:rPr>
          <w:rFonts w:hint="eastAsia" w:ascii="Times New Roman"/>
          <w:b/>
          <w:bCs/>
          <w:color w:val="auto"/>
          <w:sz w:val="28"/>
        </w:rPr>
        <w:t>项目平面布置图</w:t>
      </w:r>
    </w:p>
    <w:p w14:paraId="7AB705CC">
      <w:pPr>
        <w:pStyle w:val="19"/>
        <w:rPr>
          <w:rFonts w:hint="eastAsia" w:eastAsia="华文中宋"/>
          <w:color w:val="auto"/>
          <w:lang w:eastAsia="zh-CN"/>
        </w:rPr>
      </w:pPr>
    </w:p>
    <w:p w14:paraId="18BF3A21">
      <w:pPr>
        <w:pStyle w:val="20"/>
        <w:ind w:left="0" w:leftChars="0" w:firstLine="0" w:firstLineChars="0"/>
        <w:jc w:val="center"/>
        <w:rPr>
          <w:rFonts w:hint="eastAsia"/>
          <w:color w:val="auto"/>
          <w:lang w:eastAsia="zh-CN"/>
        </w:rPr>
        <w:sectPr>
          <w:pgSz w:w="16840" w:h="11907" w:orient="landscape"/>
          <w:pgMar w:top="1134" w:right="1418" w:bottom="1134" w:left="1418" w:header="851" w:footer="992" w:gutter="0"/>
          <w:pgBorders>
            <w:top w:val="none" w:sz="0" w:space="0"/>
            <w:left w:val="none" w:sz="0" w:space="0"/>
            <w:bottom w:val="none" w:sz="0" w:space="0"/>
            <w:right w:val="none" w:sz="0" w:space="0"/>
          </w:pgBorders>
          <w:cols w:space="720" w:num="1"/>
          <w:docGrid w:linePitch="326" w:charSpace="0"/>
        </w:sectPr>
      </w:pPr>
      <w:r>
        <w:rPr>
          <w:rFonts w:hint="eastAsia"/>
          <w:color w:val="auto"/>
          <w:lang w:eastAsia="zh-CN"/>
        </w:rPr>
        <w:drawing>
          <wp:inline distT="0" distB="0" distL="114300" distR="114300">
            <wp:extent cx="6480810" cy="5474970"/>
            <wp:effectExtent l="0" t="0" r="15240" b="11430"/>
            <wp:docPr id="38" name="图片 38" descr="平面图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平面图2026"/>
                    <pic:cNvPicPr>
                      <a:picLocks noChangeAspect="1"/>
                    </pic:cNvPicPr>
                  </pic:nvPicPr>
                  <pic:blipFill>
                    <a:blip r:embed="rId27"/>
                    <a:stretch>
                      <a:fillRect/>
                    </a:stretch>
                  </pic:blipFill>
                  <pic:spPr>
                    <a:xfrm>
                      <a:off x="0" y="0"/>
                      <a:ext cx="6480810" cy="5474970"/>
                    </a:xfrm>
                    <a:prstGeom prst="rect">
                      <a:avLst/>
                    </a:prstGeom>
                  </pic:spPr>
                </pic:pic>
              </a:graphicData>
            </a:graphic>
          </wp:inline>
        </w:drawing>
      </w:r>
    </w:p>
    <w:p w14:paraId="57544B0E">
      <w:pPr>
        <w:jc w:val="left"/>
        <w:outlineLvl w:val="0"/>
        <w:rPr>
          <w:rFonts w:hint="eastAsia"/>
          <w:b/>
          <w:bCs/>
          <w:color w:val="auto"/>
          <w:sz w:val="28"/>
          <w:lang w:val="en-US" w:eastAsia="zh-CN"/>
        </w:rPr>
      </w:pPr>
      <w:r>
        <w:rPr>
          <w:rFonts w:hint="eastAsia"/>
          <w:b/>
          <w:bCs/>
          <w:color w:val="auto"/>
          <w:sz w:val="28"/>
        </w:rPr>
        <w:t>附图4：</w:t>
      </w:r>
      <w:r>
        <w:rPr>
          <w:rFonts w:hint="eastAsia"/>
          <w:b/>
          <w:bCs/>
          <w:color w:val="auto"/>
          <w:sz w:val="28"/>
          <w:lang w:val="en-US" w:eastAsia="zh-CN"/>
        </w:rPr>
        <w:t>项目四至图</w:t>
      </w:r>
    </w:p>
    <w:p w14:paraId="2B23B25C">
      <w:pPr>
        <w:jc w:val="center"/>
        <w:outlineLvl w:val="9"/>
        <w:rPr>
          <w:rFonts w:hint="default"/>
          <w:color w:val="auto"/>
          <w:lang w:val="en-US" w:eastAsia="zh-CN"/>
        </w:rPr>
      </w:pPr>
      <w:r>
        <w:rPr>
          <w:color w:val="auto"/>
          <w:sz w:val="21"/>
        </w:rPr>
        <mc:AlternateContent>
          <mc:Choice Requires="wps">
            <w:drawing>
              <wp:anchor distT="0" distB="0" distL="114300" distR="114300" simplePos="0" relativeHeight="251672576" behindDoc="0" locked="0" layoutInCell="1" allowOverlap="1">
                <wp:simplePos x="0" y="0"/>
                <wp:positionH relativeFrom="column">
                  <wp:posOffset>3350895</wp:posOffset>
                </wp:positionH>
                <wp:positionV relativeFrom="paragraph">
                  <wp:posOffset>1800860</wp:posOffset>
                </wp:positionV>
                <wp:extent cx="742315" cy="295275"/>
                <wp:effectExtent l="4445" t="4445" r="15240" b="5080"/>
                <wp:wrapNone/>
                <wp:docPr id="12" name="文本框 12"/>
                <wp:cNvGraphicFramePr/>
                <a:graphic xmlns:a="http://schemas.openxmlformats.org/drawingml/2006/main">
                  <a:graphicData uri="http://schemas.microsoft.com/office/word/2010/wordprocessingShape">
                    <wps:wsp>
                      <wps:cNvSpPr txBox="1"/>
                      <wps:spPr>
                        <a:xfrm>
                          <a:off x="0" y="0"/>
                          <a:ext cx="742315" cy="295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62E5616">
                            <w:pPr>
                              <w:rPr>
                                <w:rFonts w:hint="eastAsia"/>
                                <w:lang w:val="en-US" w:eastAsia="zh-CN"/>
                              </w:rPr>
                            </w:pPr>
                            <w:r>
                              <w:rPr>
                                <w:rFonts w:hint="eastAsia"/>
                                <w:lang w:val="en-US" w:eastAsia="zh-CN"/>
                              </w:rPr>
                              <w:t>闲置厂房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3.85pt;margin-top:141.8pt;height:23.25pt;width:58.45pt;z-index:251672576;mso-width-relative:page;mso-height-relative:page;" fillcolor="#FFFFFF [3201]" filled="t" stroked="t" coordsize="21600,21600" o:gfxdata="UEsDBAoAAAAAAIdO4kAAAAAAAAAAAAAAAAAEAAAAZHJzL1BLAwQUAAAACACHTuJAVDMvwNgAAAAL&#10;AQAADwAAAGRycy9kb3ducmV2LnhtbE2Py07DMBBF90j8gzVI7KiduKRViFMJJCTEjjYbdm48TSL8&#10;iGy3KX/PsILdjObozrnN7uosu2BMU/AKipUAhr4PZvKDgu7w+rAFlrL2RtvgUcE3Jti1tzeNrk1Y&#10;/Ade9nlgFOJTrRWMOc8156kf0em0CjN6up1CdDrTGgduol4o3FleClFxpydPH0Y948uI/df+7BS8&#10;Vc/5EzvzbmQpw9LxPp5sUur+rhBPwDJe8x8Mv/qkDi05HcPZm8SsgsdysyFUQbmVFTAiqvWahqMC&#10;KUUBvG34/w7tD1BLAwQUAAAACACHTuJAoDzFN1gCAAC4BAAADgAAAGRycy9lMm9Eb2MueG1srVTN&#10;bhMxEL4j8Q6W73STbdLSqJsqJApCqmilgjg7Xm/WwvYY28lueQD6Bpy4cOe5+hyMvZs0bTn0QA7O&#10;/OWbmW9mcn7RakW2wnkJpqDDowElwnAopVkX9POn5Zu3lPjATMkUGFHQW+HpxfT1q/PGTkQONahS&#10;OIIgxk8aW9A6BDvJMs9roZk/AisMOitwmgVU3TorHWsQXassHwxOsgZcaR1w4T1aF52T9ojuJYBQ&#10;VZKLBfCNFiZ0qE4oFrAlX0vr6TRVW1WCh6uq8iIQVVDsNKQXk6C8im82PWeTtWO2lrwvgb2khCc9&#10;aSYNJt1DLVhgZOPkMygtuQMPVTjioLOukcQIdjEcPOHmpmZWpF6Qam/3pPv/B8s/bq8dkSVuQk6J&#10;YRonfv/z7v7Xn/vfPwjakKDG+gnG3ViMDO07aDF4Z/dojH23ldPxGzsi6Ed6b/f0ijYQjsbTUX48&#10;HFPC0ZWfjfPTcUTJHn5snQ/vBWgShYI6nF4ilW0vfehCdyExlwcly6VUKiluvZorR7YMJ71Mnx79&#10;UZgypCnoyfF4kJAf+SL2HmKlGP/6HAGrVQaLjpx0vUcptKu2J2oF5S3y5KBbNW/5UiLuJfPhmjnc&#10;LaQGry9c4VMpwGKglyipwX3/lz3G48jRS0mDu1pQ/23DnKBEfTC4DGfD0Sgud1JG49McFXfoWR16&#10;zEbPAUka4p1bnsQYH9ROrBzoL3iks5gVXcxwzF3QsBPnobsgPHIuZrMUhOtsWbg0N5ZH6DgSA7NN&#10;gEqm0UWaOm569nCh0/D744sXc6inqIc/nO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DMvwNgA&#10;AAALAQAADwAAAAAAAAABACAAAAAiAAAAZHJzL2Rvd25yZXYueG1sUEsBAhQAFAAAAAgAh07iQKA8&#10;xTdYAgAAuAQAAA4AAAAAAAAAAQAgAAAAJwEAAGRycy9lMm9Eb2MueG1sUEsFBgAAAAAGAAYAWQEA&#10;APEFAAAAAA==&#10;">
                <v:fill on="t" focussize="0,0"/>
                <v:stroke weight="0.5pt" color="#000000 [3204]" joinstyle="round"/>
                <v:imagedata o:title=""/>
                <o:lock v:ext="edit" aspectratio="f"/>
                <v:textbox>
                  <w:txbxContent>
                    <w:p w14:paraId="062E5616">
                      <w:pPr>
                        <w:rPr>
                          <w:rFonts w:hint="eastAsia"/>
                          <w:lang w:val="en-US" w:eastAsia="zh-CN"/>
                        </w:rPr>
                      </w:pPr>
                      <w:r>
                        <w:rPr>
                          <w:rFonts w:hint="eastAsia"/>
                          <w:lang w:val="en-US" w:eastAsia="zh-CN"/>
                        </w:rPr>
                        <w:t>闲置厂房</w:t>
                      </w:r>
                    </w:p>
                  </w:txbxContent>
                </v:textbox>
              </v:shape>
            </w:pict>
          </mc:Fallback>
        </mc:AlternateContent>
      </w:r>
      <w:r>
        <w:rPr>
          <w:color w:val="auto"/>
          <w:sz w:val="21"/>
        </w:rPr>
        <mc:AlternateContent>
          <mc:Choice Requires="wps">
            <w:drawing>
              <wp:anchor distT="0" distB="0" distL="114300" distR="114300" simplePos="0" relativeHeight="251673600" behindDoc="0" locked="0" layoutInCell="1" allowOverlap="1">
                <wp:simplePos x="0" y="0"/>
                <wp:positionH relativeFrom="column">
                  <wp:posOffset>4377055</wp:posOffset>
                </wp:positionH>
                <wp:positionV relativeFrom="paragraph">
                  <wp:posOffset>3891280</wp:posOffset>
                </wp:positionV>
                <wp:extent cx="857250" cy="295275"/>
                <wp:effectExtent l="4445" t="4445" r="14605" b="5080"/>
                <wp:wrapNone/>
                <wp:docPr id="14" name="文本框 14"/>
                <wp:cNvGraphicFramePr/>
                <a:graphic xmlns:a="http://schemas.openxmlformats.org/drawingml/2006/main">
                  <a:graphicData uri="http://schemas.microsoft.com/office/word/2010/wordprocessingShape">
                    <wps:wsp>
                      <wps:cNvSpPr txBox="1"/>
                      <wps:spPr>
                        <a:xfrm>
                          <a:off x="0" y="0"/>
                          <a:ext cx="857250" cy="295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6C919FF">
                            <w:pPr>
                              <w:rPr>
                                <w:rFonts w:hint="default" w:eastAsia="宋体"/>
                                <w:lang w:val="en-US" w:eastAsia="zh-CN"/>
                              </w:rPr>
                            </w:pPr>
                            <w:r>
                              <w:rPr>
                                <w:rFonts w:hint="eastAsia"/>
                                <w:lang w:val="en-US" w:eastAsia="zh-CN"/>
                              </w:rPr>
                              <w:t>构件加工厂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4.65pt;margin-top:306.4pt;height:23.25pt;width:67.5pt;z-index:251673600;mso-width-relative:page;mso-height-relative:page;" fillcolor="#FFFFFF [3201]" filled="t" stroked="t" coordsize="21600,21600" o:gfxdata="UEsDBAoAAAAAAIdO4kAAAAAAAAAAAAAAAAAEAAAAZHJzL1BLAwQUAAAACACHTuJAFKD9PtQAAAAL&#10;AQAADwAAAGRycy9kb3ducmV2LnhtbE1Py07DMBC8I/EP1iJxo84DohDiVAIJCXGjzYWbG2+TCHsd&#10;2W5T/p7lBLedh2Zn2u3FWXHGEGdPCvJNBgJp8GamUUG/f72rQcSkyWjrCRV8Y4Rtd33V6sb4lT7w&#10;vEuj4BCKjVYwpbQ0UsZhQqfjxi9IrB19cDoxDKM0Qa8c7qwssqySTs/EHya94MuEw9fu5BS8Vc/p&#10;E3vzbsqi9Gsvh3C0Uanbmzx7ApHwkv7M8Fufq0PHnQ7+RCYKq6CqH0u28pEXvIEddXHPzIGZB5Zk&#10;18r/G7ofUEsDBBQAAAAIAIdO4kAK1pq/VAIAALgEAAAOAAAAZHJzL2Uyb0RvYy54bWytVM1uEzEQ&#10;viPxDpbvdJOQ9CfqpgqpgpAqWqkgzo7Xm7XwH7aT3fIA8AacuHDnufocfN7dpKHl0AM5OPOXb2a+&#10;mcn5RaMV2QofpDU5HR4NKBGG20KadU4/fli+OqUkRGYKpqwROb0TgV7MXr44r91UjGxlVSE8AYgJ&#10;09rltIrRTbMs8EpoFo6sEwbO0nrNIlS/zgrPaqBrlY0Gg+Ostr5w3nIRAqyXnZP2iP45gLYsJReX&#10;lm+0MLFD9UKxiJZCJV2gs7bashQ8XpdlEJGonKLT2L5IAnmV3mx2zqZrz1wleV8Ce04Jj3rSTBok&#10;3UNdssjIxssnUFpyb4Mt4xG3OusaaRlBF8PBI25uK+ZE2wuoDm5Pevh/sPz99sYTWWATxpQYpjHx&#10;+x/f73/+vv/1jcAGgmoXpoi7dYiMzRvbIHhnDzCmvpvS6/SNjgj8oPduT69oIuEwnk5ORhN4OFyj&#10;s8noZJJQsocfOx/iW2E1SUJOPabXksq2VyF2obuQlCtYJYulVKpV/Hq1UJ5sGSa9bD89+l9hypA6&#10;p8evUccTiIS9h1gpxj8/RUC1yqDoxEnXe5Jis2p6ola2uANP3narFhxfSuBesRBvmMdugQBcX7zG&#10;UyqLYmwvUVJZ//Vf9hSPkcNLSY1dzWn4smFeUKLeGSzD2XA8BmxslTFYhuIPPatDj9nohQVJQ9y5&#10;462Y4qPaiaW3+hOOdJ6ywsUMR+6cxp24iN0F4ci5mM/bIKyzY/HK3DqeoBO5xs430ZayHV2iqeOm&#10;Zw8L3Q6/P750MYd6G/XwhzP7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BSg/T7UAAAACwEAAA8A&#10;AAAAAAAAAQAgAAAAIgAAAGRycy9kb3ducmV2LnhtbFBLAQIUABQAAAAIAIdO4kAK1pq/VAIAALgE&#10;AAAOAAAAAAAAAAEAIAAAACMBAABkcnMvZTJvRG9jLnhtbFBLBQYAAAAABgAGAFkBAADpBQAAAAA=&#10;">
                <v:fill on="t" focussize="0,0"/>
                <v:stroke weight="0.5pt" color="#000000 [3204]" joinstyle="round"/>
                <v:imagedata o:title=""/>
                <o:lock v:ext="edit" aspectratio="f"/>
                <v:textbox>
                  <w:txbxContent>
                    <w:p w14:paraId="46C919FF">
                      <w:pPr>
                        <w:rPr>
                          <w:rFonts w:hint="default" w:eastAsia="宋体"/>
                          <w:lang w:val="en-US" w:eastAsia="zh-CN"/>
                        </w:rPr>
                      </w:pPr>
                      <w:r>
                        <w:rPr>
                          <w:rFonts w:hint="eastAsia"/>
                          <w:lang w:val="en-US" w:eastAsia="zh-CN"/>
                        </w:rPr>
                        <w:t>构件加工厂</w:t>
                      </w:r>
                    </w:p>
                  </w:txbxContent>
                </v:textbox>
              </v:shape>
            </w:pict>
          </mc:Fallback>
        </mc:AlternateContent>
      </w:r>
      <w:r>
        <w:rPr>
          <w:color w:val="auto"/>
          <w:sz w:val="21"/>
        </w:rPr>
        <mc:AlternateContent>
          <mc:Choice Requires="wps">
            <w:drawing>
              <wp:anchor distT="0" distB="0" distL="114300" distR="114300" simplePos="0" relativeHeight="251683840" behindDoc="0" locked="0" layoutInCell="1" allowOverlap="1">
                <wp:simplePos x="0" y="0"/>
                <wp:positionH relativeFrom="column">
                  <wp:posOffset>4866640</wp:posOffset>
                </wp:positionH>
                <wp:positionV relativeFrom="paragraph">
                  <wp:posOffset>2617470</wp:posOffset>
                </wp:positionV>
                <wp:extent cx="476250" cy="295275"/>
                <wp:effectExtent l="4445" t="4445" r="14605" b="5080"/>
                <wp:wrapNone/>
                <wp:docPr id="133" name="文本框 133"/>
                <wp:cNvGraphicFramePr/>
                <a:graphic xmlns:a="http://schemas.openxmlformats.org/drawingml/2006/main">
                  <a:graphicData uri="http://schemas.microsoft.com/office/word/2010/wordprocessingShape">
                    <wps:wsp>
                      <wps:cNvSpPr txBox="1"/>
                      <wps:spPr>
                        <a:xfrm>
                          <a:off x="0" y="0"/>
                          <a:ext cx="476250" cy="295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813E4DE">
                            <w:pPr>
                              <w:rPr>
                                <w:rFonts w:hint="default"/>
                                <w:lang w:val="en-US" w:eastAsia="zh-CN"/>
                              </w:rPr>
                            </w:pPr>
                            <w:r>
                              <w:rPr>
                                <w:rFonts w:hint="eastAsia"/>
                                <w:lang w:val="en-US" w:eastAsia="zh-CN"/>
                              </w:rPr>
                              <w:t>荒地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2pt;margin-top:206.1pt;height:23.25pt;width:37.5pt;z-index:251683840;mso-width-relative:page;mso-height-relative:page;" fillcolor="#FFFFFF [3201]" filled="t" stroked="t" coordsize="21600,21600" o:gfxdata="UEsDBAoAAAAAAIdO4kAAAAAAAAAAAAAAAAAEAAAAZHJzL1BLAwQUAAAACACHTuJAenp0DtgAAAAL&#10;AQAADwAAAGRycy9kb3ducmV2LnhtbE2PwU7DMAyG70i8Q+RJ3FjarnRVaToJJCTEja0XblnjtdUS&#10;p2qydbw95gRH//70+3O9uzkrrjiH0ZOCdJ2AQOq8GalX0B7eHksQIWoy2npCBd8YYNfc39W6Mn6h&#10;T7zuYy+4hEKlFQwxTpWUoRvQ6bD2ExLvTn52OvI499LMeuFyZ2WWJIV0eiS+MOgJXwfszvuLU/Be&#10;vMQvbM2H2WQbv7Sym082KPWwSpNnEBFv8Q+GX31Wh4adjv5CJgirYFsUOaMK8jTLQDBR5iknR06e&#10;yi3Ippb/f2h+AFBLAwQUAAAACACHTuJAEqqMqVYCAAC6BAAADgAAAGRycy9lMm9Eb2MueG1srVTN&#10;bhMxEL4j8Q6W72TzXxp1U4VWQUgVrRQQZ8frzVrYHmM72S0PAG/AiQt3nivPwdi7SUvDoQdycOYv&#10;38x8M5OLy0YrshPOSzA5HfT6lAjDoZBmk9OPH5avXlPiAzMFU2BETu+Fp5fzly8uajsTQ6hAFcIR&#10;BDF+VtucViHYWZZ5XgnNfA+sMOgswWkWUHWbrHCsRnStsmG/P81qcIV1wIX3aL1unbRDdM8BhLKU&#10;XFwD32phQovqhGIBW/KVtJ7OU7VlKXi4LUsvAlE5xU5DejEJyuv4ZvMLNts4ZivJuxLYc0p40pNm&#10;0mDSI9Q1C4xsnTyB0pI78FCGHgedtY0kRrCLQf8JN6uKWZF6Qaq9PZLu/x8sf7+7c0QWuAmjESWG&#10;aRz5/sf3/c/f+1/fSDQiRbX1M4xcWYwNzRtoMPxg92iMnTel0/EbeyLoR4LvjwSLJhCOxvHZdDhB&#10;D0fX8HwyPJtElOzhx9b58FaAJlHIqcP5JVrZ7saHNvQQEnN5ULJYSqWS4jbrK+XIjuGsl+nTof8V&#10;pgypczodYR0nEBH7CLFWjH8+RcBqlcGiIydt71EKzbrpiFpDcY88OWiXzVu+lIh7w3y4Yw63CwnA&#10;+wu3+JQKsBjoJEoqcF//ZY/xOHT0UlLjtubUf9kyJyhR7wyuw/lgPEbYkJTx5GyIinvsWT/2mK2+&#10;AiRpgJdueRJjfFAHsXSgP+GZLmJWdDHDMXdOw0G8Cu0N4ZlzsVikIFxoy8KNWVkeoSO5BhbbAKVM&#10;o4s0tdx07OFKp+F35xdv5rGeoh7+cu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Hp6dA7YAAAA&#10;CwEAAA8AAAAAAAAAAQAgAAAAIgAAAGRycy9kb3ducmV2LnhtbFBLAQIUABQAAAAIAIdO4kASqoyp&#10;VgIAALoEAAAOAAAAAAAAAAEAIAAAACcBAABkcnMvZTJvRG9jLnhtbFBLBQYAAAAABgAGAFkBAADv&#10;BQAAAAA=&#10;">
                <v:fill on="t" focussize="0,0"/>
                <v:stroke weight="0.5pt" color="#000000 [3204]" joinstyle="round"/>
                <v:imagedata o:title=""/>
                <o:lock v:ext="edit" aspectratio="f"/>
                <v:textbox>
                  <w:txbxContent>
                    <w:p w14:paraId="7813E4DE">
                      <w:pPr>
                        <w:rPr>
                          <w:rFonts w:hint="default"/>
                          <w:lang w:val="en-US" w:eastAsia="zh-CN"/>
                        </w:rPr>
                      </w:pPr>
                      <w:r>
                        <w:rPr>
                          <w:rFonts w:hint="eastAsia"/>
                          <w:lang w:val="en-US" w:eastAsia="zh-CN"/>
                        </w:rPr>
                        <w:t>荒地</w:t>
                      </w:r>
                    </w:p>
                  </w:txbxContent>
                </v:textbox>
              </v:shape>
            </w:pict>
          </mc:Fallback>
        </mc:AlternateContent>
      </w:r>
      <w:r>
        <w:rPr>
          <w:color w:val="auto"/>
          <w:sz w:val="21"/>
        </w:rPr>
        <mc:AlternateContent>
          <mc:Choice Requires="wps">
            <w:drawing>
              <wp:anchor distT="0" distB="0" distL="114300" distR="114300" simplePos="0" relativeHeight="251671552" behindDoc="0" locked="0" layoutInCell="1" allowOverlap="1">
                <wp:simplePos x="0" y="0"/>
                <wp:positionH relativeFrom="column">
                  <wp:posOffset>3323590</wp:posOffset>
                </wp:positionH>
                <wp:positionV relativeFrom="paragraph">
                  <wp:posOffset>3103245</wp:posOffset>
                </wp:positionV>
                <wp:extent cx="476250" cy="295275"/>
                <wp:effectExtent l="4445" t="4445" r="14605" b="5080"/>
                <wp:wrapNone/>
                <wp:docPr id="11" name="文本框 11"/>
                <wp:cNvGraphicFramePr/>
                <a:graphic xmlns:a="http://schemas.openxmlformats.org/drawingml/2006/main">
                  <a:graphicData uri="http://schemas.microsoft.com/office/word/2010/wordprocessingShape">
                    <wps:wsp>
                      <wps:cNvSpPr txBox="1"/>
                      <wps:spPr>
                        <a:xfrm>
                          <a:off x="4810125" y="3893820"/>
                          <a:ext cx="476250" cy="295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D0A65C7">
                            <w:pPr>
                              <w:rPr>
                                <w:rFonts w:hint="default"/>
                                <w:lang w:val="en-US" w:eastAsia="zh-CN"/>
                              </w:rPr>
                            </w:pPr>
                            <w:r>
                              <w:rPr>
                                <w:rFonts w:hint="eastAsia"/>
                                <w:lang w:val="en-US" w:eastAsia="zh-CN"/>
                              </w:rPr>
                              <w:t>荒地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1.7pt;margin-top:244.35pt;height:23.25pt;width:37.5pt;z-index:251671552;mso-width-relative:page;mso-height-relative:page;" fillcolor="#FFFFFF [3201]" filled="t" stroked="t" coordsize="21600,21600" o:gfxdata="UEsDBAoAAAAAAIdO4kAAAAAAAAAAAAAAAAAEAAAAZHJzL1BLAwQUAAAACACHTuJA7yGp99gAAAAL&#10;AQAADwAAAGRycy9kb3ducmV2LnhtbE2PTU/DMAyG70j8h8hI3Fi6dh2lNJ0EEhLixuiFW9Z4bUXi&#10;VEm2jn+POcHNH49eP252F2fFGUOcPClYrzIQSL03Ew0Kuo+XuwpETJqMtp5QwTdG2LXXV42ujV/o&#10;Hc/7NAgOoVhrBWNKcy1l7Ed0Oq78jMS7ow9OJ27DIE3QC4c7K/Ms20qnJ+ILo57xecT+a39yCl63&#10;T+kTO/NmirzwSyf7cLRRqdubdfYIIuEl/cHwq8/q0LLTwZ/IRGEVlHmxYVTBpqruQTBRPlQ8OXBR&#10;lDnItpH/f2h/AFBLAwQUAAAACACHTuJAq5kZ12ICAADEBAAADgAAAGRycy9lMm9Eb2MueG1srVTB&#10;bhMxEL0j8Q+W73STbdKmUTZVaBWEVNFKAXF2vN6she0xtpPd8gH0Dzhx4c539TsYezdpaTn0QA7O&#10;2PP0ZubNzM7OW63ITjgvwRR0eDSgRBgOpTSbgn76uHwzocQHZkqmwIiC3gpPz+evX80aOxU51KBK&#10;4QiSGD9tbEHrEOw0yzyvhWb+CKww6KzAaRbw6jZZ6ViD7Fpl+WBwkjXgSuuAC+/x9bJz0p7RvYQQ&#10;qkpycQl8q4UJHasTigUsydfSejpP2VaV4OG6qrwIRBUUKw3pxCBor+OZzWdsunHM1pL3KbCXpPCk&#10;Js2kwaAHqksWGNk6+YxKS+7AQxWOOOisKyQpglUMB0+0WdXMilQLSu3tQXT//2j5h92NI7LESRhS&#10;YpjGjt//uLv/+fv+13eCbyhQY/0UcSuLyNC+hRbB+3ePj7HutnI6/mNFBP2jyXAwzMeU3Bb0eHJ2&#10;PMl7qUUbCI+A05N8jE3gCMjPxvnpODJmD0TW+fBOgCbRKKjDTiaB2e7Khw66h8S4HpQsl1KpdHGb&#10;9YVyZMew68v069n/gilDmoKeHGMezygi94FirRj/8pwBs1UGk476dDpEK7TrthdtDeUtauagGztv&#10;+VIi7xXz4YY5nDMUADcxXONRKcBkoLcoqcF9+9d7xGP70UtJg3NbUP91y5ygRL03OBhnw9EoDnq6&#10;jManKDxxjz3rxx6z1ReAImHvMbtkRnxQe7NyoD/jwi5iVHQxwzF2QcPevAjdNuHCc7FYJBCOtmXh&#10;yqwsj9RRXAOLbYBKptZFmTptevVwuFPz+0WM2/P4nlAPH5/5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8hqffYAAAACwEAAA8AAAAAAAAAAQAgAAAAIgAAAGRycy9kb3ducmV2LnhtbFBLAQIUABQA&#10;AAAIAIdO4kCrmRnXYgIAAMQEAAAOAAAAAAAAAAEAIAAAACcBAABkcnMvZTJvRG9jLnhtbFBLBQYA&#10;AAAABgAGAFkBAAD7BQAAAAA=&#10;">
                <v:fill on="t" focussize="0,0"/>
                <v:stroke weight="0.5pt" color="#000000 [3204]" joinstyle="round"/>
                <v:imagedata o:title=""/>
                <o:lock v:ext="edit" aspectratio="f"/>
                <v:textbox>
                  <w:txbxContent>
                    <w:p w14:paraId="7D0A65C7">
                      <w:pPr>
                        <w:rPr>
                          <w:rFonts w:hint="default"/>
                          <w:lang w:val="en-US" w:eastAsia="zh-CN"/>
                        </w:rPr>
                      </w:pPr>
                      <w:r>
                        <w:rPr>
                          <w:rFonts w:hint="eastAsia"/>
                          <w:lang w:val="en-US" w:eastAsia="zh-CN"/>
                        </w:rPr>
                        <w:t>荒地</w:t>
                      </w:r>
                    </w:p>
                  </w:txbxContent>
                </v:textbox>
              </v:shape>
            </w:pict>
          </mc:Fallback>
        </mc:AlternateContent>
      </w:r>
      <w:r>
        <w:rPr>
          <w:color w:val="auto"/>
        </w:rPr>
        <w:drawing>
          <wp:inline distT="0" distB="0" distL="114300" distR="114300">
            <wp:extent cx="7303770" cy="5746750"/>
            <wp:effectExtent l="0" t="0" r="11430" b="6350"/>
            <wp:docPr id="13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0"/>
                    <pic:cNvPicPr>
                      <a:picLocks noChangeAspect="1"/>
                    </pic:cNvPicPr>
                  </pic:nvPicPr>
                  <pic:blipFill>
                    <a:blip r:embed="rId28"/>
                    <a:stretch>
                      <a:fillRect/>
                    </a:stretch>
                  </pic:blipFill>
                  <pic:spPr>
                    <a:xfrm>
                      <a:off x="0" y="0"/>
                      <a:ext cx="7303770" cy="5746750"/>
                    </a:xfrm>
                    <a:prstGeom prst="rect">
                      <a:avLst/>
                    </a:prstGeom>
                    <a:noFill/>
                    <a:ln>
                      <a:noFill/>
                    </a:ln>
                  </pic:spPr>
                </pic:pic>
              </a:graphicData>
            </a:graphic>
          </wp:inline>
        </w:drawing>
      </w:r>
      <w:r>
        <w:rPr>
          <w:color w:val="auto"/>
          <w:sz w:val="30"/>
        </w:rPr>
        <w:drawing>
          <wp:anchor distT="0" distB="0" distL="114300" distR="114300" simplePos="0" relativeHeight="251674624" behindDoc="0" locked="0" layoutInCell="1" allowOverlap="1">
            <wp:simplePos x="0" y="0"/>
            <wp:positionH relativeFrom="column">
              <wp:posOffset>7226935</wp:posOffset>
            </wp:positionH>
            <wp:positionV relativeFrom="paragraph">
              <wp:posOffset>22225</wp:posOffset>
            </wp:positionV>
            <wp:extent cx="712470" cy="676275"/>
            <wp:effectExtent l="0" t="0" r="11430" b="9525"/>
            <wp:wrapNone/>
            <wp:docPr id="15" name="图片 15" descr="微信截图_2023101615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截图_20231016153956"/>
                    <pic:cNvPicPr>
                      <a:picLocks noChangeAspect="1"/>
                    </pic:cNvPicPr>
                  </pic:nvPicPr>
                  <pic:blipFill>
                    <a:blip r:embed="rId24"/>
                    <a:stretch>
                      <a:fillRect/>
                    </a:stretch>
                  </pic:blipFill>
                  <pic:spPr>
                    <a:xfrm>
                      <a:off x="0" y="0"/>
                      <a:ext cx="712470" cy="676275"/>
                    </a:xfrm>
                    <a:prstGeom prst="rect">
                      <a:avLst/>
                    </a:prstGeom>
                  </pic:spPr>
                </pic:pic>
              </a:graphicData>
            </a:graphic>
          </wp:anchor>
        </w:drawing>
      </w:r>
    </w:p>
    <w:p w14:paraId="4967ACC3">
      <w:pPr>
        <w:jc w:val="left"/>
        <w:outlineLvl w:val="0"/>
        <w:rPr>
          <w:rFonts w:hint="eastAsia"/>
          <w:b/>
          <w:bCs/>
          <w:color w:val="auto"/>
          <w:sz w:val="28"/>
        </w:rPr>
        <w:sectPr>
          <w:pgSz w:w="16840" w:h="11907" w:orient="landscape"/>
          <w:pgMar w:top="1134" w:right="1418" w:bottom="1134" w:left="1418" w:header="851" w:footer="992" w:gutter="0"/>
          <w:pgBorders>
            <w:top w:val="none" w:sz="0" w:space="0"/>
            <w:left w:val="none" w:sz="0" w:space="0"/>
            <w:bottom w:val="none" w:sz="0" w:space="0"/>
            <w:right w:val="none" w:sz="0" w:space="0"/>
          </w:pgBorders>
          <w:cols w:space="720" w:num="1"/>
          <w:docGrid w:linePitch="326" w:charSpace="0"/>
        </w:sectPr>
      </w:pPr>
    </w:p>
    <w:p w14:paraId="036100CB">
      <w:pPr>
        <w:jc w:val="left"/>
        <w:outlineLvl w:val="0"/>
        <w:rPr>
          <w:rFonts w:hint="eastAsia"/>
          <w:b/>
          <w:bCs/>
          <w:color w:val="auto"/>
          <w:sz w:val="28"/>
          <w:lang w:val="en-US" w:eastAsia="zh-CN"/>
        </w:rPr>
      </w:pPr>
      <w:r>
        <w:rPr>
          <w:rFonts w:hint="eastAsia"/>
          <w:b/>
          <w:bCs/>
          <w:color w:val="auto"/>
          <w:sz w:val="28"/>
          <w:lang w:val="en-US" w:eastAsia="zh-CN"/>
        </w:rPr>
        <w:t>附图5：本项目运输路线图</w:t>
      </w:r>
    </w:p>
    <w:p w14:paraId="68128B77">
      <w:pPr>
        <w:pStyle w:val="47"/>
        <w:ind w:left="0" w:leftChars="0" w:firstLine="0" w:firstLineChars="0"/>
        <w:jc w:val="both"/>
        <w:rPr>
          <w:rFonts w:hint="default"/>
          <w:color w:val="auto"/>
          <w:lang w:val="en-US" w:eastAsia="zh-CN"/>
        </w:rPr>
      </w:pPr>
      <w:r>
        <w:rPr>
          <w:color w:val="auto"/>
          <w:sz w:val="21"/>
        </w:rPr>
        <mc:AlternateContent>
          <mc:Choice Requires="wps">
            <w:drawing>
              <wp:anchor distT="0" distB="0" distL="114300" distR="114300" simplePos="0" relativeHeight="251681792" behindDoc="0" locked="0" layoutInCell="1" allowOverlap="1">
                <wp:simplePos x="0" y="0"/>
                <wp:positionH relativeFrom="column">
                  <wp:posOffset>7093585</wp:posOffset>
                </wp:positionH>
                <wp:positionV relativeFrom="paragraph">
                  <wp:posOffset>5310505</wp:posOffset>
                </wp:positionV>
                <wp:extent cx="427355" cy="3810"/>
                <wp:effectExtent l="0" t="40005" r="0" b="51435"/>
                <wp:wrapNone/>
                <wp:docPr id="61" name="直接连接符 61"/>
                <wp:cNvGraphicFramePr/>
                <a:graphic xmlns:a="http://schemas.openxmlformats.org/drawingml/2006/main">
                  <a:graphicData uri="http://schemas.microsoft.com/office/word/2010/wordprocessingShape">
                    <wps:wsp>
                      <wps:cNvCnPr/>
                      <wps:spPr>
                        <a:xfrm flipV="1">
                          <a:off x="3509010" y="4610735"/>
                          <a:ext cx="427355" cy="3810"/>
                        </a:xfrm>
                        <a:prstGeom prst="line">
                          <a:avLst/>
                        </a:prstGeom>
                        <a:ln w="28575">
                          <a:prstDash val="dash"/>
                          <a:headEnd type="triangle" w="med" len="med"/>
                          <a:tailEnd type="non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558.55pt;margin-top:418.15pt;height:0.3pt;width:33.65pt;z-index:251681792;mso-width-relative:page;mso-height-relative:page;" filled="f" stroked="t" coordsize="21600,21600" o:gfxdata="UEsDBAoAAAAAAIdO4kAAAAAAAAAAAAAAAAAEAAAAZHJzL1BLAwQUAAAACACHTuJAFmHA7tcAAAAN&#10;AQAADwAAAGRycy9kb3ducmV2LnhtbE2PTUvEMBCG74L/IYzgzU3jllpr00UELyKCu3rPNmNbbCYl&#10;yXa7/95ZL3p8Zx7ej3qzuFHMGOLgSYNaZSCQWm8H6jR87J5vShAxGbJm9IQaThhh01xe1Kay/kjv&#10;OG9TJ9iEYmU09ClNlZSx7dGZuPITEv++fHAmsQydtMEc2dyN8jbLCunMQJzQmwmfemy/twfHIeGz&#10;mJf88VXh2+K8Ob3YbFdofX2lsgcQCZf0B8O5PleHhjvt/YFsFCNrpe4UsxrKdbEGcUZUmecg9r+n&#10;e5BNLf+vaH4AUEsDBBQAAAAIAIdO4kBT5D4rJgIAABEEAAAOAAAAZHJzL2Uyb0RvYy54bWytU81u&#10;EzEQviPxDpbvZDdJk6arbCq1oVwQRKJwn9jeXUv+k+1mk5fgBZC4wYkjd96G8hgde0ML5dIDPljj&#10;8efP830eL8/3WpGd8EFaU9PxqKREGGa5NG1N319fvVhQEiIYDsoaUdODCPR89fzZsneVmNjOKi48&#10;QRITqt7VtIvRVUURWCc0hJF1wuBmY72GiEvfFtxDj+xaFZOynBe99dx5y0QImF0Pm/TI6J9CaJtG&#10;MrG27EYLEwdWLxRElBQ66QJd5WqbRrD4tmmCiETVFJXGPOMlGG/TXKyWULUeXCfZsQR4SgmPNGmQ&#10;Bi+9p1pDBHLj5T9UWjJvg23iiFldDEKyI6hiXD7y5l0HTmQtaHVw96aH/0fL3uw2nkhe0/mYEgMa&#10;X/z20/efH7/8+vEZ59tvXwnuoE29CxWiL83GH1fBbXzSvG+8Jo2S7gP2U3YBdZF9Taez8gxVUXKo&#10;6cl8XJ5OZ4PhYh8JQ8DJBFMzShgCpgtEInMxECZi50N8JawmKaipkia5ARXsXoc4QH9DUtrYK6kU&#10;5qFShvQ1nSxmp4kdsE0bbA8MtUOpwbSUgGqx/1n0mTJYJXk6nk4H324vlSc7wK6ZXZxdrHPdWNlf&#10;sHT3GkI34DhGgzotI/4QJXVNF2UaQ7oTwF8aTuLBocnRSzCtEjQVqgWnRAmsJ0VZQQSpHtAGv+LR&#10;HGXQo/QYg/0p2lp+yK+S89gp2cVjV6dW/HOdTz/85NU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FmHA7tcAAAANAQAADwAAAAAAAAABACAAAAAiAAAAZHJzL2Rvd25yZXYueG1sUEsBAhQAFAAAAAgA&#10;h07iQFPkPismAgAAEQQAAA4AAAAAAAAAAQAgAAAAJgEAAGRycy9lMm9Eb2MueG1sUEsFBgAAAAAG&#10;AAYAWQEAAL4FAAAAAA==&#10;">
                <v:fill on="f" focussize="0,0"/>
                <v:stroke weight="2.25pt" color="#5B9BD5 [3204]" miterlimit="8" joinstyle="miter" dashstyle="dash" startarrow="block"/>
                <v:imagedata o:title=""/>
                <o:lock v:ext="edit" aspectratio="f"/>
              </v:line>
            </w:pict>
          </mc:Fallback>
        </mc:AlternateContent>
      </w:r>
      <w:r>
        <w:rPr>
          <w:color w:val="auto"/>
          <w:sz w:val="21"/>
        </w:rPr>
        <mc:AlternateContent>
          <mc:Choice Requires="wps">
            <w:drawing>
              <wp:anchor distT="0" distB="0" distL="114300" distR="114300" simplePos="0" relativeHeight="251680768" behindDoc="0" locked="0" layoutInCell="1" allowOverlap="1">
                <wp:simplePos x="0" y="0"/>
                <wp:positionH relativeFrom="column">
                  <wp:posOffset>7082155</wp:posOffset>
                </wp:positionH>
                <wp:positionV relativeFrom="paragraph">
                  <wp:posOffset>4934585</wp:posOffset>
                </wp:positionV>
                <wp:extent cx="419100" cy="219075"/>
                <wp:effectExtent l="13970" t="13970" r="24130" b="14605"/>
                <wp:wrapNone/>
                <wp:docPr id="54" name="矩形 54"/>
                <wp:cNvGraphicFramePr/>
                <a:graphic xmlns:a="http://schemas.openxmlformats.org/drawingml/2006/main">
                  <a:graphicData uri="http://schemas.microsoft.com/office/word/2010/wordprocessingShape">
                    <wps:wsp>
                      <wps:cNvSpPr/>
                      <wps:spPr>
                        <a:xfrm>
                          <a:off x="5547360" y="5525135"/>
                          <a:ext cx="419100" cy="219075"/>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7.65pt;margin-top:388.55pt;height:17.25pt;width:33pt;z-index:251680768;v-text-anchor:middle;mso-width-relative:page;mso-height-relative:page;" filled="f" stroked="t" coordsize="21600,21600" o:gfxdata="UEsDBAoAAAAAAIdO4kAAAAAAAAAAAAAAAAAEAAAAZHJzL1BLAwQUAAAACACHTuJAiLVJY9kAAAAN&#10;AQAADwAAAGRycy9kb3ducmV2LnhtbE2PwU7DMAyG70i8Q2QkLoilAdFWpekOTIjbJDo0rm7jtRWN&#10;UzXZVnh6shMcf/vT78/lerGjONHsB8ca1CoBQdw6M3Cn4WP3ep+D8AHZ4OiYNHyTh3V1fVViYdyZ&#10;3+lUh07EEvYFauhDmAopfduTRb9yE3HcHdxsMcQ4d9LMeI7ldpQPSZJKiwPHCz1O9NJT+1UfrYZm&#10;P40/h439XPZ1yrh92yJv7rS+vVHJM4hAS/iD4aIf1aGKTo07svFijFmpp8fIasiyTIG4ICpXcdRo&#10;yJVKQVal/P9F9QtQSwMEFAAAAAgAh07iQH5K26B2AgAA2AQAAA4AAABkcnMvZTJvRG9jLnhtbK1U&#10;S27bMBDdF+gdCO4bSY6djxE5MGK4KBA0BtKia5qiLAL8laQ/6WUKdNdD9DhFr9FHSvk07SKLekHP&#10;aIZv+B5neHF50IrshA/SmppWRyUlwnDbSLOp6ccPyzdnlITITMOUNaKmdyLQy9nrVxd7NxUj21nV&#10;CE8AYsJ072raxeimRRF4JzQLR9YJg2BrvWYRrt8UjWd7oGtVjMrypNhb3zhvuQgBXxd9kA6I/iWA&#10;tm0lFwvLt1qY2KN6oVgEpdBJF+gsn7ZtBY83bRtEJKqmYBrziiKw12ktZhdsuvHMdZIPR2AvOcIz&#10;TppJg6IPUAsWGdl6+ReUltzbYNt4xK0ueiJZEbCoymfa3HbMicwFUgf3IHr4f7D8/W7liWxqOhlT&#10;YpjGjf/6+v3nj28EH6DO3oUpkm7dyg9egJmoHlqv0z9IkAP2T8anxyfQ9S7Zo0l1POnVFYdIOBLG&#10;1XlVIs6RMKrOy9McLx6BnA/xrbCaJKOmHpeXNWW76xBRHKn3KamusUupVL5AZcgeoGcTYBLO0JUt&#10;ugGmdmAWzIYSpjZodx59hgxWySZtT0DBb9ZXypMdQ5MslyV+6eQo90daqr1goevzcqgnqGXERCip&#10;a3qWNt/vVgYgSb9esWStbXMHvb3tGzE4vpSAvWYhrphH50EfzGa8wdIqC1J2sCjprP/yr+8pHw2B&#10;KCV7dDIIf94yLyhR7wxa5bwajwEbszOenI7g+KeR9dOI2eorCx0qvAKOZzPlR3Vvtt7qTxjheaqK&#10;EDMctXtpB+cq9hOGR4CL+Tynod0di9fm1vEE3l/gfBttK/PdPqoziIaGz3cwDGeaqKd+znp8kG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Ii1SWPZAAAADQEAAA8AAAAAAAAAAQAgAAAAIgAAAGRy&#10;cy9kb3ducmV2LnhtbFBLAQIUABQAAAAIAIdO4kB+StugdgIAANgEAAAOAAAAAAAAAAEAIAAAACgB&#10;AABkcnMvZTJvRG9jLnhtbFBLBQYAAAAABgAGAFkBAAAQBgAAAAA=&#10;">
                <v:fill on="f" focussize="0,0"/>
                <v:stroke weight="2.25pt" color="#FF0000 [2404]" miterlimit="8" joinstyle="miter"/>
                <v:imagedata o:title=""/>
                <o:lock v:ext="edit" aspectratio="f"/>
              </v:rect>
            </w:pict>
          </mc:Fallback>
        </mc:AlternateContent>
      </w:r>
      <w:r>
        <w:rPr>
          <w:color w:val="auto"/>
          <w:sz w:val="21"/>
        </w:rPr>
        <mc:AlternateContent>
          <mc:Choice Requires="wps">
            <w:drawing>
              <wp:anchor distT="0" distB="0" distL="114300" distR="114300" simplePos="0" relativeHeight="251679744" behindDoc="0" locked="0" layoutInCell="1" allowOverlap="1">
                <wp:simplePos x="0" y="0"/>
                <wp:positionH relativeFrom="column">
                  <wp:posOffset>7017385</wp:posOffset>
                </wp:positionH>
                <wp:positionV relativeFrom="paragraph">
                  <wp:posOffset>4572000</wp:posOffset>
                </wp:positionV>
                <wp:extent cx="1181100" cy="905510"/>
                <wp:effectExtent l="4445" t="4445" r="14605" b="23495"/>
                <wp:wrapNone/>
                <wp:docPr id="53" name="文本框 53"/>
                <wp:cNvGraphicFramePr/>
                <a:graphic xmlns:a="http://schemas.openxmlformats.org/drawingml/2006/main">
                  <a:graphicData uri="http://schemas.microsoft.com/office/word/2010/wordprocessingShape">
                    <wps:wsp>
                      <wps:cNvSpPr txBox="1"/>
                      <wps:spPr>
                        <a:xfrm>
                          <a:off x="6957060" y="4753610"/>
                          <a:ext cx="1181100" cy="9055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97A1404">
                            <w:pPr>
                              <w:spacing w:line="360" w:lineRule="auto"/>
                              <w:jc w:val="center"/>
                              <w:rPr>
                                <w:rFonts w:hint="eastAsia"/>
                                <w:b/>
                                <w:bCs/>
                                <w:sz w:val="28"/>
                                <w:szCs w:val="36"/>
                                <w:lang w:val="en-US" w:eastAsia="zh-CN"/>
                              </w:rPr>
                            </w:pPr>
                            <w:r>
                              <w:rPr>
                                <w:rFonts w:hint="eastAsia"/>
                                <w:b/>
                                <w:bCs/>
                                <w:sz w:val="28"/>
                                <w:szCs w:val="36"/>
                                <w:lang w:val="en-US" w:eastAsia="zh-CN"/>
                              </w:rPr>
                              <w:t>图  例</w:t>
                            </w:r>
                          </w:p>
                          <w:p w14:paraId="0C110DD6">
                            <w:pPr>
                              <w:pStyle w:val="47"/>
                              <w:jc w:val="right"/>
                              <w:rPr>
                                <w:rFonts w:hint="eastAsia"/>
                                <w:sz w:val="22"/>
                                <w:szCs w:val="28"/>
                                <w:lang w:val="en-US" w:eastAsia="zh-CN"/>
                              </w:rPr>
                            </w:pPr>
                            <w:r>
                              <w:rPr>
                                <w:rFonts w:hint="eastAsia"/>
                                <w:sz w:val="22"/>
                                <w:szCs w:val="28"/>
                                <w:lang w:val="en-US" w:eastAsia="zh-CN"/>
                              </w:rPr>
                              <w:t>项目厂界</w:t>
                            </w:r>
                          </w:p>
                          <w:p w14:paraId="4629E792">
                            <w:pPr>
                              <w:jc w:val="right"/>
                              <w:rPr>
                                <w:rFonts w:hint="default"/>
                                <w:sz w:val="22"/>
                                <w:szCs w:val="28"/>
                                <w:lang w:val="en-US" w:eastAsia="zh-CN"/>
                              </w:rPr>
                            </w:pPr>
                            <w:r>
                              <w:rPr>
                                <w:rFonts w:hint="eastAsia"/>
                                <w:sz w:val="22"/>
                                <w:szCs w:val="28"/>
                                <w:lang w:val="en-US" w:eastAsia="zh-CN"/>
                              </w:rPr>
                              <w:t>运输路线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2.55pt;margin-top:360pt;height:71.3pt;width:93pt;z-index:251679744;mso-width-relative:page;mso-height-relative:page;" fillcolor="#FFFFFF [3201]" filled="t" stroked="t" coordsize="21600,21600" o:gfxdata="UEsDBAoAAAAAAIdO4kAAAAAAAAAAAAAAAAAEAAAAZHJzL1BLAwQUAAAACACHTuJAUYnsidcAAAAN&#10;AQAADwAAAGRycy9kb3ducmV2LnhtbE2PPU/DMBCGdyT+g3VIbNR2KkIJcSqBhITYKFnY3PiaRMTn&#10;yHab8u+5TjC+d4/ej3p79pM4YUxjIAN6pUAgdcGN1BtoP1/vNiBStuTsFAgN/GCCbXN9VdvKhYU+&#10;8LTLvWATSpU1MOQ8V1KmbkBv0yrMSPw7hOhtZhl76aJd2NxPslCqlN6OxAmDnfFlwO57d/QG3srn&#10;/IWte3frYh2WVnbxMCVjbm+0egKR8Zz/YLjU5+rQcKd9OJJLYmKt1b1m1sADB4G4IMWj5tPewKYs&#10;SpBNLf+vaH4BUEsDBBQAAAAIAIdO4kAjjE1jZQIAAMUEAAAOAAAAZHJzL2Uyb0RvYy54bWytVEtu&#10;2zAQ3RfoHQjuG0mJ5SRG5MBN4KJA0ARIi65pirKEUiRL0pbSA7Q36Kqb7nuunKOPlJxvF1nUC3rI&#10;eX4z82bGJ6d9K8lWWNdoVdBsL6VEKK7LRq0L+unj8s0RJc4zVTKplSjojXD0dP761UlnZmJf11qW&#10;whKQKDfrTEFr780sSRyvRcvcnjZCwVlp2zKPq10npWUd2FuZ7KfpNOm0LY3VXDiH1/PBSUdG+xJC&#10;XVUNF+eab1qh/MBqhWQeJbm6MY7OY7ZVJbi/rConPJEFRaU+nggCexXOZH7CZmvLTN3wMQX2khSe&#10;1NSyRiHoHdU584xsbPOMqm241U5Xfo/rNhkKiYqgiix9os11zYyItUBqZ+5Ed/+Pln/YXlnSlAXN&#10;DyhRrEXHb3/+uP315/b3d4I3CNQZNwPu2gDp+7e6x9js3h0eQ919ZdvwjYoI/NPj/DCdQuSbgk4O&#10;84NpNkotek94IMiOsiwFgANxnOb5AEjumYx1/p3QLQlGQS1aGRVm2wvnkRWgO0gI7LRsymUjZbzY&#10;9epMWrJlaPsyfkLC+MkjmFSkQ64HeRqZH/kC9x3FSjL+5TkD+KQCbRBoECJYvl/1o2orXd5ANKuH&#10;uXOGLxvwXjDnr5jFoEEArKK/xFFJjWT0aFFSa/vtX+8Bj/7DS0mHwS2o+7phVlAi3ytMxnE2mYDW&#10;x8skP9zHxT70rB561KY90xApw9IbHs2A93JnVla3n7GxixAVLqY4YhfU78wzP6wTNp6LxSKCMNuG&#10;+Qt1bXigDi1RerHxumpi64JMgzajepju2J5xE8P6PLxH1P2/z/w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UYnsidcAAAANAQAADwAAAAAAAAABACAAAAAiAAAAZHJzL2Rvd25yZXYueG1sUEsBAhQA&#10;FAAAAAgAh07iQCOMTWNlAgAAxQQAAA4AAAAAAAAAAQAgAAAAJgEAAGRycy9lMm9Eb2MueG1sUEsF&#10;BgAAAAAGAAYAWQEAAP0FAAAAAA==&#10;">
                <v:fill on="t" focussize="0,0"/>
                <v:stroke weight="0.5pt" color="#000000 [3204]" joinstyle="round"/>
                <v:imagedata o:title=""/>
                <o:lock v:ext="edit" aspectratio="f"/>
                <v:textbox>
                  <w:txbxContent>
                    <w:p w14:paraId="097A1404">
                      <w:pPr>
                        <w:spacing w:line="360" w:lineRule="auto"/>
                        <w:jc w:val="center"/>
                        <w:rPr>
                          <w:rFonts w:hint="eastAsia"/>
                          <w:b/>
                          <w:bCs/>
                          <w:sz w:val="28"/>
                          <w:szCs w:val="36"/>
                          <w:lang w:val="en-US" w:eastAsia="zh-CN"/>
                        </w:rPr>
                      </w:pPr>
                      <w:r>
                        <w:rPr>
                          <w:rFonts w:hint="eastAsia"/>
                          <w:b/>
                          <w:bCs/>
                          <w:sz w:val="28"/>
                          <w:szCs w:val="36"/>
                          <w:lang w:val="en-US" w:eastAsia="zh-CN"/>
                        </w:rPr>
                        <w:t>图  例</w:t>
                      </w:r>
                    </w:p>
                    <w:p w14:paraId="0C110DD6">
                      <w:pPr>
                        <w:pStyle w:val="47"/>
                        <w:jc w:val="right"/>
                        <w:rPr>
                          <w:rFonts w:hint="eastAsia"/>
                          <w:sz w:val="22"/>
                          <w:szCs w:val="28"/>
                          <w:lang w:val="en-US" w:eastAsia="zh-CN"/>
                        </w:rPr>
                      </w:pPr>
                      <w:r>
                        <w:rPr>
                          <w:rFonts w:hint="eastAsia"/>
                          <w:sz w:val="22"/>
                          <w:szCs w:val="28"/>
                          <w:lang w:val="en-US" w:eastAsia="zh-CN"/>
                        </w:rPr>
                        <w:t>项目厂界</w:t>
                      </w:r>
                    </w:p>
                    <w:p w14:paraId="4629E792">
                      <w:pPr>
                        <w:jc w:val="right"/>
                        <w:rPr>
                          <w:rFonts w:hint="default"/>
                          <w:sz w:val="22"/>
                          <w:szCs w:val="28"/>
                          <w:lang w:val="en-US" w:eastAsia="zh-CN"/>
                        </w:rPr>
                      </w:pPr>
                      <w:r>
                        <w:rPr>
                          <w:rFonts w:hint="eastAsia"/>
                          <w:sz w:val="22"/>
                          <w:szCs w:val="28"/>
                          <w:lang w:val="en-US" w:eastAsia="zh-CN"/>
                        </w:rPr>
                        <w:t>运输路线</w:t>
                      </w:r>
                    </w:p>
                  </w:txbxContent>
                </v:textbox>
              </v:shape>
            </w:pict>
          </mc:Fallback>
        </mc:AlternateContent>
      </w:r>
      <w:r>
        <w:rPr>
          <w:color w:val="auto"/>
          <w:sz w:val="30"/>
        </w:rPr>
        <w:drawing>
          <wp:anchor distT="0" distB="0" distL="114300" distR="114300" simplePos="0" relativeHeight="251675648" behindDoc="0" locked="0" layoutInCell="1" allowOverlap="1">
            <wp:simplePos x="0" y="0"/>
            <wp:positionH relativeFrom="column">
              <wp:posOffset>7463790</wp:posOffset>
            </wp:positionH>
            <wp:positionV relativeFrom="paragraph">
              <wp:posOffset>10160</wp:posOffset>
            </wp:positionV>
            <wp:extent cx="712470" cy="676275"/>
            <wp:effectExtent l="0" t="0" r="11430" b="9525"/>
            <wp:wrapNone/>
            <wp:docPr id="51" name="图片 51" descr="微信截图_2023101615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微信截图_20231016153956"/>
                    <pic:cNvPicPr>
                      <a:picLocks noChangeAspect="1"/>
                    </pic:cNvPicPr>
                  </pic:nvPicPr>
                  <pic:blipFill>
                    <a:blip r:embed="rId24"/>
                    <a:stretch>
                      <a:fillRect/>
                    </a:stretch>
                  </pic:blipFill>
                  <pic:spPr>
                    <a:xfrm>
                      <a:off x="0" y="0"/>
                      <a:ext cx="712470" cy="676275"/>
                    </a:xfrm>
                    <a:prstGeom prst="rect">
                      <a:avLst/>
                    </a:prstGeom>
                  </pic:spPr>
                </pic:pic>
              </a:graphicData>
            </a:graphic>
          </wp:anchor>
        </w:drawing>
      </w:r>
      <w:r>
        <w:rPr>
          <w:color w:val="auto"/>
        </w:rPr>
        <w:drawing>
          <wp:inline distT="0" distB="0" distL="114300" distR="114300">
            <wp:extent cx="8213725" cy="5477510"/>
            <wp:effectExtent l="0" t="0" r="15875" b="889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29"/>
                    <a:stretch>
                      <a:fillRect/>
                    </a:stretch>
                  </pic:blipFill>
                  <pic:spPr>
                    <a:xfrm>
                      <a:off x="0" y="0"/>
                      <a:ext cx="8213725" cy="5477510"/>
                    </a:xfrm>
                    <a:prstGeom prst="rect">
                      <a:avLst/>
                    </a:prstGeom>
                    <a:noFill/>
                    <a:ln>
                      <a:noFill/>
                    </a:ln>
                  </pic:spPr>
                </pic:pic>
              </a:graphicData>
            </a:graphic>
          </wp:inline>
        </w:drawing>
      </w:r>
    </w:p>
    <w:p w14:paraId="60F36DD3">
      <w:pPr>
        <w:jc w:val="center"/>
        <w:outlineLvl w:val="0"/>
        <w:rPr>
          <w:color w:val="auto"/>
        </w:rPr>
        <w:sectPr>
          <w:pgSz w:w="16840" w:h="11907" w:orient="landscape"/>
          <w:pgMar w:top="1134" w:right="1418" w:bottom="1134" w:left="1418" w:header="851" w:footer="992" w:gutter="0"/>
          <w:pgBorders>
            <w:top w:val="none" w:sz="0" w:space="0"/>
            <w:left w:val="none" w:sz="0" w:space="0"/>
            <w:bottom w:val="none" w:sz="0" w:space="0"/>
            <w:right w:val="none" w:sz="0" w:space="0"/>
          </w:pgBorders>
          <w:cols w:space="720" w:num="1"/>
          <w:docGrid w:linePitch="326" w:charSpace="0"/>
        </w:sectPr>
      </w:pPr>
      <w:r>
        <w:rPr>
          <w:color w:val="auto"/>
          <w:sz w:val="21"/>
        </w:rPr>
        <mc:AlternateContent>
          <mc:Choice Requires="wps">
            <w:drawing>
              <wp:anchor distT="0" distB="0" distL="114300" distR="114300" simplePos="0" relativeHeight="251678720" behindDoc="0" locked="0" layoutInCell="1" allowOverlap="1">
                <wp:simplePos x="0" y="0"/>
                <wp:positionH relativeFrom="column">
                  <wp:posOffset>6497955</wp:posOffset>
                </wp:positionH>
                <wp:positionV relativeFrom="paragraph">
                  <wp:posOffset>5666740</wp:posOffset>
                </wp:positionV>
                <wp:extent cx="325120" cy="5080"/>
                <wp:effectExtent l="0" t="0" r="0" b="0"/>
                <wp:wrapNone/>
                <wp:docPr id="68" name="直接连接符 68"/>
                <wp:cNvGraphicFramePr/>
                <a:graphic xmlns:a="http://schemas.openxmlformats.org/drawingml/2006/main">
                  <a:graphicData uri="http://schemas.microsoft.com/office/word/2010/wordprocessingShape">
                    <wps:wsp>
                      <wps:cNvCnPr/>
                      <wps:spPr>
                        <a:xfrm flipV="1">
                          <a:off x="6708140" y="6417945"/>
                          <a:ext cx="325120" cy="5080"/>
                        </a:xfrm>
                        <a:prstGeom prst="line">
                          <a:avLst/>
                        </a:prstGeom>
                        <a:ln>
                          <a:prstDash val="lgDash"/>
                          <a:headEnd type="none"/>
                          <a:tailEnd type="none" w="med" len="me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511.65pt;margin-top:446.2pt;height:0.4pt;width:25.6pt;z-index:251678720;mso-width-relative:page;mso-height-relative:page;" filled="f" stroked="t" coordsize="21600,21600" o:gfxdata="UEsDBAoAAAAAAIdO4kAAAAAAAAAAAAAAAAAEAAAAZHJzL1BLAwQUAAAACACHTuJA0vTJ2dsAAAAN&#10;AQAADwAAAGRycy9kb3ducmV2LnhtbE2PQU7DMBBF90jcwRokdtROUmgJcbooAiFUIZFUYuvGJo6w&#10;xyF2m4bT46xg+Wee/rwpNmdryEkNvnPIIVkwIAobJztsOezrp5s1EB8ESmEcKg6T8rApLy8KkUs3&#10;4rs6VaElsQR9LjjoEPqcUt9oZYVfuF5h3H26wYoQ49BSOYgxlltDU8buqBUdxgta9GqrVfNVHS0H&#10;84HPu+2UvL7U8m2cvn/qvtKPnF9fJewBSFDn8AfDrB/VoYxOB3dE6YmJmaVZFlkO6/t0CWRG2Gp5&#10;C+Qwj7IUaFnQ/1+Uv1BLAwQUAAAACACHTuJAZ17wMyACAAAPBAAADgAAAGRycy9lMm9Eb2MueG1s&#10;rVPNbhMxEL4j8Q6W72Q3IWnSVTaV2lAuCCJRuDv+2bXkP9luNnkJXgCJG5w4cudtKI/RsR0KhEsP&#10;7MEaz8x+M9834+XFXiu04z5Ia1o8HtUYcUMtk6Zr8bub62cLjEIkhhFlDW/xgQd8sXr6ZDm4hk9s&#10;bxXjHgGICc3gWtzH6JqqCrTnmoSRddxAUFivSYSr7yrmyQDoWlWTuj6rBuuZ85byEMC7LkF8RPSP&#10;AbRCSMrXlt5qbmJB9VyRCJRCL13Aq9ytEJzGN0IEHpFqMTCN+YQiYG/TWa2WpOk8cb2kxxbIY1o4&#10;4aSJNFD0AWpNIkG3Xv4DpSX1NlgRR9TqqhDJigCLcX2izdueOJ65gNTBPYge/h8sfb3beCRZi89g&#10;7oZomPjdx28/Pnz++f0TnHdfvyCIgEyDCw1kX5mNP96C2/jEeS+8RkJJ9x72KasAvNAeIOf1YjwF&#10;qQ9gT8fz8+msCM73EVFIeD6ZjScQp5Awqxd5HFUBTMDOh/iSW42S0WIlTVKDNGT3KkRoAlJ/pSS3&#10;sddSqTxRZdAAzUzmdUInsKYC1gNM7YBqMB1GRHWw/zT6DBmskiz9noCC77ZXyqMdga2ZXZ5frnPf&#10;UO6vtFR7TUJf8lSX7MJPywhvREnd4kWdvuLuOWEvDEPx4EBmA8+r+COR6sSf2tecYaQ4dJmswlcZ&#10;oJ1GUcRP1tayQ55J9sOeZGGOO50W8c97/vv3O17d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NL0&#10;ydnbAAAADQEAAA8AAAAAAAAAAQAgAAAAIgAAAGRycy9kb3ducmV2LnhtbFBLAQIUABQAAAAIAIdO&#10;4kBnXvAzIAIAAA8EAAAOAAAAAAAAAAEAIAAAACoBAABkcnMvZTJvRG9jLnhtbFBLBQYAAAAABgAG&#10;AFkBAAC8BQAAAAA=&#10;">
                <v:fill on="f" focussize="0,0"/>
                <v:stroke weight="1pt" color="#5B9BD5 [3204]" miterlimit="8" joinstyle="miter" dashstyle="longDash"/>
                <v:imagedata o:title=""/>
                <o:lock v:ext="edit" aspectratio="f"/>
              </v:line>
            </w:pict>
          </mc:Fallback>
        </mc:AlternateContent>
      </w:r>
      <w:r>
        <w:rPr>
          <w:color w:val="auto"/>
          <w:sz w:val="21"/>
        </w:rPr>
        <mc:AlternateContent>
          <mc:Choice Requires="wps">
            <w:drawing>
              <wp:anchor distT="0" distB="0" distL="114300" distR="114300" simplePos="0" relativeHeight="251677696" behindDoc="0" locked="0" layoutInCell="1" allowOverlap="1">
                <wp:simplePos x="0" y="0"/>
                <wp:positionH relativeFrom="column">
                  <wp:posOffset>6505575</wp:posOffset>
                </wp:positionH>
                <wp:positionV relativeFrom="paragraph">
                  <wp:posOffset>5354320</wp:posOffset>
                </wp:positionV>
                <wp:extent cx="240665" cy="160655"/>
                <wp:effectExtent l="9525" t="9525" r="16510" b="20320"/>
                <wp:wrapNone/>
                <wp:docPr id="66" name="矩形 66"/>
                <wp:cNvGraphicFramePr/>
                <a:graphic xmlns:a="http://schemas.openxmlformats.org/drawingml/2006/main">
                  <a:graphicData uri="http://schemas.microsoft.com/office/word/2010/wordprocessingShape">
                    <wps:wsp>
                      <wps:cNvSpPr/>
                      <wps:spPr>
                        <a:xfrm>
                          <a:off x="6172835" y="5634355"/>
                          <a:ext cx="240665" cy="160655"/>
                        </a:xfrm>
                        <a:prstGeom prst="rect">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2.25pt;margin-top:421.6pt;height:12.65pt;width:18.95pt;z-index:251677696;v-text-anchor:middle;mso-width-relative:page;mso-height-relative:page;" filled="f" stroked="t" coordsize="21600,21600" o:gfxdata="UEsDBAoAAAAAAIdO4kAAAAAAAAAAAAAAAAAEAAAAZHJzL1BLAwQUAAAACACHTuJAF+zfUNoAAAAN&#10;AQAADwAAAGRycy9kb3ducmV2LnhtbE2PwU7DMAyG70i8Q2QkbixZ6LqqNJ0EEkIgDmPAPWu8tlri&#10;VE3WjrcnO8Hxtz/9/lxtzs6yCcfQe1KwXAhgSI03PbUKvj6f7wpgIWoy2npCBT8YYFNfX1W6NH6m&#10;D5x2sWWphEKpFXQxDiXnoenQ6bDwA1LaHfzodExxbLkZ9ZzKneVSiJw73VO60OkBnzpsjruTU7D1&#10;xwO331K+rR9f5PrVFXM7vSt1e7MUD8AinuMfDBf9pA51ctr7E5nAbMpCZqvEKiiyewnsgohcZsD2&#10;aZQXK+B1xf9/Uf8CUEsDBBQAAAAIAIdO4kBxlnYteAIAANgEAAAOAAAAZHJzL2Uyb0RvYy54bWyt&#10;VEtu2zAQ3RfoHQjuG8mOrSRG5MCI4aJA0ARIi65pirII8FeS/qSXKdBdD9HjFL1GHynl07SLLOoF&#10;PdQM33DevOH5xUErshM+SGtqOjoqKRGG20aaTU0/fli9OaUkRGYapqwRNb0TgV7MX78637uZGNvO&#10;qkZ4AhATZntX0y5GNyuKwDuhWTiyThg4W+s1i9j6TdF4tge6VsW4LKtib33jvOUiBHxd9k46IPqX&#10;ANq2lVwsLd9qYWKP6oViESWFTrpA5/m2bSt4vG7bICJRNUWlMa9IAnud1mJ+zmYbz1wn+XAF9pIr&#10;PKtJM2mQ9AFqySIjWy//gtKSextsG4+41UVfSGYEVYzKZ9zcdsyJXAuoDu6B9PD/YPn73Y0nsqlp&#10;VVFimEbHf339/vPHN4IPYGfvwgxBt+7GD7sAM5V6aL1O/yiCHHB+dDI+PZ5SclfTaXU8OZ5Oe3bF&#10;IRKOgPGkrCr4OQJGVVn1/uIRyPkQ3wqrSTJq6tG8zCnbXYWI5Ai9D0l5jV1JpXIDlSF7gJ6VU/SV&#10;M6iyhRpgaofKgtlQwtQGcufRZ8hglWzS8QQU/GZ9qTzZMYhktSrxSzdHuj/CUu4lC10fl119gVpG&#10;TISSuqan6fD9aWUAkvjrGUvW2jZ34NvbXojB8ZUE7BUL8YZ5KA/3x2zGayytsijKDhYlnfVf/vU9&#10;xUMQ8FKyh5JR8Oct84IS9c5AKmejySRJP28m05MxNv6pZ/3UY7b60oKHEV4Bx7OZ4qO6N1tv9SeM&#10;8CJlhYsZjtw9tcPmMvYThkeAi8Uih0HujsUrc+t4Au8buNhG28rc20d2BtIg+NyDYTjTRD3d56jH&#10;B2n+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Bfs31DaAAAADQEAAA8AAAAAAAAAAQAgAAAAIgAA&#10;AGRycy9kb3ducmV2LnhtbFBLAQIUABQAAAAIAIdO4kBxlnYteAIAANgEAAAOAAAAAAAAAAEAIAAA&#10;ACkBAABkcnMvZTJvRG9jLnhtbFBLBQYAAAAABgAGAFkBAAATBgAAAAA=&#10;">
                <v:fill on="f" focussize="0,0"/>
                <v:stroke weight="1.5pt" color="#FF0000 [2404]" miterlimit="8" joinstyle="miter"/>
                <v:imagedata o:title=""/>
                <o:lock v:ext="edit" aspectratio="f"/>
              </v:rect>
            </w:pict>
          </mc:Fallback>
        </mc:AlternateContent>
      </w:r>
      <w:r>
        <w:rPr>
          <w:color w:val="auto"/>
          <w:sz w:val="21"/>
        </w:rPr>
        <mc:AlternateContent>
          <mc:Choice Requires="wps">
            <w:drawing>
              <wp:anchor distT="0" distB="0" distL="114300" distR="114300" simplePos="0" relativeHeight="251676672" behindDoc="0" locked="0" layoutInCell="1" allowOverlap="1">
                <wp:simplePos x="0" y="0"/>
                <wp:positionH relativeFrom="column">
                  <wp:posOffset>6402070</wp:posOffset>
                </wp:positionH>
                <wp:positionV relativeFrom="paragraph">
                  <wp:posOffset>4980940</wp:posOffset>
                </wp:positionV>
                <wp:extent cx="1054735" cy="842645"/>
                <wp:effectExtent l="4445" t="5080" r="7620" b="9525"/>
                <wp:wrapNone/>
                <wp:docPr id="59" name="文本框 59"/>
                <wp:cNvGraphicFramePr/>
                <a:graphic xmlns:a="http://schemas.openxmlformats.org/drawingml/2006/main">
                  <a:graphicData uri="http://schemas.microsoft.com/office/word/2010/wordprocessingShape">
                    <wps:wsp>
                      <wps:cNvSpPr txBox="1"/>
                      <wps:spPr>
                        <a:xfrm>
                          <a:off x="7924165" y="5487670"/>
                          <a:ext cx="1054735" cy="8426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7BD7CD0">
                            <w:pPr>
                              <w:spacing w:line="360" w:lineRule="auto"/>
                              <w:jc w:val="center"/>
                              <w:rPr>
                                <w:rFonts w:hint="eastAsia"/>
                                <w:b/>
                                <w:bCs/>
                                <w:sz w:val="22"/>
                                <w:szCs w:val="28"/>
                                <w:lang w:val="en-US" w:eastAsia="zh-CN"/>
                              </w:rPr>
                            </w:pPr>
                            <w:r>
                              <w:rPr>
                                <w:rFonts w:hint="eastAsia"/>
                                <w:b/>
                                <w:bCs/>
                                <w:sz w:val="22"/>
                                <w:szCs w:val="28"/>
                                <w:lang w:val="en-US" w:eastAsia="zh-CN"/>
                              </w:rPr>
                              <w:t>图  例</w:t>
                            </w:r>
                          </w:p>
                          <w:p w14:paraId="49C008DF">
                            <w:pPr>
                              <w:pStyle w:val="18"/>
                              <w:jc w:val="right"/>
                              <w:rPr>
                                <w:rFonts w:hint="eastAsia"/>
                                <w:b/>
                                <w:bCs/>
                                <w:sz w:val="18"/>
                                <w:szCs w:val="16"/>
                                <w:lang w:val="en-US" w:eastAsia="zh-CN"/>
                              </w:rPr>
                            </w:pPr>
                            <w:r>
                              <w:rPr>
                                <w:rFonts w:hint="eastAsia" w:ascii="宋体" w:hAnsi="Times New Roman" w:eastAsia="宋体" w:cs="Times New Roman"/>
                                <w:b/>
                                <w:bCs/>
                                <w:kern w:val="0"/>
                                <w:sz w:val="18"/>
                                <w:szCs w:val="16"/>
                                <w:lang w:val="en-US" w:eastAsia="zh-CN" w:bidi="ar-SA"/>
                              </w:rPr>
                              <w:t>本项目厂界</w:t>
                            </w:r>
                          </w:p>
                          <w:p w14:paraId="791F8006">
                            <w:pPr>
                              <w:pStyle w:val="19"/>
                              <w:jc w:val="right"/>
                              <w:rPr>
                                <w:rFonts w:hint="default"/>
                                <w:b/>
                                <w:bCs/>
                                <w:sz w:val="18"/>
                                <w:szCs w:val="15"/>
                                <w:lang w:val="en-US" w:eastAsia="zh-CN"/>
                              </w:rPr>
                            </w:pPr>
                            <w:r>
                              <w:rPr>
                                <w:rFonts w:hint="eastAsia"/>
                                <w:b/>
                                <w:bCs/>
                                <w:sz w:val="18"/>
                                <w:szCs w:val="16"/>
                                <w:lang w:val="en-US" w:eastAsia="zh-CN"/>
                              </w:rPr>
                              <w:t>运输路线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4.1pt;margin-top:392.2pt;height:66.35pt;width:83.05pt;z-index:251676672;mso-width-relative:page;mso-height-relative:page;" fillcolor="#FFFFFF [3201]" filled="t" stroked="t" coordsize="21600,21600" o:gfxdata="UEsDBAoAAAAAAIdO4kAAAAAAAAAAAAAAAAAEAAAAZHJzL1BLAwQUAAAACACHTuJA3VHVhNgAAAAN&#10;AQAADwAAAGRycy9kb3ducmV2LnhtbE2PwU7DMBBE70j8g7VI3KjtJGpCiFMJJCTEjZILNzfeJhH2&#10;Oordpvw97gmOo32aedvsLs6yMy5h8qRAbgQwpN6biQYF3efrQwUsRE1GW0+o4AcD7Nrbm0bXxq/0&#10;ged9HFgqoVBrBWOMc8156Ed0Omz8jJRuR784HVNcBm4WvaZyZ3kmxJY7PVFaGPWMLyP23/uTU/C2&#10;fY5f2Jl3k2e5XzveL0cblLq/k+IJWMRL/IPhqp/UoU1OB38iE5hNWYgqS6yCsioKYFdElkUO7KDg&#10;UZYSeNvw/1+0v1BLAwQUAAAACACHTuJA92c8smQCAADFBAAADgAAAGRycy9lMm9Eb2MueG1srVTN&#10;bhMxEL4j8Q6W73STdJO0UTZVaBWEVNFKAXF2vN6she0xtpPd8gDwBpy4cOe5+hyMvZv+cuiBHJyx&#10;59M3M9/M7Pys1YrshfMSTEGHRwNKhOFQSrMt6KePqzcnlPjATMkUGFHQG+Hp2eL1q3ljZ2IENahS&#10;OIIkxs8aW9A6BDvLMs9roZk/AisMOitwmgW8um1WOtYgu1bZaDCYZA240jrgwnt8veictGd0LyGE&#10;qpJcXADfaWFCx+qEYgFL8rW0ni5StlUleLiqKi8CUQXFSkM6MQjam3hmizmbbR2zteR9CuwlKTyp&#10;STNpMOgd1QULjOycfEalJXfgoQpHHHTWFZIUwSqGgyfarGtmRaoFpfb2TnT//2j5h/21I7Is6PiU&#10;EsM0dvz254/bX39uf38n+IYCNdbPELe2iAztW2hxbA7vHh9j3W3ldPzHigj6p6ejfDgZU3KDxPnJ&#10;dDLtpRZtIDwSDMb59BgBHBEn+WiSjyNlds9knQ/vBGgSjYI6bGVSmO0vfeigB0gM7EHJciWVShe3&#10;3ZwrR/YM275Kv579EUwZ0hR0cjweJOZHvsh9R7FRjH95zoDZKoNJR4E6IaIV2k3bq7aB8gZFc9DN&#10;nbd8JZH3kvlwzRwOGo4hrmK4wqNSgMlAb1FSg/v2r/eIx/6jl5IGB7eg/uuOOUGJem9wMk6HeR4n&#10;PV3y8XSEF/fQs3noMTt9DijSEJfe8mRGfFAHs3KgP+PGLmNUdDHDMXZBw8E8D9064cZzsVwmEM62&#10;ZeHSrC2P1LElBpa7AJVMrYsyddr06uF0p+b3mxjX5+E9oe6/Po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3VHVhNgAAAANAQAADwAAAAAAAAABACAAAAAiAAAAZHJzL2Rvd25yZXYueG1sUEsBAhQA&#10;FAAAAAgAh07iQPdnPLJkAgAAxQQAAA4AAAAAAAAAAQAgAAAAJwEAAGRycy9lMm9Eb2MueG1sUEsF&#10;BgAAAAAGAAYAWQEAAP0FAAAAAA==&#10;">
                <v:fill on="t" focussize="0,0"/>
                <v:stroke weight="0.5pt" color="#000000 [3204]" joinstyle="round"/>
                <v:imagedata o:title=""/>
                <o:lock v:ext="edit" aspectratio="f"/>
                <v:textbox>
                  <w:txbxContent>
                    <w:p w14:paraId="47BD7CD0">
                      <w:pPr>
                        <w:spacing w:line="360" w:lineRule="auto"/>
                        <w:jc w:val="center"/>
                        <w:rPr>
                          <w:rFonts w:hint="eastAsia"/>
                          <w:b/>
                          <w:bCs/>
                          <w:sz w:val="22"/>
                          <w:szCs w:val="28"/>
                          <w:lang w:val="en-US" w:eastAsia="zh-CN"/>
                        </w:rPr>
                      </w:pPr>
                      <w:r>
                        <w:rPr>
                          <w:rFonts w:hint="eastAsia"/>
                          <w:b/>
                          <w:bCs/>
                          <w:sz w:val="22"/>
                          <w:szCs w:val="28"/>
                          <w:lang w:val="en-US" w:eastAsia="zh-CN"/>
                        </w:rPr>
                        <w:t>图  例</w:t>
                      </w:r>
                    </w:p>
                    <w:p w14:paraId="49C008DF">
                      <w:pPr>
                        <w:pStyle w:val="18"/>
                        <w:jc w:val="right"/>
                        <w:rPr>
                          <w:rFonts w:hint="eastAsia"/>
                          <w:b/>
                          <w:bCs/>
                          <w:sz w:val="18"/>
                          <w:szCs w:val="16"/>
                          <w:lang w:val="en-US" w:eastAsia="zh-CN"/>
                        </w:rPr>
                      </w:pPr>
                      <w:r>
                        <w:rPr>
                          <w:rFonts w:hint="eastAsia" w:ascii="宋体" w:hAnsi="Times New Roman" w:eastAsia="宋体" w:cs="Times New Roman"/>
                          <w:b/>
                          <w:bCs/>
                          <w:kern w:val="0"/>
                          <w:sz w:val="18"/>
                          <w:szCs w:val="16"/>
                          <w:lang w:val="en-US" w:eastAsia="zh-CN" w:bidi="ar-SA"/>
                        </w:rPr>
                        <w:t>本项目厂界</w:t>
                      </w:r>
                    </w:p>
                    <w:p w14:paraId="791F8006">
                      <w:pPr>
                        <w:pStyle w:val="19"/>
                        <w:jc w:val="right"/>
                        <w:rPr>
                          <w:rFonts w:hint="default"/>
                          <w:b/>
                          <w:bCs/>
                          <w:sz w:val="18"/>
                          <w:szCs w:val="15"/>
                          <w:lang w:val="en-US" w:eastAsia="zh-CN"/>
                        </w:rPr>
                      </w:pPr>
                      <w:r>
                        <w:rPr>
                          <w:rFonts w:hint="eastAsia"/>
                          <w:b/>
                          <w:bCs/>
                          <w:sz w:val="18"/>
                          <w:szCs w:val="16"/>
                          <w:lang w:val="en-US" w:eastAsia="zh-CN"/>
                        </w:rPr>
                        <w:t>运输路线</w:t>
                      </w:r>
                    </w:p>
                  </w:txbxContent>
                </v:textbox>
              </v:shape>
            </w:pict>
          </mc:Fallback>
        </mc:AlternateContent>
      </w:r>
    </w:p>
    <w:p w14:paraId="22B6A829">
      <w:pPr>
        <w:jc w:val="left"/>
        <w:outlineLvl w:val="0"/>
        <w:rPr>
          <w:rFonts w:hint="default"/>
          <w:b/>
          <w:bCs/>
          <w:color w:val="auto"/>
          <w:sz w:val="28"/>
          <w:lang w:val="en-US" w:eastAsia="zh-CN"/>
        </w:rPr>
      </w:pPr>
      <w:r>
        <w:rPr>
          <w:rFonts w:hint="eastAsia"/>
          <w:b/>
          <w:bCs/>
          <w:color w:val="auto"/>
          <w:sz w:val="28"/>
          <w:lang w:val="en-US" w:eastAsia="zh-CN"/>
        </w:rPr>
        <w:t>附图6：分区防渗图</w:t>
      </w:r>
    </w:p>
    <w:p w14:paraId="00B98C66">
      <w:pPr>
        <w:jc w:val="center"/>
        <w:outlineLvl w:val="9"/>
        <w:rPr>
          <w:rFonts w:hint="eastAsia"/>
          <w:b/>
          <w:bCs/>
          <w:color w:val="auto"/>
          <w:sz w:val="28"/>
          <w:lang w:val="en-US" w:eastAsia="zh-CN"/>
        </w:rPr>
      </w:pPr>
      <w:r>
        <w:rPr>
          <w:rFonts w:hint="eastAsia"/>
          <w:b/>
          <w:bCs/>
          <w:color w:val="auto"/>
          <w:sz w:val="28"/>
          <w:lang w:val="en-US" w:eastAsia="zh-CN"/>
        </w:rPr>
        <w:drawing>
          <wp:inline distT="0" distB="0" distL="114300" distR="114300">
            <wp:extent cx="6432550" cy="5585460"/>
            <wp:effectExtent l="0" t="0" r="6350" b="15240"/>
            <wp:docPr id="39" name="图片 39" descr="分区防渗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分区防渗2026"/>
                    <pic:cNvPicPr>
                      <a:picLocks noChangeAspect="1"/>
                    </pic:cNvPicPr>
                  </pic:nvPicPr>
                  <pic:blipFill>
                    <a:blip r:embed="rId30"/>
                    <a:stretch>
                      <a:fillRect/>
                    </a:stretch>
                  </pic:blipFill>
                  <pic:spPr>
                    <a:xfrm>
                      <a:off x="0" y="0"/>
                      <a:ext cx="6432550" cy="5585460"/>
                    </a:xfrm>
                    <a:prstGeom prst="rect">
                      <a:avLst/>
                    </a:prstGeom>
                  </pic:spPr>
                </pic:pic>
              </a:graphicData>
            </a:graphic>
          </wp:inline>
        </w:drawing>
      </w:r>
    </w:p>
    <w:p w14:paraId="55BE0B3E">
      <w:pPr>
        <w:jc w:val="left"/>
        <w:outlineLvl w:val="0"/>
        <w:rPr>
          <w:rFonts w:hint="eastAsia"/>
          <w:b/>
          <w:bCs/>
          <w:color w:val="auto"/>
          <w:sz w:val="28"/>
          <w:lang w:val="en-US" w:eastAsia="zh-CN"/>
        </w:rPr>
        <w:sectPr>
          <w:pgSz w:w="16840" w:h="11907" w:orient="landscape"/>
          <w:pgMar w:top="1134" w:right="1418" w:bottom="1134" w:left="1418" w:header="851" w:footer="992" w:gutter="0"/>
          <w:pgBorders>
            <w:top w:val="none" w:sz="0" w:space="0"/>
            <w:left w:val="none" w:sz="0" w:space="0"/>
            <w:bottom w:val="none" w:sz="0" w:space="0"/>
            <w:right w:val="none" w:sz="0" w:space="0"/>
          </w:pgBorders>
          <w:cols w:space="720" w:num="1"/>
          <w:docGrid w:linePitch="326" w:charSpace="0"/>
        </w:sectPr>
      </w:pPr>
    </w:p>
    <w:p w14:paraId="2A18835F">
      <w:pPr>
        <w:jc w:val="left"/>
        <w:outlineLvl w:val="0"/>
        <w:rPr>
          <w:b/>
          <w:bCs/>
          <w:color w:val="auto"/>
          <w:sz w:val="28"/>
        </w:rPr>
      </w:pPr>
      <w:r>
        <w:rPr>
          <w:rFonts w:hint="eastAsia" w:ascii="Times New Roman" w:hAnsi="Times New Roman" w:eastAsia="宋体" w:cs="Times New Roman"/>
          <w:b/>
          <w:bCs/>
          <w:color w:val="auto"/>
          <w:sz w:val="28"/>
          <w:lang w:val="en-US" w:eastAsia="zh-CN"/>
        </w:rPr>
        <w:t>附图7：</w:t>
      </w:r>
      <w:r>
        <w:rPr>
          <w:rFonts w:hint="eastAsia" w:ascii="Times New Roman" w:hAnsi="Times New Roman" w:eastAsia="宋体" w:cs="Times New Roman"/>
          <w:b/>
          <w:bCs/>
          <w:color w:val="auto"/>
          <w:sz w:val="28"/>
        </w:rPr>
        <w:t>项目</w:t>
      </w:r>
      <w:r>
        <w:rPr>
          <w:rFonts w:hint="eastAsia"/>
          <w:b/>
          <w:bCs/>
          <w:color w:val="auto"/>
          <w:sz w:val="28"/>
        </w:rPr>
        <w:t>周边照片</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0"/>
        <w:gridCol w:w="6950"/>
      </w:tblGrid>
      <w:tr w14:paraId="4B52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6950" w:type="dxa"/>
            <w:tcBorders>
              <w:tl2br w:val="nil"/>
              <w:tr2bl w:val="nil"/>
            </w:tcBorders>
            <w:vAlign w:val="center"/>
          </w:tcPr>
          <w:p w14:paraId="362BEB75">
            <w:pPr>
              <w:jc w:val="center"/>
              <w:rPr>
                <w:rFonts w:hint="eastAsia" w:eastAsia="宋体"/>
                <w:color w:val="auto"/>
                <w:lang w:eastAsia="zh-CN"/>
              </w:rPr>
            </w:pPr>
            <w:r>
              <w:rPr>
                <w:rFonts w:hint="eastAsia" w:eastAsia="宋体"/>
                <w:color w:val="auto"/>
                <w:lang w:eastAsia="zh-CN"/>
              </w:rPr>
              <w:drawing>
                <wp:inline distT="0" distB="0" distL="114300" distR="114300">
                  <wp:extent cx="3571240" cy="2678430"/>
                  <wp:effectExtent l="0" t="0" r="10160" b="7620"/>
                  <wp:docPr id="126" name="图片 126" descr="北部场区东 荒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北部场区东 荒地"/>
                          <pic:cNvPicPr>
                            <a:picLocks noChangeAspect="1"/>
                          </pic:cNvPicPr>
                        </pic:nvPicPr>
                        <pic:blipFill>
                          <a:blip r:embed="rId31"/>
                          <a:stretch>
                            <a:fillRect/>
                          </a:stretch>
                        </pic:blipFill>
                        <pic:spPr>
                          <a:xfrm>
                            <a:off x="0" y="0"/>
                            <a:ext cx="3571240" cy="2678430"/>
                          </a:xfrm>
                          <a:prstGeom prst="rect">
                            <a:avLst/>
                          </a:prstGeom>
                        </pic:spPr>
                      </pic:pic>
                    </a:graphicData>
                  </a:graphic>
                </wp:inline>
              </w:drawing>
            </w:r>
          </w:p>
        </w:tc>
        <w:tc>
          <w:tcPr>
            <w:tcW w:w="6950" w:type="dxa"/>
            <w:tcBorders>
              <w:tl2br w:val="nil"/>
              <w:tr2bl w:val="nil"/>
            </w:tcBorders>
            <w:vAlign w:val="center"/>
          </w:tcPr>
          <w:p w14:paraId="1FBE76CF">
            <w:pPr>
              <w:jc w:val="center"/>
              <w:rPr>
                <w:rFonts w:hint="eastAsia" w:eastAsia="宋体"/>
                <w:color w:val="auto"/>
                <w:lang w:eastAsia="zh-CN"/>
              </w:rPr>
            </w:pPr>
            <w:r>
              <w:rPr>
                <w:rFonts w:hint="eastAsia" w:eastAsia="宋体"/>
                <w:color w:val="auto"/>
                <w:lang w:eastAsia="zh-CN"/>
              </w:rPr>
              <w:drawing>
                <wp:inline distT="0" distB="0" distL="114300" distR="114300">
                  <wp:extent cx="3485515" cy="2614295"/>
                  <wp:effectExtent l="0" t="0" r="635" b="14605"/>
                  <wp:docPr id="127" name="图片 127" descr="南部场区西 构件加工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南部场区西 构件加工厂"/>
                          <pic:cNvPicPr>
                            <a:picLocks noChangeAspect="1"/>
                          </pic:cNvPicPr>
                        </pic:nvPicPr>
                        <pic:blipFill>
                          <a:blip r:embed="rId32"/>
                          <a:stretch>
                            <a:fillRect/>
                          </a:stretch>
                        </pic:blipFill>
                        <pic:spPr>
                          <a:xfrm>
                            <a:off x="0" y="0"/>
                            <a:ext cx="3485515" cy="2614295"/>
                          </a:xfrm>
                          <a:prstGeom prst="rect">
                            <a:avLst/>
                          </a:prstGeom>
                        </pic:spPr>
                      </pic:pic>
                    </a:graphicData>
                  </a:graphic>
                </wp:inline>
              </w:drawing>
            </w:r>
          </w:p>
        </w:tc>
      </w:tr>
      <w:tr w14:paraId="5798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950" w:type="dxa"/>
            <w:tcBorders>
              <w:tl2br w:val="nil"/>
              <w:tr2bl w:val="nil"/>
            </w:tcBorders>
            <w:vAlign w:val="center"/>
          </w:tcPr>
          <w:p w14:paraId="26150595">
            <w:pPr>
              <w:jc w:val="center"/>
              <w:rPr>
                <w:rFonts w:hint="eastAsia" w:eastAsia="宋体"/>
                <w:b/>
                <w:bCs/>
                <w:color w:val="auto"/>
                <w:szCs w:val="21"/>
                <w:lang w:eastAsia="zh-CN"/>
              </w:rPr>
            </w:pPr>
            <w:r>
              <w:rPr>
                <w:b/>
                <w:bCs/>
                <w:color w:val="auto"/>
                <w:szCs w:val="21"/>
              </w:rPr>
              <w:t>厂区东侧</w:t>
            </w:r>
            <w:r>
              <w:rPr>
                <w:rFonts w:hint="eastAsia"/>
                <w:b/>
                <w:bCs/>
                <w:color w:val="auto"/>
                <w:szCs w:val="21"/>
              </w:rPr>
              <w:t>为</w:t>
            </w:r>
            <w:r>
              <w:rPr>
                <w:rFonts w:hint="eastAsia"/>
                <w:b/>
                <w:bCs/>
                <w:color w:val="auto"/>
                <w:szCs w:val="21"/>
                <w:lang w:val="en-US" w:eastAsia="zh-CN"/>
              </w:rPr>
              <w:t>荒地</w:t>
            </w:r>
          </w:p>
        </w:tc>
        <w:tc>
          <w:tcPr>
            <w:tcW w:w="6950" w:type="dxa"/>
            <w:tcBorders>
              <w:tl2br w:val="nil"/>
              <w:tr2bl w:val="nil"/>
            </w:tcBorders>
            <w:vAlign w:val="center"/>
          </w:tcPr>
          <w:p w14:paraId="19A1628A">
            <w:pPr>
              <w:jc w:val="center"/>
              <w:rPr>
                <w:rFonts w:hint="default" w:eastAsia="宋体"/>
                <w:b/>
                <w:bCs/>
                <w:color w:val="auto"/>
                <w:szCs w:val="21"/>
                <w:lang w:val="en-US" w:eastAsia="zh-CN"/>
              </w:rPr>
            </w:pPr>
            <w:r>
              <w:rPr>
                <w:b/>
                <w:bCs/>
                <w:color w:val="auto"/>
                <w:szCs w:val="21"/>
              </w:rPr>
              <w:t>厂区南侧为</w:t>
            </w:r>
            <w:r>
              <w:rPr>
                <w:rFonts w:hint="eastAsia"/>
                <w:b/>
                <w:bCs/>
                <w:color w:val="auto"/>
                <w:szCs w:val="21"/>
                <w:lang w:val="en-US" w:eastAsia="zh-CN"/>
              </w:rPr>
              <w:t>构件加工厂</w:t>
            </w:r>
          </w:p>
        </w:tc>
      </w:tr>
      <w:tr w14:paraId="416C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6950" w:type="dxa"/>
            <w:tcBorders>
              <w:tl2br w:val="nil"/>
              <w:tr2bl w:val="nil"/>
            </w:tcBorders>
            <w:vAlign w:val="center"/>
          </w:tcPr>
          <w:p w14:paraId="31800B3E">
            <w:pPr>
              <w:jc w:val="center"/>
              <w:rPr>
                <w:rFonts w:hint="eastAsia" w:eastAsia="宋体"/>
                <w:b/>
                <w:bCs/>
                <w:color w:val="auto"/>
                <w:szCs w:val="21"/>
                <w:lang w:eastAsia="zh-CN"/>
              </w:rPr>
            </w:pPr>
            <w:bookmarkStart w:id="23" w:name="_Toc73523382"/>
            <w:r>
              <w:rPr>
                <w:rFonts w:hint="eastAsia" w:eastAsia="宋体"/>
                <w:b/>
                <w:bCs/>
                <w:color w:val="auto"/>
                <w:szCs w:val="21"/>
                <w:lang w:eastAsia="zh-CN"/>
              </w:rPr>
              <w:drawing>
                <wp:inline distT="0" distB="0" distL="114300" distR="114300">
                  <wp:extent cx="3428365" cy="2571750"/>
                  <wp:effectExtent l="0" t="0" r="635" b="0"/>
                  <wp:docPr id="128" name="图片 128" descr="北部场区西 荒地民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北部场区西 荒地民房"/>
                          <pic:cNvPicPr>
                            <a:picLocks noChangeAspect="1"/>
                          </pic:cNvPicPr>
                        </pic:nvPicPr>
                        <pic:blipFill>
                          <a:blip r:embed="rId33"/>
                          <a:stretch>
                            <a:fillRect/>
                          </a:stretch>
                        </pic:blipFill>
                        <pic:spPr>
                          <a:xfrm>
                            <a:off x="0" y="0"/>
                            <a:ext cx="3428365" cy="2571750"/>
                          </a:xfrm>
                          <a:prstGeom prst="rect">
                            <a:avLst/>
                          </a:prstGeom>
                        </pic:spPr>
                      </pic:pic>
                    </a:graphicData>
                  </a:graphic>
                </wp:inline>
              </w:drawing>
            </w:r>
          </w:p>
        </w:tc>
        <w:tc>
          <w:tcPr>
            <w:tcW w:w="6950" w:type="dxa"/>
            <w:tcBorders>
              <w:tl2br w:val="nil"/>
              <w:tr2bl w:val="nil"/>
            </w:tcBorders>
            <w:vAlign w:val="center"/>
          </w:tcPr>
          <w:p w14:paraId="051F9CFA">
            <w:pPr>
              <w:jc w:val="center"/>
              <w:rPr>
                <w:rFonts w:hint="eastAsia" w:eastAsia="宋体"/>
                <w:b/>
                <w:bCs/>
                <w:color w:val="auto"/>
                <w:szCs w:val="21"/>
                <w:lang w:eastAsia="zh-CN"/>
              </w:rPr>
            </w:pPr>
            <w:r>
              <w:rPr>
                <w:rFonts w:hint="eastAsia" w:eastAsia="宋体"/>
                <w:b/>
                <w:bCs/>
                <w:color w:val="auto"/>
                <w:szCs w:val="21"/>
                <w:lang w:eastAsia="zh-CN"/>
              </w:rPr>
              <w:drawing>
                <wp:inline distT="0" distB="0" distL="114300" distR="114300">
                  <wp:extent cx="3522980" cy="2642235"/>
                  <wp:effectExtent l="0" t="0" r="1270" b="5715"/>
                  <wp:docPr id="125" name="图片 125" descr="场区北 废弃厂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场区北 废弃厂房"/>
                          <pic:cNvPicPr>
                            <a:picLocks noChangeAspect="1"/>
                          </pic:cNvPicPr>
                        </pic:nvPicPr>
                        <pic:blipFill>
                          <a:blip r:embed="rId34"/>
                          <a:stretch>
                            <a:fillRect/>
                          </a:stretch>
                        </pic:blipFill>
                        <pic:spPr>
                          <a:xfrm>
                            <a:off x="0" y="0"/>
                            <a:ext cx="3522980" cy="2642235"/>
                          </a:xfrm>
                          <a:prstGeom prst="rect">
                            <a:avLst/>
                          </a:prstGeom>
                        </pic:spPr>
                      </pic:pic>
                    </a:graphicData>
                  </a:graphic>
                </wp:inline>
              </w:drawing>
            </w:r>
          </w:p>
        </w:tc>
      </w:tr>
      <w:tr w14:paraId="6701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950" w:type="dxa"/>
            <w:tcBorders>
              <w:tl2br w:val="nil"/>
              <w:tr2bl w:val="nil"/>
            </w:tcBorders>
            <w:vAlign w:val="center"/>
          </w:tcPr>
          <w:p w14:paraId="52CBF738">
            <w:pPr>
              <w:jc w:val="center"/>
              <w:rPr>
                <w:rFonts w:hint="default" w:eastAsia="宋体"/>
                <w:b/>
                <w:bCs/>
                <w:color w:val="auto"/>
                <w:szCs w:val="21"/>
                <w:lang w:val="en-US" w:eastAsia="zh-CN"/>
              </w:rPr>
            </w:pPr>
            <w:r>
              <w:rPr>
                <w:b/>
                <w:bCs/>
                <w:color w:val="auto"/>
                <w:szCs w:val="21"/>
              </w:rPr>
              <w:t>厂区西侧</w:t>
            </w:r>
            <w:r>
              <w:rPr>
                <w:rFonts w:hint="eastAsia"/>
                <w:b/>
                <w:bCs/>
                <w:color w:val="auto"/>
                <w:szCs w:val="21"/>
              </w:rPr>
              <w:t>为</w:t>
            </w:r>
            <w:r>
              <w:rPr>
                <w:rFonts w:hint="eastAsia"/>
                <w:b/>
                <w:bCs/>
                <w:color w:val="auto"/>
                <w:szCs w:val="21"/>
                <w:lang w:val="en-US" w:eastAsia="zh-CN"/>
              </w:rPr>
              <w:t>荒地</w:t>
            </w:r>
          </w:p>
        </w:tc>
        <w:tc>
          <w:tcPr>
            <w:tcW w:w="6950" w:type="dxa"/>
            <w:tcBorders>
              <w:tl2br w:val="nil"/>
              <w:tr2bl w:val="nil"/>
            </w:tcBorders>
            <w:vAlign w:val="center"/>
          </w:tcPr>
          <w:p w14:paraId="1D1B3A2E">
            <w:pPr>
              <w:jc w:val="center"/>
              <w:rPr>
                <w:rFonts w:hint="default" w:eastAsia="宋体"/>
                <w:b/>
                <w:bCs/>
                <w:color w:val="auto"/>
                <w:szCs w:val="21"/>
                <w:lang w:val="en-US" w:eastAsia="zh-CN"/>
              </w:rPr>
            </w:pPr>
            <w:r>
              <w:rPr>
                <w:b/>
                <w:bCs/>
                <w:color w:val="auto"/>
                <w:szCs w:val="21"/>
              </w:rPr>
              <w:t>厂区北侧为</w:t>
            </w:r>
            <w:r>
              <w:rPr>
                <w:rFonts w:hint="eastAsia"/>
                <w:b/>
                <w:bCs/>
                <w:color w:val="auto"/>
                <w:szCs w:val="21"/>
                <w:lang w:val="en-US" w:eastAsia="zh-CN"/>
              </w:rPr>
              <w:t>闲置厂房</w:t>
            </w:r>
          </w:p>
        </w:tc>
      </w:tr>
      <w:bookmarkEnd w:id="23"/>
    </w:tbl>
    <w:p w14:paraId="6440465D">
      <w:pPr>
        <w:widowControl/>
        <w:jc w:val="left"/>
        <w:outlineLvl w:val="0"/>
        <w:rPr>
          <w:b/>
          <w:bCs/>
          <w:color w:val="auto"/>
          <w:sz w:val="28"/>
        </w:rPr>
        <w:sectPr>
          <w:pgSz w:w="16840" w:h="11907" w:orient="landscape"/>
          <w:pgMar w:top="1134" w:right="1418" w:bottom="1134" w:left="1418" w:header="851" w:footer="992" w:gutter="0"/>
          <w:pgBorders>
            <w:top w:val="none" w:sz="0" w:space="0"/>
            <w:left w:val="none" w:sz="0" w:space="0"/>
            <w:bottom w:val="none" w:sz="0" w:space="0"/>
            <w:right w:val="none" w:sz="0" w:space="0"/>
          </w:pgBorders>
          <w:cols w:space="720" w:num="1"/>
          <w:docGrid w:linePitch="326" w:charSpace="0"/>
        </w:sectPr>
      </w:pPr>
    </w:p>
    <w:p w14:paraId="22445732">
      <w:pPr>
        <w:tabs>
          <w:tab w:val="left" w:pos="1159"/>
        </w:tabs>
        <w:outlineLvl w:val="0"/>
        <w:rPr>
          <w:color w:val="auto"/>
        </w:rPr>
      </w:pPr>
      <w:bookmarkStart w:id="24" w:name="_Toc73523383"/>
      <w:r>
        <w:rPr>
          <w:rFonts w:hint="eastAsia"/>
          <w:b/>
          <w:bCs/>
          <w:color w:val="auto"/>
          <w:sz w:val="28"/>
        </w:rPr>
        <w:t>附件1：营业执照</w:t>
      </w:r>
      <w:bookmarkEnd w:id="24"/>
    </w:p>
    <w:p w14:paraId="4E820883">
      <w:pPr>
        <w:pStyle w:val="20"/>
        <w:ind w:left="0" w:leftChars="0"/>
        <w:jc w:val="center"/>
        <w:rPr>
          <w:rFonts w:hint="eastAsia" w:eastAsia="宋体"/>
          <w:color w:val="auto"/>
          <w:lang w:eastAsia="zh-CN"/>
        </w:rPr>
      </w:pPr>
      <w:r>
        <w:rPr>
          <w:rFonts w:hint="eastAsia" w:eastAsia="宋体"/>
          <w:color w:val="auto"/>
          <w:lang w:eastAsia="zh-CN"/>
        </w:rPr>
        <w:drawing>
          <wp:inline distT="0" distB="0" distL="114300" distR="114300">
            <wp:extent cx="5362575" cy="7624445"/>
            <wp:effectExtent l="0" t="0" r="14605" b="9525"/>
            <wp:docPr id="10" name="图片 10" descr="营业执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营业执照"/>
                    <pic:cNvPicPr>
                      <a:picLocks noChangeAspect="1"/>
                    </pic:cNvPicPr>
                  </pic:nvPicPr>
                  <pic:blipFill>
                    <a:blip r:embed="rId35"/>
                    <a:stretch>
                      <a:fillRect/>
                    </a:stretch>
                  </pic:blipFill>
                  <pic:spPr>
                    <a:xfrm rot="5400000">
                      <a:off x="0" y="0"/>
                      <a:ext cx="5362575" cy="7624445"/>
                    </a:xfrm>
                    <a:prstGeom prst="rect">
                      <a:avLst/>
                    </a:prstGeom>
                  </pic:spPr>
                </pic:pic>
              </a:graphicData>
            </a:graphic>
          </wp:inline>
        </w:drawing>
      </w:r>
    </w:p>
    <w:p w14:paraId="7E0900D0">
      <w:pPr>
        <w:pStyle w:val="18"/>
        <w:rPr>
          <w:color w:val="auto"/>
        </w:rPr>
        <w:sectPr>
          <w:footerReference r:id="rId8" w:type="default"/>
          <w:pgSz w:w="16839" w:h="11907" w:orient="landscape"/>
          <w:pgMar w:top="1080" w:right="1440" w:bottom="1080" w:left="1440" w:header="1247" w:footer="1247" w:gutter="0"/>
          <w:pgBorders>
            <w:top w:val="none" w:sz="0" w:space="0"/>
            <w:left w:val="none" w:sz="0" w:space="0"/>
            <w:bottom w:val="none" w:sz="0" w:space="0"/>
            <w:right w:val="none" w:sz="0" w:space="0"/>
          </w:pgBorders>
          <w:cols w:space="425" w:num="1"/>
          <w:docGrid w:type="lines" w:linePitch="312" w:charSpace="0"/>
        </w:sectPr>
      </w:pPr>
    </w:p>
    <w:p w14:paraId="31E501C5">
      <w:pPr>
        <w:tabs>
          <w:tab w:val="left" w:pos="1159"/>
        </w:tabs>
        <w:outlineLvl w:val="0"/>
        <w:rPr>
          <w:rFonts w:hint="eastAsia" w:eastAsia="宋体"/>
          <w:b/>
          <w:bCs/>
          <w:color w:val="auto"/>
          <w:sz w:val="28"/>
          <w:lang w:eastAsia="zh-CN"/>
        </w:rPr>
      </w:pPr>
      <w:bookmarkStart w:id="25" w:name="_Toc73523386"/>
      <w:r>
        <w:rPr>
          <w:rFonts w:hint="eastAsia"/>
          <w:b/>
          <w:bCs/>
          <w:color w:val="auto"/>
          <w:sz w:val="28"/>
        </w:rPr>
        <w:t>附件2：</w:t>
      </w:r>
      <w:r>
        <w:rPr>
          <w:rFonts w:hint="eastAsia"/>
          <w:b/>
          <w:bCs/>
          <w:color w:val="auto"/>
          <w:sz w:val="28"/>
          <w:lang w:val="en-US" w:eastAsia="zh-CN"/>
        </w:rPr>
        <w:t>土地证</w:t>
      </w:r>
    </w:p>
    <w:p w14:paraId="0FA520B2">
      <w:pPr>
        <w:tabs>
          <w:tab w:val="left" w:pos="1159"/>
        </w:tabs>
        <w:jc w:val="center"/>
        <w:rPr>
          <w:rFonts w:hint="eastAsia" w:eastAsia="宋体"/>
          <w:b/>
          <w:bCs/>
          <w:color w:val="auto"/>
          <w:sz w:val="28"/>
          <w:lang w:eastAsia="zh-CN"/>
        </w:rPr>
      </w:pPr>
      <w:r>
        <w:rPr>
          <w:color w:val="auto"/>
        </w:rPr>
        <w:drawing>
          <wp:inline distT="0" distB="0" distL="114300" distR="114300">
            <wp:extent cx="6309360" cy="4321810"/>
            <wp:effectExtent l="0" t="0" r="15240" b="254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36"/>
                    <a:stretch>
                      <a:fillRect/>
                    </a:stretch>
                  </pic:blipFill>
                  <pic:spPr>
                    <a:xfrm>
                      <a:off x="0" y="0"/>
                      <a:ext cx="6309360" cy="4321810"/>
                    </a:xfrm>
                    <a:prstGeom prst="rect">
                      <a:avLst/>
                    </a:prstGeom>
                    <a:noFill/>
                    <a:ln>
                      <a:noFill/>
                    </a:ln>
                  </pic:spPr>
                </pic:pic>
              </a:graphicData>
            </a:graphic>
          </wp:inline>
        </w:drawing>
      </w:r>
    </w:p>
    <w:p w14:paraId="70405683">
      <w:pPr>
        <w:pStyle w:val="2"/>
        <w:ind w:left="0" w:leftChars="0" w:firstLine="0" w:firstLineChars="0"/>
        <w:rPr>
          <w:rFonts w:hint="eastAsia" w:eastAsia="宋体"/>
          <w:b/>
          <w:bCs/>
          <w:color w:val="auto"/>
          <w:sz w:val="28"/>
          <w:lang w:eastAsia="zh-CN"/>
        </w:rPr>
      </w:pPr>
      <w:r>
        <w:rPr>
          <w:rFonts w:hint="eastAsia" w:eastAsia="宋体"/>
          <w:b/>
          <w:bCs/>
          <w:color w:val="auto"/>
          <w:sz w:val="28"/>
          <w:lang w:eastAsia="zh-CN"/>
        </w:rPr>
        <w:drawing>
          <wp:inline distT="0" distB="0" distL="114300" distR="114300">
            <wp:extent cx="6284595" cy="4195445"/>
            <wp:effectExtent l="0" t="0" r="1905" b="14605"/>
            <wp:docPr id="19" name="图片 19" descr="8c3305e41589ea74435865339da8d8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8c3305e41589ea74435865339da8d8f2"/>
                    <pic:cNvPicPr>
                      <a:picLocks noChangeAspect="1"/>
                    </pic:cNvPicPr>
                  </pic:nvPicPr>
                  <pic:blipFill>
                    <a:blip r:embed="rId37"/>
                    <a:stretch>
                      <a:fillRect/>
                    </a:stretch>
                  </pic:blipFill>
                  <pic:spPr>
                    <a:xfrm>
                      <a:off x="0" y="0"/>
                      <a:ext cx="6284595" cy="4195445"/>
                    </a:xfrm>
                    <a:prstGeom prst="rect">
                      <a:avLst/>
                    </a:prstGeom>
                  </pic:spPr>
                </pic:pic>
              </a:graphicData>
            </a:graphic>
          </wp:inline>
        </w:drawing>
      </w:r>
    </w:p>
    <w:p w14:paraId="4E34E84A">
      <w:pPr>
        <w:tabs>
          <w:tab w:val="left" w:pos="1159"/>
        </w:tabs>
        <w:outlineLvl w:val="0"/>
        <w:rPr>
          <w:b/>
          <w:bCs/>
          <w:color w:val="auto"/>
          <w:sz w:val="28"/>
        </w:rPr>
        <w:sectPr>
          <w:pgSz w:w="11907" w:h="16840"/>
          <w:pgMar w:top="1418" w:right="836" w:bottom="1418" w:left="1134" w:header="851" w:footer="992" w:gutter="0"/>
          <w:pgBorders>
            <w:top w:val="none" w:sz="0" w:space="0"/>
            <w:left w:val="none" w:sz="0" w:space="0"/>
            <w:bottom w:val="none" w:sz="0" w:space="0"/>
            <w:right w:val="none" w:sz="0" w:space="0"/>
          </w:pgBorders>
          <w:cols w:space="720" w:num="1"/>
          <w:docGrid w:linePitch="326" w:charSpace="0"/>
        </w:sectPr>
      </w:pPr>
    </w:p>
    <w:p w14:paraId="5DEDBE65">
      <w:pPr>
        <w:tabs>
          <w:tab w:val="left" w:pos="1159"/>
        </w:tabs>
        <w:outlineLvl w:val="0"/>
        <w:rPr>
          <w:rFonts w:hint="eastAsia"/>
          <w:b/>
          <w:bCs/>
          <w:color w:val="auto"/>
          <w:sz w:val="28"/>
          <w:lang w:val="en-US" w:eastAsia="zh-CN"/>
        </w:rPr>
      </w:pPr>
      <w:r>
        <w:rPr>
          <w:rFonts w:hint="eastAsia"/>
          <w:b/>
          <w:bCs/>
          <w:color w:val="auto"/>
          <w:sz w:val="28"/>
        </w:rPr>
        <w:t>附件3：</w:t>
      </w:r>
      <w:r>
        <w:rPr>
          <w:rFonts w:hint="eastAsia"/>
          <w:b/>
          <w:bCs/>
          <w:color w:val="auto"/>
          <w:sz w:val="28"/>
          <w:lang w:val="en-US" w:eastAsia="zh-CN"/>
        </w:rPr>
        <w:t>租赁合同</w:t>
      </w:r>
    </w:p>
    <w:p w14:paraId="53A7AB2F">
      <w:pPr>
        <w:pStyle w:val="2"/>
        <w:rPr>
          <w:rFonts w:hint="eastAsia"/>
          <w:b/>
          <w:bCs/>
          <w:color w:val="auto"/>
          <w:sz w:val="28"/>
          <w:lang w:val="en-US" w:eastAsia="zh-CN"/>
        </w:rPr>
      </w:pPr>
    </w:p>
    <w:p w14:paraId="2E1C4E76">
      <w:pPr>
        <w:pStyle w:val="2"/>
        <w:rPr>
          <w:rFonts w:hint="default"/>
          <w:b/>
          <w:bCs/>
          <w:color w:val="auto"/>
          <w:sz w:val="28"/>
          <w:lang w:val="en-US" w:eastAsia="zh-CN"/>
        </w:rPr>
      </w:pPr>
    </w:p>
    <w:p w14:paraId="717BA6C1">
      <w:pPr>
        <w:tabs>
          <w:tab w:val="left" w:pos="1159"/>
        </w:tabs>
        <w:jc w:val="center"/>
        <w:outlineLvl w:val="9"/>
        <w:rPr>
          <w:rFonts w:hint="eastAsia"/>
          <w:b/>
          <w:bCs/>
          <w:color w:val="auto"/>
          <w:sz w:val="28"/>
        </w:rPr>
      </w:pPr>
      <w:r>
        <w:rPr>
          <w:color w:val="auto"/>
        </w:rPr>
        <w:drawing>
          <wp:inline distT="0" distB="0" distL="114300" distR="114300">
            <wp:extent cx="5372100" cy="7296150"/>
            <wp:effectExtent l="0" t="0" r="0" b="0"/>
            <wp:docPr id="65" name="图片 6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图片1"/>
                    <pic:cNvPicPr>
                      <a:picLocks noChangeAspect="1"/>
                    </pic:cNvPicPr>
                  </pic:nvPicPr>
                  <pic:blipFill>
                    <a:blip r:embed="rId38"/>
                    <a:stretch>
                      <a:fillRect/>
                    </a:stretch>
                  </pic:blipFill>
                  <pic:spPr>
                    <a:xfrm>
                      <a:off x="0" y="0"/>
                      <a:ext cx="5372100" cy="7296150"/>
                    </a:xfrm>
                    <a:prstGeom prst="rect">
                      <a:avLst/>
                    </a:prstGeom>
                  </pic:spPr>
                </pic:pic>
              </a:graphicData>
            </a:graphic>
          </wp:inline>
        </w:drawing>
      </w:r>
      <w:r>
        <w:rPr>
          <w:color w:val="auto"/>
        </w:rPr>
        <w:drawing>
          <wp:inline distT="0" distB="0" distL="114300" distR="114300">
            <wp:extent cx="4495800" cy="7181850"/>
            <wp:effectExtent l="0" t="0" r="0" b="0"/>
            <wp:docPr id="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pic:cNvPicPr>
                      <a:picLocks noChangeAspect="1"/>
                    </pic:cNvPicPr>
                  </pic:nvPicPr>
                  <pic:blipFill>
                    <a:blip r:embed="rId39"/>
                    <a:stretch>
                      <a:fillRect/>
                    </a:stretch>
                  </pic:blipFill>
                  <pic:spPr>
                    <a:xfrm>
                      <a:off x="0" y="0"/>
                      <a:ext cx="4495800" cy="7181850"/>
                    </a:xfrm>
                    <a:prstGeom prst="rect">
                      <a:avLst/>
                    </a:prstGeom>
                    <a:noFill/>
                    <a:ln>
                      <a:noFill/>
                    </a:ln>
                  </pic:spPr>
                </pic:pic>
              </a:graphicData>
            </a:graphic>
          </wp:inline>
        </w:drawing>
      </w:r>
      <w:r>
        <w:rPr>
          <w:color w:val="auto"/>
        </w:rPr>
        <w:drawing>
          <wp:inline distT="0" distB="0" distL="114300" distR="114300">
            <wp:extent cx="5133975" cy="7381875"/>
            <wp:effectExtent l="0" t="0" r="9525" b="9525"/>
            <wp:docPr id="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
                    <pic:cNvPicPr>
                      <a:picLocks noChangeAspect="1"/>
                    </pic:cNvPicPr>
                  </pic:nvPicPr>
                  <pic:blipFill>
                    <a:blip r:embed="rId40"/>
                    <a:stretch>
                      <a:fillRect/>
                    </a:stretch>
                  </pic:blipFill>
                  <pic:spPr>
                    <a:xfrm>
                      <a:off x="0" y="0"/>
                      <a:ext cx="5133975" cy="7381875"/>
                    </a:xfrm>
                    <a:prstGeom prst="rect">
                      <a:avLst/>
                    </a:prstGeom>
                    <a:noFill/>
                    <a:ln>
                      <a:noFill/>
                    </a:ln>
                  </pic:spPr>
                </pic:pic>
              </a:graphicData>
            </a:graphic>
          </wp:inline>
        </w:drawing>
      </w:r>
    </w:p>
    <w:p w14:paraId="2280A122">
      <w:pPr>
        <w:pStyle w:val="2"/>
        <w:rPr>
          <w:rFonts w:hint="eastAsia"/>
          <w:b/>
          <w:bCs/>
          <w:color w:val="auto"/>
          <w:sz w:val="28"/>
        </w:rPr>
      </w:pPr>
    </w:p>
    <w:p w14:paraId="32003913">
      <w:pPr>
        <w:pStyle w:val="2"/>
        <w:rPr>
          <w:rFonts w:hint="eastAsia"/>
          <w:b/>
          <w:bCs/>
          <w:color w:val="auto"/>
          <w:sz w:val="28"/>
        </w:rPr>
      </w:pPr>
    </w:p>
    <w:p w14:paraId="28E52F60">
      <w:pPr>
        <w:pStyle w:val="2"/>
        <w:rPr>
          <w:rFonts w:hint="eastAsia"/>
          <w:b/>
          <w:bCs/>
          <w:color w:val="auto"/>
          <w:sz w:val="28"/>
        </w:rPr>
        <w:sectPr>
          <w:pgSz w:w="11907" w:h="16840"/>
          <w:pgMar w:top="1418" w:right="836" w:bottom="1418" w:left="1134" w:header="851" w:footer="992" w:gutter="0"/>
          <w:pgBorders>
            <w:top w:val="none" w:sz="0" w:space="0"/>
            <w:left w:val="none" w:sz="0" w:space="0"/>
            <w:bottom w:val="none" w:sz="0" w:space="0"/>
            <w:right w:val="none" w:sz="0" w:space="0"/>
          </w:pgBorders>
          <w:cols w:space="720" w:num="1"/>
          <w:docGrid w:linePitch="326" w:charSpace="0"/>
        </w:sectPr>
      </w:pPr>
    </w:p>
    <w:p w14:paraId="66E77817">
      <w:pPr>
        <w:tabs>
          <w:tab w:val="left" w:pos="1159"/>
        </w:tabs>
        <w:outlineLvl w:val="0"/>
        <w:rPr>
          <w:rFonts w:hint="default" w:eastAsia="宋体"/>
          <w:b/>
          <w:bCs/>
          <w:color w:val="auto"/>
          <w:sz w:val="28"/>
          <w:lang w:val="en-US" w:eastAsia="zh-CN"/>
        </w:rPr>
      </w:pPr>
      <w:r>
        <w:rPr>
          <w:rFonts w:hint="eastAsia"/>
          <w:b/>
          <w:bCs/>
          <w:color w:val="auto"/>
          <w:sz w:val="28"/>
        </w:rPr>
        <w:t>附件</w:t>
      </w:r>
      <w:r>
        <w:rPr>
          <w:rFonts w:hint="eastAsia"/>
          <w:b/>
          <w:bCs/>
          <w:color w:val="auto"/>
          <w:sz w:val="28"/>
          <w:lang w:val="en-US" w:eastAsia="zh-CN"/>
        </w:rPr>
        <w:t>4</w:t>
      </w:r>
      <w:r>
        <w:rPr>
          <w:rFonts w:hint="eastAsia"/>
          <w:b/>
          <w:bCs/>
          <w:color w:val="auto"/>
          <w:sz w:val="28"/>
        </w:rPr>
        <w:t>：</w:t>
      </w:r>
      <w:r>
        <w:rPr>
          <w:rFonts w:hint="eastAsia"/>
          <w:b/>
          <w:bCs/>
          <w:color w:val="auto"/>
          <w:sz w:val="28"/>
          <w:lang w:val="en-US" w:eastAsia="zh-CN"/>
        </w:rPr>
        <w:t>煤质检测报告</w:t>
      </w:r>
    </w:p>
    <w:p w14:paraId="78A9369F">
      <w:pPr>
        <w:tabs>
          <w:tab w:val="left" w:pos="1159"/>
        </w:tabs>
        <w:jc w:val="center"/>
        <w:outlineLvl w:val="9"/>
        <w:rPr>
          <w:rFonts w:hint="eastAsia"/>
          <w:b/>
          <w:bCs/>
          <w:color w:val="auto"/>
          <w:sz w:val="28"/>
          <w:lang w:val="en-US" w:eastAsia="zh-CN"/>
        </w:rPr>
      </w:pPr>
      <w:r>
        <w:rPr>
          <w:rFonts w:hint="eastAsia"/>
          <w:b/>
          <w:bCs/>
          <w:color w:val="auto"/>
          <w:sz w:val="28"/>
          <w:lang w:val="en-US" w:eastAsia="zh-CN"/>
        </w:rPr>
        <w:drawing>
          <wp:inline distT="0" distB="0" distL="114300" distR="114300">
            <wp:extent cx="5857240" cy="8448675"/>
            <wp:effectExtent l="0" t="0" r="10160" b="9525"/>
            <wp:docPr id="78" name="图片 78" descr="499911b08f32d97a44187a8e13df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499911b08f32d97a44187a8e13df798"/>
                    <pic:cNvPicPr>
                      <a:picLocks noChangeAspect="1"/>
                    </pic:cNvPicPr>
                  </pic:nvPicPr>
                  <pic:blipFill>
                    <a:blip r:embed="rId41"/>
                    <a:stretch>
                      <a:fillRect/>
                    </a:stretch>
                  </pic:blipFill>
                  <pic:spPr>
                    <a:xfrm>
                      <a:off x="0" y="0"/>
                      <a:ext cx="5857240" cy="8448675"/>
                    </a:xfrm>
                    <a:prstGeom prst="rect">
                      <a:avLst/>
                    </a:prstGeom>
                  </pic:spPr>
                </pic:pic>
              </a:graphicData>
            </a:graphic>
          </wp:inline>
        </w:drawing>
      </w:r>
    </w:p>
    <w:p w14:paraId="0761CBF2">
      <w:pPr>
        <w:pStyle w:val="46"/>
        <w:rPr>
          <w:rFonts w:hint="eastAsia"/>
          <w:color w:val="auto"/>
          <w:lang w:val="en-US" w:eastAsia="zh-CN"/>
        </w:rPr>
        <w:sectPr>
          <w:pgSz w:w="11907" w:h="16840"/>
          <w:pgMar w:top="1418" w:right="836" w:bottom="1418" w:left="1134" w:header="851" w:footer="992" w:gutter="0"/>
          <w:pgBorders>
            <w:top w:val="none" w:sz="0" w:space="0"/>
            <w:left w:val="none" w:sz="0" w:space="0"/>
            <w:bottom w:val="none" w:sz="0" w:space="0"/>
            <w:right w:val="none" w:sz="0" w:space="0"/>
          </w:pgBorders>
          <w:cols w:space="720" w:num="1"/>
          <w:docGrid w:linePitch="326" w:charSpace="0"/>
        </w:sectPr>
      </w:pPr>
    </w:p>
    <w:p w14:paraId="7EE91B31">
      <w:pPr>
        <w:tabs>
          <w:tab w:val="left" w:pos="1159"/>
        </w:tabs>
        <w:outlineLvl w:val="0"/>
        <w:rPr>
          <w:b/>
          <w:bCs/>
          <w:color w:val="auto"/>
          <w:sz w:val="28"/>
        </w:rPr>
      </w:pPr>
      <w:r>
        <w:rPr>
          <w:rFonts w:hint="eastAsia"/>
          <w:b/>
          <w:bCs/>
          <w:color w:val="auto"/>
          <w:sz w:val="28"/>
          <w:lang w:val="en-US" w:eastAsia="zh-CN"/>
        </w:rPr>
        <w:t>附件5：</w:t>
      </w:r>
      <w:r>
        <w:rPr>
          <w:rFonts w:hint="eastAsia"/>
          <w:b/>
          <w:bCs/>
          <w:color w:val="auto"/>
          <w:sz w:val="28"/>
        </w:rPr>
        <w:t>监测报告</w:t>
      </w:r>
    </w:p>
    <w:p w14:paraId="05E4A207">
      <w:pPr>
        <w:pStyle w:val="20"/>
        <w:ind w:left="0" w:leftChars="0"/>
        <w:jc w:val="center"/>
        <w:rPr>
          <w:color w:val="auto"/>
        </w:rPr>
      </w:pPr>
      <w:r>
        <w:rPr>
          <w:color w:val="auto"/>
        </w:rPr>
        <w:drawing>
          <wp:inline distT="0" distB="0" distL="114300" distR="114300">
            <wp:extent cx="5381625" cy="7629525"/>
            <wp:effectExtent l="0" t="0" r="9525" b="9525"/>
            <wp:docPr id="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5"/>
                    <pic:cNvPicPr>
                      <a:picLocks noChangeAspect="1"/>
                    </pic:cNvPicPr>
                  </pic:nvPicPr>
                  <pic:blipFill>
                    <a:blip r:embed="rId42"/>
                    <a:stretch>
                      <a:fillRect/>
                    </a:stretch>
                  </pic:blipFill>
                  <pic:spPr>
                    <a:xfrm>
                      <a:off x="0" y="0"/>
                      <a:ext cx="5381625" cy="7629525"/>
                    </a:xfrm>
                    <a:prstGeom prst="rect">
                      <a:avLst/>
                    </a:prstGeom>
                    <a:noFill/>
                    <a:ln>
                      <a:noFill/>
                    </a:ln>
                  </pic:spPr>
                </pic:pic>
              </a:graphicData>
            </a:graphic>
          </wp:inline>
        </w:drawing>
      </w:r>
      <w:r>
        <w:rPr>
          <w:color w:val="auto"/>
        </w:rPr>
        <w:drawing>
          <wp:inline distT="0" distB="0" distL="114300" distR="114300">
            <wp:extent cx="5438775" cy="7820025"/>
            <wp:effectExtent l="0" t="0" r="9525" b="9525"/>
            <wp:docPr id="7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
                    <pic:cNvPicPr>
                      <a:picLocks noChangeAspect="1"/>
                    </pic:cNvPicPr>
                  </pic:nvPicPr>
                  <pic:blipFill>
                    <a:blip r:embed="rId43"/>
                    <a:stretch>
                      <a:fillRect/>
                    </a:stretch>
                  </pic:blipFill>
                  <pic:spPr>
                    <a:xfrm>
                      <a:off x="0" y="0"/>
                      <a:ext cx="5438775" cy="7820025"/>
                    </a:xfrm>
                    <a:prstGeom prst="rect">
                      <a:avLst/>
                    </a:prstGeom>
                    <a:noFill/>
                    <a:ln>
                      <a:noFill/>
                    </a:ln>
                  </pic:spPr>
                </pic:pic>
              </a:graphicData>
            </a:graphic>
          </wp:inline>
        </w:drawing>
      </w:r>
      <w:r>
        <w:rPr>
          <w:color w:val="auto"/>
        </w:rPr>
        <w:drawing>
          <wp:inline distT="0" distB="0" distL="114300" distR="114300">
            <wp:extent cx="5505450" cy="7810500"/>
            <wp:effectExtent l="0" t="0" r="0" b="0"/>
            <wp:docPr id="7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
                    <pic:cNvPicPr>
                      <a:picLocks noChangeAspect="1"/>
                    </pic:cNvPicPr>
                  </pic:nvPicPr>
                  <pic:blipFill>
                    <a:blip r:embed="rId44"/>
                    <a:stretch>
                      <a:fillRect/>
                    </a:stretch>
                  </pic:blipFill>
                  <pic:spPr>
                    <a:xfrm>
                      <a:off x="0" y="0"/>
                      <a:ext cx="5505450" cy="7810500"/>
                    </a:xfrm>
                    <a:prstGeom prst="rect">
                      <a:avLst/>
                    </a:prstGeom>
                    <a:noFill/>
                    <a:ln>
                      <a:noFill/>
                    </a:ln>
                  </pic:spPr>
                </pic:pic>
              </a:graphicData>
            </a:graphic>
          </wp:inline>
        </w:drawing>
      </w:r>
      <w:r>
        <w:rPr>
          <w:color w:val="auto"/>
        </w:rPr>
        <w:drawing>
          <wp:inline distT="0" distB="0" distL="114300" distR="114300">
            <wp:extent cx="5534025" cy="7772400"/>
            <wp:effectExtent l="0" t="0" r="9525" b="0"/>
            <wp:docPr id="7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8"/>
                    <pic:cNvPicPr>
                      <a:picLocks noChangeAspect="1"/>
                    </pic:cNvPicPr>
                  </pic:nvPicPr>
                  <pic:blipFill>
                    <a:blip r:embed="rId45"/>
                    <a:stretch>
                      <a:fillRect/>
                    </a:stretch>
                  </pic:blipFill>
                  <pic:spPr>
                    <a:xfrm>
                      <a:off x="0" y="0"/>
                      <a:ext cx="5534025" cy="7772400"/>
                    </a:xfrm>
                    <a:prstGeom prst="rect">
                      <a:avLst/>
                    </a:prstGeom>
                    <a:noFill/>
                    <a:ln>
                      <a:noFill/>
                    </a:ln>
                  </pic:spPr>
                </pic:pic>
              </a:graphicData>
            </a:graphic>
          </wp:inline>
        </w:drawing>
      </w:r>
      <w:r>
        <w:rPr>
          <w:color w:val="auto"/>
        </w:rPr>
        <w:drawing>
          <wp:inline distT="0" distB="0" distL="114300" distR="114300">
            <wp:extent cx="5514975" cy="7800975"/>
            <wp:effectExtent l="0" t="0" r="9525" b="9525"/>
            <wp:docPr id="1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9"/>
                    <pic:cNvPicPr>
                      <a:picLocks noChangeAspect="1"/>
                    </pic:cNvPicPr>
                  </pic:nvPicPr>
                  <pic:blipFill>
                    <a:blip r:embed="rId46"/>
                    <a:stretch>
                      <a:fillRect/>
                    </a:stretch>
                  </pic:blipFill>
                  <pic:spPr>
                    <a:xfrm>
                      <a:off x="0" y="0"/>
                      <a:ext cx="5514975" cy="7800975"/>
                    </a:xfrm>
                    <a:prstGeom prst="rect">
                      <a:avLst/>
                    </a:prstGeom>
                    <a:noFill/>
                    <a:ln>
                      <a:noFill/>
                    </a:ln>
                  </pic:spPr>
                </pic:pic>
              </a:graphicData>
            </a:graphic>
          </wp:inline>
        </w:drawing>
      </w:r>
      <w:r>
        <w:rPr>
          <w:color w:val="auto"/>
        </w:rPr>
        <w:drawing>
          <wp:inline distT="0" distB="0" distL="114300" distR="114300">
            <wp:extent cx="5476875" cy="7715250"/>
            <wp:effectExtent l="0" t="0" r="9525" b="0"/>
            <wp:docPr id="1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0"/>
                    <pic:cNvPicPr>
                      <a:picLocks noChangeAspect="1"/>
                    </pic:cNvPicPr>
                  </pic:nvPicPr>
                  <pic:blipFill>
                    <a:blip r:embed="rId47"/>
                    <a:stretch>
                      <a:fillRect/>
                    </a:stretch>
                  </pic:blipFill>
                  <pic:spPr>
                    <a:xfrm>
                      <a:off x="0" y="0"/>
                      <a:ext cx="5476875" cy="7715250"/>
                    </a:xfrm>
                    <a:prstGeom prst="rect">
                      <a:avLst/>
                    </a:prstGeom>
                    <a:noFill/>
                    <a:ln>
                      <a:noFill/>
                    </a:ln>
                  </pic:spPr>
                </pic:pic>
              </a:graphicData>
            </a:graphic>
          </wp:inline>
        </w:drawing>
      </w:r>
      <w:r>
        <w:rPr>
          <w:color w:val="auto"/>
        </w:rPr>
        <w:drawing>
          <wp:inline distT="0" distB="0" distL="114300" distR="114300">
            <wp:extent cx="5438775" cy="7677150"/>
            <wp:effectExtent l="0" t="0" r="9525" b="0"/>
            <wp:docPr id="1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
                    <pic:cNvPicPr>
                      <a:picLocks noChangeAspect="1"/>
                    </pic:cNvPicPr>
                  </pic:nvPicPr>
                  <pic:blipFill>
                    <a:blip r:embed="rId48"/>
                    <a:stretch>
                      <a:fillRect/>
                    </a:stretch>
                  </pic:blipFill>
                  <pic:spPr>
                    <a:xfrm>
                      <a:off x="0" y="0"/>
                      <a:ext cx="5438775" cy="7677150"/>
                    </a:xfrm>
                    <a:prstGeom prst="rect">
                      <a:avLst/>
                    </a:prstGeom>
                    <a:noFill/>
                    <a:ln>
                      <a:noFill/>
                    </a:ln>
                  </pic:spPr>
                </pic:pic>
              </a:graphicData>
            </a:graphic>
          </wp:inline>
        </w:drawing>
      </w:r>
      <w:r>
        <w:rPr>
          <w:color w:val="auto"/>
        </w:rPr>
        <w:drawing>
          <wp:inline distT="0" distB="0" distL="114300" distR="114300">
            <wp:extent cx="5495925" cy="7791450"/>
            <wp:effectExtent l="0" t="0" r="9525" b="0"/>
            <wp:docPr id="1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2"/>
                    <pic:cNvPicPr>
                      <a:picLocks noChangeAspect="1"/>
                    </pic:cNvPicPr>
                  </pic:nvPicPr>
                  <pic:blipFill>
                    <a:blip r:embed="rId49"/>
                    <a:stretch>
                      <a:fillRect/>
                    </a:stretch>
                  </pic:blipFill>
                  <pic:spPr>
                    <a:xfrm>
                      <a:off x="0" y="0"/>
                      <a:ext cx="5495925" cy="7791450"/>
                    </a:xfrm>
                    <a:prstGeom prst="rect">
                      <a:avLst/>
                    </a:prstGeom>
                    <a:noFill/>
                    <a:ln>
                      <a:noFill/>
                    </a:ln>
                  </pic:spPr>
                </pic:pic>
              </a:graphicData>
            </a:graphic>
          </wp:inline>
        </w:drawing>
      </w:r>
      <w:r>
        <w:rPr>
          <w:color w:val="auto"/>
        </w:rPr>
        <w:drawing>
          <wp:inline distT="0" distB="0" distL="114300" distR="114300">
            <wp:extent cx="5419725" cy="7486650"/>
            <wp:effectExtent l="0" t="0" r="9525" b="0"/>
            <wp:docPr id="1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3"/>
                    <pic:cNvPicPr>
                      <a:picLocks noChangeAspect="1"/>
                    </pic:cNvPicPr>
                  </pic:nvPicPr>
                  <pic:blipFill>
                    <a:blip r:embed="rId50"/>
                    <a:stretch>
                      <a:fillRect/>
                    </a:stretch>
                  </pic:blipFill>
                  <pic:spPr>
                    <a:xfrm>
                      <a:off x="0" y="0"/>
                      <a:ext cx="5419725" cy="7486650"/>
                    </a:xfrm>
                    <a:prstGeom prst="rect">
                      <a:avLst/>
                    </a:prstGeom>
                    <a:noFill/>
                    <a:ln>
                      <a:noFill/>
                    </a:ln>
                  </pic:spPr>
                </pic:pic>
              </a:graphicData>
            </a:graphic>
          </wp:inline>
        </w:drawing>
      </w:r>
      <w:r>
        <w:rPr>
          <w:color w:val="auto"/>
        </w:rPr>
        <w:drawing>
          <wp:inline distT="0" distB="0" distL="114300" distR="114300">
            <wp:extent cx="5486400" cy="7781925"/>
            <wp:effectExtent l="0" t="0" r="0" b="9525"/>
            <wp:docPr id="1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4"/>
                    <pic:cNvPicPr>
                      <a:picLocks noChangeAspect="1"/>
                    </pic:cNvPicPr>
                  </pic:nvPicPr>
                  <pic:blipFill>
                    <a:blip r:embed="rId51"/>
                    <a:stretch>
                      <a:fillRect/>
                    </a:stretch>
                  </pic:blipFill>
                  <pic:spPr>
                    <a:xfrm>
                      <a:off x="0" y="0"/>
                      <a:ext cx="5486400" cy="7781925"/>
                    </a:xfrm>
                    <a:prstGeom prst="rect">
                      <a:avLst/>
                    </a:prstGeom>
                    <a:noFill/>
                    <a:ln>
                      <a:noFill/>
                    </a:ln>
                  </pic:spPr>
                </pic:pic>
              </a:graphicData>
            </a:graphic>
          </wp:inline>
        </w:drawing>
      </w:r>
      <w:r>
        <w:rPr>
          <w:color w:val="auto"/>
        </w:rPr>
        <w:drawing>
          <wp:inline distT="0" distB="0" distL="114300" distR="114300">
            <wp:extent cx="5381625" cy="7677150"/>
            <wp:effectExtent l="0" t="0" r="9525" b="0"/>
            <wp:docPr id="1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5"/>
                    <pic:cNvPicPr>
                      <a:picLocks noChangeAspect="1"/>
                    </pic:cNvPicPr>
                  </pic:nvPicPr>
                  <pic:blipFill>
                    <a:blip r:embed="rId52"/>
                    <a:stretch>
                      <a:fillRect/>
                    </a:stretch>
                  </pic:blipFill>
                  <pic:spPr>
                    <a:xfrm>
                      <a:off x="0" y="0"/>
                      <a:ext cx="5381625" cy="7677150"/>
                    </a:xfrm>
                    <a:prstGeom prst="rect">
                      <a:avLst/>
                    </a:prstGeom>
                    <a:noFill/>
                    <a:ln>
                      <a:noFill/>
                    </a:ln>
                  </pic:spPr>
                </pic:pic>
              </a:graphicData>
            </a:graphic>
          </wp:inline>
        </w:drawing>
      </w:r>
      <w:r>
        <w:rPr>
          <w:color w:val="auto"/>
        </w:rPr>
        <w:drawing>
          <wp:inline distT="0" distB="0" distL="114300" distR="114300">
            <wp:extent cx="5381625" cy="7705725"/>
            <wp:effectExtent l="0" t="0" r="9525" b="9525"/>
            <wp:docPr id="12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6"/>
                    <pic:cNvPicPr>
                      <a:picLocks noChangeAspect="1"/>
                    </pic:cNvPicPr>
                  </pic:nvPicPr>
                  <pic:blipFill>
                    <a:blip r:embed="rId53"/>
                    <a:stretch>
                      <a:fillRect/>
                    </a:stretch>
                  </pic:blipFill>
                  <pic:spPr>
                    <a:xfrm>
                      <a:off x="0" y="0"/>
                      <a:ext cx="5381625" cy="7705725"/>
                    </a:xfrm>
                    <a:prstGeom prst="rect">
                      <a:avLst/>
                    </a:prstGeom>
                    <a:noFill/>
                    <a:ln>
                      <a:noFill/>
                    </a:ln>
                  </pic:spPr>
                </pic:pic>
              </a:graphicData>
            </a:graphic>
          </wp:inline>
        </w:drawing>
      </w:r>
      <w:r>
        <w:rPr>
          <w:color w:val="auto"/>
        </w:rPr>
        <w:drawing>
          <wp:inline distT="0" distB="0" distL="114300" distR="114300">
            <wp:extent cx="5448300" cy="7658100"/>
            <wp:effectExtent l="0" t="0" r="0" b="0"/>
            <wp:docPr id="12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7"/>
                    <pic:cNvPicPr>
                      <a:picLocks noChangeAspect="1"/>
                    </pic:cNvPicPr>
                  </pic:nvPicPr>
                  <pic:blipFill>
                    <a:blip r:embed="rId54"/>
                    <a:stretch>
                      <a:fillRect/>
                    </a:stretch>
                  </pic:blipFill>
                  <pic:spPr>
                    <a:xfrm>
                      <a:off x="0" y="0"/>
                      <a:ext cx="5448300" cy="7658100"/>
                    </a:xfrm>
                    <a:prstGeom prst="rect">
                      <a:avLst/>
                    </a:prstGeom>
                    <a:noFill/>
                    <a:ln>
                      <a:noFill/>
                    </a:ln>
                  </pic:spPr>
                </pic:pic>
              </a:graphicData>
            </a:graphic>
          </wp:inline>
        </w:drawing>
      </w:r>
    </w:p>
    <w:p w14:paraId="08466DA0">
      <w:pPr>
        <w:pStyle w:val="19"/>
        <w:rPr>
          <w:rFonts w:ascii="Times New Roman"/>
          <w:b/>
          <w:bCs/>
          <w:color w:val="auto"/>
          <w:sz w:val="28"/>
        </w:rPr>
        <w:sectPr>
          <w:pgSz w:w="11907" w:h="16840"/>
          <w:pgMar w:top="1418" w:right="836" w:bottom="1418" w:left="1134" w:header="851" w:footer="992" w:gutter="0"/>
          <w:pgBorders>
            <w:top w:val="none" w:sz="0" w:space="0"/>
            <w:left w:val="none" w:sz="0" w:space="0"/>
            <w:bottom w:val="none" w:sz="0" w:space="0"/>
            <w:right w:val="none" w:sz="0" w:space="0"/>
          </w:pgBorders>
          <w:cols w:space="720" w:num="1"/>
          <w:docGrid w:linePitch="326" w:charSpace="0"/>
        </w:sectPr>
      </w:pPr>
    </w:p>
    <w:bookmarkEnd w:id="25"/>
    <w:p w14:paraId="1DAE3875">
      <w:pPr>
        <w:tabs>
          <w:tab w:val="left" w:pos="1159"/>
        </w:tabs>
        <w:outlineLvl w:val="0"/>
        <w:rPr>
          <w:rFonts w:hint="eastAsia"/>
          <w:b/>
          <w:bCs/>
          <w:color w:val="auto"/>
          <w:sz w:val="28"/>
          <w:lang w:val="en-US" w:eastAsia="zh-CN"/>
        </w:rPr>
      </w:pPr>
      <w:r>
        <w:rPr>
          <w:rFonts w:hint="eastAsia"/>
          <w:b/>
          <w:bCs/>
          <w:color w:val="auto"/>
          <w:sz w:val="28"/>
          <w:lang w:val="en-US" w:eastAsia="zh-CN"/>
        </w:rPr>
        <w:t>附件6：生态环境分区管控分析报告</w:t>
      </w:r>
    </w:p>
    <w:p w14:paraId="1B628559">
      <w:pPr>
        <w:pStyle w:val="46"/>
        <w:jc w:val="center"/>
        <w:rPr>
          <w:rFonts w:hint="eastAsia" w:eastAsia="宋体"/>
          <w:b/>
          <w:bCs/>
          <w:color w:val="auto"/>
          <w:sz w:val="28"/>
          <w:lang w:eastAsia="zh-CN"/>
        </w:rPr>
      </w:pPr>
      <w:r>
        <w:rPr>
          <w:rFonts w:hint="eastAsia" w:eastAsia="宋体"/>
          <w:b/>
          <w:bCs/>
          <w:color w:val="auto"/>
          <w:sz w:val="28"/>
          <w:lang w:eastAsia="zh-CN"/>
        </w:rPr>
        <w:drawing>
          <wp:inline distT="0" distB="0" distL="114300" distR="114300">
            <wp:extent cx="8061325" cy="5704205"/>
            <wp:effectExtent l="0" t="0" r="15875" b="10795"/>
            <wp:docPr id="27" name="图片 27" descr="鸡西金雨煤炭销售有限公司煤炭集运_2026年05月06日145900_分析报告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鸡西金雨煤炭销售有限公司煤炭集运_2026年05月06日145900_分析报告_page-0001"/>
                    <pic:cNvPicPr>
                      <a:picLocks noChangeAspect="1"/>
                    </pic:cNvPicPr>
                  </pic:nvPicPr>
                  <pic:blipFill>
                    <a:blip r:embed="rId55"/>
                    <a:stretch>
                      <a:fillRect/>
                    </a:stretch>
                  </pic:blipFill>
                  <pic:spPr>
                    <a:xfrm>
                      <a:off x="0" y="0"/>
                      <a:ext cx="8061325" cy="5704205"/>
                    </a:xfrm>
                    <a:prstGeom prst="rect">
                      <a:avLst/>
                    </a:prstGeom>
                  </pic:spPr>
                </pic:pic>
              </a:graphicData>
            </a:graphic>
          </wp:inline>
        </w:drawing>
      </w:r>
      <w:r>
        <w:rPr>
          <w:rFonts w:hint="eastAsia" w:eastAsia="宋体"/>
          <w:b/>
          <w:bCs/>
          <w:color w:val="auto"/>
          <w:sz w:val="28"/>
          <w:lang w:eastAsia="zh-CN"/>
        </w:rPr>
        <w:drawing>
          <wp:inline distT="0" distB="0" distL="114300" distR="114300">
            <wp:extent cx="8585835" cy="6075045"/>
            <wp:effectExtent l="0" t="0" r="5715" b="1905"/>
            <wp:docPr id="24" name="图片 24" descr="鸡西金雨煤炭销售有限公司煤炭集运_2026年05月06日145900_分析报告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鸡西金雨煤炭销售有限公司煤炭集运_2026年05月06日145900_分析报告_page-0002"/>
                    <pic:cNvPicPr>
                      <a:picLocks noChangeAspect="1"/>
                    </pic:cNvPicPr>
                  </pic:nvPicPr>
                  <pic:blipFill>
                    <a:blip r:embed="rId56"/>
                    <a:stretch>
                      <a:fillRect/>
                    </a:stretch>
                  </pic:blipFill>
                  <pic:spPr>
                    <a:xfrm>
                      <a:off x="0" y="0"/>
                      <a:ext cx="8585835" cy="6075045"/>
                    </a:xfrm>
                    <a:prstGeom prst="rect">
                      <a:avLst/>
                    </a:prstGeom>
                  </pic:spPr>
                </pic:pic>
              </a:graphicData>
            </a:graphic>
          </wp:inline>
        </w:drawing>
      </w:r>
      <w:r>
        <w:rPr>
          <w:rFonts w:hint="eastAsia" w:eastAsia="宋体"/>
          <w:b/>
          <w:bCs/>
          <w:color w:val="auto"/>
          <w:sz w:val="28"/>
          <w:lang w:eastAsia="zh-CN"/>
        </w:rPr>
        <w:drawing>
          <wp:inline distT="0" distB="0" distL="114300" distR="114300">
            <wp:extent cx="8585835" cy="6075045"/>
            <wp:effectExtent l="0" t="0" r="5715" b="1905"/>
            <wp:docPr id="23" name="图片 23" descr="鸡西金雨煤炭销售有限公司煤炭集运_2026年05月06日145900_分析报告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鸡西金雨煤炭销售有限公司煤炭集运_2026年05月06日145900_分析报告_page-0003"/>
                    <pic:cNvPicPr>
                      <a:picLocks noChangeAspect="1"/>
                    </pic:cNvPicPr>
                  </pic:nvPicPr>
                  <pic:blipFill>
                    <a:blip r:embed="rId57"/>
                    <a:stretch>
                      <a:fillRect/>
                    </a:stretch>
                  </pic:blipFill>
                  <pic:spPr>
                    <a:xfrm>
                      <a:off x="0" y="0"/>
                      <a:ext cx="8585835" cy="6075045"/>
                    </a:xfrm>
                    <a:prstGeom prst="rect">
                      <a:avLst/>
                    </a:prstGeom>
                  </pic:spPr>
                </pic:pic>
              </a:graphicData>
            </a:graphic>
          </wp:inline>
        </w:drawing>
      </w:r>
      <w:r>
        <w:rPr>
          <w:rFonts w:hint="eastAsia" w:eastAsia="宋体"/>
          <w:b/>
          <w:bCs/>
          <w:color w:val="auto"/>
          <w:sz w:val="28"/>
          <w:lang w:eastAsia="zh-CN"/>
        </w:rPr>
        <w:drawing>
          <wp:inline distT="0" distB="0" distL="114300" distR="114300">
            <wp:extent cx="8585835" cy="6075045"/>
            <wp:effectExtent l="0" t="0" r="5715" b="1905"/>
            <wp:docPr id="21" name="图片 21" descr="鸡西金雨煤炭销售有限公司煤炭集运_2026年05月06日145900_分析报告_page-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鸡西金雨煤炭销售有限公司煤炭集运_2026年05月06日145900_分析报告_page-0004"/>
                    <pic:cNvPicPr>
                      <a:picLocks noChangeAspect="1"/>
                    </pic:cNvPicPr>
                  </pic:nvPicPr>
                  <pic:blipFill>
                    <a:blip r:embed="rId58"/>
                    <a:stretch>
                      <a:fillRect/>
                    </a:stretch>
                  </pic:blipFill>
                  <pic:spPr>
                    <a:xfrm>
                      <a:off x="0" y="0"/>
                      <a:ext cx="8585835" cy="6075045"/>
                    </a:xfrm>
                    <a:prstGeom prst="rect">
                      <a:avLst/>
                    </a:prstGeom>
                  </pic:spPr>
                </pic:pic>
              </a:graphicData>
            </a:graphic>
          </wp:inline>
        </w:drawing>
      </w:r>
      <w:r>
        <w:rPr>
          <w:rFonts w:hint="eastAsia" w:eastAsia="宋体"/>
          <w:b/>
          <w:bCs/>
          <w:color w:val="auto"/>
          <w:sz w:val="28"/>
          <w:lang w:eastAsia="zh-CN"/>
        </w:rPr>
        <w:drawing>
          <wp:inline distT="0" distB="0" distL="114300" distR="114300">
            <wp:extent cx="8585835" cy="6075045"/>
            <wp:effectExtent l="0" t="0" r="5715" b="1905"/>
            <wp:docPr id="20" name="图片 20" descr="鸡西金雨煤炭销售有限公司煤炭集运_2026年05月06日145900_分析报告_page-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鸡西金雨煤炭销售有限公司煤炭集运_2026年05月06日145900_分析报告_page-0005"/>
                    <pic:cNvPicPr>
                      <a:picLocks noChangeAspect="1"/>
                    </pic:cNvPicPr>
                  </pic:nvPicPr>
                  <pic:blipFill>
                    <a:blip r:embed="rId59"/>
                    <a:stretch>
                      <a:fillRect/>
                    </a:stretch>
                  </pic:blipFill>
                  <pic:spPr>
                    <a:xfrm>
                      <a:off x="0" y="0"/>
                      <a:ext cx="8585835" cy="6075045"/>
                    </a:xfrm>
                    <a:prstGeom prst="rect">
                      <a:avLst/>
                    </a:prstGeom>
                  </pic:spPr>
                </pic:pic>
              </a:graphicData>
            </a:graphic>
          </wp:inline>
        </w:drawing>
      </w:r>
      <w:r>
        <w:rPr>
          <w:rFonts w:hint="eastAsia" w:eastAsia="宋体"/>
          <w:b/>
          <w:bCs/>
          <w:color w:val="auto"/>
          <w:sz w:val="28"/>
          <w:lang w:eastAsia="zh-CN"/>
        </w:rPr>
        <w:drawing>
          <wp:inline distT="0" distB="0" distL="114300" distR="114300">
            <wp:extent cx="8585835" cy="6075045"/>
            <wp:effectExtent l="0" t="0" r="5715" b="1905"/>
            <wp:docPr id="17" name="图片 17" descr="鸡西金雨煤炭销售有限公司煤炭集运_2026年05月06日145900_分析报告_page-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鸡西金雨煤炭销售有限公司煤炭集运_2026年05月06日145900_分析报告_page-0006"/>
                    <pic:cNvPicPr>
                      <a:picLocks noChangeAspect="1"/>
                    </pic:cNvPicPr>
                  </pic:nvPicPr>
                  <pic:blipFill>
                    <a:blip r:embed="rId60"/>
                    <a:stretch>
                      <a:fillRect/>
                    </a:stretch>
                  </pic:blipFill>
                  <pic:spPr>
                    <a:xfrm>
                      <a:off x="0" y="0"/>
                      <a:ext cx="8585835" cy="6075045"/>
                    </a:xfrm>
                    <a:prstGeom prst="rect">
                      <a:avLst/>
                    </a:prstGeom>
                  </pic:spPr>
                </pic:pic>
              </a:graphicData>
            </a:graphic>
          </wp:inline>
        </w:drawing>
      </w:r>
      <w:r>
        <w:rPr>
          <w:rFonts w:hint="eastAsia" w:eastAsia="宋体"/>
          <w:b/>
          <w:bCs/>
          <w:color w:val="auto"/>
          <w:sz w:val="28"/>
          <w:lang w:eastAsia="zh-CN"/>
        </w:rPr>
        <w:drawing>
          <wp:inline distT="0" distB="0" distL="114300" distR="114300">
            <wp:extent cx="8585835" cy="6075045"/>
            <wp:effectExtent l="0" t="0" r="5715" b="1905"/>
            <wp:docPr id="16" name="图片 16" descr="鸡西金雨煤炭销售有限公司煤炭集运_2026年05月06日145900_分析报告_page-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鸡西金雨煤炭销售有限公司煤炭集运_2026年05月06日145900_分析报告_page-0007"/>
                    <pic:cNvPicPr>
                      <a:picLocks noChangeAspect="1"/>
                    </pic:cNvPicPr>
                  </pic:nvPicPr>
                  <pic:blipFill>
                    <a:blip r:embed="rId61"/>
                    <a:stretch>
                      <a:fillRect/>
                    </a:stretch>
                  </pic:blipFill>
                  <pic:spPr>
                    <a:xfrm>
                      <a:off x="0" y="0"/>
                      <a:ext cx="8585835" cy="6075045"/>
                    </a:xfrm>
                    <a:prstGeom prst="rect">
                      <a:avLst/>
                    </a:prstGeom>
                  </pic:spPr>
                </pic:pic>
              </a:graphicData>
            </a:graphic>
          </wp:inline>
        </w:drawing>
      </w:r>
      <w:r>
        <w:rPr>
          <w:rFonts w:hint="eastAsia" w:eastAsia="宋体"/>
          <w:b/>
          <w:bCs/>
          <w:color w:val="auto"/>
          <w:sz w:val="28"/>
          <w:lang w:eastAsia="zh-CN"/>
        </w:rPr>
        <w:drawing>
          <wp:inline distT="0" distB="0" distL="114300" distR="114300">
            <wp:extent cx="8585835" cy="6075045"/>
            <wp:effectExtent l="0" t="0" r="5715" b="1905"/>
            <wp:docPr id="13" name="图片 13" descr="鸡西金雨煤炭销售有限公司煤炭集运_2026年05月06日145900_分析报告_page-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鸡西金雨煤炭销售有限公司煤炭集运_2026年05月06日145900_分析报告_page-0008"/>
                    <pic:cNvPicPr>
                      <a:picLocks noChangeAspect="1"/>
                    </pic:cNvPicPr>
                  </pic:nvPicPr>
                  <pic:blipFill>
                    <a:blip r:embed="rId62"/>
                    <a:stretch>
                      <a:fillRect/>
                    </a:stretch>
                  </pic:blipFill>
                  <pic:spPr>
                    <a:xfrm>
                      <a:off x="0" y="0"/>
                      <a:ext cx="8585835" cy="6075045"/>
                    </a:xfrm>
                    <a:prstGeom prst="rect">
                      <a:avLst/>
                    </a:prstGeom>
                  </pic:spPr>
                </pic:pic>
              </a:graphicData>
            </a:graphic>
          </wp:inline>
        </w:drawing>
      </w:r>
      <w:r>
        <w:rPr>
          <w:rFonts w:hint="eastAsia" w:eastAsia="宋体"/>
          <w:b/>
          <w:bCs/>
          <w:color w:val="auto"/>
          <w:sz w:val="28"/>
          <w:lang w:eastAsia="zh-CN"/>
        </w:rPr>
        <w:drawing>
          <wp:inline distT="0" distB="0" distL="114300" distR="114300">
            <wp:extent cx="8585835" cy="6075045"/>
            <wp:effectExtent l="0" t="0" r="5715" b="1905"/>
            <wp:docPr id="9" name="图片 9" descr="鸡西金雨煤炭销售有限公司煤炭集运_2026年05月06日145900_分析报告_page-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鸡西金雨煤炭销售有限公司煤炭集运_2026年05月06日145900_分析报告_page-0009"/>
                    <pic:cNvPicPr>
                      <a:picLocks noChangeAspect="1"/>
                    </pic:cNvPicPr>
                  </pic:nvPicPr>
                  <pic:blipFill>
                    <a:blip r:embed="rId63"/>
                    <a:stretch>
                      <a:fillRect/>
                    </a:stretch>
                  </pic:blipFill>
                  <pic:spPr>
                    <a:xfrm>
                      <a:off x="0" y="0"/>
                      <a:ext cx="8585835" cy="6075045"/>
                    </a:xfrm>
                    <a:prstGeom prst="rect">
                      <a:avLst/>
                    </a:prstGeom>
                  </pic:spPr>
                </pic:pic>
              </a:graphicData>
            </a:graphic>
          </wp:inline>
        </w:drawing>
      </w:r>
      <w:r>
        <w:rPr>
          <w:rFonts w:hint="eastAsia" w:eastAsia="宋体"/>
          <w:b/>
          <w:bCs/>
          <w:color w:val="auto"/>
          <w:sz w:val="28"/>
          <w:lang w:eastAsia="zh-CN"/>
        </w:rPr>
        <w:drawing>
          <wp:inline distT="0" distB="0" distL="114300" distR="114300">
            <wp:extent cx="8585835" cy="6075045"/>
            <wp:effectExtent l="0" t="0" r="5715" b="1905"/>
            <wp:docPr id="8" name="图片 8" descr="鸡西金雨煤炭销售有限公司煤炭集运_2026年05月06日145900_分析报告_page-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鸡西金雨煤炭销售有限公司煤炭集运_2026年05月06日145900_分析报告_page-0010"/>
                    <pic:cNvPicPr>
                      <a:picLocks noChangeAspect="1"/>
                    </pic:cNvPicPr>
                  </pic:nvPicPr>
                  <pic:blipFill>
                    <a:blip r:embed="rId64"/>
                    <a:stretch>
                      <a:fillRect/>
                    </a:stretch>
                  </pic:blipFill>
                  <pic:spPr>
                    <a:xfrm>
                      <a:off x="0" y="0"/>
                      <a:ext cx="8585835" cy="6075045"/>
                    </a:xfrm>
                    <a:prstGeom prst="rect">
                      <a:avLst/>
                    </a:prstGeom>
                  </pic:spPr>
                </pic:pic>
              </a:graphicData>
            </a:graphic>
          </wp:inline>
        </w:drawing>
      </w:r>
      <w:r>
        <w:rPr>
          <w:rFonts w:hint="eastAsia" w:eastAsia="宋体"/>
          <w:b/>
          <w:bCs/>
          <w:color w:val="auto"/>
          <w:sz w:val="28"/>
          <w:lang w:eastAsia="zh-CN"/>
        </w:rPr>
        <w:drawing>
          <wp:inline distT="0" distB="0" distL="114300" distR="114300">
            <wp:extent cx="8585835" cy="6075045"/>
            <wp:effectExtent l="0" t="0" r="5715" b="1905"/>
            <wp:docPr id="7" name="图片 7" descr="鸡西金雨煤炭销售有限公司煤炭集运_2026年05月06日145900_分析报告_page-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鸡西金雨煤炭销售有限公司煤炭集运_2026年05月06日145900_分析报告_page-0011"/>
                    <pic:cNvPicPr>
                      <a:picLocks noChangeAspect="1"/>
                    </pic:cNvPicPr>
                  </pic:nvPicPr>
                  <pic:blipFill>
                    <a:blip r:embed="rId65"/>
                    <a:stretch>
                      <a:fillRect/>
                    </a:stretch>
                  </pic:blipFill>
                  <pic:spPr>
                    <a:xfrm>
                      <a:off x="0" y="0"/>
                      <a:ext cx="8585835" cy="6075045"/>
                    </a:xfrm>
                    <a:prstGeom prst="rect">
                      <a:avLst/>
                    </a:prstGeom>
                  </pic:spPr>
                </pic:pic>
              </a:graphicData>
            </a:graphic>
          </wp:inline>
        </w:drawing>
      </w:r>
      <w:r>
        <w:rPr>
          <w:rFonts w:hint="eastAsia" w:eastAsia="宋体"/>
          <w:b/>
          <w:bCs/>
          <w:color w:val="auto"/>
          <w:sz w:val="28"/>
          <w:lang w:eastAsia="zh-CN"/>
        </w:rPr>
        <w:drawing>
          <wp:inline distT="0" distB="0" distL="114300" distR="114300">
            <wp:extent cx="8585835" cy="6075045"/>
            <wp:effectExtent l="0" t="0" r="5715" b="1905"/>
            <wp:docPr id="6" name="图片 6" descr="鸡西金雨煤炭销售有限公司煤炭集运_2026年05月06日145900_分析报告_page-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鸡西金雨煤炭销售有限公司煤炭集运_2026年05月06日145900_分析报告_page-0012"/>
                    <pic:cNvPicPr>
                      <a:picLocks noChangeAspect="1"/>
                    </pic:cNvPicPr>
                  </pic:nvPicPr>
                  <pic:blipFill>
                    <a:blip r:embed="rId66"/>
                    <a:stretch>
                      <a:fillRect/>
                    </a:stretch>
                  </pic:blipFill>
                  <pic:spPr>
                    <a:xfrm>
                      <a:off x="0" y="0"/>
                      <a:ext cx="8585835" cy="6075045"/>
                    </a:xfrm>
                    <a:prstGeom prst="rect">
                      <a:avLst/>
                    </a:prstGeom>
                  </pic:spPr>
                </pic:pic>
              </a:graphicData>
            </a:graphic>
          </wp:inline>
        </w:drawing>
      </w:r>
    </w:p>
    <w:sectPr>
      <w:pgSz w:w="16840" w:h="11907" w:orient="landscape"/>
      <w:pgMar w:top="1134" w:right="1418" w:bottom="836" w:left="1418" w:header="851" w:footer="992" w:gutter="0"/>
      <w:pgBorders>
        <w:top w:val="none" w:sz="0" w:space="0"/>
        <w:left w:val="none" w:sz="0" w:space="0"/>
        <w:bottom w:val="none" w:sz="0" w:space="0"/>
        <w:right w:val="none" w:sz="0" w:space="0"/>
      </w:pgBorders>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DejaVu Sans">
    <w:panose1 w:val="020B0603030804020204"/>
    <w:charset w:val="00"/>
    <w:family w:val="auto"/>
    <w:pitch w:val="default"/>
    <w:sig w:usb0="E7006EFF" w:usb1="D200FDFF" w:usb2="0A246029" w:usb3="0400200C" w:csb0="600001FF" w:csb1="DFFF0000"/>
  </w:font>
  <w:font w:name="等线 Light">
    <w:altName w:val="华文中宋"/>
    <w:panose1 w:val="02010600030101010101"/>
    <w:charset w:val="86"/>
    <w:family w:val="auto"/>
    <w:pitch w:val="default"/>
    <w:sig w:usb0="00000000" w:usb1="00000000" w:usb2="00000016" w:usb3="00000000" w:csb0="0004000F" w:csb1="00000000"/>
  </w:font>
  <w:font w:name="Verdana">
    <w:altName w:val="DejaVu Sans"/>
    <w:panose1 w:val="020B0604030504040204"/>
    <w:charset w:val="00"/>
    <w:family w:val="swiss"/>
    <w:pitch w:val="default"/>
    <w:sig w:usb0="00000000" w:usb1="00000000"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libri Light">
    <w:altName w:val="Times New Roman"/>
    <w:panose1 w:val="020F0302020204030204"/>
    <w:charset w:val="00"/>
    <w:family w:val="swiss"/>
    <w:pitch w:val="default"/>
    <w:sig w:usb0="00000000" w:usb1="00000000" w:usb2="00000009" w:usb3="00000000" w:csb0="200001F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Wingdings 2">
    <w:panose1 w:val="05020102010507070707"/>
    <w:charset w:val="02"/>
    <w:family w:val="roman"/>
    <w:pitch w:val="default"/>
    <w:sig w:usb0="00000000" w:usb1="00000000" w:usb2="00000000" w:usb3="00000000" w:csb0="8000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微软雅黑">
    <w:altName w:val="黑体"/>
    <w:panose1 w:val="00000000000000000000"/>
    <w:charset w:val="00"/>
    <w:family w:val="auto"/>
    <w:pitch w:val="default"/>
    <w:sig w:usb0="00000000" w:usb1="00000000" w:usb2="00000000" w:usb3="00000000" w:csb0="00000000"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589F0">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E2FB7">
    <w:pPr>
      <w:framePr w:wrap="around" w:vAnchor="text" w:hAnchor="margin" w:xAlign="center" w:y="1"/>
      <w:rPr>
        <w:rStyle w:val="68"/>
      </w:rPr>
    </w:pPr>
    <w:r>
      <w:fldChar w:fldCharType="begin"/>
    </w:r>
    <w:r>
      <w:rPr>
        <w:rStyle w:val="68"/>
      </w:rPr>
      <w:instrText xml:space="preserve">PAGE  </w:instrText>
    </w:r>
    <w:r>
      <w:fldChar w:fldCharType="end"/>
    </w:r>
  </w:p>
  <w:p w14:paraId="0DE1F283">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D4868">
    <w:pPr>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EF6521">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JuPAsAgAAVw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4m48CwCAABXBAAADgAAAAAAAAABACAAAAAfAQAAZHJzL2Uyb0RvYy54bWxQSwUGAAAAAAYA&#10;BgBZAQAAvQUAAAAA&#10;">
              <v:fill on="f" focussize="0,0"/>
              <v:stroke on="f" weight="0.5pt"/>
              <v:imagedata o:title=""/>
              <o:lock v:ext="edit" aspectratio="f"/>
              <v:textbox inset="0mm,0mm,0mm,0mm" style="mso-fit-shape-to-text:t;">
                <w:txbxContent>
                  <w:p w14:paraId="76EF6521">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1D429">
    <w:pPr>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C1453E">
                          <w:pPr>
                            <w:pStyle w:val="27"/>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tfTTA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tfTTAtAgAAVwQAAA4AAAAAAAAAAQAgAAAAHwEAAGRycy9lMm9Eb2MueG1sUEsFBgAAAAAG&#10;AAYAWQEAAL4FAAAAAA==&#10;">
              <v:fill on="f" focussize="0,0"/>
              <v:stroke on="f" weight="0.5pt"/>
              <v:imagedata o:title=""/>
              <o:lock v:ext="edit" aspectratio="f"/>
              <v:textbox inset="0mm,0mm,0mm,0mm" style="mso-fit-shape-to-text:t;">
                <w:txbxContent>
                  <w:p w14:paraId="25C1453E">
                    <w:pPr>
                      <w:pStyle w:val="27"/>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81F7F">
    <w:pPr>
      <w:pStyle w:val="2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F0E75">
                          <w:pPr>
                            <w:pStyle w:val="27"/>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14:paraId="6FEF0E75">
                    <w:pPr>
                      <w:pStyle w:val="27"/>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5AA43">
    <w:pPr>
      <w:pStyle w:val="27"/>
      <w:ind w:right="360" w:firstLine="360"/>
      <w:jc w:val="both"/>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DF8998">
                          <w:pPr>
                            <w:pStyle w:val="2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YmoEtAgAAV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WYmoEtAgAAVwQAAA4AAAAAAAAAAQAgAAAAHwEAAGRycy9lMm9Eb2MueG1sUEsFBgAAAAAG&#10;AAYAWQEAAL4FAAAAAA==&#10;">
              <v:fill on="f" focussize="0,0"/>
              <v:stroke on="f" weight="0.5pt"/>
              <v:imagedata o:title=""/>
              <o:lock v:ext="edit" aspectratio="f"/>
              <v:textbox inset="0mm,0mm,0mm,0mm" style="mso-fit-shape-to-text:t;">
                <w:txbxContent>
                  <w:p w14:paraId="25DF8998">
                    <w:pPr>
                      <w:pStyle w:val="27"/>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isLgl/>
      <w:suff w:val="space"/>
      <w:lvlText w:val="%1、"/>
      <w:lvlJc w:val="left"/>
      <w:pPr>
        <w:ind w:left="672" w:hanging="432"/>
      </w:pPr>
      <w:rPr>
        <w:rFonts w:hint="eastAsia"/>
      </w:rPr>
    </w:lvl>
    <w:lvl w:ilvl="1" w:tentative="0">
      <w:start w:val="1"/>
      <w:numFmt w:val="decimal"/>
      <w:isLgl/>
      <w:suff w:val="space"/>
      <w:lvlText w:val="%1.%2"/>
      <w:lvlJc w:val="left"/>
      <w:pPr>
        <w:ind w:left="576" w:hanging="576"/>
      </w:pPr>
      <w:rPr>
        <w:rFonts w:hint="eastAsia"/>
      </w:rPr>
    </w:lvl>
    <w:lvl w:ilvl="2" w:tentative="0">
      <w:start w:val="1"/>
      <w:numFmt w:val="decimal"/>
      <w:suff w:val="space"/>
      <w:lvlText w:val="%1.%2.%3"/>
      <w:lvlJc w:val="left"/>
      <w:pPr>
        <w:ind w:left="720" w:hanging="720"/>
      </w:pPr>
      <w:rPr>
        <w:rFonts w:hint="eastAsia"/>
      </w:rPr>
    </w:lvl>
    <w:lvl w:ilvl="3" w:tentative="0">
      <w:start w:val="1"/>
      <w:numFmt w:val="chineseCountingThousand"/>
      <w:suff w:val="space"/>
      <w:lvlText w:val="（%4）"/>
      <w:lvlJc w:val="left"/>
      <w:pPr>
        <w:ind w:left="864" w:hanging="864"/>
      </w:pPr>
      <w:rPr>
        <w:rFonts w:hint="default" w:ascii="Times New Roman" w:hAnsi="Times New Roman"/>
        <w:b w:val="0"/>
        <w:i w:val="0"/>
        <w:sz w:val="24"/>
        <w:lang w:val="en-US"/>
      </w:rPr>
    </w:lvl>
    <w:lvl w:ilvl="4" w:tentative="0">
      <w:start w:val="1"/>
      <w:numFmt w:val="decimal"/>
      <w:suff w:val="space"/>
      <w:lvlText w:val="（%5）"/>
      <w:lvlJc w:val="left"/>
      <w:pPr>
        <w:ind w:left="687" w:hanging="567"/>
      </w:pPr>
      <w:rPr>
        <w:rFonts w:hint="eastAsia"/>
      </w:rPr>
    </w:lvl>
    <w:lvl w:ilvl="5" w:tentative="0">
      <w:start w:val="1"/>
      <w:numFmt w:val="decimal"/>
      <w:suff w:val="space"/>
      <w:lvlText w:val="  %6、"/>
      <w:lvlJc w:val="left"/>
      <w:pPr>
        <w:ind w:left="851" w:hanging="567"/>
      </w:pPr>
      <w:rPr>
        <w:rFonts w:hint="eastAsia"/>
      </w:rPr>
    </w:lvl>
    <w:lvl w:ilvl="6" w:tentative="0">
      <w:start w:val="1"/>
      <w:numFmt w:val="upperLetter"/>
      <w:pStyle w:val="11"/>
      <w:suff w:val="space"/>
      <w:lvlText w:val="   %7&gt;"/>
      <w:lvlJc w:val="left"/>
      <w:pPr>
        <w:ind w:left="851" w:hanging="567"/>
      </w:pPr>
      <w:rPr>
        <w:rFonts w:hint="eastAsia"/>
      </w:rPr>
    </w:lvl>
    <w:lvl w:ilvl="7" w:tentative="0">
      <w:start w:val="1"/>
      <w:numFmt w:val="upperLetter"/>
      <w:pStyle w:val="12"/>
      <w:suff w:val="space"/>
      <w:lvlText w:val="     %8&gt;"/>
      <w:lvlJc w:val="left"/>
      <w:pPr>
        <w:ind w:left="851" w:hanging="567"/>
      </w:pPr>
      <w:rPr>
        <w:rFonts w:hint="eastAsia"/>
      </w:rPr>
    </w:lvl>
    <w:lvl w:ilvl="8" w:tentative="0">
      <w:start w:val="1"/>
      <w:numFmt w:val="lowerLetter"/>
      <w:pStyle w:val="13"/>
      <w:suff w:val="space"/>
      <w:lvlText w:val="     %9&gt;"/>
      <w:lvlJc w:val="left"/>
      <w:pPr>
        <w:ind w:left="851" w:hanging="567"/>
      </w:pPr>
      <w:rPr>
        <w:rFonts w:hint="eastAsia"/>
      </w:rPr>
    </w:lvl>
  </w:abstractNum>
  <w:abstractNum w:abstractNumId="1">
    <w:nsid w:val="25FB4F54"/>
    <w:multiLevelType w:val="singleLevel"/>
    <w:tmpl w:val="25FB4F54"/>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wZjViZTBkYjZkYmM0ODMxN2I4YTg5YzkyZjk4ODAifQ=="/>
    <w:docVar w:name="KSO_WPS_MARK_KEY" w:val="635b8df8-2a3e-4aee-93dc-5bef1659b978"/>
  </w:docVars>
  <w:rsids>
    <w:rsidRoot w:val="0F875D14"/>
    <w:rsid w:val="000337D1"/>
    <w:rsid w:val="000F500E"/>
    <w:rsid w:val="00101496"/>
    <w:rsid w:val="001F04EC"/>
    <w:rsid w:val="00234A99"/>
    <w:rsid w:val="002D7CD9"/>
    <w:rsid w:val="00360D40"/>
    <w:rsid w:val="00392BE3"/>
    <w:rsid w:val="00394B54"/>
    <w:rsid w:val="003E771F"/>
    <w:rsid w:val="00402647"/>
    <w:rsid w:val="004936E2"/>
    <w:rsid w:val="00512DA8"/>
    <w:rsid w:val="00530B23"/>
    <w:rsid w:val="00547A7F"/>
    <w:rsid w:val="005D2D67"/>
    <w:rsid w:val="005E701B"/>
    <w:rsid w:val="005F0DD4"/>
    <w:rsid w:val="005F4BB8"/>
    <w:rsid w:val="006A560D"/>
    <w:rsid w:val="006C0109"/>
    <w:rsid w:val="006E02A9"/>
    <w:rsid w:val="006E6635"/>
    <w:rsid w:val="007B19FB"/>
    <w:rsid w:val="008447C5"/>
    <w:rsid w:val="008C0CB5"/>
    <w:rsid w:val="008C31EC"/>
    <w:rsid w:val="00914298"/>
    <w:rsid w:val="00924300"/>
    <w:rsid w:val="00961064"/>
    <w:rsid w:val="009655E7"/>
    <w:rsid w:val="00970F4D"/>
    <w:rsid w:val="009818A7"/>
    <w:rsid w:val="009A606F"/>
    <w:rsid w:val="00A342CB"/>
    <w:rsid w:val="00A632B8"/>
    <w:rsid w:val="00A80980"/>
    <w:rsid w:val="00AB2409"/>
    <w:rsid w:val="00AB3CD6"/>
    <w:rsid w:val="00AB58C2"/>
    <w:rsid w:val="00AC4DE6"/>
    <w:rsid w:val="00B212AF"/>
    <w:rsid w:val="00B35B78"/>
    <w:rsid w:val="00B56430"/>
    <w:rsid w:val="00BD522A"/>
    <w:rsid w:val="00C07053"/>
    <w:rsid w:val="00C76CA1"/>
    <w:rsid w:val="00C80F13"/>
    <w:rsid w:val="00CC6B70"/>
    <w:rsid w:val="00CE16A4"/>
    <w:rsid w:val="00CF485F"/>
    <w:rsid w:val="00D44F28"/>
    <w:rsid w:val="00D673B9"/>
    <w:rsid w:val="00D8324D"/>
    <w:rsid w:val="00DA11E7"/>
    <w:rsid w:val="00DD53E9"/>
    <w:rsid w:val="00E40DDF"/>
    <w:rsid w:val="00E43E4C"/>
    <w:rsid w:val="00E93B46"/>
    <w:rsid w:val="00EC471B"/>
    <w:rsid w:val="00EF5E20"/>
    <w:rsid w:val="00F17966"/>
    <w:rsid w:val="0186274F"/>
    <w:rsid w:val="01870D7C"/>
    <w:rsid w:val="01940CB9"/>
    <w:rsid w:val="019E703D"/>
    <w:rsid w:val="01BA27EF"/>
    <w:rsid w:val="01BD686F"/>
    <w:rsid w:val="01E262C8"/>
    <w:rsid w:val="01F96B07"/>
    <w:rsid w:val="023C61B0"/>
    <w:rsid w:val="025525D8"/>
    <w:rsid w:val="02A947F3"/>
    <w:rsid w:val="030E042E"/>
    <w:rsid w:val="032C7105"/>
    <w:rsid w:val="03346F0C"/>
    <w:rsid w:val="034C14B4"/>
    <w:rsid w:val="03B112C5"/>
    <w:rsid w:val="041455EC"/>
    <w:rsid w:val="048D3646"/>
    <w:rsid w:val="04DF5B78"/>
    <w:rsid w:val="04F70879"/>
    <w:rsid w:val="05093FF7"/>
    <w:rsid w:val="05152999"/>
    <w:rsid w:val="052E5BF3"/>
    <w:rsid w:val="05540914"/>
    <w:rsid w:val="056C0E98"/>
    <w:rsid w:val="05F37B3B"/>
    <w:rsid w:val="0661309E"/>
    <w:rsid w:val="06867852"/>
    <w:rsid w:val="06BB3E7B"/>
    <w:rsid w:val="06E65352"/>
    <w:rsid w:val="07755C25"/>
    <w:rsid w:val="07910674"/>
    <w:rsid w:val="079B29D5"/>
    <w:rsid w:val="07B40CE6"/>
    <w:rsid w:val="07B90E6A"/>
    <w:rsid w:val="07C437C6"/>
    <w:rsid w:val="07C55C94"/>
    <w:rsid w:val="07DF01B8"/>
    <w:rsid w:val="08B55CBF"/>
    <w:rsid w:val="08C841F5"/>
    <w:rsid w:val="090E61F2"/>
    <w:rsid w:val="09151EF2"/>
    <w:rsid w:val="09267654"/>
    <w:rsid w:val="09696D8E"/>
    <w:rsid w:val="096C24A7"/>
    <w:rsid w:val="09B2309E"/>
    <w:rsid w:val="09B53082"/>
    <w:rsid w:val="09F76A01"/>
    <w:rsid w:val="0A0E6D4C"/>
    <w:rsid w:val="0A244AC4"/>
    <w:rsid w:val="0AA81DBF"/>
    <w:rsid w:val="0AF318DF"/>
    <w:rsid w:val="0B08176E"/>
    <w:rsid w:val="0B47196E"/>
    <w:rsid w:val="0BB45A28"/>
    <w:rsid w:val="0BFB0672"/>
    <w:rsid w:val="0C2F6111"/>
    <w:rsid w:val="0C3575F0"/>
    <w:rsid w:val="0CA04645"/>
    <w:rsid w:val="0CAF2CCB"/>
    <w:rsid w:val="0CE036BD"/>
    <w:rsid w:val="0CF32214"/>
    <w:rsid w:val="0D4D6D28"/>
    <w:rsid w:val="0D5E0398"/>
    <w:rsid w:val="0D624B01"/>
    <w:rsid w:val="0D7061EB"/>
    <w:rsid w:val="0E300FD6"/>
    <w:rsid w:val="0E4839CD"/>
    <w:rsid w:val="0E7F3132"/>
    <w:rsid w:val="0EED14F2"/>
    <w:rsid w:val="0F875D14"/>
    <w:rsid w:val="0FAB155C"/>
    <w:rsid w:val="0FEF2662"/>
    <w:rsid w:val="0FF3550A"/>
    <w:rsid w:val="0FF35B49"/>
    <w:rsid w:val="1040260D"/>
    <w:rsid w:val="10E917E1"/>
    <w:rsid w:val="11B7039B"/>
    <w:rsid w:val="12113D28"/>
    <w:rsid w:val="121E64D2"/>
    <w:rsid w:val="12470516"/>
    <w:rsid w:val="12666313"/>
    <w:rsid w:val="12686BF7"/>
    <w:rsid w:val="127D2355"/>
    <w:rsid w:val="12AB1D0D"/>
    <w:rsid w:val="12DE460E"/>
    <w:rsid w:val="12E306BE"/>
    <w:rsid w:val="13077ACB"/>
    <w:rsid w:val="1353377D"/>
    <w:rsid w:val="13830454"/>
    <w:rsid w:val="142A7B7A"/>
    <w:rsid w:val="14604502"/>
    <w:rsid w:val="146D37DD"/>
    <w:rsid w:val="146F65C5"/>
    <w:rsid w:val="14CC65B6"/>
    <w:rsid w:val="15141739"/>
    <w:rsid w:val="15194B44"/>
    <w:rsid w:val="153B0D7E"/>
    <w:rsid w:val="15911F71"/>
    <w:rsid w:val="15B15F16"/>
    <w:rsid w:val="15C456C9"/>
    <w:rsid w:val="15F52A63"/>
    <w:rsid w:val="160974C5"/>
    <w:rsid w:val="16471E92"/>
    <w:rsid w:val="167438F9"/>
    <w:rsid w:val="16A012E3"/>
    <w:rsid w:val="16AB1993"/>
    <w:rsid w:val="16B446F8"/>
    <w:rsid w:val="16BA79A9"/>
    <w:rsid w:val="17312CB3"/>
    <w:rsid w:val="173163E7"/>
    <w:rsid w:val="17B36C2C"/>
    <w:rsid w:val="17FA322F"/>
    <w:rsid w:val="17FD7758"/>
    <w:rsid w:val="18A21388"/>
    <w:rsid w:val="18A45F03"/>
    <w:rsid w:val="18C73EF8"/>
    <w:rsid w:val="1945781E"/>
    <w:rsid w:val="19550E2D"/>
    <w:rsid w:val="198549F0"/>
    <w:rsid w:val="1A0E76AD"/>
    <w:rsid w:val="1A5042AC"/>
    <w:rsid w:val="1A6246B2"/>
    <w:rsid w:val="1A681369"/>
    <w:rsid w:val="1A7C00CB"/>
    <w:rsid w:val="1AC335A7"/>
    <w:rsid w:val="1AD72501"/>
    <w:rsid w:val="1ADD36FA"/>
    <w:rsid w:val="1B0954D5"/>
    <w:rsid w:val="1B0E65F2"/>
    <w:rsid w:val="1B955A4B"/>
    <w:rsid w:val="1BB7156F"/>
    <w:rsid w:val="1C044C25"/>
    <w:rsid w:val="1C7F54AD"/>
    <w:rsid w:val="1CBE1D04"/>
    <w:rsid w:val="1CCB7204"/>
    <w:rsid w:val="1CD53FD9"/>
    <w:rsid w:val="1CF32970"/>
    <w:rsid w:val="1D11562C"/>
    <w:rsid w:val="1D3C544F"/>
    <w:rsid w:val="1D573997"/>
    <w:rsid w:val="1DAE2D7C"/>
    <w:rsid w:val="1DC97390"/>
    <w:rsid w:val="1DD92BD9"/>
    <w:rsid w:val="1DDA0854"/>
    <w:rsid w:val="1E0F45E2"/>
    <w:rsid w:val="1E8E2C7E"/>
    <w:rsid w:val="1E997892"/>
    <w:rsid w:val="1EC17EDD"/>
    <w:rsid w:val="1EFA3E00"/>
    <w:rsid w:val="1F501ED4"/>
    <w:rsid w:val="1F5677B5"/>
    <w:rsid w:val="1F6421F1"/>
    <w:rsid w:val="1F877DF8"/>
    <w:rsid w:val="1FA74A4B"/>
    <w:rsid w:val="1FB030AA"/>
    <w:rsid w:val="20175426"/>
    <w:rsid w:val="20416B78"/>
    <w:rsid w:val="20AA4CB9"/>
    <w:rsid w:val="20AC32A6"/>
    <w:rsid w:val="20CD2DF2"/>
    <w:rsid w:val="2121223D"/>
    <w:rsid w:val="21B42832"/>
    <w:rsid w:val="21D9571D"/>
    <w:rsid w:val="21E9223B"/>
    <w:rsid w:val="22074D65"/>
    <w:rsid w:val="22422561"/>
    <w:rsid w:val="22710F15"/>
    <w:rsid w:val="228E786B"/>
    <w:rsid w:val="22A845C1"/>
    <w:rsid w:val="22AB19AF"/>
    <w:rsid w:val="22B71704"/>
    <w:rsid w:val="22D27C76"/>
    <w:rsid w:val="22EF64A4"/>
    <w:rsid w:val="2379634E"/>
    <w:rsid w:val="239F615F"/>
    <w:rsid w:val="23B33272"/>
    <w:rsid w:val="23CC7CE4"/>
    <w:rsid w:val="24243179"/>
    <w:rsid w:val="246576C8"/>
    <w:rsid w:val="24D3762A"/>
    <w:rsid w:val="25203826"/>
    <w:rsid w:val="252742D0"/>
    <w:rsid w:val="25292B82"/>
    <w:rsid w:val="25340E81"/>
    <w:rsid w:val="258662B7"/>
    <w:rsid w:val="25A533D7"/>
    <w:rsid w:val="25C7069A"/>
    <w:rsid w:val="265F3130"/>
    <w:rsid w:val="26841D85"/>
    <w:rsid w:val="26AB3C52"/>
    <w:rsid w:val="26AB3F02"/>
    <w:rsid w:val="26AE089C"/>
    <w:rsid w:val="26B34D29"/>
    <w:rsid w:val="26BD589B"/>
    <w:rsid w:val="26E56163"/>
    <w:rsid w:val="26EC1FC2"/>
    <w:rsid w:val="27B858C9"/>
    <w:rsid w:val="27BF3042"/>
    <w:rsid w:val="280477E3"/>
    <w:rsid w:val="281E30DC"/>
    <w:rsid w:val="284404BD"/>
    <w:rsid w:val="285000BD"/>
    <w:rsid w:val="287F7D30"/>
    <w:rsid w:val="28880F83"/>
    <w:rsid w:val="28BC42CC"/>
    <w:rsid w:val="28C31E6D"/>
    <w:rsid w:val="28C97B40"/>
    <w:rsid w:val="299D41FF"/>
    <w:rsid w:val="29B73A74"/>
    <w:rsid w:val="29C10A43"/>
    <w:rsid w:val="29F25E0F"/>
    <w:rsid w:val="2A0271F7"/>
    <w:rsid w:val="2A3D0BD2"/>
    <w:rsid w:val="2A923E94"/>
    <w:rsid w:val="2A9867E9"/>
    <w:rsid w:val="2AB328C3"/>
    <w:rsid w:val="2AD978B4"/>
    <w:rsid w:val="2AE40C55"/>
    <w:rsid w:val="2AF60E34"/>
    <w:rsid w:val="2B033CA6"/>
    <w:rsid w:val="2B4509F8"/>
    <w:rsid w:val="2B754151"/>
    <w:rsid w:val="2B91151E"/>
    <w:rsid w:val="2BA9559E"/>
    <w:rsid w:val="2BC555E5"/>
    <w:rsid w:val="2C3A4539"/>
    <w:rsid w:val="2C50376F"/>
    <w:rsid w:val="2C647BDA"/>
    <w:rsid w:val="2C665C79"/>
    <w:rsid w:val="2CB35229"/>
    <w:rsid w:val="2D132194"/>
    <w:rsid w:val="2D304152"/>
    <w:rsid w:val="2D9E1706"/>
    <w:rsid w:val="2DA51482"/>
    <w:rsid w:val="2E426266"/>
    <w:rsid w:val="2E713D1E"/>
    <w:rsid w:val="2EB21923"/>
    <w:rsid w:val="2EB9410A"/>
    <w:rsid w:val="2EBD3586"/>
    <w:rsid w:val="2ECB123F"/>
    <w:rsid w:val="2EEA428E"/>
    <w:rsid w:val="2EEC6E1E"/>
    <w:rsid w:val="2EEE3183"/>
    <w:rsid w:val="2F4B0FCA"/>
    <w:rsid w:val="2F4D0DF2"/>
    <w:rsid w:val="2F7F7CB1"/>
    <w:rsid w:val="2F823EB2"/>
    <w:rsid w:val="2F8435ED"/>
    <w:rsid w:val="30022598"/>
    <w:rsid w:val="300A5991"/>
    <w:rsid w:val="30134C8F"/>
    <w:rsid w:val="302A04A7"/>
    <w:rsid w:val="3060755E"/>
    <w:rsid w:val="309963C2"/>
    <w:rsid w:val="3135409C"/>
    <w:rsid w:val="313C2391"/>
    <w:rsid w:val="31707AA4"/>
    <w:rsid w:val="31792AC7"/>
    <w:rsid w:val="317D451C"/>
    <w:rsid w:val="31EF6BC5"/>
    <w:rsid w:val="32395E97"/>
    <w:rsid w:val="32442FA6"/>
    <w:rsid w:val="325129E7"/>
    <w:rsid w:val="32553C54"/>
    <w:rsid w:val="325F06AF"/>
    <w:rsid w:val="327C45FF"/>
    <w:rsid w:val="328459B9"/>
    <w:rsid w:val="32B06B50"/>
    <w:rsid w:val="32E8061C"/>
    <w:rsid w:val="33026176"/>
    <w:rsid w:val="335B2C54"/>
    <w:rsid w:val="33A24A2D"/>
    <w:rsid w:val="33D7006F"/>
    <w:rsid w:val="33ED4D80"/>
    <w:rsid w:val="33F44A7D"/>
    <w:rsid w:val="34271858"/>
    <w:rsid w:val="34590A3E"/>
    <w:rsid w:val="348D33AC"/>
    <w:rsid w:val="34D57286"/>
    <w:rsid w:val="353713FA"/>
    <w:rsid w:val="35575BFB"/>
    <w:rsid w:val="35D043B2"/>
    <w:rsid w:val="361651B5"/>
    <w:rsid w:val="36683442"/>
    <w:rsid w:val="36C26992"/>
    <w:rsid w:val="36F70300"/>
    <w:rsid w:val="3719535C"/>
    <w:rsid w:val="3728651D"/>
    <w:rsid w:val="372B7918"/>
    <w:rsid w:val="376E4404"/>
    <w:rsid w:val="37757028"/>
    <w:rsid w:val="37934AC1"/>
    <w:rsid w:val="38003C0F"/>
    <w:rsid w:val="386F19CE"/>
    <w:rsid w:val="3876797F"/>
    <w:rsid w:val="38827A57"/>
    <w:rsid w:val="389E7656"/>
    <w:rsid w:val="391457BC"/>
    <w:rsid w:val="394D6D80"/>
    <w:rsid w:val="39581364"/>
    <w:rsid w:val="398014AC"/>
    <w:rsid w:val="39CB3D75"/>
    <w:rsid w:val="3A0B14F7"/>
    <w:rsid w:val="3A2518E1"/>
    <w:rsid w:val="3A3560B0"/>
    <w:rsid w:val="3A851CAF"/>
    <w:rsid w:val="3A93165B"/>
    <w:rsid w:val="3AC23755"/>
    <w:rsid w:val="3AC607F4"/>
    <w:rsid w:val="3AD03D8A"/>
    <w:rsid w:val="3AF85BFE"/>
    <w:rsid w:val="3B100D86"/>
    <w:rsid w:val="3B270D8E"/>
    <w:rsid w:val="3B795774"/>
    <w:rsid w:val="3BB25D2B"/>
    <w:rsid w:val="3BBA232E"/>
    <w:rsid w:val="3BC76F39"/>
    <w:rsid w:val="3BD26037"/>
    <w:rsid w:val="3BEC039D"/>
    <w:rsid w:val="3C1D7D30"/>
    <w:rsid w:val="3C235974"/>
    <w:rsid w:val="3C651614"/>
    <w:rsid w:val="3C793C7B"/>
    <w:rsid w:val="3CA771EF"/>
    <w:rsid w:val="3CB271A7"/>
    <w:rsid w:val="3CE85AEE"/>
    <w:rsid w:val="3CF96804"/>
    <w:rsid w:val="3D5372AD"/>
    <w:rsid w:val="3D8557CC"/>
    <w:rsid w:val="3D9E5535"/>
    <w:rsid w:val="3DAA6C6A"/>
    <w:rsid w:val="3DBF2EE8"/>
    <w:rsid w:val="3DF27DB9"/>
    <w:rsid w:val="3E1A5D58"/>
    <w:rsid w:val="3E1D068E"/>
    <w:rsid w:val="3E366647"/>
    <w:rsid w:val="3E843D2C"/>
    <w:rsid w:val="3E954A0E"/>
    <w:rsid w:val="3EF94909"/>
    <w:rsid w:val="3EFC1CAB"/>
    <w:rsid w:val="3F3A7CA4"/>
    <w:rsid w:val="3F737E95"/>
    <w:rsid w:val="3F8530C7"/>
    <w:rsid w:val="3F945A0E"/>
    <w:rsid w:val="3FC472A7"/>
    <w:rsid w:val="40111D90"/>
    <w:rsid w:val="40330439"/>
    <w:rsid w:val="40485771"/>
    <w:rsid w:val="405B129C"/>
    <w:rsid w:val="40613BBC"/>
    <w:rsid w:val="40D80116"/>
    <w:rsid w:val="40F70CB0"/>
    <w:rsid w:val="41114317"/>
    <w:rsid w:val="411E36F4"/>
    <w:rsid w:val="415B7E1B"/>
    <w:rsid w:val="419F33C4"/>
    <w:rsid w:val="41CE4CAE"/>
    <w:rsid w:val="41D44979"/>
    <w:rsid w:val="41E76104"/>
    <w:rsid w:val="42267C93"/>
    <w:rsid w:val="422B0D7F"/>
    <w:rsid w:val="42507232"/>
    <w:rsid w:val="427242E0"/>
    <w:rsid w:val="42970E8B"/>
    <w:rsid w:val="42DF6078"/>
    <w:rsid w:val="42E10EFC"/>
    <w:rsid w:val="42E2007B"/>
    <w:rsid w:val="42F952A4"/>
    <w:rsid w:val="42FA6BE5"/>
    <w:rsid w:val="430B682E"/>
    <w:rsid w:val="43313118"/>
    <w:rsid w:val="434F033E"/>
    <w:rsid w:val="439B2655"/>
    <w:rsid w:val="43EC2768"/>
    <w:rsid w:val="44193797"/>
    <w:rsid w:val="4444668B"/>
    <w:rsid w:val="444A6AE3"/>
    <w:rsid w:val="444E55CC"/>
    <w:rsid w:val="4459494B"/>
    <w:rsid w:val="44A06291"/>
    <w:rsid w:val="44CB170E"/>
    <w:rsid w:val="44D56AAB"/>
    <w:rsid w:val="44DD0AD1"/>
    <w:rsid w:val="452D697A"/>
    <w:rsid w:val="452F57FE"/>
    <w:rsid w:val="4573152A"/>
    <w:rsid w:val="45893C91"/>
    <w:rsid w:val="45B3035E"/>
    <w:rsid w:val="45C90B0C"/>
    <w:rsid w:val="460B162B"/>
    <w:rsid w:val="4623378C"/>
    <w:rsid w:val="466A4950"/>
    <w:rsid w:val="46F0122C"/>
    <w:rsid w:val="47042B15"/>
    <w:rsid w:val="47147927"/>
    <w:rsid w:val="472742AF"/>
    <w:rsid w:val="47377FC8"/>
    <w:rsid w:val="475768EF"/>
    <w:rsid w:val="476873D1"/>
    <w:rsid w:val="47877B88"/>
    <w:rsid w:val="47B83171"/>
    <w:rsid w:val="47C02C73"/>
    <w:rsid w:val="47C42CC3"/>
    <w:rsid w:val="480C1B8D"/>
    <w:rsid w:val="483B2102"/>
    <w:rsid w:val="48462657"/>
    <w:rsid w:val="48520173"/>
    <w:rsid w:val="48916F5A"/>
    <w:rsid w:val="48BF76AF"/>
    <w:rsid w:val="48EC0BB2"/>
    <w:rsid w:val="49242EFE"/>
    <w:rsid w:val="493F6D11"/>
    <w:rsid w:val="49535A21"/>
    <w:rsid w:val="49A349AF"/>
    <w:rsid w:val="49DC5121"/>
    <w:rsid w:val="4A010296"/>
    <w:rsid w:val="4A093A25"/>
    <w:rsid w:val="4A1A017F"/>
    <w:rsid w:val="4A83580F"/>
    <w:rsid w:val="4AC722E3"/>
    <w:rsid w:val="4AD47185"/>
    <w:rsid w:val="4ADF521C"/>
    <w:rsid w:val="4AE55364"/>
    <w:rsid w:val="4AE87BBC"/>
    <w:rsid w:val="4B233FAC"/>
    <w:rsid w:val="4BA60641"/>
    <w:rsid w:val="4BF93355"/>
    <w:rsid w:val="4C246891"/>
    <w:rsid w:val="4C5D21D5"/>
    <w:rsid w:val="4C7C3323"/>
    <w:rsid w:val="4CAA0C7E"/>
    <w:rsid w:val="4CAB7B10"/>
    <w:rsid w:val="4D0C4BD3"/>
    <w:rsid w:val="4D155FC0"/>
    <w:rsid w:val="4D1A78FC"/>
    <w:rsid w:val="4D2B4E4D"/>
    <w:rsid w:val="4D8F7C13"/>
    <w:rsid w:val="4D904043"/>
    <w:rsid w:val="4E192B90"/>
    <w:rsid w:val="4E615FE8"/>
    <w:rsid w:val="4E725959"/>
    <w:rsid w:val="4EE14492"/>
    <w:rsid w:val="4F092213"/>
    <w:rsid w:val="4F6B5FB0"/>
    <w:rsid w:val="4F764EAD"/>
    <w:rsid w:val="4FBC4CAE"/>
    <w:rsid w:val="4FDC6194"/>
    <w:rsid w:val="50147B56"/>
    <w:rsid w:val="5055610A"/>
    <w:rsid w:val="505808E6"/>
    <w:rsid w:val="50D24543"/>
    <w:rsid w:val="50FD5065"/>
    <w:rsid w:val="50FD646D"/>
    <w:rsid w:val="511E592B"/>
    <w:rsid w:val="517E154B"/>
    <w:rsid w:val="51937A80"/>
    <w:rsid w:val="519A73DD"/>
    <w:rsid w:val="519D68B2"/>
    <w:rsid w:val="51A246EA"/>
    <w:rsid w:val="51BB2A74"/>
    <w:rsid w:val="51C21FC2"/>
    <w:rsid w:val="51C8023E"/>
    <w:rsid w:val="51D65E36"/>
    <w:rsid w:val="51E058B7"/>
    <w:rsid w:val="51E10B0F"/>
    <w:rsid w:val="52035F49"/>
    <w:rsid w:val="52163910"/>
    <w:rsid w:val="5223693D"/>
    <w:rsid w:val="524A595B"/>
    <w:rsid w:val="5263182B"/>
    <w:rsid w:val="527E4FF6"/>
    <w:rsid w:val="528976DB"/>
    <w:rsid w:val="52BC700D"/>
    <w:rsid w:val="52D77503"/>
    <w:rsid w:val="52E21F35"/>
    <w:rsid w:val="531253A7"/>
    <w:rsid w:val="533A2474"/>
    <w:rsid w:val="534805A3"/>
    <w:rsid w:val="5385372E"/>
    <w:rsid w:val="53CB54BA"/>
    <w:rsid w:val="53E5508F"/>
    <w:rsid w:val="53E82EE4"/>
    <w:rsid w:val="53F73C0A"/>
    <w:rsid w:val="540C68B8"/>
    <w:rsid w:val="54255BBB"/>
    <w:rsid w:val="54353D63"/>
    <w:rsid w:val="5443129A"/>
    <w:rsid w:val="54792CEB"/>
    <w:rsid w:val="547A0454"/>
    <w:rsid w:val="54ED0ECF"/>
    <w:rsid w:val="550F4A84"/>
    <w:rsid w:val="55466B3C"/>
    <w:rsid w:val="554B4FFC"/>
    <w:rsid w:val="55797FBA"/>
    <w:rsid w:val="55C130FD"/>
    <w:rsid w:val="55CC6FE2"/>
    <w:rsid w:val="55D5333E"/>
    <w:rsid w:val="56C54CD4"/>
    <w:rsid w:val="56DB3F04"/>
    <w:rsid w:val="56DC7B3C"/>
    <w:rsid w:val="57332BFE"/>
    <w:rsid w:val="574E0820"/>
    <w:rsid w:val="57B961E1"/>
    <w:rsid w:val="57F22F13"/>
    <w:rsid w:val="580C2E32"/>
    <w:rsid w:val="580C7DD9"/>
    <w:rsid w:val="582D18C2"/>
    <w:rsid w:val="584014F5"/>
    <w:rsid w:val="584C0985"/>
    <w:rsid w:val="586A3E39"/>
    <w:rsid w:val="586F5882"/>
    <w:rsid w:val="589E6E07"/>
    <w:rsid w:val="58B57158"/>
    <w:rsid w:val="58BF6C17"/>
    <w:rsid w:val="58C91425"/>
    <w:rsid w:val="58E157EF"/>
    <w:rsid w:val="58F15DB0"/>
    <w:rsid w:val="595C6716"/>
    <w:rsid w:val="59A83380"/>
    <w:rsid w:val="59AE7815"/>
    <w:rsid w:val="59C578B4"/>
    <w:rsid w:val="59DB683F"/>
    <w:rsid w:val="59F53388"/>
    <w:rsid w:val="5A031D34"/>
    <w:rsid w:val="5A153CE1"/>
    <w:rsid w:val="5AA03158"/>
    <w:rsid w:val="5AD526E3"/>
    <w:rsid w:val="5B832BA4"/>
    <w:rsid w:val="5BB60859"/>
    <w:rsid w:val="5BE82282"/>
    <w:rsid w:val="5BE9548E"/>
    <w:rsid w:val="5C24498F"/>
    <w:rsid w:val="5C65361F"/>
    <w:rsid w:val="5C7345CF"/>
    <w:rsid w:val="5C820250"/>
    <w:rsid w:val="5C88062C"/>
    <w:rsid w:val="5CD2031B"/>
    <w:rsid w:val="5CDE09BA"/>
    <w:rsid w:val="5CFA291C"/>
    <w:rsid w:val="5D08403C"/>
    <w:rsid w:val="5D2921A9"/>
    <w:rsid w:val="5D2D24DF"/>
    <w:rsid w:val="5DA44EA9"/>
    <w:rsid w:val="5DB5674B"/>
    <w:rsid w:val="5E074257"/>
    <w:rsid w:val="5E0E0A4D"/>
    <w:rsid w:val="5E821EEE"/>
    <w:rsid w:val="5EA27753"/>
    <w:rsid w:val="5EDB37B4"/>
    <w:rsid w:val="5EEA5972"/>
    <w:rsid w:val="5F443F88"/>
    <w:rsid w:val="5FB93B0B"/>
    <w:rsid w:val="5FD55896"/>
    <w:rsid w:val="60027BA5"/>
    <w:rsid w:val="601479AF"/>
    <w:rsid w:val="602B51F2"/>
    <w:rsid w:val="60835E99"/>
    <w:rsid w:val="60A823FC"/>
    <w:rsid w:val="60A9539F"/>
    <w:rsid w:val="60D65C21"/>
    <w:rsid w:val="61226E74"/>
    <w:rsid w:val="61327A53"/>
    <w:rsid w:val="614D66DD"/>
    <w:rsid w:val="61C50516"/>
    <w:rsid w:val="61E635CD"/>
    <w:rsid w:val="62357F07"/>
    <w:rsid w:val="625D1976"/>
    <w:rsid w:val="629410DD"/>
    <w:rsid w:val="62A3423A"/>
    <w:rsid w:val="62E54A40"/>
    <w:rsid w:val="634405AB"/>
    <w:rsid w:val="63601672"/>
    <w:rsid w:val="63B500CE"/>
    <w:rsid w:val="64605A0C"/>
    <w:rsid w:val="64772B19"/>
    <w:rsid w:val="648C53AF"/>
    <w:rsid w:val="64F03020"/>
    <w:rsid w:val="65310536"/>
    <w:rsid w:val="65705666"/>
    <w:rsid w:val="65B83FD3"/>
    <w:rsid w:val="65BB381A"/>
    <w:rsid w:val="65BF254C"/>
    <w:rsid w:val="660125A4"/>
    <w:rsid w:val="661F4970"/>
    <w:rsid w:val="6633124C"/>
    <w:rsid w:val="66523CE7"/>
    <w:rsid w:val="66780355"/>
    <w:rsid w:val="66961C53"/>
    <w:rsid w:val="6702274A"/>
    <w:rsid w:val="67053DD6"/>
    <w:rsid w:val="67187B4E"/>
    <w:rsid w:val="67681AF5"/>
    <w:rsid w:val="679006EC"/>
    <w:rsid w:val="67D4265E"/>
    <w:rsid w:val="680322BB"/>
    <w:rsid w:val="680B55A3"/>
    <w:rsid w:val="6855196A"/>
    <w:rsid w:val="68C45835"/>
    <w:rsid w:val="69043398"/>
    <w:rsid w:val="69065C8F"/>
    <w:rsid w:val="69692E7C"/>
    <w:rsid w:val="69D16F2D"/>
    <w:rsid w:val="6A0348C0"/>
    <w:rsid w:val="6A0561E6"/>
    <w:rsid w:val="6A1F5237"/>
    <w:rsid w:val="6A3310D2"/>
    <w:rsid w:val="6A5317A6"/>
    <w:rsid w:val="6A6C376C"/>
    <w:rsid w:val="6AA816AD"/>
    <w:rsid w:val="6B420E6A"/>
    <w:rsid w:val="6B60238B"/>
    <w:rsid w:val="6BA87826"/>
    <w:rsid w:val="6BD010C3"/>
    <w:rsid w:val="6BD200C4"/>
    <w:rsid w:val="6BF24AFD"/>
    <w:rsid w:val="6BF72843"/>
    <w:rsid w:val="6C41422E"/>
    <w:rsid w:val="6C6E6A1E"/>
    <w:rsid w:val="6CC876B5"/>
    <w:rsid w:val="6CCA7595"/>
    <w:rsid w:val="6D3809C8"/>
    <w:rsid w:val="6D5F4B4E"/>
    <w:rsid w:val="6D9046E3"/>
    <w:rsid w:val="6D954B3B"/>
    <w:rsid w:val="6DC8130A"/>
    <w:rsid w:val="6DCB1CD9"/>
    <w:rsid w:val="6DDB5C14"/>
    <w:rsid w:val="6DDE7A33"/>
    <w:rsid w:val="6DE501CF"/>
    <w:rsid w:val="6E0E298B"/>
    <w:rsid w:val="6E2E5760"/>
    <w:rsid w:val="6E517793"/>
    <w:rsid w:val="6E881288"/>
    <w:rsid w:val="6EA2440F"/>
    <w:rsid w:val="6F157FCC"/>
    <w:rsid w:val="6F2E5070"/>
    <w:rsid w:val="6F543EB3"/>
    <w:rsid w:val="6F861085"/>
    <w:rsid w:val="6F8F5903"/>
    <w:rsid w:val="6FBA1653"/>
    <w:rsid w:val="6FC543CE"/>
    <w:rsid w:val="6FCD6A0E"/>
    <w:rsid w:val="6FD30E52"/>
    <w:rsid w:val="700B7272"/>
    <w:rsid w:val="706F6DA0"/>
    <w:rsid w:val="70700864"/>
    <w:rsid w:val="70843454"/>
    <w:rsid w:val="7090491A"/>
    <w:rsid w:val="70A85E90"/>
    <w:rsid w:val="70B7164D"/>
    <w:rsid w:val="70C742BE"/>
    <w:rsid w:val="711219FD"/>
    <w:rsid w:val="714D2D21"/>
    <w:rsid w:val="71A1737F"/>
    <w:rsid w:val="71B66530"/>
    <w:rsid w:val="71C41966"/>
    <w:rsid w:val="72381C4E"/>
    <w:rsid w:val="725F1FDA"/>
    <w:rsid w:val="72640B40"/>
    <w:rsid w:val="73642DBE"/>
    <w:rsid w:val="739F7382"/>
    <w:rsid w:val="73C954FA"/>
    <w:rsid w:val="73DD0872"/>
    <w:rsid w:val="73F63EA0"/>
    <w:rsid w:val="74631ADD"/>
    <w:rsid w:val="7491326C"/>
    <w:rsid w:val="75301F0F"/>
    <w:rsid w:val="753721F5"/>
    <w:rsid w:val="753F24CB"/>
    <w:rsid w:val="75AB3796"/>
    <w:rsid w:val="75C235E1"/>
    <w:rsid w:val="75E56EEA"/>
    <w:rsid w:val="7608270B"/>
    <w:rsid w:val="76352480"/>
    <w:rsid w:val="768D1C8A"/>
    <w:rsid w:val="76C754BC"/>
    <w:rsid w:val="76CE15DC"/>
    <w:rsid w:val="76EA792D"/>
    <w:rsid w:val="77654D72"/>
    <w:rsid w:val="776B0E40"/>
    <w:rsid w:val="7790555D"/>
    <w:rsid w:val="77DC2080"/>
    <w:rsid w:val="77DF0FD0"/>
    <w:rsid w:val="77F36D24"/>
    <w:rsid w:val="77F62134"/>
    <w:rsid w:val="77FB5B50"/>
    <w:rsid w:val="78404DB1"/>
    <w:rsid w:val="78795F4D"/>
    <w:rsid w:val="788A3B88"/>
    <w:rsid w:val="78D344E5"/>
    <w:rsid w:val="78FD47E2"/>
    <w:rsid w:val="79721632"/>
    <w:rsid w:val="79945405"/>
    <w:rsid w:val="79EC5F31"/>
    <w:rsid w:val="7A13577F"/>
    <w:rsid w:val="7A173CC1"/>
    <w:rsid w:val="7A1E081D"/>
    <w:rsid w:val="7A3A2FEB"/>
    <w:rsid w:val="7B7A512C"/>
    <w:rsid w:val="7B7A7D37"/>
    <w:rsid w:val="7BD00B78"/>
    <w:rsid w:val="7BE26018"/>
    <w:rsid w:val="7BE36429"/>
    <w:rsid w:val="7BF31700"/>
    <w:rsid w:val="7C041576"/>
    <w:rsid w:val="7C1F778C"/>
    <w:rsid w:val="7C31139B"/>
    <w:rsid w:val="7C840A45"/>
    <w:rsid w:val="7CEB6D63"/>
    <w:rsid w:val="7CEE3E06"/>
    <w:rsid w:val="7CF05DBE"/>
    <w:rsid w:val="7D110C40"/>
    <w:rsid w:val="7D243B4D"/>
    <w:rsid w:val="7D3D612B"/>
    <w:rsid w:val="7D441114"/>
    <w:rsid w:val="7D451682"/>
    <w:rsid w:val="7D454800"/>
    <w:rsid w:val="7D6A1959"/>
    <w:rsid w:val="7D9444E8"/>
    <w:rsid w:val="7DA131B6"/>
    <w:rsid w:val="7DAC570C"/>
    <w:rsid w:val="7DBB4D38"/>
    <w:rsid w:val="7DBD2D8B"/>
    <w:rsid w:val="7E187199"/>
    <w:rsid w:val="7E352F5D"/>
    <w:rsid w:val="7E3A0EC8"/>
    <w:rsid w:val="7E594898"/>
    <w:rsid w:val="7E881F16"/>
    <w:rsid w:val="7F3043FF"/>
    <w:rsid w:val="7F5D5134"/>
    <w:rsid w:val="7F6A6818"/>
    <w:rsid w:val="7F76323B"/>
    <w:rsid w:val="7F795625"/>
    <w:rsid w:val="7FAB1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jc w:val="left"/>
      <w:outlineLvl w:val="0"/>
    </w:pPr>
    <w:rPr>
      <w:rFonts w:hint="eastAsia" w:ascii="宋体" w:hAnsi="宋体"/>
      <w:b/>
      <w:bCs/>
      <w:kern w:val="44"/>
      <w:sz w:val="48"/>
      <w:szCs w:val="48"/>
    </w:rPr>
  </w:style>
  <w:style w:type="paragraph" w:styleId="5">
    <w:name w:val="heading 2"/>
    <w:basedOn w:val="1"/>
    <w:next w:val="1"/>
    <w:autoRedefine/>
    <w:qFormat/>
    <w:uiPriority w:val="0"/>
    <w:pPr>
      <w:keepNext/>
      <w:tabs>
        <w:tab w:val="left" w:pos="3600"/>
      </w:tabs>
      <w:adjustRightInd w:val="0"/>
      <w:snapToGrid w:val="0"/>
      <w:spacing w:line="500" w:lineRule="exact"/>
      <w:jc w:val="left"/>
      <w:outlineLvl w:val="1"/>
    </w:pPr>
    <w:rPr>
      <w:b/>
      <w:sz w:val="24"/>
    </w:rPr>
  </w:style>
  <w:style w:type="paragraph" w:styleId="6">
    <w:name w:val="heading 3"/>
    <w:basedOn w:val="1"/>
    <w:next w:val="1"/>
    <w:link w:val="60"/>
    <w:autoRedefine/>
    <w:unhideWhenUsed/>
    <w:qFormat/>
    <w:uiPriority w:val="0"/>
    <w:pPr>
      <w:keepNext/>
      <w:keepLines/>
      <w:spacing w:before="260" w:after="260" w:line="416" w:lineRule="auto"/>
      <w:outlineLvl w:val="2"/>
    </w:pPr>
    <w:rPr>
      <w:b/>
      <w:bCs/>
      <w:sz w:val="32"/>
      <w:szCs w:val="32"/>
    </w:rPr>
  </w:style>
  <w:style w:type="paragraph" w:styleId="7">
    <w:name w:val="heading 4"/>
    <w:basedOn w:val="1"/>
    <w:next w:val="1"/>
    <w:link w:val="61"/>
    <w:autoRedefine/>
    <w:qFormat/>
    <w:uiPriority w:val="0"/>
    <w:pPr>
      <w:tabs>
        <w:tab w:val="left" w:pos="2160"/>
      </w:tabs>
      <w:adjustRightInd w:val="0"/>
      <w:snapToGrid w:val="0"/>
      <w:spacing w:line="360" w:lineRule="auto"/>
      <w:ind w:left="2160" w:hanging="420"/>
      <w:outlineLvl w:val="3"/>
    </w:pPr>
    <w:rPr>
      <w:bCs/>
      <w:snapToGrid w:val="0"/>
      <w:sz w:val="28"/>
      <w:szCs w:val="28"/>
    </w:rPr>
  </w:style>
  <w:style w:type="paragraph" w:styleId="8">
    <w:name w:val="heading 5"/>
    <w:next w:val="9"/>
    <w:link w:val="62"/>
    <w:autoRedefine/>
    <w:qFormat/>
    <w:uiPriority w:val="0"/>
    <w:pPr>
      <w:widowControl w:val="0"/>
      <w:tabs>
        <w:tab w:val="left" w:pos="360"/>
      </w:tabs>
      <w:adjustRightInd w:val="0"/>
      <w:snapToGrid w:val="0"/>
      <w:spacing w:before="156" w:beforeLines="50" w:line="360" w:lineRule="auto"/>
      <w:outlineLvl w:val="4"/>
    </w:pPr>
    <w:rPr>
      <w:rFonts w:ascii="Times New Roman" w:hAnsi="Times New Roman" w:eastAsia="宋体" w:cs="Times New Roman"/>
      <w:bCs/>
      <w:snapToGrid w:val="0"/>
      <w:sz w:val="26"/>
      <w:szCs w:val="26"/>
      <w:lang w:val="en-US" w:eastAsia="zh-CN" w:bidi="ar-SA"/>
    </w:rPr>
  </w:style>
  <w:style w:type="paragraph" w:styleId="10">
    <w:name w:val="heading 6"/>
    <w:next w:val="9"/>
    <w:link w:val="63"/>
    <w:autoRedefine/>
    <w:qFormat/>
    <w:uiPriority w:val="0"/>
    <w:pPr>
      <w:tabs>
        <w:tab w:val="left" w:pos="360"/>
      </w:tabs>
      <w:adjustRightInd w:val="0"/>
      <w:snapToGrid w:val="0"/>
      <w:spacing w:line="360" w:lineRule="auto"/>
      <w:outlineLvl w:val="5"/>
    </w:pPr>
    <w:rPr>
      <w:rFonts w:ascii="Times New Roman" w:hAnsi="Times New Roman" w:eastAsia="宋体" w:cs="Times New Roman"/>
      <w:bCs/>
      <w:snapToGrid w:val="0"/>
      <w:sz w:val="26"/>
      <w:szCs w:val="26"/>
      <w:lang w:val="en-US" w:eastAsia="zh-CN" w:bidi="ar-SA"/>
    </w:rPr>
  </w:style>
  <w:style w:type="paragraph" w:styleId="11">
    <w:name w:val="heading 7"/>
    <w:next w:val="1"/>
    <w:link w:val="64"/>
    <w:autoRedefine/>
    <w:qFormat/>
    <w:uiPriority w:val="0"/>
    <w:pPr>
      <w:widowControl w:val="0"/>
      <w:numPr>
        <w:ilvl w:val="6"/>
        <w:numId w:val="1"/>
      </w:numPr>
      <w:spacing w:line="480" w:lineRule="auto"/>
      <w:outlineLvl w:val="6"/>
    </w:pPr>
    <w:rPr>
      <w:rFonts w:ascii="Times New Roman" w:hAnsi="Times New Roman" w:eastAsia="宋体" w:cs="Times New Roman"/>
      <w:snapToGrid w:val="0"/>
      <w:kern w:val="24"/>
      <w:sz w:val="24"/>
      <w:lang w:val="en-US" w:eastAsia="zh-CN" w:bidi="ar-SA"/>
    </w:rPr>
  </w:style>
  <w:style w:type="paragraph" w:styleId="12">
    <w:name w:val="heading 8"/>
    <w:next w:val="1"/>
    <w:link w:val="65"/>
    <w:autoRedefine/>
    <w:qFormat/>
    <w:uiPriority w:val="0"/>
    <w:pPr>
      <w:widowControl w:val="0"/>
      <w:numPr>
        <w:ilvl w:val="7"/>
        <w:numId w:val="1"/>
      </w:numPr>
      <w:spacing w:line="480" w:lineRule="auto"/>
      <w:outlineLvl w:val="7"/>
    </w:pPr>
    <w:rPr>
      <w:rFonts w:ascii="Times New Roman" w:hAnsi="Times New Roman" w:eastAsia="宋体" w:cs="Times New Roman"/>
      <w:snapToGrid w:val="0"/>
      <w:kern w:val="24"/>
      <w:sz w:val="24"/>
      <w:lang w:val="en-US" w:eastAsia="zh-CN" w:bidi="ar-SA"/>
    </w:rPr>
  </w:style>
  <w:style w:type="paragraph" w:styleId="13">
    <w:name w:val="heading 9"/>
    <w:next w:val="1"/>
    <w:link w:val="66"/>
    <w:autoRedefine/>
    <w:qFormat/>
    <w:uiPriority w:val="0"/>
    <w:pPr>
      <w:widowControl w:val="0"/>
      <w:numPr>
        <w:ilvl w:val="8"/>
        <w:numId w:val="1"/>
      </w:numPr>
      <w:spacing w:line="480" w:lineRule="auto"/>
      <w:outlineLvl w:val="8"/>
    </w:pPr>
    <w:rPr>
      <w:rFonts w:ascii="Times New Roman" w:hAnsi="Times New Roman" w:eastAsia="宋体" w:cs="Times New Roman"/>
      <w:snapToGrid w:val="0"/>
      <w:kern w:val="24"/>
      <w:sz w:val="24"/>
      <w:lang w:val="en-US" w:eastAsia="zh-CN" w:bidi="ar-SA"/>
    </w:rPr>
  </w:style>
  <w:style w:type="character" w:default="1" w:styleId="40">
    <w:name w:val="Default Paragraph Font"/>
    <w:autoRedefine/>
    <w:semiHidden/>
    <w:unhideWhenUsed/>
    <w:qFormat/>
    <w:uiPriority w:val="1"/>
  </w:style>
  <w:style w:type="table" w:default="1" w:styleId="38">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autoRedefine/>
    <w:qFormat/>
    <w:uiPriority w:val="0"/>
    <w:pPr>
      <w:spacing w:after="120"/>
      <w:ind w:left="420" w:leftChars="200"/>
    </w:pPr>
  </w:style>
  <w:style w:type="paragraph" w:styleId="9">
    <w:name w:val="Body Text First Indent"/>
    <w:basedOn w:val="1"/>
    <w:next w:val="1"/>
    <w:autoRedefine/>
    <w:qFormat/>
    <w:uiPriority w:val="0"/>
    <w:pPr>
      <w:spacing w:after="120"/>
      <w:ind w:firstLine="420" w:firstLineChars="100"/>
    </w:pPr>
  </w:style>
  <w:style w:type="paragraph" w:styleId="14">
    <w:name w:val="Normal Indent"/>
    <w:basedOn w:val="1"/>
    <w:next w:val="2"/>
    <w:link w:val="117"/>
    <w:autoRedefine/>
    <w:qFormat/>
    <w:uiPriority w:val="0"/>
    <w:pPr>
      <w:ind w:firstLine="420"/>
    </w:pPr>
    <w:rPr>
      <w:szCs w:val="20"/>
    </w:rPr>
  </w:style>
  <w:style w:type="paragraph" w:styleId="15">
    <w:name w:val="caption"/>
    <w:basedOn w:val="1"/>
    <w:next w:val="1"/>
    <w:link w:val="67"/>
    <w:autoRedefine/>
    <w:unhideWhenUsed/>
    <w:qFormat/>
    <w:uiPriority w:val="0"/>
    <w:pPr>
      <w:jc w:val="center"/>
    </w:pPr>
    <w:rPr>
      <w:rFonts w:ascii="Arial" w:hAnsi="Arial"/>
      <w:b/>
      <w:kern w:val="0"/>
      <w:szCs w:val="20"/>
    </w:rPr>
  </w:style>
  <w:style w:type="paragraph" w:styleId="16">
    <w:name w:val="annotation text"/>
    <w:basedOn w:val="1"/>
    <w:link w:val="138"/>
    <w:autoRedefine/>
    <w:qFormat/>
    <w:uiPriority w:val="0"/>
    <w:pPr>
      <w:jc w:val="left"/>
    </w:pPr>
  </w:style>
  <w:style w:type="paragraph" w:styleId="17">
    <w:name w:val="Body Text 3"/>
    <w:basedOn w:val="1"/>
    <w:link w:val="133"/>
    <w:autoRedefine/>
    <w:qFormat/>
    <w:uiPriority w:val="0"/>
    <w:pPr>
      <w:spacing w:line="600" w:lineRule="exact"/>
      <w:jc w:val="left"/>
    </w:pPr>
    <w:rPr>
      <w:b/>
      <w:bCs/>
      <w:sz w:val="28"/>
      <w:szCs w:val="20"/>
    </w:rPr>
  </w:style>
  <w:style w:type="paragraph" w:styleId="18">
    <w:name w:val="Body Text"/>
    <w:basedOn w:val="1"/>
    <w:next w:val="19"/>
    <w:autoRedefine/>
    <w:qFormat/>
    <w:uiPriority w:val="0"/>
    <w:pPr>
      <w:spacing w:line="440" w:lineRule="exact"/>
      <w:textAlignment w:val="center"/>
    </w:pPr>
    <w:rPr>
      <w:rFonts w:eastAsia="华文中宋"/>
      <w:sz w:val="28"/>
    </w:rPr>
  </w:style>
  <w:style w:type="paragraph" w:customStyle="1" w:styleId="19">
    <w:name w:val="Normal (Web)1"/>
    <w:basedOn w:val="1"/>
    <w:next w:val="20"/>
    <w:autoRedefine/>
    <w:qFormat/>
    <w:uiPriority w:val="0"/>
    <w:pPr>
      <w:widowControl/>
      <w:jc w:val="left"/>
    </w:pPr>
    <w:rPr>
      <w:rFonts w:ascii="宋体"/>
      <w:kern w:val="0"/>
      <w:sz w:val="24"/>
      <w:szCs w:val="21"/>
    </w:rPr>
  </w:style>
  <w:style w:type="paragraph" w:customStyle="1" w:styleId="20">
    <w:name w:val="Date1"/>
    <w:basedOn w:val="1"/>
    <w:next w:val="1"/>
    <w:autoRedefine/>
    <w:qFormat/>
    <w:uiPriority w:val="0"/>
    <w:pPr>
      <w:ind w:left="2500" w:leftChars="2500"/>
    </w:pPr>
  </w:style>
  <w:style w:type="paragraph" w:styleId="21">
    <w:name w:val="Block Text"/>
    <w:basedOn w:val="1"/>
    <w:autoRedefine/>
    <w:qFormat/>
    <w:uiPriority w:val="0"/>
    <w:pPr>
      <w:adjustRightInd w:val="0"/>
      <w:snapToGrid w:val="0"/>
      <w:spacing w:line="490" w:lineRule="atLeast"/>
      <w:ind w:left="10" w:leftChars="5" w:right="-449" w:rightChars="-214" w:firstLine="560" w:firstLineChars="200"/>
    </w:pPr>
    <w:rPr>
      <w:color w:val="000000"/>
      <w:sz w:val="28"/>
    </w:rPr>
  </w:style>
  <w:style w:type="paragraph" w:styleId="22">
    <w:name w:val="toc 3"/>
    <w:basedOn w:val="1"/>
    <w:next w:val="1"/>
    <w:autoRedefine/>
    <w:qFormat/>
    <w:uiPriority w:val="39"/>
    <w:pPr>
      <w:ind w:left="840" w:leftChars="400"/>
    </w:pPr>
  </w:style>
  <w:style w:type="paragraph" w:styleId="23">
    <w:name w:val="Plain Text"/>
    <w:basedOn w:val="1"/>
    <w:link w:val="68"/>
    <w:autoRedefine/>
    <w:qFormat/>
    <w:uiPriority w:val="99"/>
    <w:rPr>
      <w:rFonts w:ascii="宋体" w:hAnsi="Courier New" w:cs="Courier New"/>
      <w:szCs w:val="21"/>
    </w:rPr>
  </w:style>
  <w:style w:type="paragraph" w:styleId="24">
    <w:name w:val="Date"/>
    <w:basedOn w:val="1"/>
    <w:next w:val="1"/>
    <w:link w:val="142"/>
    <w:autoRedefine/>
    <w:qFormat/>
    <w:uiPriority w:val="0"/>
    <w:rPr>
      <w:kern w:val="28"/>
      <w:sz w:val="28"/>
      <w:szCs w:val="20"/>
    </w:rPr>
  </w:style>
  <w:style w:type="paragraph" w:styleId="25">
    <w:name w:val="Body Text Indent 2"/>
    <w:basedOn w:val="1"/>
    <w:next w:val="1"/>
    <w:link w:val="143"/>
    <w:autoRedefine/>
    <w:qFormat/>
    <w:uiPriority w:val="0"/>
    <w:pPr>
      <w:spacing w:line="460" w:lineRule="exact"/>
      <w:ind w:firstLine="561"/>
    </w:pPr>
    <w:rPr>
      <w:rFonts w:ascii="宋体"/>
      <w:sz w:val="28"/>
    </w:rPr>
  </w:style>
  <w:style w:type="paragraph" w:styleId="26">
    <w:name w:val="Balloon Text"/>
    <w:basedOn w:val="1"/>
    <w:link w:val="141"/>
    <w:autoRedefine/>
    <w:qFormat/>
    <w:uiPriority w:val="0"/>
    <w:rPr>
      <w:sz w:val="18"/>
      <w:szCs w:val="18"/>
    </w:rPr>
  </w:style>
  <w:style w:type="paragraph" w:styleId="27">
    <w:name w:val="footer"/>
    <w:basedOn w:val="1"/>
    <w:link w:val="69"/>
    <w:autoRedefine/>
    <w:qFormat/>
    <w:uiPriority w:val="99"/>
    <w:pPr>
      <w:tabs>
        <w:tab w:val="center" w:pos="4153"/>
        <w:tab w:val="right" w:pos="8306"/>
      </w:tabs>
      <w:snapToGrid w:val="0"/>
      <w:jc w:val="left"/>
    </w:pPr>
    <w:rPr>
      <w:kern w:val="0"/>
      <w:sz w:val="18"/>
      <w:szCs w:val="20"/>
    </w:rPr>
  </w:style>
  <w:style w:type="paragraph" w:styleId="28">
    <w:name w:val="header"/>
    <w:basedOn w:val="1"/>
    <w:link w:val="18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9">
    <w:name w:val="toc 1"/>
    <w:basedOn w:val="1"/>
    <w:next w:val="1"/>
    <w:autoRedefine/>
    <w:qFormat/>
    <w:uiPriority w:val="39"/>
  </w:style>
  <w:style w:type="paragraph" w:styleId="30">
    <w:name w:val="Subtitle"/>
    <w:basedOn w:val="1"/>
    <w:next w:val="1"/>
    <w:link w:val="166"/>
    <w:autoRedefine/>
    <w:qFormat/>
    <w:uiPriority w:val="0"/>
    <w:pPr>
      <w:spacing w:line="360" w:lineRule="auto"/>
      <w:jc w:val="center"/>
    </w:pPr>
    <w:rPr>
      <w:rFonts w:eastAsia="黑体"/>
      <w:b/>
      <w:bCs/>
      <w:kern w:val="28"/>
      <w:sz w:val="24"/>
      <w:szCs w:val="32"/>
    </w:rPr>
  </w:style>
  <w:style w:type="paragraph" w:styleId="31">
    <w:name w:val="List"/>
    <w:basedOn w:val="1"/>
    <w:autoRedefine/>
    <w:qFormat/>
    <w:uiPriority w:val="0"/>
    <w:pPr>
      <w:jc w:val="center"/>
    </w:pPr>
    <w:rPr>
      <w:kern w:val="0"/>
      <w:szCs w:val="20"/>
    </w:rPr>
  </w:style>
  <w:style w:type="paragraph" w:styleId="32">
    <w:name w:val="Body Text Indent 3"/>
    <w:basedOn w:val="1"/>
    <w:autoRedefine/>
    <w:qFormat/>
    <w:uiPriority w:val="0"/>
    <w:pPr>
      <w:ind w:firstLine="560" w:firstLineChars="200"/>
      <w:jc w:val="left"/>
    </w:pPr>
    <w:rPr>
      <w:rFonts w:ascii="宋体"/>
      <w:sz w:val="28"/>
    </w:rPr>
  </w:style>
  <w:style w:type="paragraph" w:styleId="33">
    <w:name w:val="toc 2"/>
    <w:basedOn w:val="1"/>
    <w:next w:val="1"/>
    <w:autoRedefine/>
    <w:qFormat/>
    <w:uiPriority w:val="39"/>
    <w:pPr>
      <w:spacing w:line="360" w:lineRule="auto"/>
      <w:ind w:firstLine="200" w:firstLineChars="200"/>
    </w:pPr>
    <w:rPr>
      <w:iCs/>
      <w:szCs w:val="20"/>
    </w:rPr>
  </w:style>
  <w:style w:type="paragraph" w:styleId="34">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rPr>
  </w:style>
  <w:style w:type="paragraph" w:styleId="35">
    <w:name w:val="Normal (Web)"/>
    <w:basedOn w:val="1"/>
    <w:link w:val="177"/>
    <w:autoRedefine/>
    <w:qFormat/>
    <w:uiPriority w:val="0"/>
    <w:pPr>
      <w:widowControl/>
      <w:spacing w:before="100" w:beforeAutospacing="1" w:after="100" w:afterAutospacing="1"/>
      <w:jc w:val="left"/>
    </w:pPr>
    <w:rPr>
      <w:rFonts w:ascii="宋体" w:hAnsi="宋体"/>
      <w:kern w:val="0"/>
      <w:sz w:val="24"/>
      <w:szCs w:val="20"/>
    </w:rPr>
  </w:style>
  <w:style w:type="paragraph" w:styleId="36">
    <w:name w:val="Title"/>
    <w:basedOn w:val="1"/>
    <w:next w:val="1"/>
    <w:autoRedefine/>
    <w:qFormat/>
    <w:uiPriority w:val="0"/>
    <w:pPr>
      <w:spacing w:before="240" w:after="60"/>
      <w:jc w:val="center"/>
      <w:outlineLvl w:val="0"/>
    </w:pPr>
    <w:rPr>
      <w:rFonts w:ascii="等线 Light" w:hAnsi="等线 Light"/>
      <w:b/>
      <w:bCs/>
      <w:sz w:val="32"/>
      <w:szCs w:val="32"/>
    </w:rPr>
  </w:style>
  <w:style w:type="paragraph" w:styleId="37">
    <w:name w:val="annotation subject"/>
    <w:basedOn w:val="16"/>
    <w:next w:val="16"/>
    <w:link w:val="139"/>
    <w:autoRedefine/>
    <w:qFormat/>
    <w:uiPriority w:val="0"/>
    <w:rPr>
      <w:b/>
      <w:bCs/>
      <w:sz w:val="32"/>
    </w:rPr>
  </w:style>
  <w:style w:type="table" w:styleId="39">
    <w:name w:val="Table Grid"/>
    <w:basedOn w:val="3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page number"/>
    <w:basedOn w:val="40"/>
    <w:autoRedefine/>
    <w:qFormat/>
    <w:uiPriority w:val="0"/>
  </w:style>
  <w:style w:type="character" w:styleId="42">
    <w:name w:val="FollowedHyperlink"/>
    <w:basedOn w:val="40"/>
    <w:autoRedefine/>
    <w:qFormat/>
    <w:uiPriority w:val="0"/>
    <w:rPr>
      <w:color w:val="000000"/>
      <w:u w:val="none"/>
    </w:rPr>
  </w:style>
  <w:style w:type="character" w:styleId="43">
    <w:name w:val="Emphasis"/>
    <w:basedOn w:val="40"/>
    <w:autoRedefine/>
    <w:qFormat/>
    <w:uiPriority w:val="0"/>
  </w:style>
  <w:style w:type="character" w:styleId="44">
    <w:name w:val="Hyperlink"/>
    <w:basedOn w:val="40"/>
    <w:autoRedefine/>
    <w:qFormat/>
    <w:uiPriority w:val="99"/>
    <w:rPr>
      <w:color w:val="000000"/>
      <w:u w:val="none"/>
    </w:rPr>
  </w:style>
  <w:style w:type="character" w:styleId="45">
    <w:name w:val="annotation reference"/>
    <w:autoRedefine/>
    <w:qFormat/>
    <w:uiPriority w:val="0"/>
    <w:rPr>
      <w:sz w:val="21"/>
      <w:szCs w:val="21"/>
    </w:rPr>
  </w:style>
  <w:style w:type="paragraph" w:customStyle="1" w:styleId="46">
    <w:name w:val="样式 正文缩进正文缩进2正文缩进 Char Char正文缩进 Char Char Char Char正文缩进 Char ..."/>
    <w:basedOn w:val="14"/>
    <w:autoRedefine/>
    <w:qFormat/>
    <w:uiPriority w:val="0"/>
    <w:pPr>
      <w:spacing w:line="240" w:lineRule="auto"/>
      <w:ind w:firstLine="0" w:firstLineChars="0"/>
    </w:pPr>
    <w:rPr>
      <w:rFonts w:ascii="Times New Roman" w:hAnsi="Times New Roman" w:eastAsia="宋体" w:cs="Times New Roman"/>
      <w:w w:val="80"/>
      <w:sz w:val="18"/>
      <w:szCs w:val="15"/>
    </w:rPr>
  </w:style>
  <w:style w:type="paragraph" w:customStyle="1" w:styleId="47">
    <w:name w:val="11111"/>
    <w:basedOn w:val="1"/>
    <w:next w:val="1"/>
    <w:autoRedefine/>
    <w:qFormat/>
    <w:uiPriority w:val="0"/>
    <w:pPr>
      <w:spacing w:line="360" w:lineRule="auto"/>
      <w:ind w:firstLine="200" w:firstLineChars="200"/>
    </w:pPr>
    <w:rPr>
      <w:rFonts w:hAnsi="宋体" w:cs="宋体"/>
    </w:rPr>
  </w:style>
  <w:style w:type="paragraph" w:customStyle="1" w:styleId="48">
    <w:name w:val="表格标题"/>
    <w:basedOn w:val="49"/>
    <w:next w:val="1"/>
    <w:link w:val="50"/>
    <w:autoRedefine/>
    <w:qFormat/>
    <w:uiPriority w:val="0"/>
    <w:pPr>
      <w:tabs>
        <w:tab w:val="left" w:pos="1800"/>
      </w:tabs>
      <w:overflowPunct w:val="0"/>
      <w:autoSpaceDE w:val="0"/>
      <w:autoSpaceDN w:val="0"/>
      <w:ind w:firstLine="0"/>
      <w:jc w:val="center"/>
    </w:pPr>
    <w:rPr>
      <w:b/>
      <w:kern w:val="20"/>
    </w:rPr>
  </w:style>
  <w:style w:type="paragraph" w:customStyle="1" w:styleId="49">
    <w:name w:val="报告书正文"/>
    <w:basedOn w:val="1"/>
    <w:autoRedefine/>
    <w:qFormat/>
    <w:uiPriority w:val="0"/>
    <w:pPr>
      <w:adjustRightInd w:val="0"/>
      <w:snapToGrid w:val="0"/>
      <w:spacing w:line="360" w:lineRule="auto"/>
      <w:ind w:firstLine="425"/>
      <w:textAlignment w:val="baseline"/>
    </w:pPr>
    <w:rPr>
      <w:rFonts w:ascii="Arial" w:hAnsi="Arial"/>
      <w:sz w:val="24"/>
    </w:rPr>
  </w:style>
  <w:style w:type="character" w:customStyle="1" w:styleId="50">
    <w:name w:val="表格标题 Char"/>
    <w:link w:val="48"/>
    <w:autoRedefine/>
    <w:qFormat/>
    <w:locked/>
    <w:uiPriority w:val="0"/>
    <w:rPr>
      <w:b/>
      <w:kern w:val="20"/>
      <w:sz w:val="21"/>
      <w:szCs w:val="24"/>
    </w:rPr>
  </w:style>
  <w:style w:type="paragraph" w:customStyle="1" w:styleId="51">
    <w:name w:val="表格内容"/>
    <w:basedOn w:val="52"/>
    <w:next w:val="1"/>
    <w:link w:val="171"/>
    <w:autoRedefine/>
    <w:qFormat/>
    <w:uiPriority w:val="0"/>
    <w:pPr>
      <w:overflowPunct w:val="0"/>
      <w:adjustRightInd w:val="0"/>
      <w:snapToGrid w:val="0"/>
      <w:textAlignment w:val="baseline"/>
    </w:pPr>
    <w:rPr>
      <w:rFonts w:ascii="Calibri" w:hAnsi="Calibri"/>
      <w:kern w:val="0"/>
      <w:sz w:val="20"/>
      <w:szCs w:val="20"/>
    </w:rPr>
  </w:style>
  <w:style w:type="paragraph" w:customStyle="1" w:styleId="52">
    <w:name w:val="封皮-证书编号"/>
    <w:basedOn w:val="1"/>
    <w:autoRedefine/>
    <w:qFormat/>
    <w:uiPriority w:val="0"/>
    <w:pPr>
      <w:jc w:val="center"/>
    </w:pPr>
    <w:rPr>
      <w:rFonts w:eastAsia="黑体"/>
      <w:sz w:val="28"/>
    </w:rPr>
  </w:style>
  <w:style w:type="paragraph" w:customStyle="1" w:styleId="53">
    <w:name w:val="首行缩进表格正文"/>
    <w:basedOn w:val="1"/>
    <w:autoRedefine/>
    <w:qFormat/>
    <w:uiPriority w:val="0"/>
    <w:pPr>
      <w:spacing w:line="360" w:lineRule="auto"/>
      <w:ind w:firstLine="720" w:firstLineChars="200"/>
      <w:jc w:val="left"/>
    </w:pPr>
  </w:style>
  <w:style w:type="paragraph" w:customStyle="1" w:styleId="54">
    <w:name w:val="Default"/>
    <w:basedOn w:val="55"/>
    <w:next w:val="1"/>
    <w:link w:val="70"/>
    <w:autoRedefine/>
    <w:qFormat/>
    <w:uiPriority w:val="0"/>
    <w:pPr>
      <w:widowControl w:val="0"/>
      <w:autoSpaceDE w:val="0"/>
      <w:autoSpaceDN w:val="0"/>
    </w:pPr>
    <w:rPr>
      <w:rFonts w:hAnsi="Calibri" w:cs="宋体"/>
      <w:color w:val="000000"/>
      <w:szCs w:val="24"/>
    </w:rPr>
  </w:style>
  <w:style w:type="paragraph" w:customStyle="1" w:styleId="55">
    <w:name w:val="纯文本1"/>
    <w:autoRedefine/>
    <w:qFormat/>
    <w:uiPriority w:val="0"/>
    <w:pPr>
      <w:adjustRightInd w:val="0"/>
      <w:jc w:val="center"/>
      <w:textAlignment w:val="baseline"/>
    </w:pPr>
    <w:rPr>
      <w:rFonts w:ascii="宋体" w:hAnsi="Courier New" w:eastAsia="宋体" w:cs="Times New Roman"/>
      <w:sz w:val="24"/>
      <w:lang w:val="en-US" w:eastAsia="zh-CN" w:bidi="ar-SA"/>
    </w:rPr>
  </w:style>
  <w:style w:type="paragraph" w:customStyle="1" w:styleId="56">
    <w:name w:val="样式 正文首行缩进 + 首行缩进:  2 字符1"/>
    <w:basedOn w:val="1"/>
    <w:next w:val="29"/>
    <w:autoRedefine/>
    <w:qFormat/>
    <w:uiPriority w:val="0"/>
    <w:pPr>
      <w:spacing w:line="360" w:lineRule="auto"/>
      <w:ind w:firstLine="480" w:firstLineChars="200"/>
    </w:pPr>
    <w:rPr>
      <w:sz w:val="24"/>
      <w:szCs w:val="20"/>
    </w:rPr>
  </w:style>
  <w:style w:type="paragraph" w:customStyle="1" w:styleId="57">
    <w:name w:val="xl27"/>
    <w:basedOn w:val="1"/>
    <w:autoRedefine/>
    <w:qFormat/>
    <w:uiPriority w:val="0"/>
    <w:pPr>
      <w:widowControl/>
      <w:pBdr>
        <w:bottom w:val="single" w:color="auto" w:sz="4" w:space="0"/>
        <w:right w:val="single" w:color="auto" w:sz="4" w:space="0"/>
      </w:pBdr>
      <w:spacing w:before="100" w:beforeAutospacing="1" w:after="100" w:afterAutospacing="1"/>
      <w:jc w:val="center"/>
    </w:pPr>
    <w:rPr>
      <w:kern w:val="0"/>
      <w:szCs w:val="20"/>
    </w:rPr>
  </w:style>
  <w:style w:type="paragraph" w:customStyle="1" w:styleId="58">
    <w:name w:val="！报告表正文"/>
    <w:basedOn w:val="59"/>
    <w:link w:val="96"/>
    <w:autoRedefine/>
    <w:qFormat/>
    <w:uiPriority w:val="0"/>
  </w:style>
  <w:style w:type="paragraph" w:customStyle="1" w:styleId="59">
    <w:name w:val="【正文】"/>
    <w:basedOn w:val="1"/>
    <w:next w:val="34"/>
    <w:link w:val="72"/>
    <w:autoRedefine/>
    <w:qFormat/>
    <w:uiPriority w:val="0"/>
    <w:pPr>
      <w:spacing w:line="500" w:lineRule="exact"/>
      <w:ind w:firstLine="200" w:firstLineChars="200"/>
    </w:pPr>
    <w:rPr>
      <w:kern w:val="0"/>
      <w:sz w:val="24"/>
      <w:szCs w:val="20"/>
    </w:rPr>
  </w:style>
  <w:style w:type="character" w:customStyle="1" w:styleId="60">
    <w:name w:val="标题 3 字符"/>
    <w:basedOn w:val="40"/>
    <w:link w:val="6"/>
    <w:autoRedefine/>
    <w:qFormat/>
    <w:uiPriority w:val="9"/>
    <w:rPr>
      <w:b/>
      <w:bCs/>
      <w:sz w:val="32"/>
      <w:szCs w:val="32"/>
    </w:rPr>
  </w:style>
  <w:style w:type="character" w:customStyle="1" w:styleId="61">
    <w:name w:val="标题 4 字符"/>
    <w:basedOn w:val="40"/>
    <w:link w:val="7"/>
    <w:autoRedefine/>
    <w:qFormat/>
    <w:uiPriority w:val="0"/>
    <w:rPr>
      <w:bCs/>
      <w:snapToGrid w:val="0"/>
      <w:sz w:val="28"/>
      <w:szCs w:val="28"/>
    </w:rPr>
  </w:style>
  <w:style w:type="character" w:customStyle="1" w:styleId="62">
    <w:name w:val="标题 5 字符"/>
    <w:basedOn w:val="40"/>
    <w:link w:val="8"/>
    <w:autoRedefine/>
    <w:qFormat/>
    <w:uiPriority w:val="0"/>
    <w:rPr>
      <w:bCs/>
      <w:snapToGrid w:val="0"/>
      <w:sz w:val="26"/>
      <w:szCs w:val="26"/>
    </w:rPr>
  </w:style>
  <w:style w:type="character" w:customStyle="1" w:styleId="63">
    <w:name w:val="标题 6 字符"/>
    <w:basedOn w:val="40"/>
    <w:link w:val="10"/>
    <w:autoRedefine/>
    <w:qFormat/>
    <w:uiPriority w:val="0"/>
    <w:rPr>
      <w:bCs/>
      <w:snapToGrid w:val="0"/>
      <w:sz w:val="26"/>
      <w:szCs w:val="26"/>
    </w:rPr>
  </w:style>
  <w:style w:type="character" w:customStyle="1" w:styleId="64">
    <w:name w:val="标题 7 字符"/>
    <w:basedOn w:val="40"/>
    <w:link w:val="11"/>
    <w:autoRedefine/>
    <w:qFormat/>
    <w:uiPriority w:val="0"/>
    <w:rPr>
      <w:snapToGrid w:val="0"/>
      <w:kern w:val="24"/>
      <w:sz w:val="24"/>
    </w:rPr>
  </w:style>
  <w:style w:type="character" w:customStyle="1" w:styleId="65">
    <w:name w:val="标题 8 字符"/>
    <w:basedOn w:val="40"/>
    <w:link w:val="12"/>
    <w:autoRedefine/>
    <w:qFormat/>
    <w:uiPriority w:val="0"/>
    <w:rPr>
      <w:snapToGrid w:val="0"/>
      <w:kern w:val="24"/>
      <w:sz w:val="24"/>
    </w:rPr>
  </w:style>
  <w:style w:type="character" w:customStyle="1" w:styleId="66">
    <w:name w:val="标题 9 字符"/>
    <w:basedOn w:val="40"/>
    <w:link w:val="13"/>
    <w:autoRedefine/>
    <w:qFormat/>
    <w:uiPriority w:val="0"/>
    <w:rPr>
      <w:snapToGrid w:val="0"/>
      <w:kern w:val="24"/>
      <w:sz w:val="24"/>
    </w:rPr>
  </w:style>
  <w:style w:type="character" w:customStyle="1" w:styleId="67">
    <w:name w:val="题注 字符"/>
    <w:link w:val="15"/>
    <w:autoRedefine/>
    <w:qFormat/>
    <w:uiPriority w:val="0"/>
    <w:rPr>
      <w:rFonts w:ascii="Arial" w:hAnsi="Arial"/>
      <w:b/>
      <w:sz w:val="21"/>
    </w:rPr>
  </w:style>
  <w:style w:type="character" w:customStyle="1" w:styleId="68">
    <w:name w:val="纯文本 字符"/>
    <w:link w:val="23"/>
    <w:autoRedefine/>
    <w:qFormat/>
    <w:locked/>
    <w:uiPriority w:val="99"/>
    <w:rPr>
      <w:rFonts w:ascii="宋体" w:hAnsi="Courier New" w:cs="Courier New"/>
      <w:kern w:val="2"/>
      <w:sz w:val="21"/>
      <w:szCs w:val="21"/>
    </w:rPr>
  </w:style>
  <w:style w:type="character" w:customStyle="1" w:styleId="69">
    <w:name w:val="页脚 字符"/>
    <w:link w:val="27"/>
    <w:autoRedefine/>
    <w:qFormat/>
    <w:uiPriority w:val="99"/>
    <w:rPr>
      <w:sz w:val="18"/>
    </w:rPr>
  </w:style>
  <w:style w:type="character" w:customStyle="1" w:styleId="70">
    <w:name w:val="Default Char"/>
    <w:link w:val="54"/>
    <w:autoRedefine/>
    <w:qFormat/>
    <w:uiPriority w:val="0"/>
    <w:rPr>
      <w:rFonts w:ascii="宋体" w:hAnsi="Calibri" w:cs="宋体"/>
      <w:color w:val="000000"/>
      <w:sz w:val="24"/>
      <w:szCs w:val="24"/>
    </w:rPr>
  </w:style>
  <w:style w:type="paragraph" w:customStyle="1" w:styleId="71">
    <w:name w:val="表格"/>
    <w:basedOn w:val="1"/>
    <w:next w:val="1"/>
    <w:link w:val="178"/>
    <w:autoRedefine/>
    <w:qFormat/>
    <w:uiPriority w:val="0"/>
    <w:pPr>
      <w:adjustRightInd w:val="0"/>
      <w:snapToGrid w:val="0"/>
      <w:spacing w:beforeLines="10" w:afterLines="10" w:line="259" w:lineRule="auto"/>
      <w:jc w:val="center"/>
    </w:pPr>
    <w:rPr>
      <w:rFonts w:ascii="宋体"/>
      <w:kern w:val="0"/>
      <w:szCs w:val="20"/>
    </w:rPr>
  </w:style>
  <w:style w:type="character" w:customStyle="1" w:styleId="72">
    <w:name w:val="【正文】 Char"/>
    <w:link w:val="59"/>
    <w:autoRedefine/>
    <w:qFormat/>
    <w:uiPriority w:val="0"/>
    <w:rPr>
      <w:kern w:val="0"/>
      <w:sz w:val="24"/>
      <w:szCs w:val="20"/>
    </w:rPr>
  </w:style>
  <w:style w:type="paragraph" w:customStyle="1" w:styleId="73">
    <w:name w:val="_Style 4"/>
    <w:basedOn w:val="1"/>
    <w:autoRedefine/>
    <w:qFormat/>
    <w:uiPriority w:val="0"/>
    <w:pPr>
      <w:snapToGrid w:val="0"/>
      <w:spacing w:line="360" w:lineRule="auto"/>
      <w:ind w:firstLine="529" w:firstLineChars="200"/>
    </w:pPr>
  </w:style>
  <w:style w:type="paragraph" w:customStyle="1" w:styleId="74">
    <w:name w:val="【表中文字】"/>
    <w:basedOn w:val="75"/>
    <w:link w:val="76"/>
    <w:autoRedefine/>
    <w:qFormat/>
    <w:uiPriority w:val="0"/>
    <w:rPr>
      <w:szCs w:val="20"/>
    </w:rPr>
  </w:style>
  <w:style w:type="paragraph" w:customStyle="1" w:styleId="75">
    <w:name w:val=".表1-1-1内容"/>
    <w:basedOn w:val="1"/>
    <w:autoRedefine/>
    <w:qFormat/>
    <w:uiPriority w:val="0"/>
    <w:pPr>
      <w:spacing w:line="300" w:lineRule="exact"/>
      <w:jc w:val="center"/>
    </w:pPr>
    <w:rPr>
      <w:kern w:val="0"/>
      <w:szCs w:val="21"/>
    </w:rPr>
  </w:style>
  <w:style w:type="character" w:customStyle="1" w:styleId="76">
    <w:name w:val="【表中文字】 Char Char"/>
    <w:link w:val="74"/>
    <w:autoRedefine/>
    <w:qFormat/>
    <w:uiPriority w:val="0"/>
    <w:rPr>
      <w:sz w:val="21"/>
    </w:rPr>
  </w:style>
  <w:style w:type="paragraph" w:customStyle="1" w:styleId="77">
    <w:name w:val="表格文字"/>
    <w:basedOn w:val="78"/>
    <w:link w:val="80"/>
    <w:autoRedefine/>
    <w:qFormat/>
    <w:uiPriority w:val="0"/>
    <w:pPr>
      <w:widowControl/>
    </w:pPr>
    <w:rPr>
      <w:rFonts w:ascii="宋体" w:hAnsi="宋体" w:cs="宋体"/>
      <w:color w:val="000000"/>
      <w:szCs w:val="21"/>
    </w:rPr>
  </w:style>
  <w:style w:type="paragraph" w:customStyle="1" w:styleId="78">
    <w:name w:val="表头"/>
    <w:basedOn w:val="31"/>
    <w:next w:val="79"/>
    <w:autoRedefine/>
    <w:qFormat/>
    <w:uiPriority w:val="0"/>
    <w:pPr>
      <w:adjustRightInd w:val="0"/>
      <w:snapToGrid w:val="0"/>
      <w:spacing w:line="360" w:lineRule="auto"/>
    </w:pPr>
    <w:rPr>
      <w:rFonts w:eastAsia="黑体"/>
      <w:sz w:val="24"/>
      <w:szCs w:val="22"/>
    </w:rPr>
  </w:style>
  <w:style w:type="paragraph" w:customStyle="1" w:styleId="79">
    <w:name w:val="表1"/>
    <w:next w:val="1"/>
    <w:autoRedefine/>
    <w:qFormat/>
    <w:uiPriority w:val="0"/>
    <w:pPr>
      <w:adjustRightInd w:val="0"/>
      <w:snapToGrid w:val="0"/>
      <w:jc w:val="center"/>
    </w:pPr>
    <w:rPr>
      <w:rFonts w:ascii="宋体" w:hAnsi="Times New Roman" w:eastAsia="宋体" w:cs="Times New Roman"/>
      <w:sz w:val="21"/>
      <w:lang w:val="en-US" w:eastAsia="zh-CN" w:bidi="ar-SA"/>
    </w:rPr>
  </w:style>
  <w:style w:type="character" w:customStyle="1" w:styleId="80">
    <w:name w:val="表格文字 Char Char"/>
    <w:link w:val="77"/>
    <w:autoRedefine/>
    <w:qFormat/>
    <w:uiPriority w:val="0"/>
    <w:rPr>
      <w:rFonts w:ascii="宋体" w:hAnsi="宋体" w:eastAsia="黑体" w:cs="宋体"/>
      <w:color w:val="000000"/>
      <w:sz w:val="24"/>
      <w:szCs w:val="21"/>
    </w:rPr>
  </w:style>
  <w:style w:type="paragraph" w:customStyle="1" w:styleId="81">
    <w:name w:val="正文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82">
    <w:name w:val="【表头】"/>
    <w:basedOn w:val="83"/>
    <w:link w:val="84"/>
    <w:autoRedefine/>
    <w:qFormat/>
    <w:uiPriority w:val="0"/>
    <w:pPr>
      <w:spacing w:line="460" w:lineRule="exact"/>
      <w:jc w:val="center"/>
    </w:pPr>
    <w:rPr>
      <w:b/>
      <w:sz w:val="24"/>
    </w:rPr>
  </w:style>
  <w:style w:type="paragraph" w:customStyle="1" w:styleId="83">
    <w:name w:val="0"/>
    <w:basedOn w:val="1"/>
    <w:autoRedefine/>
    <w:qFormat/>
    <w:uiPriority w:val="99"/>
    <w:pPr>
      <w:widowControl/>
      <w:snapToGrid w:val="0"/>
      <w:jc w:val="left"/>
    </w:pPr>
    <w:rPr>
      <w:rFonts w:ascii="宋体"/>
      <w:kern w:val="0"/>
      <w:sz w:val="20"/>
      <w:szCs w:val="20"/>
    </w:rPr>
  </w:style>
  <w:style w:type="character" w:customStyle="1" w:styleId="84">
    <w:name w:val="【表头】 Char Char"/>
    <w:link w:val="82"/>
    <w:autoRedefine/>
    <w:qFormat/>
    <w:uiPriority w:val="0"/>
    <w:rPr>
      <w:b/>
      <w:sz w:val="24"/>
    </w:rPr>
  </w:style>
  <w:style w:type="paragraph" w:customStyle="1" w:styleId="85">
    <w:name w:val="内容"/>
    <w:basedOn w:val="1"/>
    <w:autoRedefine/>
    <w:qFormat/>
    <w:uiPriority w:val="0"/>
    <w:pPr>
      <w:spacing w:beforeLines="50" w:afterLines="50"/>
      <w:ind w:firstLine="200" w:firstLineChars="200"/>
    </w:pPr>
    <w:rPr>
      <w:color w:val="000000"/>
      <w:sz w:val="24"/>
    </w:rPr>
  </w:style>
  <w:style w:type="paragraph" w:customStyle="1" w:styleId="86">
    <w:name w:val="正文00"/>
    <w:basedOn w:val="1"/>
    <w:next w:val="1"/>
    <w:autoRedefine/>
    <w:qFormat/>
    <w:uiPriority w:val="0"/>
    <w:pPr>
      <w:spacing w:line="360" w:lineRule="auto"/>
      <w:ind w:firstLine="480" w:firstLineChars="200"/>
    </w:pPr>
    <w:rPr>
      <w:sz w:val="24"/>
    </w:rPr>
  </w:style>
  <w:style w:type="paragraph" w:customStyle="1" w:styleId="87">
    <w:name w:val="表中文字"/>
    <w:basedOn w:val="1"/>
    <w:autoRedefine/>
    <w:qFormat/>
    <w:uiPriority w:val="0"/>
    <w:pPr>
      <w:adjustRightInd w:val="0"/>
      <w:snapToGrid w:val="0"/>
      <w:jc w:val="center"/>
    </w:pPr>
    <w:rPr>
      <w:szCs w:val="22"/>
    </w:rPr>
  </w:style>
  <w:style w:type="paragraph" w:customStyle="1" w:styleId="88">
    <w:name w:val="表文"/>
    <w:basedOn w:val="1"/>
    <w:autoRedefine/>
    <w:qFormat/>
    <w:uiPriority w:val="0"/>
    <w:pPr>
      <w:tabs>
        <w:tab w:val="left" w:pos="1021"/>
      </w:tabs>
      <w:spacing w:line="360" w:lineRule="auto"/>
      <w:jc w:val="center"/>
    </w:pPr>
    <w:rPr>
      <w:kern w:val="0"/>
      <w:position w:val="-24"/>
      <w:szCs w:val="21"/>
    </w:rPr>
  </w:style>
  <w:style w:type="character" w:customStyle="1" w:styleId="89">
    <w:name w:val="apple-converted-space"/>
    <w:basedOn w:val="40"/>
    <w:autoRedefine/>
    <w:qFormat/>
    <w:uiPriority w:val="0"/>
  </w:style>
  <w:style w:type="paragraph" w:customStyle="1" w:styleId="90">
    <w:name w:val="Char Char Char Char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1">
    <w:name w:val="p0"/>
    <w:basedOn w:val="1"/>
    <w:autoRedefine/>
    <w:qFormat/>
    <w:uiPriority w:val="0"/>
    <w:pPr>
      <w:widowControl/>
    </w:pPr>
    <w:rPr>
      <w:szCs w:val="21"/>
    </w:rPr>
  </w:style>
  <w:style w:type="paragraph" w:customStyle="1" w:styleId="92">
    <w:name w:val="样式 黑体 居中 行距: 1.5 倍行距"/>
    <w:basedOn w:val="1"/>
    <w:autoRedefine/>
    <w:qFormat/>
    <w:uiPriority w:val="0"/>
    <w:pPr>
      <w:spacing w:line="360" w:lineRule="auto"/>
      <w:jc w:val="center"/>
    </w:pPr>
    <w:rPr>
      <w:rFonts w:ascii="黑体" w:hAnsi="黑体" w:eastAsia="黑体" w:cs="宋体"/>
    </w:rPr>
  </w:style>
  <w:style w:type="paragraph" w:customStyle="1" w:styleId="93">
    <w:name w:val="样式 (西文) Times New Roman 五号 居中"/>
    <w:basedOn w:val="1"/>
    <w:autoRedefine/>
    <w:qFormat/>
    <w:uiPriority w:val="0"/>
    <w:pPr>
      <w:jc w:val="center"/>
    </w:pPr>
    <w:rPr>
      <w:rFonts w:cs="宋体"/>
    </w:rPr>
  </w:style>
  <w:style w:type="paragraph" w:customStyle="1" w:styleId="94">
    <w:name w:val="报告表正文"/>
    <w:basedOn w:val="1"/>
    <w:autoRedefine/>
    <w:qFormat/>
    <w:uiPriority w:val="0"/>
    <w:pPr>
      <w:spacing w:line="360" w:lineRule="auto"/>
      <w:ind w:firstLine="420" w:firstLineChars="200"/>
    </w:pPr>
    <w:rPr>
      <w:sz w:val="24"/>
      <w:szCs w:val="22"/>
      <w:lang w:val="zh-CN"/>
    </w:rPr>
  </w:style>
  <w:style w:type="paragraph" w:customStyle="1" w:styleId="95">
    <w:name w:val="表格内容居中"/>
    <w:autoRedefine/>
    <w:qFormat/>
    <w:uiPriority w:val="0"/>
    <w:pPr>
      <w:adjustRightInd w:val="0"/>
      <w:snapToGrid w:val="0"/>
      <w:jc w:val="center"/>
    </w:pPr>
    <w:rPr>
      <w:rFonts w:ascii="Times New Roman" w:hAnsi="Times New Roman" w:eastAsia="宋体" w:cs="Times New Roman"/>
      <w:sz w:val="21"/>
      <w:szCs w:val="21"/>
      <w:lang w:val="en-US" w:eastAsia="zh-CN" w:bidi="ar-SA"/>
    </w:rPr>
  </w:style>
  <w:style w:type="character" w:customStyle="1" w:styleId="96">
    <w:name w:val="！报告表正文 Char1"/>
    <w:link w:val="58"/>
    <w:autoRedefine/>
    <w:qFormat/>
    <w:uiPriority w:val="0"/>
    <w:rPr>
      <w:sz w:val="24"/>
    </w:rPr>
  </w:style>
  <w:style w:type="paragraph" w:customStyle="1" w:styleId="97">
    <w:name w:val="！表格标题"/>
    <w:basedOn w:val="58"/>
    <w:link w:val="98"/>
    <w:autoRedefine/>
    <w:qFormat/>
    <w:uiPriority w:val="0"/>
    <w:pPr>
      <w:spacing w:before="50" w:beforeLines="50"/>
      <w:ind w:firstLine="0" w:firstLineChars="0"/>
      <w:jc w:val="center"/>
    </w:pPr>
    <w:rPr>
      <w:sz w:val="21"/>
    </w:rPr>
  </w:style>
  <w:style w:type="character" w:customStyle="1" w:styleId="98">
    <w:name w:val="！表格标题 Char"/>
    <w:link w:val="97"/>
    <w:autoRedefine/>
    <w:qFormat/>
    <w:uiPriority w:val="0"/>
    <w:rPr>
      <w:sz w:val="21"/>
    </w:rPr>
  </w:style>
  <w:style w:type="character" w:customStyle="1" w:styleId="99">
    <w:name w:val="font21"/>
    <w:basedOn w:val="40"/>
    <w:autoRedefine/>
    <w:qFormat/>
    <w:uiPriority w:val="0"/>
    <w:rPr>
      <w:rFonts w:hint="eastAsia" w:ascii="宋体" w:hAnsi="宋体" w:eastAsia="宋体"/>
      <w:color w:val="000000"/>
      <w:sz w:val="22"/>
      <w:szCs w:val="22"/>
      <w:u w:val="none"/>
    </w:rPr>
  </w:style>
  <w:style w:type="character" w:customStyle="1" w:styleId="100">
    <w:name w:val="font41"/>
    <w:basedOn w:val="40"/>
    <w:autoRedefine/>
    <w:qFormat/>
    <w:uiPriority w:val="0"/>
    <w:rPr>
      <w:rFonts w:hint="default" w:ascii="Times New Roman" w:hAnsi="Times New Roman" w:cs="Times New Roman"/>
      <w:color w:val="000000"/>
      <w:sz w:val="21"/>
      <w:szCs w:val="21"/>
      <w:u w:val="none"/>
    </w:rPr>
  </w:style>
  <w:style w:type="character" w:customStyle="1" w:styleId="101">
    <w:name w:val="font11"/>
    <w:basedOn w:val="40"/>
    <w:autoRedefine/>
    <w:qFormat/>
    <w:uiPriority w:val="0"/>
    <w:rPr>
      <w:rFonts w:hint="eastAsia" w:ascii="宋体" w:hAnsi="宋体" w:eastAsia="宋体"/>
      <w:color w:val="000000"/>
      <w:sz w:val="21"/>
      <w:szCs w:val="21"/>
      <w:u w:val="none"/>
    </w:rPr>
  </w:style>
  <w:style w:type="character" w:customStyle="1" w:styleId="102">
    <w:name w:val="font31"/>
    <w:basedOn w:val="40"/>
    <w:autoRedefine/>
    <w:qFormat/>
    <w:uiPriority w:val="0"/>
    <w:rPr>
      <w:rFonts w:hint="eastAsia" w:ascii="宋体" w:hAnsi="宋体" w:eastAsia="宋体" w:cs="宋体"/>
      <w:color w:val="000000"/>
      <w:sz w:val="21"/>
      <w:szCs w:val="21"/>
      <w:u w:val="none"/>
    </w:rPr>
  </w:style>
  <w:style w:type="character" w:customStyle="1" w:styleId="103">
    <w:name w:val="font01"/>
    <w:basedOn w:val="40"/>
    <w:autoRedefine/>
    <w:qFormat/>
    <w:uiPriority w:val="0"/>
    <w:rPr>
      <w:rFonts w:hint="default" w:ascii="Times New Roman" w:hAnsi="Times New Roman" w:cs="Times New Roman"/>
      <w:color w:val="000000"/>
      <w:sz w:val="21"/>
      <w:szCs w:val="21"/>
      <w:u w:val="none"/>
    </w:rPr>
  </w:style>
  <w:style w:type="paragraph" w:customStyle="1" w:styleId="104">
    <w:name w:val="正文格式"/>
    <w:basedOn w:val="1"/>
    <w:next w:val="1"/>
    <w:autoRedefine/>
    <w:qFormat/>
    <w:uiPriority w:val="0"/>
    <w:pPr>
      <w:spacing w:line="360" w:lineRule="auto"/>
      <w:ind w:firstLine="544"/>
    </w:pPr>
    <w:rPr>
      <w:szCs w:val="20"/>
    </w:rPr>
  </w:style>
  <w:style w:type="paragraph" w:customStyle="1" w:styleId="105">
    <w:name w:val="表格题目"/>
    <w:basedOn w:val="1"/>
    <w:autoRedefine/>
    <w:qFormat/>
    <w:uiPriority w:val="0"/>
    <w:pPr>
      <w:spacing w:line="240" w:lineRule="atLeast"/>
      <w:jc w:val="center"/>
    </w:pPr>
    <w:rPr>
      <w:rFonts w:ascii="黑体" w:hAnsi="宋体" w:eastAsia="黑体"/>
      <w:sz w:val="24"/>
    </w:rPr>
  </w:style>
  <w:style w:type="paragraph" w:customStyle="1" w:styleId="106">
    <w:name w:val="缩进2"/>
    <w:basedOn w:val="1"/>
    <w:autoRedefine/>
    <w:qFormat/>
    <w:uiPriority w:val="0"/>
    <w:pPr>
      <w:ind w:firstLine="200" w:firstLineChars="200"/>
    </w:pPr>
    <w:rPr>
      <w:rFonts w:ascii="宋体" w:hAnsi="宋体"/>
    </w:rPr>
  </w:style>
  <w:style w:type="character" w:customStyle="1" w:styleId="107">
    <w:name w:val="cur1"/>
    <w:basedOn w:val="40"/>
    <w:autoRedefine/>
    <w:qFormat/>
    <w:uiPriority w:val="0"/>
    <w:rPr>
      <w:color w:val="FFFFFF"/>
      <w:shd w:val="clear" w:color="auto" w:fill="2F6B98"/>
    </w:rPr>
  </w:style>
  <w:style w:type="character" w:customStyle="1" w:styleId="108">
    <w:name w:val="lable"/>
    <w:basedOn w:val="40"/>
    <w:autoRedefine/>
    <w:qFormat/>
    <w:uiPriority w:val="0"/>
    <w:rPr>
      <w:sz w:val="24"/>
      <w:szCs w:val="24"/>
    </w:rPr>
  </w:style>
  <w:style w:type="character" w:customStyle="1" w:styleId="109">
    <w:name w:val="lishishuju"/>
    <w:basedOn w:val="40"/>
    <w:autoRedefine/>
    <w:qFormat/>
    <w:uiPriority w:val="0"/>
    <w:rPr>
      <w:b/>
      <w:bCs/>
      <w:color w:val="000052"/>
      <w:sz w:val="24"/>
      <w:szCs w:val="24"/>
      <w:bdr w:val="single" w:color="E3E3E3" w:sz="6" w:space="0"/>
    </w:rPr>
  </w:style>
  <w:style w:type="character" w:customStyle="1" w:styleId="110">
    <w:name w:val="radio-btn"/>
    <w:basedOn w:val="40"/>
    <w:autoRedefine/>
    <w:qFormat/>
    <w:uiPriority w:val="0"/>
    <w:rPr>
      <w:sz w:val="21"/>
      <w:szCs w:val="21"/>
    </w:rPr>
  </w:style>
  <w:style w:type="character" w:customStyle="1" w:styleId="111">
    <w:name w:val="radio-btn1"/>
    <w:basedOn w:val="40"/>
    <w:autoRedefine/>
    <w:qFormat/>
    <w:uiPriority w:val="0"/>
    <w:rPr>
      <w:sz w:val="24"/>
      <w:szCs w:val="24"/>
    </w:rPr>
  </w:style>
  <w:style w:type="character" w:customStyle="1" w:styleId="112">
    <w:name w:val="radio-btn2"/>
    <w:basedOn w:val="40"/>
    <w:autoRedefine/>
    <w:qFormat/>
    <w:uiPriority w:val="0"/>
    <w:rPr>
      <w:sz w:val="24"/>
      <w:szCs w:val="24"/>
    </w:rPr>
  </w:style>
  <w:style w:type="character" w:customStyle="1" w:styleId="113">
    <w:name w:val="znspantitle"/>
    <w:basedOn w:val="40"/>
    <w:autoRedefine/>
    <w:qFormat/>
    <w:uiPriority w:val="0"/>
    <w:rPr>
      <w:b/>
      <w:bCs/>
      <w:color w:val="333333"/>
    </w:rPr>
  </w:style>
  <w:style w:type="paragraph" w:customStyle="1" w:styleId="114">
    <w:name w:val="环评表中文字"/>
    <w:basedOn w:val="1"/>
    <w:autoRedefine/>
    <w:qFormat/>
    <w:uiPriority w:val="0"/>
    <w:pPr>
      <w:jc w:val="center"/>
    </w:pPr>
  </w:style>
  <w:style w:type="paragraph" w:customStyle="1" w:styleId="115">
    <w:name w:val="2表中文字"/>
    <w:autoRedefine/>
    <w:qFormat/>
    <w:uiPriority w:val="0"/>
    <w:pPr>
      <w:jc w:val="center"/>
    </w:pPr>
    <w:rPr>
      <w:rFonts w:ascii="Calibri" w:hAnsi="Calibri" w:eastAsia="宋体" w:cs="Times New Roman"/>
      <w:szCs w:val="21"/>
      <w:lang w:val="en-US" w:eastAsia="zh-CN" w:bidi="ar-SA"/>
    </w:rPr>
  </w:style>
  <w:style w:type="paragraph" w:customStyle="1" w:styleId="116">
    <w:name w:val="!报告表表格"/>
    <w:next w:val="1"/>
    <w:autoRedefine/>
    <w:qFormat/>
    <w:uiPriority w:val="0"/>
    <w:pPr>
      <w:jc w:val="center"/>
    </w:pPr>
    <w:rPr>
      <w:rFonts w:ascii="Times New Roman" w:hAnsi="Times New Roman" w:eastAsia="宋体" w:cs="Times New Roman"/>
      <w:sz w:val="21"/>
      <w:lang w:val="en-US" w:eastAsia="zh-CN" w:bidi="ar-SA"/>
    </w:rPr>
  </w:style>
  <w:style w:type="character" w:customStyle="1" w:styleId="117">
    <w:name w:val="正文缩进 字符"/>
    <w:link w:val="14"/>
    <w:autoRedefine/>
    <w:qFormat/>
    <w:uiPriority w:val="0"/>
    <w:rPr>
      <w:kern w:val="2"/>
      <w:sz w:val="21"/>
    </w:rPr>
  </w:style>
  <w:style w:type="paragraph" w:customStyle="1" w:styleId="118">
    <w:name w:val="图文框"/>
    <w:basedOn w:val="1"/>
    <w:autoRedefine/>
    <w:qFormat/>
    <w:uiPriority w:val="0"/>
    <w:pPr>
      <w:jc w:val="center"/>
    </w:pPr>
    <w:rPr>
      <w:rFonts w:eastAsia="仿宋_GB2312"/>
      <w:sz w:val="24"/>
      <w:szCs w:val="20"/>
    </w:rPr>
  </w:style>
  <w:style w:type="paragraph" w:customStyle="1" w:styleId="119">
    <w:name w:val="单元格"/>
    <w:basedOn w:val="1"/>
    <w:autoRedefine/>
    <w:qFormat/>
    <w:uiPriority w:val="0"/>
    <w:pPr>
      <w:jc w:val="center"/>
    </w:pPr>
    <w:rPr>
      <w:rFonts w:ascii="楷体_GB2312" w:eastAsia="楷体_GB2312"/>
      <w:szCs w:val="20"/>
    </w:rPr>
  </w:style>
  <w:style w:type="paragraph" w:customStyle="1" w:styleId="120">
    <w:name w:val="正文 表格  居中"/>
    <w:basedOn w:val="1"/>
    <w:next w:val="1"/>
    <w:autoRedefine/>
    <w:qFormat/>
    <w:uiPriority w:val="0"/>
    <w:pPr>
      <w:jc w:val="center"/>
    </w:pPr>
  </w:style>
  <w:style w:type="character" w:customStyle="1" w:styleId="121">
    <w:name w:val="unnamed11"/>
    <w:autoRedefine/>
    <w:qFormat/>
    <w:uiPriority w:val="0"/>
    <w:rPr>
      <w:rFonts w:hint="default" w:ascii="Arial" w:hAnsi="Arial" w:cs="Arial"/>
      <w:color w:val="0000CC"/>
      <w:sz w:val="18"/>
      <w:szCs w:val="18"/>
      <w:u w:val="none"/>
    </w:rPr>
  </w:style>
  <w:style w:type="character" w:customStyle="1" w:styleId="122">
    <w:name w:val="yxMark"/>
    <w:autoRedefine/>
    <w:qFormat/>
    <w:uiPriority w:val="0"/>
    <w:rPr>
      <w:rFonts w:ascii="Courier New" w:hAnsi="Courier New"/>
      <w:b/>
      <w:vanish/>
      <w:color w:val="800000"/>
      <w:vertAlign w:val="subscript"/>
    </w:rPr>
  </w:style>
  <w:style w:type="character" w:customStyle="1" w:styleId="123">
    <w:name w:val="yxInternal"/>
    <w:autoRedefine/>
    <w:qFormat/>
    <w:uiPriority w:val="0"/>
    <w:rPr>
      <w:rFonts w:ascii="Courier New" w:hAnsi="Courier New"/>
      <w:b/>
      <w:color w:val="FF0000"/>
    </w:rPr>
  </w:style>
  <w:style w:type="character" w:customStyle="1" w:styleId="124">
    <w:name w:val="15"/>
    <w:autoRedefine/>
    <w:qFormat/>
    <w:uiPriority w:val="0"/>
    <w:rPr>
      <w:rFonts w:hint="default" w:ascii="Times New Roman" w:hAnsi="Times New Roman" w:cs="Times New Roman"/>
      <w:color w:val="333333"/>
      <w:sz w:val="18"/>
      <w:szCs w:val="18"/>
    </w:rPr>
  </w:style>
  <w:style w:type="character" w:customStyle="1" w:styleId="125">
    <w:name w:val="标题1"/>
    <w:basedOn w:val="40"/>
    <w:autoRedefine/>
    <w:qFormat/>
    <w:uiPriority w:val="0"/>
  </w:style>
  <w:style w:type="character" w:customStyle="1" w:styleId="126">
    <w:name w:val="段落 Char Char"/>
    <w:link w:val="127"/>
    <w:autoRedefine/>
    <w:qFormat/>
    <w:uiPriority w:val="0"/>
    <w:rPr>
      <w:kern w:val="2"/>
      <w:sz w:val="24"/>
    </w:rPr>
  </w:style>
  <w:style w:type="paragraph" w:customStyle="1" w:styleId="127">
    <w:name w:val="段落"/>
    <w:basedOn w:val="1"/>
    <w:link w:val="126"/>
    <w:autoRedefine/>
    <w:qFormat/>
    <w:uiPriority w:val="0"/>
    <w:pPr>
      <w:tabs>
        <w:tab w:val="left" w:pos="1021"/>
      </w:tabs>
      <w:spacing w:line="300" w:lineRule="auto"/>
      <w:ind w:firstLine="480" w:firstLineChars="200"/>
    </w:pPr>
    <w:rPr>
      <w:sz w:val="24"/>
      <w:szCs w:val="20"/>
    </w:rPr>
  </w:style>
  <w:style w:type="character" w:customStyle="1" w:styleId="128">
    <w:name w:val="albumcount"/>
    <w:basedOn w:val="40"/>
    <w:autoRedefine/>
    <w:qFormat/>
    <w:uiPriority w:val="0"/>
  </w:style>
  <w:style w:type="character" w:customStyle="1" w:styleId="129">
    <w:name w:val="正文1 Char Char"/>
    <w:link w:val="130"/>
    <w:autoRedefine/>
    <w:qFormat/>
    <w:uiPriority w:val="0"/>
    <w:rPr>
      <w:rFonts w:ascii="仿宋_GB2312" w:eastAsia="仿宋_GB2312"/>
      <w:kern w:val="2"/>
      <w:sz w:val="21"/>
      <w:szCs w:val="21"/>
    </w:rPr>
  </w:style>
  <w:style w:type="paragraph" w:customStyle="1" w:styleId="130">
    <w:name w:val="正文1"/>
    <w:basedOn w:val="1"/>
    <w:link w:val="129"/>
    <w:autoRedefine/>
    <w:qFormat/>
    <w:uiPriority w:val="0"/>
    <w:pPr>
      <w:widowControl/>
      <w:jc w:val="left"/>
    </w:pPr>
    <w:rPr>
      <w:rFonts w:ascii="仿宋_GB2312" w:eastAsia="仿宋_GB2312"/>
      <w:szCs w:val="21"/>
    </w:rPr>
  </w:style>
  <w:style w:type="character" w:customStyle="1" w:styleId="131">
    <w:name w:val="表格五号字 Char Char"/>
    <w:link w:val="132"/>
    <w:autoRedefine/>
    <w:qFormat/>
    <w:uiPriority w:val="0"/>
    <w:rPr>
      <w:rFonts w:eastAsia="仿宋_GB2312"/>
      <w:kern w:val="2"/>
      <w:sz w:val="21"/>
      <w:szCs w:val="24"/>
    </w:rPr>
  </w:style>
  <w:style w:type="paragraph" w:customStyle="1" w:styleId="132">
    <w:name w:val="表格五号字"/>
    <w:basedOn w:val="1"/>
    <w:link w:val="131"/>
    <w:autoRedefine/>
    <w:qFormat/>
    <w:uiPriority w:val="0"/>
    <w:pPr>
      <w:adjustRightInd w:val="0"/>
      <w:snapToGrid w:val="0"/>
      <w:jc w:val="center"/>
    </w:pPr>
    <w:rPr>
      <w:rFonts w:eastAsia="仿宋_GB2312"/>
    </w:rPr>
  </w:style>
  <w:style w:type="character" w:customStyle="1" w:styleId="133">
    <w:name w:val="正文文本 3 字符"/>
    <w:basedOn w:val="40"/>
    <w:link w:val="17"/>
    <w:autoRedefine/>
    <w:qFormat/>
    <w:uiPriority w:val="0"/>
    <w:rPr>
      <w:b/>
      <w:bCs/>
      <w:kern w:val="2"/>
      <w:sz w:val="28"/>
    </w:rPr>
  </w:style>
  <w:style w:type="paragraph" w:customStyle="1" w:styleId="134">
    <w:name w:val="_Style 110"/>
    <w:basedOn w:val="1"/>
    <w:next w:val="1"/>
    <w:link w:val="135"/>
    <w:autoRedefine/>
    <w:qFormat/>
    <w:uiPriority w:val="0"/>
    <w:pPr>
      <w:ind w:left="420" w:leftChars="200"/>
    </w:pPr>
    <w:rPr>
      <w:kern w:val="24"/>
      <w:sz w:val="28"/>
      <w:szCs w:val="20"/>
    </w:rPr>
  </w:style>
  <w:style w:type="character" w:customStyle="1" w:styleId="135">
    <w:name w:val="正文首行缩进 Char"/>
    <w:link w:val="134"/>
    <w:autoRedefine/>
    <w:qFormat/>
    <w:uiPriority w:val="0"/>
    <w:rPr>
      <w:kern w:val="24"/>
      <w:sz w:val="28"/>
    </w:rPr>
  </w:style>
  <w:style w:type="paragraph" w:customStyle="1" w:styleId="136">
    <w:name w:val="默认段落字体 Para Char Char Char Char"/>
    <w:basedOn w:val="1"/>
    <w:autoRedefine/>
    <w:qFormat/>
    <w:uiPriority w:val="0"/>
    <w:pPr>
      <w:spacing w:line="360" w:lineRule="auto"/>
      <w:ind w:firstLine="200" w:firstLineChars="200"/>
    </w:pPr>
    <w:rPr>
      <w:rFonts w:ascii="宋体" w:hAnsi="宋体" w:cs="宋体"/>
      <w:sz w:val="24"/>
    </w:rPr>
  </w:style>
  <w:style w:type="paragraph" w:customStyle="1" w:styleId="137">
    <w:name w:val="表头LB"/>
    <w:basedOn w:val="1"/>
    <w:autoRedefine/>
    <w:qFormat/>
    <w:uiPriority w:val="0"/>
    <w:pPr>
      <w:spacing w:line="360" w:lineRule="auto"/>
      <w:jc w:val="center"/>
    </w:pPr>
    <w:rPr>
      <w:rFonts w:ascii="宋体" w:hAnsi="宋体"/>
      <w:b/>
      <w:sz w:val="24"/>
      <w:szCs w:val="20"/>
    </w:rPr>
  </w:style>
  <w:style w:type="character" w:customStyle="1" w:styleId="138">
    <w:name w:val="批注文字 字符"/>
    <w:basedOn w:val="40"/>
    <w:link w:val="16"/>
    <w:autoRedefine/>
    <w:qFormat/>
    <w:uiPriority w:val="0"/>
    <w:rPr>
      <w:kern w:val="2"/>
      <w:sz w:val="21"/>
      <w:szCs w:val="24"/>
    </w:rPr>
  </w:style>
  <w:style w:type="character" w:customStyle="1" w:styleId="139">
    <w:name w:val="批注主题 字符"/>
    <w:basedOn w:val="138"/>
    <w:link w:val="37"/>
    <w:autoRedefine/>
    <w:qFormat/>
    <w:uiPriority w:val="0"/>
    <w:rPr>
      <w:b/>
      <w:bCs/>
      <w:kern w:val="2"/>
      <w:sz w:val="32"/>
      <w:szCs w:val="24"/>
    </w:rPr>
  </w:style>
  <w:style w:type="paragraph" w:customStyle="1" w:styleId="140">
    <w:name w:val="3 Char Char Char Char"/>
    <w:basedOn w:val="1"/>
    <w:next w:val="5"/>
    <w:autoRedefine/>
    <w:qFormat/>
    <w:uiPriority w:val="0"/>
    <w:rPr>
      <w:rFonts w:eastAsia="黑体"/>
      <w:sz w:val="24"/>
    </w:rPr>
  </w:style>
  <w:style w:type="character" w:customStyle="1" w:styleId="141">
    <w:name w:val="批注框文本 字符"/>
    <w:basedOn w:val="40"/>
    <w:link w:val="26"/>
    <w:autoRedefine/>
    <w:qFormat/>
    <w:uiPriority w:val="0"/>
    <w:rPr>
      <w:kern w:val="2"/>
      <w:sz w:val="18"/>
      <w:szCs w:val="18"/>
    </w:rPr>
  </w:style>
  <w:style w:type="character" w:customStyle="1" w:styleId="142">
    <w:name w:val="日期 字符"/>
    <w:basedOn w:val="40"/>
    <w:link w:val="24"/>
    <w:autoRedefine/>
    <w:qFormat/>
    <w:uiPriority w:val="0"/>
    <w:rPr>
      <w:kern w:val="28"/>
      <w:sz w:val="28"/>
    </w:rPr>
  </w:style>
  <w:style w:type="character" w:customStyle="1" w:styleId="143">
    <w:name w:val="正文文本缩进 2 字符"/>
    <w:basedOn w:val="40"/>
    <w:link w:val="25"/>
    <w:autoRedefine/>
    <w:qFormat/>
    <w:uiPriority w:val="0"/>
    <w:rPr>
      <w:rFonts w:ascii="宋体"/>
      <w:kern w:val="2"/>
      <w:sz w:val="28"/>
      <w:szCs w:val="24"/>
    </w:rPr>
  </w:style>
  <w:style w:type="paragraph" w:customStyle="1" w:styleId="144">
    <w:name w:val="Char1 Char Char Char"/>
    <w:basedOn w:val="1"/>
    <w:autoRedefine/>
    <w:qFormat/>
    <w:uiPriority w:val="0"/>
  </w:style>
  <w:style w:type="paragraph" w:styleId="145">
    <w:name w:val="No Spacing"/>
    <w:autoRedefine/>
    <w:qFormat/>
    <w:uiPriority w:val="0"/>
    <w:pPr>
      <w:widowControl w:val="0"/>
      <w:spacing w:line="360" w:lineRule="auto"/>
      <w:ind w:firstLine="200" w:firstLineChars="200"/>
      <w:jc w:val="both"/>
    </w:pPr>
    <w:rPr>
      <w:rFonts w:ascii="Times New Roman" w:hAnsi="Times New Roman" w:eastAsia="宋体" w:cs="Times New Roman"/>
      <w:kern w:val="2"/>
      <w:sz w:val="24"/>
      <w:lang w:val="en-US" w:eastAsia="zh-CN" w:bidi="ar-SA"/>
    </w:rPr>
  </w:style>
  <w:style w:type="paragraph" w:customStyle="1" w:styleId="146">
    <w:name w:val="album-div"/>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47">
    <w:name w:val="1"/>
    <w:basedOn w:val="1"/>
    <w:next w:val="18"/>
    <w:autoRedefine/>
    <w:qFormat/>
    <w:uiPriority w:val="0"/>
    <w:rPr>
      <w:rFonts w:ascii="Wingdings" w:hAnsi="Wingdings"/>
      <w:b/>
      <w:bCs/>
      <w:sz w:val="44"/>
    </w:rPr>
  </w:style>
  <w:style w:type="paragraph" w:customStyle="1" w:styleId="148">
    <w:name w:val="报告书表头"/>
    <w:autoRedefine/>
    <w:qFormat/>
    <w:uiPriority w:val="0"/>
    <w:pPr>
      <w:widowControl w:val="0"/>
      <w:adjustRightInd w:val="0"/>
      <w:snapToGrid w:val="0"/>
      <w:jc w:val="center"/>
    </w:pPr>
    <w:rPr>
      <w:rFonts w:ascii="Times New Roman" w:hAnsi="Times New Roman" w:eastAsia="宋体" w:cs="Arial"/>
      <w:b/>
      <w:bCs/>
      <w:snapToGrid w:val="0"/>
      <w:sz w:val="21"/>
      <w:szCs w:val="21"/>
      <w:lang w:val="en-US" w:eastAsia="zh-CN" w:bidi="ar-SA"/>
    </w:rPr>
  </w:style>
  <w:style w:type="paragraph" w:customStyle="1" w:styleId="149">
    <w:name w:val="表文字"/>
    <w:basedOn w:val="1"/>
    <w:autoRedefine/>
    <w:qFormat/>
    <w:uiPriority w:val="0"/>
    <w:pPr>
      <w:overflowPunct w:val="0"/>
      <w:autoSpaceDE w:val="0"/>
      <w:autoSpaceDN w:val="0"/>
      <w:adjustRightInd w:val="0"/>
      <w:spacing w:line="240" w:lineRule="atLeast"/>
      <w:textAlignment w:val="baseline"/>
    </w:pPr>
    <w:rPr>
      <w:kern w:val="0"/>
      <w:sz w:val="24"/>
      <w:szCs w:val="20"/>
    </w:rPr>
  </w:style>
  <w:style w:type="paragraph" w:customStyle="1" w:styleId="150">
    <w:name w:val="_Style 30"/>
    <w:basedOn w:val="1"/>
    <w:autoRedefine/>
    <w:qFormat/>
    <w:uiPriority w:val="0"/>
    <w:rPr>
      <w:szCs w:val="20"/>
    </w:rPr>
  </w:style>
  <w:style w:type="paragraph" w:customStyle="1" w:styleId="151">
    <w:name w:val="Char Char Char Char Char Char Char Char Char Char Char Char Char Char Char Char Char Char Char Char Char Char Char Char Char Char Char Char Char Char Char Char Char Char Char Char Char Char Char Char Char Char Char Char Char Char"/>
    <w:basedOn w:val="1"/>
    <w:next w:val="1"/>
    <w:autoRedefine/>
    <w:qFormat/>
    <w:uiPriority w:val="0"/>
    <w:pPr>
      <w:pBdr>
        <w:right w:val="single" w:color="auto" w:sz="12" w:space="4"/>
      </w:pBdr>
      <w:spacing w:line="360" w:lineRule="auto"/>
      <w:ind w:firstLine="200" w:firstLineChars="200"/>
    </w:pPr>
    <w:rPr>
      <w:rFonts w:ascii="宋体" w:hAnsi="宋体" w:cs="宋体"/>
      <w:sz w:val="28"/>
    </w:rPr>
  </w:style>
  <w:style w:type="paragraph" w:customStyle="1" w:styleId="152">
    <w:name w:val="Char"/>
    <w:basedOn w:val="1"/>
    <w:autoRedefine/>
    <w:qFormat/>
    <w:uiPriority w:val="99"/>
    <w:pPr>
      <w:spacing w:line="360" w:lineRule="auto"/>
      <w:ind w:firstLine="200" w:firstLineChars="200"/>
    </w:pPr>
    <w:rPr>
      <w:rFonts w:ascii="宋体" w:hAnsi="宋体" w:cs="宋体"/>
      <w:sz w:val="24"/>
    </w:rPr>
  </w:style>
  <w:style w:type="paragraph" w:customStyle="1" w:styleId="153">
    <w:name w:val="报告书表内，5号，左"/>
    <w:basedOn w:val="1"/>
    <w:autoRedefine/>
    <w:qFormat/>
    <w:uiPriority w:val="0"/>
    <w:pPr>
      <w:widowControl/>
      <w:adjustRightInd w:val="0"/>
      <w:snapToGrid w:val="0"/>
      <w:spacing w:before="120"/>
      <w:ind w:left="-43"/>
      <w:jc w:val="center"/>
    </w:pPr>
    <w:rPr>
      <w:snapToGrid w:val="0"/>
      <w:kern w:val="13"/>
      <w:szCs w:val="21"/>
    </w:rPr>
  </w:style>
  <w:style w:type="paragraph" w:customStyle="1" w:styleId="154">
    <w:name w:val="报告书表名"/>
    <w:autoRedefine/>
    <w:qFormat/>
    <w:uiPriority w:val="0"/>
    <w:pPr>
      <w:adjustRightInd w:val="0"/>
      <w:snapToGrid w:val="0"/>
      <w:spacing w:after="156" w:afterLines="50"/>
      <w:jc w:val="center"/>
    </w:pPr>
    <w:rPr>
      <w:rFonts w:ascii="Times New Roman" w:hAnsi="Times New Roman" w:eastAsia="宋体" w:cs="宋体"/>
      <w:b/>
      <w:bCs/>
      <w:snapToGrid w:val="0"/>
      <w:sz w:val="21"/>
      <w:szCs w:val="21"/>
      <w:lang w:val="en-US" w:eastAsia="zh-CN" w:bidi="ar-SA"/>
    </w:rPr>
  </w:style>
  <w:style w:type="paragraph" w:customStyle="1" w:styleId="155">
    <w:name w:val="xl31"/>
    <w:basedOn w:val="1"/>
    <w:autoRedefine/>
    <w:qFormat/>
    <w:uiPriority w:val="0"/>
    <w:pPr>
      <w:widowControl/>
      <w:spacing w:before="100" w:beforeAutospacing="1" w:after="100" w:afterAutospacing="1"/>
      <w:jc w:val="center"/>
    </w:pPr>
    <w:rPr>
      <w:kern w:val="0"/>
      <w:sz w:val="24"/>
    </w:rPr>
  </w:style>
  <w:style w:type="paragraph" w:customStyle="1" w:styleId="156">
    <w:name w:val="列表1"/>
    <w:basedOn w:val="1"/>
    <w:next w:val="31"/>
    <w:autoRedefine/>
    <w:qFormat/>
    <w:uiPriority w:val="0"/>
    <w:pPr>
      <w:spacing w:before="60" w:line="240" w:lineRule="exact"/>
      <w:jc w:val="center"/>
    </w:pPr>
    <w:rPr>
      <w:sz w:val="24"/>
      <w:szCs w:val="20"/>
    </w:rPr>
  </w:style>
  <w:style w:type="character" w:customStyle="1" w:styleId="157">
    <w:name w:val="【正文】 Char Char"/>
    <w:autoRedefine/>
    <w:qFormat/>
    <w:uiPriority w:val="0"/>
    <w:rPr>
      <w:kern w:val="2"/>
      <w:sz w:val="24"/>
      <w:lang w:val="zh-CN" w:eastAsia="zh-CN"/>
    </w:rPr>
  </w:style>
  <w:style w:type="character" w:customStyle="1" w:styleId="158">
    <w:name w:val="font101"/>
    <w:autoRedefine/>
    <w:qFormat/>
    <w:uiPriority w:val="0"/>
    <w:rPr>
      <w:rFonts w:hint="eastAsia" w:ascii="宋体" w:hAnsi="宋体" w:eastAsia="宋体"/>
      <w:color w:val="000000"/>
      <w:sz w:val="22"/>
      <w:szCs w:val="22"/>
      <w:u w:val="none"/>
    </w:rPr>
  </w:style>
  <w:style w:type="character" w:customStyle="1" w:styleId="159">
    <w:name w:val="font71"/>
    <w:autoRedefine/>
    <w:qFormat/>
    <w:uiPriority w:val="0"/>
    <w:rPr>
      <w:rFonts w:hint="default" w:ascii="Times New Roman" w:hAnsi="Times New Roman" w:cs="Times New Roman"/>
      <w:b/>
      <w:bCs/>
      <w:color w:val="000000"/>
      <w:sz w:val="22"/>
      <w:szCs w:val="22"/>
      <w:u w:val="none"/>
    </w:rPr>
  </w:style>
  <w:style w:type="character" w:customStyle="1" w:styleId="160">
    <w:name w:val="font81"/>
    <w:autoRedefine/>
    <w:qFormat/>
    <w:uiPriority w:val="0"/>
    <w:rPr>
      <w:rFonts w:hint="eastAsia" w:ascii="宋体" w:hAnsi="宋体" w:eastAsia="宋体"/>
      <w:b/>
      <w:bCs/>
      <w:color w:val="000000"/>
      <w:sz w:val="18"/>
      <w:szCs w:val="18"/>
      <w:u w:val="none"/>
    </w:rPr>
  </w:style>
  <w:style w:type="character" w:customStyle="1" w:styleId="161">
    <w:name w:val="font91"/>
    <w:autoRedefine/>
    <w:qFormat/>
    <w:uiPriority w:val="0"/>
    <w:rPr>
      <w:rFonts w:hint="default" w:ascii="Times New Roman" w:hAnsi="Times New Roman" w:cs="Times New Roman"/>
      <w:b/>
      <w:bCs/>
      <w:color w:val="000000"/>
      <w:sz w:val="18"/>
      <w:szCs w:val="18"/>
      <w:u w:val="none"/>
      <w:vertAlign w:val="superscript"/>
    </w:rPr>
  </w:style>
  <w:style w:type="character" w:customStyle="1" w:styleId="162">
    <w:name w:val="font61"/>
    <w:autoRedefine/>
    <w:qFormat/>
    <w:uiPriority w:val="0"/>
    <w:rPr>
      <w:rFonts w:hint="eastAsia" w:ascii="宋体" w:hAnsi="宋体" w:eastAsia="宋体"/>
      <w:b/>
      <w:bCs/>
      <w:color w:val="000000"/>
      <w:sz w:val="18"/>
      <w:szCs w:val="18"/>
      <w:u w:val="none"/>
    </w:rPr>
  </w:style>
  <w:style w:type="character" w:customStyle="1" w:styleId="163">
    <w:name w:val="font111"/>
    <w:autoRedefine/>
    <w:qFormat/>
    <w:uiPriority w:val="0"/>
    <w:rPr>
      <w:rFonts w:hint="default" w:ascii="Times New Roman" w:hAnsi="Times New Roman" w:cs="Times New Roman"/>
      <w:b/>
      <w:bCs/>
      <w:color w:val="000000"/>
      <w:sz w:val="18"/>
      <w:szCs w:val="18"/>
      <w:u w:val="none"/>
      <w:vertAlign w:val="superscript"/>
    </w:rPr>
  </w:style>
  <w:style w:type="character" w:customStyle="1" w:styleId="164">
    <w:name w:val="16"/>
    <w:autoRedefine/>
    <w:qFormat/>
    <w:uiPriority w:val="0"/>
    <w:rPr>
      <w:rFonts w:hint="eastAsia" w:ascii="宋体" w:hAnsi="宋体" w:eastAsia="宋体"/>
      <w:color w:val="000000"/>
      <w:sz w:val="16"/>
      <w:szCs w:val="16"/>
    </w:rPr>
  </w:style>
  <w:style w:type="paragraph" w:customStyle="1" w:styleId="165">
    <w:name w:val="无间隔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66">
    <w:name w:val="副标题 字符1"/>
    <w:link w:val="30"/>
    <w:autoRedefine/>
    <w:qFormat/>
    <w:uiPriority w:val="0"/>
    <w:rPr>
      <w:rFonts w:eastAsia="黑体"/>
      <w:b/>
      <w:bCs/>
      <w:kern w:val="28"/>
      <w:sz w:val="24"/>
      <w:szCs w:val="32"/>
    </w:rPr>
  </w:style>
  <w:style w:type="character" w:customStyle="1" w:styleId="167">
    <w:name w:val="副标题 字符"/>
    <w:basedOn w:val="40"/>
    <w:autoRedefine/>
    <w:qFormat/>
    <w:uiPriority w:val="0"/>
    <w:rPr>
      <w:rFonts w:asciiTheme="minorHAnsi" w:hAnsiTheme="minorHAnsi" w:eastAsiaTheme="minorEastAsia" w:cstheme="minorBidi"/>
      <w:b/>
      <w:bCs/>
      <w:kern w:val="28"/>
      <w:sz w:val="32"/>
      <w:szCs w:val="32"/>
    </w:rPr>
  </w:style>
  <w:style w:type="character" w:customStyle="1" w:styleId="168">
    <w:name w:val="副标题 Char1"/>
    <w:autoRedefine/>
    <w:qFormat/>
    <w:uiPriority w:val="0"/>
    <w:rPr>
      <w:rFonts w:ascii="Calibri Light" w:hAnsi="Calibri Light" w:cs="Times New Roman"/>
      <w:b/>
      <w:bCs/>
      <w:kern w:val="28"/>
      <w:sz w:val="32"/>
      <w:szCs w:val="32"/>
    </w:rPr>
  </w:style>
  <w:style w:type="paragraph" w:customStyle="1" w:styleId="169">
    <w:name w:val="报告书表格"/>
    <w:basedOn w:val="1"/>
    <w:autoRedefine/>
    <w:qFormat/>
    <w:uiPriority w:val="0"/>
    <w:pPr>
      <w:adjustRightInd w:val="0"/>
      <w:spacing w:before="60" w:after="60" w:line="240" w:lineRule="atLeast"/>
      <w:jc w:val="center"/>
      <w:textAlignment w:val="baseline"/>
    </w:pPr>
    <w:rPr>
      <w:kern w:val="0"/>
      <w:szCs w:val="20"/>
    </w:rPr>
  </w:style>
  <w:style w:type="paragraph" w:customStyle="1" w:styleId="170">
    <w:name w:val="图号 表号"/>
    <w:basedOn w:val="18"/>
    <w:autoRedefine/>
    <w:qFormat/>
    <w:uiPriority w:val="0"/>
    <w:pPr>
      <w:widowControl/>
      <w:spacing w:line="360" w:lineRule="auto"/>
      <w:jc w:val="center"/>
      <w:textAlignment w:val="auto"/>
    </w:pPr>
    <w:rPr>
      <w:rFonts w:eastAsia="黑体"/>
      <w:b/>
      <w:kern w:val="0"/>
      <w:sz w:val="24"/>
      <w:szCs w:val="22"/>
    </w:rPr>
  </w:style>
  <w:style w:type="character" w:customStyle="1" w:styleId="171">
    <w:name w:val="表格内容 Char Char"/>
    <w:link w:val="51"/>
    <w:autoRedefine/>
    <w:qFormat/>
    <w:uiPriority w:val="0"/>
    <w:rPr>
      <w:rFonts w:ascii="Calibri" w:hAnsi="Calibri"/>
    </w:rPr>
  </w:style>
  <w:style w:type="paragraph" w:customStyle="1" w:styleId="172">
    <w:name w:val="Table Paragraph"/>
    <w:basedOn w:val="1"/>
    <w:autoRedefine/>
    <w:qFormat/>
    <w:uiPriority w:val="1"/>
    <w:pPr>
      <w:jc w:val="left"/>
    </w:pPr>
    <w:rPr>
      <w:rFonts w:ascii="Calibri" w:hAnsi="Calibri"/>
      <w:kern w:val="0"/>
      <w:sz w:val="22"/>
      <w:szCs w:val="22"/>
      <w:lang w:eastAsia="en-US"/>
    </w:rPr>
  </w:style>
  <w:style w:type="character" w:customStyle="1" w:styleId="173">
    <w:name w:val="fontstyle01"/>
    <w:autoRedefine/>
    <w:qFormat/>
    <w:uiPriority w:val="0"/>
    <w:rPr>
      <w:rFonts w:hint="eastAsia" w:ascii="宋体" w:hAnsi="宋体" w:eastAsia="宋体"/>
      <w:color w:val="000000"/>
      <w:sz w:val="24"/>
      <w:szCs w:val="24"/>
    </w:rPr>
  </w:style>
  <w:style w:type="character" w:customStyle="1" w:styleId="174">
    <w:name w:val="fontstyle21"/>
    <w:autoRedefine/>
    <w:qFormat/>
    <w:uiPriority w:val="0"/>
    <w:rPr>
      <w:rFonts w:hint="default" w:ascii="Times New Roman" w:hAnsi="Times New Roman" w:cs="Times New Roman"/>
      <w:color w:val="000000"/>
      <w:sz w:val="24"/>
      <w:szCs w:val="24"/>
    </w:rPr>
  </w:style>
  <w:style w:type="character" w:customStyle="1" w:styleId="175">
    <w:name w:val="图注 Char"/>
    <w:link w:val="176"/>
    <w:autoRedefine/>
    <w:qFormat/>
    <w:uiPriority w:val="0"/>
    <w:rPr>
      <w:rFonts w:eastAsia="黑体"/>
      <w:sz w:val="24"/>
    </w:rPr>
  </w:style>
  <w:style w:type="paragraph" w:customStyle="1" w:styleId="176">
    <w:name w:val="图注"/>
    <w:basedOn w:val="1"/>
    <w:link w:val="175"/>
    <w:autoRedefine/>
    <w:qFormat/>
    <w:uiPriority w:val="0"/>
    <w:pPr>
      <w:spacing w:line="360" w:lineRule="auto"/>
      <w:ind w:firstLine="640" w:firstLineChars="200"/>
      <w:jc w:val="center"/>
    </w:pPr>
    <w:rPr>
      <w:rFonts w:eastAsia="黑体"/>
      <w:kern w:val="0"/>
      <w:sz w:val="24"/>
      <w:szCs w:val="20"/>
    </w:rPr>
  </w:style>
  <w:style w:type="character" w:customStyle="1" w:styleId="177">
    <w:name w:val="普通(网站) 字符"/>
    <w:link w:val="35"/>
    <w:autoRedefine/>
    <w:qFormat/>
    <w:locked/>
    <w:uiPriority w:val="0"/>
    <w:rPr>
      <w:rFonts w:ascii="宋体" w:hAnsi="宋体"/>
      <w:sz w:val="24"/>
    </w:rPr>
  </w:style>
  <w:style w:type="character" w:customStyle="1" w:styleId="178">
    <w:name w:val="表格 Char"/>
    <w:link w:val="71"/>
    <w:autoRedefine/>
    <w:qFormat/>
    <w:locked/>
    <w:uiPriority w:val="0"/>
    <w:rPr>
      <w:rFonts w:ascii="宋体"/>
      <w:sz w:val="21"/>
    </w:rPr>
  </w:style>
  <w:style w:type="paragraph" w:customStyle="1" w:styleId="179">
    <w:name w:val="TOC 标题1"/>
    <w:basedOn w:val="4"/>
    <w:next w:val="1"/>
    <w:autoRedefine/>
    <w:unhideWhenUsed/>
    <w:qFormat/>
    <w:uiPriority w:val="39"/>
    <w:pPr>
      <w:keepNext/>
      <w:keepLines/>
      <w:widowControl/>
      <w:spacing w:before="240" w:line="259" w:lineRule="auto"/>
      <w:outlineLvl w:val="9"/>
    </w:pPr>
    <w:rPr>
      <w:rFonts w:hint="default" w:asciiTheme="majorHAnsi" w:hAnsiTheme="majorHAnsi" w:eastAsiaTheme="majorEastAsia" w:cstheme="majorBidi"/>
      <w:b w:val="0"/>
      <w:bCs w:val="0"/>
      <w:color w:val="2E75B6" w:themeColor="accent1" w:themeShade="BF"/>
      <w:kern w:val="0"/>
      <w:sz w:val="32"/>
      <w:szCs w:val="32"/>
    </w:rPr>
  </w:style>
  <w:style w:type="paragraph" w:customStyle="1" w:styleId="180">
    <w:name w:val="_Style 165"/>
    <w:basedOn w:val="1"/>
    <w:next w:val="1"/>
    <w:autoRedefine/>
    <w:qFormat/>
    <w:uiPriority w:val="39"/>
    <w:pPr>
      <w:ind w:left="840" w:leftChars="400"/>
    </w:pPr>
  </w:style>
  <w:style w:type="character" w:customStyle="1" w:styleId="181">
    <w:name w:val="a正文 Char"/>
    <w:link w:val="182"/>
    <w:autoRedefine/>
    <w:qFormat/>
    <w:uiPriority w:val="0"/>
    <w:rPr>
      <w:sz w:val="24"/>
    </w:rPr>
  </w:style>
  <w:style w:type="paragraph" w:customStyle="1" w:styleId="182">
    <w:name w:val="a正文"/>
    <w:basedOn w:val="104"/>
    <w:link w:val="181"/>
    <w:autoRedefine/>
    <w:qFormat/>
    <w:uiPriority w:val="0"/>
    <w:pPr>
      <w:spacing w:line="520" w:lineRule="exact"/>
      <w:ind w:firstLine="200"/>
    </w:pPr>
    <w:rPr>
      <w:sz w:val="24"/>
    </w:rPr>
  </w:style>
  <w:style w:type="paragraph" w:customStyle="1" w:styleId="183">
    <w:name w:val="【表中的文字】"/>
    <w:basedOn w:val="36"/>
    <w:autoRedefine/>
    <w:qFormat/>
    <w:uiPriority w:val="0"/>
    <w:pPr>
      <w:spacing w:before="0" w:after="0"/>
      <w:outlineLvl w:val="9"/>
    </w:pPr>
    <w:rPr>
      <w:rFonts w:ascii="Times New Roman" w:hAnsi="Times New Roman"/>
      <w:b w:val="0"/>
      <w:sz w:val="21"/>
      <w:szCs w:val="21"/>
    </w:rPr>
  </w:style>
  <w:style w:type="paragraph" w:customStyle="1" w:styleId="184">
    <w:name w:val="表头12"/>
    <w:basedOn w:val="1"/>
    <w:autoRedefine/>
    <w:qFormat/>
    <w:uiPriority w:val="0"/>
    <w:pPr>
      <w:keepNext/>
      <w:spacing w:line="500" w:lineRule="exact"/>
      <w:jc w:val="center"/>
    </w:pPr>
    <w:rPr>
      <w:rFonts w:eastAsia="黑体"/>
    </w:rPr>
  </w:style>
  <w:style w:type="character" w:customStyle="1" w:styleId="185">
    <w:name w:val="页眉 字符"/>
    <w:basedOn w:val="40"/>
    <w:link w:val="28"/>
    <w:autoRedefine/>
    <w:qFormat/>
    <w:uiPriority w:val="0"/>
  </w:style>
  <w:style w:type="paragraph" w:customStyle="1" w:styleId="186">
    <w:name w:val="正文2"/>
    <w:autoRedefine/>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187">
    <w:name w:val="图头00"/>
    <w:basedOn w:val="1"/>
    <w:autoRedefine/>
    <w:qFormat/>
    <w:uiPriority w:val="0"/>
    <w:pPr>
      <w:adjustRightInd w:val="0"/>
      <w:spacing w:line="360" w:lineRule="auto"/>
      <w:jc w:val="center"/>
      <w:textAlignment w:val="baseline"/>
    </w:pPr>
    <w:rPr>
      <w:rFonts w:ascii="宋体" w:eastAsia="黑体"/>
      <w:kern w:val="0"/>
      <w:sz w:val="24"/>
      <w:szCs w:val="20"/>
    </w:rPr>
  </w:style>
  <w:style w:type="paragraph" w:customStyle="1" w:styleId="188">
    <w:name w:val="正文（首行缩进两字） Char"/>
    <w:basedOn w:val="1"/>
    <w:autoRedefine/>
    <w:qFormat/>
    <w:uiPriority w:val="0"/>
    <w:pPr>
      <w:widowControl/>
      <w:spacing w:line="360" w:lineRule="auto"/>
      <w:ind w:firstLine="420"/>
    </w:pPr>
    <w:rPr>
      <w:kern w:val="0"/>
      <w:sz w:val="24"/>
      <w:szCs w:val="20"/>
    </w:rPr>
  </w:style>
  <w:style w:type="paragraph" w:customStyle="1" w:styleId="189">
    <w:name w:val="内容列表"/>
    <w:basedOn w:val="1"/>
    <w:autoRedefine/>
    <w:qFormat/>
    <w:uiPriority w:val="0"/>
    <w:pPr>
      <w:spacing w:line="480" w:lineRule="exact"/>
      <w:ind w:firstLine="560" w:firstLineChars="200"/>
    </w:pPr>
    <w:rPr>
      <w:rFonts w:ascii="仿宋_GB2312" w:eastAsia="仿宋_GB2312"/>
      <w:bCs/>
      <w:sz w:val="28"/>
      <w:szCs w:val="28"/>
    </w:rPr>
  </w:style>
  <w:style w:type="paragraph" w:customStyle="1" w:styleId="190">
    <w:name w:val="样式"/>
    <w:basedOn w:val="1"/>
    <w:next w:val="32"/>
    <w:autoRedefine/>
    <w:qFormat/>
    <w:uiPriority w:val="0"/>
    <w:pPr>
      <w:tabs>
        <w:tab w:val="left" w:pos="6720"/>
      </w:tabs>
      <w:spacing w:line="360" w:lineRule="auto"/>
      <w:ind w:firstLine="480" w:firstLineChars="200"/>
    </w:pPr>
    <w:rPr>
      <w:rFonts w:ascii="楷体_GB2312" w:eastAsia="楷体_GB2312"/>
      <w:kern w:val="0"/>
      <w:sz w:val="24"/>
      <w:szCs w:val="20"/>
    </w:rPr>
  </w:style>
  <w:style w:type="paragraph" w:customStyle="1" w:styleId="191">
    <w:name w:val="填表样式"/>
    <w:basedOn w:val="1"/>
    <w:autoRedefine/>
    <w:unhideWhenUsed/>
    <w:qFormat/>
    <w:uiPriority w:val="0"/>
    <w:pPr>
      <w:adjustRightInd w:val="0"/>
      <w:snapToGrid w:val="0"/>
      <w:spacing w:line="360" w:lineRule="auto"/>
      <w:ind w:firstLine="720" w:firstLineChars="200"/>
    </w:pPr>
  </w:style>
  <w:style w:type="character" w:customStyle="1" w:styleId="192">
    <w:name w:val="【正文】 Char1"/>
    <w:autoRedefine/>
    <w:qFormat/>
    <w:locked/>
    <w:uiPriority w:val="0"/>
    <w:rPr>
      <w:rFonts w:hint="eastAsia" w:ascii="宋体" w:hAnsi="宋体" w:eastAsia="宋体"/>
      <w:snapToGrid/>
      <w:sz w:val="24"/>
    </w:rPr>
  </w:style>
  <w:style w:type="character" w:customStyle="1" w:styleId="193">
    <w:name w:val="NormalCharacter"/>
    <w:autoRedefine/>
    <w:qFormat/>
    <w:uiPriority w:val="0"/>
    <w:rPr>
      <w:rFonts w:ascii="宋体"/>
      <w:sz w:val="24"/>
      <w:lang w:val="en-US" w:eastAsia="zh-CN" w:bidi="ar-SA"/>
    </w:rPr>
  </w:style>
  <w:style w:type="paragraph" w:customStyle="1" w:styleId="194">
    <w:name w:val="表中文字（工大）"/>
    <w:basedOn w:val="1"/>
    <w:autoRedefine/>
    <w:qFormat/>
    <w:uiPriority w:val="0"/>
    <w:pPr>
      <w:spacing w:line="400" w:lineRule="exact"/>
      <w:jc w:val="center"/>
    </w:pPr>
    <w:rPr>
      <w:szCs w:val="20"/>
    </w:rPr>
  </w:style>
  <w:style w:type="paragraph" w:customStyle="1" w:styleId="195">
    <w:name w:val="正文_6"/>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96">
    <w:name w:val="正文缩进1"/>
    <w:basedOn w:val="1"/>
    <w:autoRedefine/>
    <w:qFormat/>
    <w:uiPriority w:val="0"/>
    <w:pPr>
      <w:ind w:firstLine="420"/>
    </w:pPr>
    <w:rPr>
      <w:sz w:val="28"/>
    </w:rPr>
  </w:style>
  <w:style w:type="paragraph" w:customStyle="1" w:styleId="197">
    <w:name w:val="C首行缩进正文"/>
    <w:basedOn w:val="59"/>
    <w:autoRedefine/>
    <w:qFormat/>
    <w:uiPriority w:val="0"/>
    <w:pPr>
      <w:spacing w:line="360" w:lineRule="auto"/>
    </w:pPr>
    <w:rPr>
      <w:rFonts w:cs="宋体"/>
      <w:color w:val="000000"/>
      <w:sz w:val="21"/>
    </w:rPr>
  </w:style>
  <w:style w:type="paragraph" w:customStyle="1" w:styleId="198">
    <w:name w:val="正文4"/>
    <w:basedOn w:val="1"/>
    <w:autoRedefine/>
    <w:qFormat/>
    <w:uiPriority w:val="0"/>
    <w:pPr>
      <w:adjustRightInd w:val="0"/>
      <w:spacing w:line="288" w:lineRule="atLeast"/>
      <w:ind w:firstLine="480"/>
      <w:jc w:val="left"/>
      <w:textAlignment w:val="baseline"/>
    </w:pPr>
    <w:rPr>
      <w:rFonts w:eastAsia="仿宋_GB2312"/>
      <w:kern w:val="0"/>
      <w:sz w:val="28"/>
    </w:rPr>
  </w:style>
  <w:style w:type="paragraph" w:customStyle="1" w:styleId="199">
    <w:name w:val="②JM表格小标题 仿宋"/>
    <w:basedOn w:val="200"/>
    <w:next w:val="201"/>
    <w:autoRedefine/>
    <w:qFormat/>
    <w:uiPriority w:val="0"/>
    <w:rPr>
      <w:rFonts w:eastAsia="仿宋"/>
      <w:b/>
    </w:rPr>
  </w:style>
  <w:style w:type="paragraph" w:customStyle="1" w:styleId="200">
    <w:name w:val="①JM表格 居中"/>
    <w:basedOn w:val="1"/>
    <w:next w:val="1"/>
    <w:autoRedefine/>
    <w:qFormat/>
    <w:uiPriority w:val="0"/>
    <w:pPr>
      <w:jc w:val="center"/>
    </w:pPr>
  </w:style>
  <w:style w:type="paragraph" w:customStyle="1" w:styleId="201">
    <w:name w:val="②JM正文"/>
    <w:basedOn w:val="202"/>
    <w:autoRedefine/>
    <w:qFormat/>
    <w:uiPriority w:val="0"/>
    <w:pPr>
      <w:ind w:firstLine="720" w:firstLineChars="200"/>
    </w:pPr>
  </w:style>
  <w:style w:type="paragraph" w:customStyle="1" w:styleId="202">
    <w:name w:val="②JM正文 顶格"/>
    <w:basedOn w:val="200"/>
    <w:next w:val="201"/>
    <w:autoRedefine/>
    <w:qFormat/>
    <w:uiPriority w:val="0"/>
    <w:pPr>
      <w:jc w:val="left"/>
    </w:pPr>
  </w:style>
  <w:style w:type="paragraph" w:customStyle="1" w:styleId="203">
    <w:name w:val="②JM表格 居中 仿宋"/>
    <w:basedOn w:val="199"/>
    <w:next w:val="201"/>
    <w:autoRedefine/>
    <w:qFormat/>
    <w:uiPriority w:val="0"/>
    <w:rPr>
      <w:b w:val="0"/>
    </w:rPr>
  </w:style>
  <w:style w:type="paragraph" w:customStyle="1" w:styleId="204">
    <w:name w:val="表格里"/>
    <w:basedOn w:val="130"/>
    <w:next w:val="130"/>
    <w:autoRedefine/>
    <w:qFormat/>
    <w:uiPriority w:val="0"/>
    <w:pPr>
      <w:jc w:val="center"/>
    </w:pPr>
    <w:rPr>
      <w:rFonts w:ascii="Times New Roman"/>
      <w:snapToGrid w:val="0"/>
    </w:rPr>
  </w:style>
  <w:style w:type="paragraph" w:customStyle="1" w:styleId="205">
    <w:name w:val="正文(首行缩进)"/>
    <w:basedOn w:val="1"/>
    <w:autoRedefine/>
    <w:qFormat/>
    <w:uiPriority w:val="0"/>
    <w:pPr>
      <w:spacing w:line="360" w:lineRule="auto"/>
      <w:ind w:firstLine="540" w:firstLineChars="225"/>
    </w:pPr>
    <w:rPr>
      <w:snapToGrid w:val="0"/>
      <w:color w:val="000000"/>
      <w:kern w:val="0"/>
      <w:sz w:val="24"/>
    </w:rPr>
  </w:style>
  <w:style w:type="paragraph" w:styleId="206">
    <w:name w:val="List Paragraph"/>
    <w:basedOn w:val="1"/>
    <w:autoRedefine/>
    <w:qFormat/>
    <w:uiPriority w:val="1"/>
    <w:pPr>
      <w:spacing w:before="105"/>
      <w:ind w:left="538" w:hanging="421"/>
    </w:pPr>
    <w:rPr>
      <w:rFonts w:ascii="仿宋" w:hAnsi="仿宋" w:eastAsia="仿宋" w:cs="仿宋"/>
      <w:lang w:val="zh-CN" w:bidi="zh-CN"/>
    </w:rPr>
  </w:style>
  <w:style w:type="paragraph" w:customStyle="1" w:styleId="207">
    <w:name w:val="表中的文字"/>
    <w:basedOn w:val="36"/>
    <w:qFormat/>
    <w:uiPriority w:val="0"/>
    <w:pPr>
      <w:spacing w:before="0" w:after="0"/>
      <w:outlineLvl w:val="9"/>
    </w:pPr>
    <w:rPr>
      <w:rFonts w:ascii="Times New Roman" w:hAnsi="Times New Roman"/>
      <w:b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9" Type="http://schemas.openxmlformats.org/officeDocument/2006/relationships/fontTable" Target="fontTable.xml"/><Relationship Id="rId68" Type="http://schemas.openxmlformats.org/officeDocument/2006/relationships/numbering" Target="numbering.xml"/><Relationship Id="rId67" Type="http://schemas.openxmlformats.org/officeDocument/2006/relationships/customXml" Target="../customXml/item1.xml"/><Relationship Id="rId66" Type="http://schemas.openxmlformats.org/officeDocument/2006/relationships/image" Target="media/image56.jpeg"/><Relationship Id="rId65" Type="http://schemas.openxmlformats.org/officeDocument/2006/relationships/image" Target="media/image55.jpeg"/><Relationship Id="rId64" Type="http://schemas.openxmlformats.org/officeDocument/2006/relationships/image" Target="media/image54.jpeg"/><Relationship Id="rId63" Type="http://schemas.openxmlformats.org/officeDocument/2006/relationships/image" Target="media/image53.jpeg"/><Relationship Id="rId62" Type="http://schemas.openxmlformats.org/officeDocument/2006/relationships/image" Target="media/image52.jpeg"/><Relationship Id="rId61" Type="http://schemas.openxmlformats.org/officeDocument/2006/relationships/image" Target="media/image51.jpeg"/><Relationship Id="rId60" Type="http://schemas.openxmlformats.org/officeDocument/2006/relationships/image" Target="media/image50.jpeg"/><Relationship Id="rId6" Type="http://schemas.openxmlformats.org/officeDocument/2006/relationships/footer" Target="footer4.xml"/><Relationship Id="rId59" Type="http://schemas.openxmlformats.org/officeDocument/2006/relationships/image" Target="media/image49.jpeg"/><Relationship Id="rId58" Type="http://schemas.openxmlformats.org/officeDocument/2006/relationships/image" Target="media/image48.jpeg"/><Relationship Id="rId57" Type="http://schemas.openxmlformats.org/officeDocument/2006/relationships/image" Target="media/image47.jpeg"/><Relationship Id="rId56" Type="http://schemas.openxmlformats.org/officeDocument/2006/relationships/image" Target="media/image46.jpeg"/><Relationship Id="rId55" Type="http://schemas.openxmlformats.org/officeDocument/2006/relationships/image" Target="media/image45.jpeg"/><Relationship Id="rId54" Type="http://schemas.openxmlformats.org/officeDocument/2006/relationships/image" Target="media/image44.png"/><Relationship Id="rId53" Type="http://schemas.openxmlformats.org/officeDocument/2006/relationships/image" Target="media/image43.png"/><Relationship Id="rId52" Type="http://schemas.openxmlformats.org/officeDocument/2006/relationships/image" Target="media/image42.png"/><Relationship Id="rId51" Type="http://schemas.openxmlformats.org/officeDocument/2006/relationships/image" Target="media/image41.png"/><Relationship Id="rId50" Type="http://schemas.openxmlformats.org/officeDocument/2006/relationships/image" Target="media/image40.png"/><Relationship Id="rId5" Type="http://schemas.openxmlformats.org/officeDocument/2006/relationships/footer" Target="footer3.xml"/><Relationship Id="rId49" Type="http://schemas.openxmlformats.org/officeDocument/2006/relationships/image" Target="media/image39.png"/><Relationship Id="rId48" Type="http://schemas.openxmlformats.org/officeDocument/2006/relationships/image" Target="media/image38.png"/><Relationship Id="rId47" Type="http://schemas.openxmlformats.org/officeDocument/2006/relationships/image" Target="media/image37.png"/><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png"/><Relationship Id="rId43" Type="http://schemas.openxmlformats.org/officeDocument/2006/relationships/image" Target="media/image33.png"/><Relationship Id="rId42" Type="http://schemas.openxmlformats.org/officeDocument/2006/relationships/image" Target="media/image32.png"/><Relationship Id="rId41" Type="http://schemas.openxmlformats.org/officeDocument/2006/relationships/image" Target="media/image31.jpeg"/><Relationship Id="rId40" Type="http://schemas.openxmlformats.org/officeDocument/2006/relationships/image" Target="media/image30.png"/><Relationship Id="rId4" Type="http://schemas.openxmlformats.org/officeDocument/2006/relationships/footer" Target="footer2.xml"/><Relationship Id="rId39" Type="http://schemas.openxmlformats.org/officeDocument/2006/relationships/image" Target="media/image29.png"/><Relationship Id="rId38" Type="http://schemas.openxmlformats.org/officeDocument/2006/relationships/image" Target="media/image28.png"/><Relationship Id="rId37" Type="http://schemas.openxmlformats.org/officeDocument/2006/relationships/image" Target="media/image27.jpeg"/><Relationship Id="rId36" Type="http://schemas.openxmlformats.org/officeDocument/2006/relationships/image" Target="media/image26.png"/><Relationship Id="rId35" Type="http://schemas.openxmlformats.org/officeDocument/2006/relationships/image" Target="media/image25.jpeg"/><Relationship Id="rId34" Type="http://schemas.openxmlformats.org/officeDocument/2006/relationships/image" Target="media/image24.jpeg"/><Relationship Id="rId33" Type="http://schemas.openxmlformats.org/officeDocument/2006/relationships/image" Target="media/image23.jpeg"/><Relationship Id="rId32" Type="http://schemas.openxmlformats.org/officeDocument/2006/relationships/image" Target="media/image22.jpeg"/><Relationship Id="rId31" Type="http://schemas.openxmlformats.org/officeDocument/2006/relationships/image" Target="media/image21.jpeg"/><Relationship Id="rId30" Type="http://schemas.openxmlformats.org/officeDocument/2006/relationships/image" Target="media/image20.png"/><Relationship Id="rId3" Type="http://schemas.openxmlformats.org/officeDocument/2006/relationships/footer" Target="foot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jpeg"/><Relationship Id="rId23" Type="http://schemas.openxmlformats.org/officeDocument/2006/relationships/image" Target="media/image13.wmf"/><Relationship Id="rId22" Type="http://schemas.openxmlformats.org/officeDocument/2006/relationships/image" Target="media/image12.wmf"/><Relationship Id="rId21" Type="http://schemas.openxmlformats.org/officeDocument/2006/relationships/image" Target="media/image11.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10.wmf"/><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97</Pages>
  <Words>127</Words>
  <Characters>130</Characters>
  <Lines>325</Lines>
  <Paragraphs>91</Paragraphs>
  <TotalTime>7</TotalTime>
  <ScaleCrop>false</ScaleCrop>
  <LinksUpToDate>false</LinksUpToDate>
  <CharactersWithSpaces>166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2021-03-10T08:40:00Z</dcterms:created>
  <dc:creator>嘤萦影映</dc:creator>
  <cp:lastModifiedBy>greatwall</cp:lastModifiedBy>
  <cp:lastPrinted>2022-10-28T07:54:00Z</cp:lastPrinted>
  <dcterms:modified xsi:type="dcterms:W3CDTF">2026-08-28T16:51:25Z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2FC10FC249BACFDB0D4C916A73E70823_43</vt:lpwstr>
  </property>
  <property fmtid="{D5CDD505-2E9C-101B-9397-08002B2CF9AE}" pid="4" name="KSOTemplateDocerSaveRecord">
    <vt:lpwstr>eyJoZGlkIjoiMjgwZjViZTBkYjZkYmM0ODMxN2I4YTg5YzkyZjk4ODAiLCJ1c2VySWQiOiIyNjE3NTc3MjMifQ==</vt:lpwstr>
  </property>
</Properties>
</file>