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D392E">
      <w:pPr>
        <w:ind w:left="420" w:leftChars="0" w:firstLine="420" w:firstLineChars="0"/>
        <w:rPr>
          <w:rFonts w:hint="default" w:ascii="Times New Roman" w:hAnsi="Times New Roman" w:eastAsia="仿宋_GB2312" w:cs="Times New Roman"/>
          <w:color w:val="auto"/>
          <w:sz w:val="36"/>
          <w:szCs w:val="36"/>
          <w:highlight w:val="none"/>
        </w:rPr>
      </w:pPr>
      <w:bookmarkStart w:id="0" w:name="_Hlk57883707"/>
      <w:bookmarkStart w:id="75" w:name="_GoBack"/>
    </w:p>
    <w:p w14:paraId="38093DAD">
      <w:pPr>
        <w:rPr>
          <w:rFonts w:hint="eastAsia" w:ascii="宋体" w:hAnsi="宋体" w:eastAsia="宋体" w:cs="宋体"/>
          <w:color w:val="auto"/>
          <w:sz w:val="36"/>
          <w:szCs w:val="36"/>
          <w:highlight w:val="none"/>
        </w:rPr>
      </w:pPr>
    </w:p>
    <w:p w14:paraId="19CEEF34">
      <w:pPr>
        <w:rPr>
          <w:rFonts w:hint="eastAsia" w:ascii="宋体" w:hAnsi="宋体" w:eastAsia="宋体" w:cs="宋体"/>
          <w:color w:val="auto"/>
          <w:sz w:val="36"/>
          <w:szCs w:val="36"/>
          <w:highlight w:val="none"/>
        </w:rPr>
      </w:pPr>
    </w:p>
    <w:bookmarkEnd w:id="0"/>
    <w:p w14:paraId="2A751ED3">
      <w:pPr>
        <w:adjustRightInd w:val="0"/>
        <w:snapToGrid w:val="0"/>
        <w:jc w:val="center"/>
        <w:rPr>
          <w:rFonts w:hint="eastAsia" w:ascii="宋体" w:hAnsi="宋体" w:eastAsia="宋体" w:cs="宋体"/>
          <w:bCs/>
          <w:color w:val="auto"/>
          <w:sz w:val="72"/>
          <w:szCs w:val="72"/>
          <w:highlight w:val="none"/>
        </w:rPr>
      </w:pPr>
      <w:r>
        <w:rPr>
          <w:rFonts w:hint="eastAsia" w:ascii="宋体" w:hAnsi="宋体" w:eastAsia="宋体" w:cs="宋体"/>
          <w:bCs/>
          <w:color w:val="auto"/>
          <w:sz w:val="72"/>
          <w:szCs w:val="72"/>
          <w:highlight w:val="none"/>
        </w:rPr>
        <w:t>建设项目环境影响报告表</w:t>
      </w:r>
    </w:p>
    <w:p w14:paraId="4F10476C">
      <w:pPr>
        <w:adjustRightInd w:val="0"/>
        <w:snapToGrid w:val="0"/>
        <w:spacing w:before="249" w:beforeLines="80"/>
        <w:jc w:val="center"/>
        <w:rPr>
          <w:rFonts w:hint="eastAsia" w:ascii="宋体" w:hAnsi="宋体" w:eastAsia="宋体" w:cs="宋体"/>
          <w:bCs/>
          <w:color w:val="auto"/>
          <w:sz w:val="48"/>
          <w:szCs w:val="48"/>
          <w:highlight w:val="none"/>
        </w:rPr>
      </w:pPr>
      <w:r>
        <w:rPr>
          <w:rFonts w:hint="eastAsia" w:ascii="宋体" w:hAnsi="宋体" w:eastAsia="宋体" w:cs="宋体"/>
          <w:bCs/>
          <w:color w:val="auto"/>
          <w:sz w:val="48"/>
          <w:szCs w:val="48"/>
          <w:highlight w:val="none"/>
        </w:rPr>
        <w:t>（污染影响类）</w:t>
      </w:r>
    </w:p>
    <w:p w14:paraId="05D691FD">
      <w:pPr>
        <w:adjustRightInd w:val="0"/>
        <w:snapToGrid w:val="0"/>
        <w:spacing w:line="288" w:lineRule="auto"/>
        <w:jc w:val="center"/>
        <w:rPr>
          <w:rFonts w:hint="eastAsia" w:ascii="宋体" w:hAnsi="宋体" w:eastAsia="宋体" w:cs="宋体"/>
          <w:color w:val="auto"/>
          <w:kern w:val="44"/>
          <w:sz w:val="44"/>
          <w:szCs w:val="44"/>
          <w:highlight w:val="none"/>
        </w:rPr>
      </w:pPr>
      <w:bookmarkStart w:id="1" w:name="_Hlk57883728"/>
    </w:p>
    <w:p w14:paraId="4BF5CAF1">
      <w:pPr>
        <w:jc w:val="center"/>
        <w:rPr>
          <w:rFonts w:hint="eastAsia" w:ascii="宋体" w:hAnsi="宋体" w:eastAsia="宋体" w:cs="宋体"/>
          <w:color w:val="auto"/>
          <w:sz w:val="52"/>
          <w:szCs w:val="52"/>
          <w:highlight w:val="none"/>
        </w:rPr>
      </w:pPr>
    </w:p>
    <w:p w14:paraId="7F2632E4">
      <w:pPr>
        <w:ind w:firstLine="1040"/>
        <w:rPr>
          <w:rFonts w:hint="eastAsia" w:ascii="宋体" w:hAnsi="宋体" w:eastAsia="宋体" w:cs="宋体"/>
          <w:color w:val="auto"/>
          <w:sz w:val="44"/>
          <w:szCs w:val="44"/>
          <w:highlight w:val="none"/>
        </w:rPr>
      </w:pPr>
    </w:p>
    <w:p w14:paraId="6CA9952B">
      <w:pPr>
        <w:pStyle w:val="13"/>
        <w:rPr>
          <w:rFonts w:hint="eastAsia" w:ascii="宋体" w:hAnsi="宋体" w:eastAsia="宋体" w:cs="宋体"/>
          <w:color w:val="auto"/>
          <w:sz w:val="44"/>
          <w:szCs w:val="44"/>
          <w:highlight w:val="none"/>
        </w:rPr>
      </w:pPr>
    </w:p>
    <w:p w14:paraId="7068E0D0">
      <w:pPr>
        <w:pStyle w:val="44"/>
        <w:rPr>
          <w:rFonts w:hint="eastAsia" w:ascii="宋体" w:hAnsi="宋体" w:eastAsia="宋体" w:cs="宋体"/>
          <w:color w:val="auto"/>
          <w:sz w:val="44"/>
          <w:szCs w:val="44"/>
          <w:highlight w:val="none"/>
        </w:rPr>
      </w:pPr>
    </w:p>
    <w:p w14:paraId="68E07F0D">
      <w:pPr>
        <w:pStyle w:val="45"/>
        <w:rPr>
          <w:rFonts w:hint="eastAsia" w:ascii="宋体" w:hAnsi="宋体" w:eastAsia="宋体" w:cs="宋体"/>
          <w:color w:val="auto"/>
          <w:highlight w:val="none"/>
        </w:rPr>
      </w:pPr>
    </w:p>
    <w:p w14:paraId="0F469B8B">
      <w:pPr>
        <w:rPr>
          <w:rFonts w:hint="eastAsia" w:ascii="宋体" w:hAnsi="宋体" w:eastAsia="宋体" w:cs="宋体"/>
          <w:color w:val="auto"/>
          <w:sz w:val="44"/>
          <w:szCs w:val="44"/>
          <w:highlight w:val="none"/>
        </w:rPr>
      </w:pPr>
    </w:p>
    <w:bookmarkEnd w:id="1"/>
    <w:p w14:paraId="31F7E354">
      <w:pPr>
        <w:adjustRightInd w:val="0"/>
        <w:snapToGrid w:val="0"/>
        <w:spacing w:line="288" w:lineRule="auto"/>
        <w:ind w:left="1630" w:hanging="1630" w:hangingChars="500"/>
        <w:jc w:val="left"/>
        <w:rPr>
          <w:rFonts w:hint="default" w:ascii="宋体" w:hAnsi="宋体" w:eastAsia="宋体" w:cs="宋体"/>
          <w:color w:val="auto"/>
          <w:spacing w:val="-17"/>
          <w:sz w:val="36"/>
          <w:szCs w:val="36"/>
          <w:highlight w:val="none"/>
          <w:u w:val="single"/>
          <w:lang w:val="en-US"/>
        </w:rPr>
      </w:pPr>
      <w:r>
        <w:rPr>
          <w:rFonts w:hint="eastAsia" w:ascii="宋体" w:hAnsi="宋体" w:eastAsia="宋体" w:cs="宋体"/>
          <w:color w:val="auto"/>
          <w:spacing w:val="-17"/>
          <w:sz w:val="36"/>
          <w:szCs w:val="36"/>
          <w:highlight w:val="none"/>
        </w:rPr>
        <w:t>项目名称</w:t>
      </w:r>
      <w:r>
        <w:rPr>
          <w:rFonts w:hint="eastAsia" w:ascii="宋体" w:hAnsi="宋体" w:eastAsia="宋体" w:cs="宋体"/>
          <w:color w:val="auto"/>
          <w:spacing w:val="-17"/>
          <w:sz w:val="36"/>
          <w:szCs w:val="36"/>
          <w:highlight w:val="none"/>
          <w:lang w:eastAsia="zh-CN"/>
        </w:rPr>
        <w:t>：</w:t>
      </w:r>
      <w:r>
        <w:rPr>
          <w:rFonts w:hint="eastAsia" w:ascii="宋体" w:hAnsi="宋体" w:eastAsia="宋体" w:cs="宋体"/>
          <w:color w:val="auto"/>
          <w:sz w:val="36"/>
          <w:szCs w:val="36"/>
          <w:highlight w:val="none"/>
          <w:u w:val="single"/>
          <w:lang w:val="en-US" w:eastAsia="zh-CN"/>
        </w:rPr>
        <w:t>鸡西市</w:t>
      </w:r>
      <w:r>
        <w:rPr>
          <w:rFonts w:hint="eastAsia" w:ascii="宋体" w:hAnsi="宋体" w:cs="宋体"/>
          <w:color w:val="auto"/>
          <w:sz w:val="36"/>
          <w:szCs w:val="36"/>
          <w:highlight w:val="none"/>
          <w:u w:val="single"/>
          <w:lang w:val="en-US" w:eastAsia="zh-CN"/>
        </w:rPr>
        <w:t xml:space="preserve">供水有限公司朝阳净水厂改建项目    </w:t>
      </w:r>
    </w:p>
    <w:p w14:paraId="754EAA46">
      <w:pPr>
        <w:adjustRightInd w:val="0"/>
        <w:snapToGrid w:val="0"/>
        <w:spacing w:line="288" w:lineRule="auto"/>
        <w:ind w:left="1800" w:hanging="1800" w:hangingChars="500"/>
        <w:rPr>
          <w:rFonts w:hint="default" w:ascii="宋体" w:hAnsi="宋体" w:eastAsia="宋体" w:cs="宋体"/>
          <w:color w:val="auto"/>
          <w:sz w:val="36"/>
          <w:szCs w:val="36"/>
          <w:highlight w:val="none"/>
          <w:u w:val="single"/>
          <w:lang w:val="en-US" w:eastAsia="zh-CN"/>
        </w:rPr>
      </w:pPr>
      <w:r>
        <w:rPr>
          <w:rFonts w:hint="eastAsia" w:ascii="宋体" w:hAnsi="宋体" w:eastAsia="宋体" w:cs="宋体"/>
          <w:color w:val="auto"/>
          <w:sz w:val="36"/>
          <w:szCs w:val="36"/>
          <w:highlight w:val="none"/>
        </w:rPr>
        <w:t>建设单位：</w:t>
      </w:r>
      <w:r>
        <w:rPr>
          <w:rFonts w:hint="eastAsia" w:ascii="宋体" w:hAnsi="宋体" w:eastAsia="宋体" w:cs="宋体"/>
          <w:color w:val="auto"/>
          <w:sz w:val="36"/>
          <w:szCs w:val="36"/>
          <w:highlight w:val="none"/>
          <w:u w:val="single"/>
          <w:lang w:val="en-US" w:eastAsia="zh-CN"/>
        </w:rPr>
        <w:t xml:space="preserve">   </w:t>
      </w:r>
      <w:r>
        <w:rPr>
          <w:rFonts w:hint="eastAsia" w:ascii="宋体" w:hAnsi="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lang w:val="en-US" w:eastAsia="zh-CN"/>
        </w:rPr>
        <w:t xml:space="preserve">鸡西市供水有限公司              </w:t>
      </w:r>
      <w:r>
        <w:rPr>
          <w:rFonts w:hint="eastAsia" w:ascii="宋体" w:hAnsi="宋体" w:cs="宋体"/>
          <w:color w:val="auto"/>
          <w:sz w:val="36"/>
          <w:szCs w:val="36"/>
          <w:highlight w:val="none"/>
          <w:u w:val="single"/>
          <w:lang w:val="en-US" w:eastAsia="zh-CN"/>
        </w:rPr>
        <w:t xml:space="preserve"> </w:t>
      </w:r>
    </w:p>
    <w:p w14:paraId="22265EB5">
      <w:pPr>
        <w:adjustRightInd w:val="0"/>
        <w:snapToGrid w:val="0"/>
        <w:spacing w:line="288" w:lineRule="auto"/>
        <w:rPr>
          <w:rFonts w:hint="eastAsia" w:ascii="宋体" w:hAnsi="宋体" w:eastAsia="宋体" w:cs="宋体"/>
          <w:color w:val="auto"/>
          <w:sz w:val="36"/>
          <w:szCs w:val="36"/>
          <w:highlight w:val="none"/>
          <w:u w:val="single"/>
        </w:rPr>
      </w:pPr>
      <w:r>
        <w:rPr>
          <w:rFonts w:hint="eastAsia" w:ascii="宋体" w:hAnsi="宋体" w:eastAsia="宋体" w:cs="宋体"/>
          <w:color w:val="auto"/>
          <w:sz w:val="36"/>
          <w:szCs w:val="36"/>
          <w:highlight w:val="none"/>
        </w:rPr>
        <w:t>编制日期：</w:t>
      </w:r>
      <w:r>
        <w:rPr>
          <w:rFonts w:hint="eastAsia" w:ascii="宋体" w:hAnsi="宋体" w:eastAsia="宋体" w:cs="宋体"/>
          <w:color w:val="auto"/>
          <w:sz w:val="36"/>
          <w:szCs w:val="36"/>
          <w:highlight w:val="none"/>
          <w:u w:val="single"/>
          <w:lang w:val="en-US" w:eastAsia="zh-CN"/>
        </w:rPr>
        <w:t xml:space="preserve">             </w:t>
      </w:r>
      <w:r>
        <w:rPr>
          <w:rFonts w:hint="default" w:ascii="Times New Roman" w:hAnsi="Times New Roman" w:eastAsia="宋体" w:cs="Times New Roman"/>
          <w:color w:val="auto"/>
          <w:sz w:val="36"/>
          <w:szCs w:val="36"/>
          <w:highlight w:val="none"/>
          <w:u w:val="single"/>
        </w:rPr>
        <w:t>202</w:t>
      </w:r>
      <w:r>
        <w:rPr>
          <w:rFonts w:hint="eastAsia" w:cs="Times New Roman"/>
          <w:color w:val="auto"/>
          <w:sz w:val="36"/>
          <w:szCs w:val="36"/>
          <w:highlight w:val="none"/>
          <w:u w:val="single"/>
          <w:lang w:val="en-US" w:eastAsia="zh-CN"/>
        </w:rPr>
        <w:t>6</w:t>
      </w:r>
      <w:r>
        <w:rPr>
          <w:rFonts w:hint="default" w:ascii="Times New Roman" w:hAnsi="Times New Roman" w:eastAsia="宋体" w:cs="Times New Roman"/>
          <w:color w:val="auto"/>
          <w:sz w:val="36"/>
          <w:szCs w:val="36"/>
          <w:highlight w:val="none"/>
          <w:u w:val="single"/>
        </w:rPr>
        <w:t>年</w:t>
      </w:r>
      <w:r>
        <w:rPr>
          <w:rFonts w:hint="eastAsia" w:cs="Times New Roman"/>
          <w:color w:val="auto"/>
          <w:sz w:val="36"/>
          <w:szCs w:val="36"/>
          <w:highlight w:val="none"/>
          <w:u w:val="single"/>
          <w:lang w:val="en-US" w:eastAsia="zh-CN"/>
        </w:rPr>
        <w:t>7</w:t>
      </w:r>
      <w:r>
        <w:rPr>
          <w:rFonts w:hint="default" w:ascii="Times New Roman" w:hAnsi="Times New Roman" w:eastAsia="宋体" w:cs="Times New Roman"/>
          <w:color w:val="auto"/>
          <w:sz w:val="36"/>
          <w:szCs w:val="36"/>
          <w:highlight w:val="none"/>
          <w:u w:val="single"/>
        </w:rPr>
        <w:t xml:space="preserve">月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p>
    <w:p w14:paraId="27383FD7">
      <w:pPr>
        <w:adjustRightInd w:val="0"/>
        <w:snapToGrid w:val="0"/>
        <w:spacing w:line="288" w:lineRule="auto"/>
        <w:ind w:firstLine="1040"/>
        <w:rPr>
          <w:rFonts w:hint="eastAsia" w:ascii="宋体" w:hAnsi="宋体" w:eastAsia="宋体" w:cs="宋体"/>
          <w:color w:val="auto"/>
          <w:sz w:val="36"/>
          <w:szCs w:val="36"/>
          <w:highlight w:val="none"/>
          <w:u w:val="single"/>
        </w:rPr>
      </w:pPr>
    </w:p>
    <w:p w14:paraId="0AFC2B0D">
      <w:pPr>
        <w:adjustRightInd w:val="0"/>
        <w:snapToGrid w:val="0"/>
        <w:spacing w:line="288" w:lineRule="auto"/>
        <w:ind w:firstLine="1040"/>
        <w:rPr>
          <w:rFonts w:hint="eastAsia" w:ascii="宋体" w:hAnsi="宋体" w:eastAsia="宋体" w:cs="宋体"/>
          <w:color w:val="auto"/>
          <w:sz w:val="36"/>
          <w:szCs w:val="36"/>
          <w:highlight w:val="none"/>
        </w:rPr>
      </w:pPr>
    </w:p>
    <w:p w14:paraId="541B34C1">
      <w:pPr>
        <w:adjustRightInd w:val="0"/>
        <w:snapToGrid w:val="0"/>
        <w:spacing w:line="288" w:lineRule="auto"/>
        <w:rPr>
          <w:rFonts w:hint="eastAsia" w:ascii="宋体" w:hAnsi="宋体" w:eastAsia="宋体" w:cs="宋体"/>
          <w:color w:val="auto"/>
          <w:sz w:val="36"/>
          <w:szCs w:val="36"/>
          <w:highlight w:val="none"/>
        </w:rPr>
      </w:pPr>
    </w:p>
    <w:p w14:paraId="13F75276">
      <w:pPr>
        <w:adjustRightInd w:val="0"/>
        <w:snapToGrid w:val="0"/>
        <w:spacing w:line="288" w:lineRule="auto"/>
        <w:ind w:firstLine="1040"/>
        <w:rPr>
          <w:rFonts w:hint="eastAsia" w:ascii="宋体" w:hAnsi="宋体" w:eastAsia="宋体" w:cs="宋体"/>
          <w:color w:val="auto"/>
          <w:sz w:val="36"/>
          <w:szCs w:val="36"/>
          <w:highlight w:val="none"/>
        </w:rPr>
      </w:pPr>
    </w:p>
    <w:p w14:paraId="13A16D53">
      <w:pPr>
        <w:adjustRightInd w:val="0"/>
        <w:snapToGrid w:val="0"/>
        <w:spacing w:line="288" w:lineRule="auto"/>
        <w:jc w:val="center"/>
        <w:rPr>
          <w:rFonts w:hint="eastAsia" w:ascii="宋体" w:hAnsi="宋体" w:cs="宋体"/>
          <w:color w:val="auto"/>
          <w:sz w:val="36"/>
          <w:szCs w:val="36"/>
          <w:highlight w:val="none"/>
          <w:lang w:val="en-US" w:eastAsia="zh-CN"/>
        </w:rPr>
        <w:sectPr>
          <w:footerReference r:id="rId3" w:type="default"/>
          <w:pgSz w:w="11850" w:h="16783"/>
          <w:pgMar w:top="1701" w:right="1531" w:bottom="1701" w:left="1531" w:header="851" w:footer="1077" w:gutter="0"/>
          <w:pgBorders>
            <w:top w:val="none" w:sz="0" w:space="0"/>
            <w:left w:val="none" w:sz="0" w:space="0"/>
            <w:bottom w:val="none" w:sz="0" w:space="0"/>
            <w:right w:val="none" w:sz="0" w:space="0"/>
          </w:pgBorders>
          <w:pgNumType w:fmt="numberInDash" w:start="1"/>
          <w:cols w:space="0" w:num="1"/>
          <w:docGrid w:type="lines" w:linePitch="312" w:charSpace="0"/>
        </w:sectPr>
      </w:pPr>
      <w:r>
        <w:rPr>
          <w:rFonts w:hint="eastAsia" w:ascii="宋体" w:hAnsi="宋体" w:eastAsia="宋体" w:cs="宋体"/>
          <w:color w:val="auto"/>
          <w:sz w:val="36"/>
          <w:szCs w:val="36"/>
          <w:highlight w:val="none"/>
        </w:rPr>
        <w:t>中华人民共和国生态环</w:t>
      </w:r>
      <w:r>
        <w:rPr>
          <w:rFonts w:hint="eastAsia" w:ascii="宋体" w:hAnsi="宋体" w:cs="宋体"/>
          <w:color w:val="auto"/>
          <w:sz w:val="36"/>
          <w:szCs w:val="36"/>
          <w:highlight w:val="none"/>
          <w:lang w:val="en-US" w:eastAsia="zh-CN"/>
        </w:rPr>
        <w:t>境部</w:t>
      </w:r>
    </w:p>
    <w:p w14:paraId="0DC0CC67">
      <w:pPr>
        <w:adjustRightInd w:val="0"/>
        <w:snapToGrid w:val="0"/>
        <w:spacing w:line="288" w:lineRule="auto"/>
        <w:jc w:val="center"/>
        <w:rPr>
          <w:rFonts w:hint="default" w:ascii="宋体" w:hAnsi="宋体" w:cs="宋体"/>
          <w:color w:val="auto"/>
          <w:sz w:val="36"/>
          <w:szCs w:val="36"/>
          <w:highlight w:val="none"/>
          <w:lang w:val="en-US" w:eastAsia="zh-CN"/>
        </w:rPr>
        <w:sectPr>
          <w:pgSz w:w="11850" w:h="16783"/>
          <w:pgMar w:top="1701" w:right="1531" w:bottom="1701" w:left="1531" w:header="851" w:footer="1077" w:gutter="0"/>
          <w:pgBorders>
            <w:top w:val="none" w:sz="0" w:space="0"/>
            <w:left w:val="none" w:sz="0" w:space="0"/>
            <w:bottom w:val="none" w:sz="0" w:space="0"/>
            <w:right w:val="none" w:sz="0" w:space="0"/>
          </w:pgBorders>
          <w:pgNumType w:fmt="numberInDash" w:start="1"/>
          <w:cols w:space="0" w:num="1"/>
          <w:docGrid w:type="lines" w:linePitch="312" w:charSpace="0"/>
        </w:sectPr>
      </w:pPr>
      <w:r>
        <w:rPr>
          <w:color w:val="auto"/>
        </w:rPr>
        <w:drawing>
          <wp:inline distT="0" distB="0" distL="114300" distR="114300">
            <wp:extent cx="4733925" cy="6362700"/>
            <wp:effectExtent l="0" t="0" r="9525" b="0"/>
            <wp:docPr id="8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2"/>
                    <pic:cNvPicPr>
                      <a:picLocks noChangeAspect="1"/>
                    </pic:cNvPicPr>
                  </pic:nvPicPr>
                  <pic:blipFill>
                    <a:blip r:embed="rId13"/>
                    <a:stretch>
                      <a:fillRect/>
                    </a:stretch>
                  </pic:blipFill>
                  <pic:spPr>
                    <a:xfrm>
                      <a:off x="0" y="0"/>
                      <a:ext cx="4733925" cy="6362700"/>
                    </a:xfrm>
                    <a:prstGeom prst="rect">
                      <a:avLst/>
                    </a:prstGeom>
                    <a:noFill/>
                    <a:ln>
                      <a:noFill/>
                    </a:ln>
                  </pic:spPr>
                </pic:pic>
              </a:graphicData>
            </a:graphic>
          </wp:inline>
        </w:drawing>
      </w:r>
    </w:p>
    <w:p w14:paraId="101F2021">
      <w:pPr>
        <w:pStyle w:val="30"/>
        <w:spacing w:before="0" w:beforeAutospacing="0" w:after="156" w:afterLines="50" w:afterAutospacing="0"/>
        <w:jc w:val="center"/>
        <w:outlineLvl w:val="0"/>
        <w:rPr>
          <w:rFonts w:hint="default" w:ascii="Times New Roman" w:hAnsi="Times New Roman" w:eastAsia="黑体" w:cs="Times New Roman"/>
          <w:snapToGrid w:val="0"/>
          <w:color w:val="auto"/>
          <w:kern w:val="21"/>
          <w:sz w:val="30"/>
          <w:szCs w:val="30"/>
          <w:highlight w:val="none"/>
        </w:rPr>
      </w:pPr>
      <w:bookmarkStart w:id="2" w:name="_Toc16950"/>
      <w:r>
        <w:rPr>
          <w:rFonts w:hint="default" w:ascii="Times New Roman" w:hAnsi="Times New Roman" w:eastAsia="黑体" w:cs="Times New Roman"/>
          <w:snapToGrid w:val="0"/>
          <w:color w:val="auto"/>
          <w:kern w:val="21"/>
          <w:sz w:val="30"/>
          <w:szCs w:val="30"/>
          <w:highlight w:val="none"/>
        </w:rPr>
        <w:t>一、建设项目基本情况</w:t>
      </w:r>
      <w:bookmarkEnd w:id="2"/>
    </w:p>
    <w:tbl>
      <w:tblPr>
        <w:tblStyle w:val="35"/>
        <w:tblW w:w="515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25"/>
        <w:gridCol w:w="2141"/>
        <w:gridCol w:w="2147"/>
        <w:gridCol w:w="3165"/>
      </w:tblGrid>
      <w:tr w14:paraId="4FECFF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95" w:type="pct"/>
            <w:tcMar>
              <w:top w:w="16" w:type="dxa"/>
              <w:left w:w="16" w:type="dxa"/>
              <w:right w:w="16" w:type="dxa"/>
            </w:tcMar>
            <w:vAlign w:val="center"/>
          </w:tcPr>
          <w:p w14:paraId="53462C16">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t>建设项目名称</w:t>
            </w:r>
          </w:p>
        </w:tc>
        <w:tc>
          <w:tcPr>
            <w:tcW w:w="4104" w:type="pct"/>
            <w:gridSpan w:val="3"/>
            <w:vAlign w:val="center"/>
          </w:tcPr>
          <w:p w14:paraId="4144E9B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1"/>
                <w:szCs w:val="21"/>
                <w:highlight w:val="none"/>
                <w:lang w:val="en-US" w:eastAsia="zh-CN"/>
              </w:rPr>
            </w:pPr>
            <w:r>
              <w:rPr>
                <w:rFonts w:hint="eastAsia" w:ascii="宋体" w:hAnsi="宋体" w:eastAsia="宋体" w:cs="宋体"/>
                <w:color w:val="auto"/>
                <w:sz w:val="21"/>
                <w:szCs w:val="21"/>
                <w:highlight w:val="none"/>
                <w:u w:val="none"/>
                <w:lang w:val="en-US" w:eastAsia="zh-CN"/>
              </w:rPr>
              <w:t>鸡西市</w:t>
            </w:r>
            <w:r>
              <w:rPr>
                <w:rFonts w:hint="eastAsia" w:ascii="宋体" w:hAnsi="宋体" w:cs="宋体"/>
                <w:color w:val="auto"/>
                <w:sz w:val="21"/>
                <w:szCs w:val="21"/>
                <w:highlight w:val="none"/>
                <w:u w:val="none"/>
                <w:lang w:val="en-US" w:eastAsia="zh-CN"/>
              </w:rPr>
              <w:t>供水有限公司朝阳净水厂改建项目</w:t>
            </w:r>
          </w:p>
        </w:tc>
      </w:tr>
      <w:tr w14:paraId="238C4D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95" w:type="pct"/>
            <w:tcMar>
              <w:top w:w="16" w:type="dxa"/>
              <w:left w:w="16" w:type="dxa"/>
              <w:right w:w="16" w:type="dxa"/>
            </w:tcMar>
            <w:vAlign w:val="center"/>
          </w:tcPr>
          <w:p w14:paraId="5B60F741">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t>项目代码</w:t>
            </w:r>
          </w:p>
        </w:tc>
        <w:tc>
          <w:tcPr>
            <w:tcW w:w="4104" w:type="pct"/>
            <w:gridSpan w:val="3"/>
            <w:vAlign w:val="center"/>
          </w:tcPr>
          <w:p w14:paraId="3AA795CF">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1"/>
                <w:szCs w:val="21"/>
                <w:highlight w:val="none"/>
                <w:lang w:val="en-US" w:eastAsia="zh-CN"/>
              </w:rPr>
            </w:pPr>
            <w:r>
              <w:rPr>
                <w:rFonts w:hint="eastAsia" w:cs="Times New Roman"/>
                <w:color w:val="auto"/>
                <w:spacing w:val="4"/>
                <w:sz w:val="21"/>
                <w:szCs w:val="21"/>
                <w:highlight w:val="none"/>
                <w:lang w:val="en-US" w:eastAsia="zh-CN"/>
              </w:rPr>
              <w:t>无</w:t>
            </w:r>
          </w:p>
        </w:tc>
      </w:tr>
      <w:tr w14:paraId="2D8AD4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95" w:type="pct"/>
            <w:tcMar>
              <w:top w:w="16" w:type="dxa"/>
              <w:left w:w="16" w:type="dxa"/>
              <w:right w:w="16" w:type="dxa"/>
            </w:tcMar>
            <w:vAlign w:val="center"/>
          </w:tcPr>
          <w:p w14:paraId="6F617B4B">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t>建设单位联系人</w:t>
            </w:r>
          </w:p>
        </w:tc>
        <w:tc>
          <w:tcPr>
            <w:tcW w:w="1179" w:type="pct"/>
            <w:vAlign w:val="center"/>
          </w:tcPr>
          <w:p w14:paraId="0F438DB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1"/>
                <w:szCs w:val="21"/>
                <w:highlight w:val="none"/>
                <w:lang w:val="en-US" w:eastAsia="zh-CN"/>
              </w:rPr>
            </w:pPr>
            <w:r>
              <w:rPr>
                <w:rFonts w:hint="eastAsia"/>
                <w:color w:val="auto"/>
                <w:highlight w:val="none"/>
                <w:lang w:val="en-US" w:eastAsia="zh-CN"/>
              </w:rPr>
              <w:t>王小刚</w:t>
            </w:r>
          </w:p>
        </w:tc>
        <w:tc>
          <w:tcPr>
            <w:tcW w:w="1182" w:type="pct"/>
            <w:vAlign w:val="center"/>
          </w:tcPr>
          <w:p w14:paraId="73177ADD">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t>联系方式</w:t>
            </w:r>
          </w:p>
        </w:tc>
        <w:tc>
          <w:tcPr>
            <w:tcW w:w="1743" w:type="pct"/>
            <w:vAlign w:val="center"/>
          </w:tcPr>
          <w:p w14:paraId="04D2745E">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Cs w:val="21"/>
                <w:highlight w:val="none"/>
                <w:lang w:val="en-US"/>
              </w:rPr>
            </w:pPr>
            <w:r>
              <w:rPr>
                <w:rFonts w:hint="eastAsia"/>
                <w:color w:val="auto"/>
                <w:highlight w:val="none"/>
                <w:lang w:val="en-US" w:eastAsia="zh-CN"/>
              </w:rPr>
              <w:t>16514058111</w:t>
            </w:r>
          </w:p>
        </w:tc>
      </w:tr>
      <w:tr w14:paraId="748E30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95" w:type="pct"/>
            <w:tcMar>
              <w:top w:w="16" w:type="dxa"/>
              <w:left w:w="16" w:type="dxa"/>
              <w:right w:w="16" w:type="dxa"/>
            </w:tcMar>
            <w:vAlign w:val="center"/>
          </w:tcPr>
          <w:p w14:paraId="2ED8C873">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t>建设地点</w:t>
            </w:r>
          </w:p>
        </w:tc>
        <w:tc>
          <w:tcPr>
            <w:tcW w:w="4104" w:type="pct"/>
            <w:gridSpan w:val="3"/>
            <w:vAlign w:val="center"/>
          </w:tcPr>
          <w:p w14:paraId="1C856D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kern w:val="21"/>
                <w:szCs w:val="21"/>
                <w:highlight w:val="none"/>
                <w:lang w:val="en-US" w:eastAsia="zh-CN"/>
              </w:rPr>
            </w:pPr>
            <w:r>
              <w:rPr>
                <w:rFonts w:hint="eastAsia" w:ascii="宋体" w:hAnsi="宋体" w:eastAsia="宋体" w:cs="宋体"/>
                <w:b w:val="0"/>
                <w:bCs w:val="0"/>
                <w:i w:val="0"/>
                <w:iCs w:val="0"/>
                <w:caps w:val="0"/>
                <w:color w:val="auto"/>
                <w:spacing w:val="0"/>
                <w:sz w:val="21"/>
                <w:szCs w:val="21"/>
                <w:shd w:val="clear" w:fill="FFFFFF"/>
              </w:rPr>
              <w:t>黑龙江省鸡西市鸡冠区东环路南侧，北方热电厂西南侧</w:t>
            </w:r>
          </w:p>
        </w:tc>
      </w:tr>
      <w:tr w14:paraId="2E4482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95" w:type="pct"/>
            <w:tcMar>
              <w:top w:w="16" w:type="dxa"/>
              <w:left w:w="16" w:type="dxa"/>
              <w:right w:w="16" w:type="dxa"/>
            </w:tcMar>
            <w:vAlign w:val="center"/>
          </w:tcPr>
          <w:p w14:paraId="375E5EF2">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t>地理坐标</w:t>
            </w:r>
          </w:p>
        </w:tc>
        <w:tc>
          <w:tcPr>
            <w:tcW w:w="4104" w:type="pct"/>
            <w:gridSpan w:val="3"/>
            <w:vAlign w:val="center"/>
          </w:tcPr>
          <w:p w14:paraId="2ED267A4">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Cs w:val="21"/>
                <w:highlight w:val="none"/>
              </w:rPr>
            </w:pPr>
            <w:r>
              <w:rPr>
                <w:rFonts w:hint="default"/>
                <w:color w:val="auto"/>
                <w:szCs w:val="21"/>
                <w:highlight w:val="none"/>
              </w:rPr>
              <w:t>（</w:t>
            </w:r>
            <w:r>
              <w:rPr>
                <w:rFonts w:hint="default"/>
                <w:color w:val="auto"/>
                <w:szCs w:val="21"/>
                <w:highlight w:val="none"/>
                <w:u w:val="single"/>
              </w:rPr>
              <w:t>1</w:t>
            </w:r>
            <w:r>
              <w:rPr>
                <w:rFonts w:hint="eastAsia"/>
                <w:color w:val="auto"/>
                <w:szCs w:val="21"/>
                <w:highlight w:val="none"/>
                <w:u w:val="single"/>
                <w:lang w:val="en-US" w:eastAsia="zh-CN"/>
              </w:rPr>
              <w:t>31</w:t>
            </w:r>
            <w:r>
              <w:rPr>
                <w:rFonts w:hint="default"/>
                <w:color w:val="auto"/>
                <w:szCs w:val="21"/>
                <w:highlight w:val="none"/>
              </w:rPr>
              <w:t>度</w:t>
            </w:r>
            <w:r>
              <w:rPr>
                <w:rFonts w:hint="eastAsia"/>
                <w:color w:val="auto"/>
                <w:szCs w:val="21"/>
                <w:highlight w:val="none"/>
                <w:u w:val="single"/>
                <w:lang w:val="en-US" w:eastAsia="zh-CN"/>
              </w:rPr>
              <w:t>01</w:t>
            </w:r>
            <w:r>
              <w:rPr>
                <w:rFonts w:hint="default"/>
                <w:color w:val="auto"/>
                <w:szCs w:val="21"/>
                <w:highlight w:val="none"/>
              </w:rPr>
              <w:t>分</w:t>
            </w:r>
            <w:r>
              <w:rPr>
                <w:rFonts w:hint="eastAsia"/>
                <w:color w:val="auto"/>
                <w:szCs w:val="21"/>
                <w:highlight w:val="none"/>
                <w:u w:val="single"/>
                <w:lang w:val="en-US" w:eastAsia="zh-CN"/>
              </w:rPr>
              <w:t>20</w:t>
            </w:r>
            <w:r>
              <w:rPr>
                <w:rFonts w:hint="default"/>
                <w:color w:val="auto"/>
                <w:szCs w:val="21"/>
                <w:highlight w:val="none"/>
                <w:u w:val="single"/>
              </w:rPr>
              <w:t>.</w:t>
            </w:r>
            <w:r>
              <w:rPr>
                <w:rFonts w:hint="eastAsia"/>
                <w:color w:val="auto"/>
                <w:szCs w:val="21"/>
                <w:highlight w:val="none"/>
                <w:u w:val="single"/>
                <w:lang w:val="en-US" w:eastAsia="zh-CN"/>
              </w:rPr>
              <w:t>267</w:t>
            </w:r>
            <w:r>
              <w:rPr>
                <w:rFonts w:hint="default"/>
                <w:color w:val="auto"/>
                <w:szCs w:val="21"/>
                <w:highlight w:val="none"/>
              </w:rPr>
              <w:t>秒，</w:t>
            </w:r>
            <w:r>
              <w:rPr>
                <w:rFonts w:hint="default"/>
                <w:color w:val="auto"/>
                <w:szCs w:val="21"/>
                <w:highlight w:val="none"/>
                <w:u w:val="single"/>
              </w:rPr>
              <w:t>4</w:t>
            </w:r>
            <w:r>
              <w:rPr>
                <w:rFonts w:hint="eastAsia"/>
                <w:color w:val="auto"/>
                <w:szCs w:val="21"/>
                <w:highlight w:val="none"/>
                <w:u w:val="single"/>
                <w:lang w:val="en-US" w:eastAsia="zh-CN"/>
              </w:rPr>
              <w:t>5</w:t>
            </w:r>
            <w:r>
              <w:rPr>
                <w:rFonts w:hint="default"/>
                <w:color w:val="auto"/>
                <w:szCs w:val="21"/>
                <w:highlight w:val="none"/>
              </w:rPr>
              <w:t>度</w:t>
            </w:r>
            <w:r>
              <w:rPr>
                <w:rFonts w:hint="eastAsia"/>
                <w:color w:val="auto"/>
                <w:szCs w:val="21"/>
                <w:highlight w:val="none"/>
                <w:u w:val="single"/>
                <w:lang w:val="en-US" w:eastAsia="zh-CN"/>
              </w:rPr>
              <w:t>16</w:t>
            </w:r>
            <w:r>
              <w:rPr>
                <w:rFonts w:hint="default"/>
                <w:color w:val="auto"/>
                <w:szCs w:val="21"/>
                <w:highlight w:val="none"/>
              </w:rPr>
              <w:t>分</w:t>
            </w:r>
            <w:r>
              <w:rPr>
                <w:rFonts w:hint="eastAsia"/>
                <w:color w:val="auto"/>
                <w:szCs w:val="21"/>
                <w:highlight w:val="none"/>
                <w:u w:val="single"/>
                <w:lang w:val="en-US" w:eastAsia="zh-CN"/>
              </w:rPr>
              <w:t>43</w:t>
            </w:r>
            <w:r>
              <w:rPr>
                <w:rFonts w:hint="default"/>
                <w:color w:val="auto"/>
                <w:szCs w:val="21"/>
                <w:highlight w:val="none"/>
                <w:u w:val="single"/>
              </w:rPr>
              <w:t>.</w:t>
            </w:r>
            <w:r>
              <w:rPr>
                <w:rFonts w:hint="eastAsia"/>
                <w:color w:val="auto"/>
                <w:szCs w:val="21"/>
                <w:highlight w:val="none"/>
                <w:u w:val="single"/>
                <w:lang w:val="en-US" w:eastAsia="zh-CN"/>
              </w:rPr>
              <w:t>426</w:t>
            </w:r>
            <w:r>
              <w:rPr>
                <w:rFonts w:hint="default"/>
                <w:color w:val="auto"/>
                <w:szCs w:val="21"/>
                <w:highlight w:val="none"/>
              </w:rPr>
              <w:t>秒）</w:t>
            </w:r>
          </w:p>
        </w:tc>
      </w:tr>
      <w:tr w14:paraId="454BD9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95" w:type="pct"/>
            <w:tcMar>
              <w:top w:w="16" w:type="dxa"/>
              <w:left w:w="16" w:type="dxa"/>
              <w:right w:w="16" w:type="dxa"/>
            </w:tcMar>
            <w:vAlign w:val="center"/>
          </w:tcPr>
          <w:p w14:paraId="05B9DA84">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t>国民经济</w:t>
            </w:r>
          </w:p>
          <w:p w14:paraId="08123394">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t>行业类别</w:t>
            </w:r>
          </w:p>
        </w:tc>
        <w:tc>
          <w:tcPr>
            <w:tcW w:w="2141" w:type="dxa"/>
            <w:vAlign w:val="center"/>
          </w:tcPr>
          <w:p w14:paraId="424DEC2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4610自来水生产和供应</w:t>
            </w:r>
          </w:p>
        </w:tc>
        <w:tc>
          <w:tcPr>
            <w:tcW w:w="1182" w:type="pct"/>
            <w:vAlign w:val="center"/>
          </w:tcPr>
          <w:p w14:paraId="663F1D8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建设项目</w:t>
            </w:r>
          </w:p>
          <w:p w14:paraId="4DB3EAB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行业类别</w:t>
            </w:r>
          </w:p>
        </w:tc>
        <w:tc>
          <w:tcPr>
            <w:tcW w:w="3165" w:type="dxa"/>
            <w:vAlign w:val="center"/>
          </w:tcPr>
          <w:p w14:paraId="3164ED0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四十三、水的生产和供应业461自来水生产和供应（不含供应工程；不含村庄供应工程）</w:t>
            </w:r>
          </w:p>
        </w:tc>
      </w:tr>
      <w:tr w14:paraId="0F8DAC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95" w:type="pct"/>
            <w:tcMar>
              <w:top w:w="16" w:type="dxa"/>
              <w:left w:w="16" w:type="dxa"/>
              <w:right w:w="16" w:type="dxa"/>
            </w:tcMar>
            <w:vAlign w:val="center"/>
          </w:tcPr>
          <w:p w14:paraId="455BD2AA">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t>建设性质</w:t>
            </w:r>
          </w:p>
        </w:tc>
        <w:tc>
          <w:tcPr>
            <w:tcW w:w="1179" w:type="pct"/>
            <w:vAlign w:val="center"/>
          </w:tcPr>
          <w:p w14:paraId="7B426E9F">
            <w:pPr>
              <w:keepNext w:val="0"/>
              <w:keepLines w:val="0"/>
              <w:suppressLineNumbers w:val="0"/>
              <w:spacing w:before="0" w:beforeAutospacing="0" w:after="0" w:afterAutospacing="0"/>
              <w:ind w:left="0" w:right="0"/>
              <w:jc w:val="left"/>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sym w:font="Wingdings 2" w:char="00A3"/>
            </w:r>
            <w:r>
              <w:rPr>
                <w:rFonts w:hint="default" w:ascii="Times New Roman" w:hAnsi="Times New Roman" w:cs="Times New Roman"/>
                <w:color w:val="auto"/>
                <w:kern w:val="21"/>
                <w:szCs w:val="21"/>
                <w:highlight w:val="none"/>
              </w:rPr>
              <w:t>新建（迁建）</w:t>
            </w:r>
          </w:p>
          <w:p w14:paraId="6B127AD8">
            <w:pPr>
              <w:keepNext w:val="0"/>
              <w:keepLines w:val="0"/>
              <w:suppressLineNumbers w:val="0"/>
              <w:spacing w:before="0" w:beforeAutospacing="0" w:after="0" w:afterAutospacing="0"/>
              <w:ind w:left="0" w:right="0"/>
              <w:jc w:val="left"/>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sym w:font="Wingdings 2" w:char="0052"/>
            </w:r>
            <w:r>
              <w:rPr>
                <w:rFonts w:hint="default" w:ascii="Times New Roman" w:hAnsi="Times New Roman" w:cs="Times New Roman"/>
                <w:color w:val="auto"/>
                <w:kern w:val="21"/>
                <w:szCs w:val="21"/>
                <w:highlight w:val="none"/>
              </w:rPr>
              <w:t>改建</w:t>
            </w:r>
          </w:p>
          <w:p w14:paraId="13EF7EAB">
            <w:pPr>
              <w:keepNext w:val="0"/>
              <w:keepLines w:val="0"/>
              <w:suppressLineNumbers w:val="0"/>
              <w:spacing w:before="0" w:beforeAutospacing="0" w:after="0" w:afterAutospacing="0"/>
              <w:ind w:left="0" w:right="0"/>
              <w:jc w:val="left"/>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sym w:font="Wingdings 2" w:char="00A3"/>
            </w:r>
            <w:r>
              <w:rPr>
                <w:rFonts w:hint="default" w:ascii="Times New Roman" w:hAnsi="Times New Roman" w:cs="Times New Roman"/>
                <w:color w:val="auto"/>
                <w:kern w:val="21"/>
                <w:szCs w:val="21"/>
                <w:highlight w:val="none"/>
              </w:rPr>
              <w:t>扩建</w:t>
            </w:r>
          </w:p>
          <w:p w14:paraId="4E617F47">
            <w:pPr>
              <w:keepNext w:val="0"/>
              <w:keepLines w:val="0"/>
              <w:suppressLineNumbers w:val="0"/>
              <w:spacing w:before="0" w:beforeAutospacing="0" w:after="0" w:afterAutospacing="0"/>
              <w:ind w:left="0" w:right="0"/>
              <w:jc w:val="left"/>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sym w:font="Wingdings 2" w:char="00A3"/>
            </w:r>
            <w:r>
              <w:rPr>
                <w:rFonts w:hint="default" w:ascii="Times New Roman" w:hAnsi="Times New Roman" w:cs="Times New Roman"/>
                <w:color w:val="auto"/>
                <w:kern w:val="21"/>
                <w:szCs w:val="21"/>
                <w:highlight w:val="none"/>
              </w:rPr>
              <w:t>技术改造</w:t>
            </w:r>
          </w:p>
        </w:tc>
        <w:tc>
          <w:tcPr>
            <w:tcW w:w="1182" w:type="pct"/>
            <w:vAlign w:val="center"/>
          </w:tcPr>
          <w:p w14:paraId="06B602F3">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t>建设项目</w:t>
            </w:r>
          </w:p>
          <w:p w14:paraId="2AC1E9FD">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t>申报情形</w:t>
            </w:r>
          </w:p>
        </w:tc>
        <w:tc>
          <w:tcPr>
            <w:tcW w:w="1743" w:type="pct"/>
            <w:vAlign w:val="center"/>
          </w:tcPr>
          <w:p w14:paraId="5FA3BC9C">
            <w:pPr>
              <w:keepNext w:val="0"/>
              <w:keepLines w:val="0"/>
              <w:suppressLineNumbers w:val="0"/>
              <w:spacing w:before="0" w:beforeAutospacing="0" w:after="0" w:afterAutospacing="0"/>
              <w:ind w:left="0" w:right="0"/>
              <w:jc w:val="left"/>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sym w:font="Wingdings 2" w:char="0052"/>
            </w:r>
            <w:r>
              <w:rPr>
                <w:rFonts w:hint="default" w:ascii="Times New Roman" w:hAnsi="Times New Roman" w:cs="Times New Roman"/>
                <w:color w:val="auto"/>
                <w:kern w:val="21"/>
                <w:szCs w:val="21"/>
                <w:highlight w:val="none"/>
              </w:rPr>
              <w:t>首次申报项目</w:t>
            </w:r>
          </w:p>
          <w:p w14:paraId="0CBB3086">
            <w:pPr>
              <w:keepNext w:val="0"/>
              <w:keepLines w:val="0"/>
              <w:suppressLineNumbers w:val="0"/>
              <w:spacing w:before="0" w:beforeAutospacing="0" w:after="0" w:afterAutospacing="0"/>
              <w:ind w:left="0" w:right="0"/>
              <w:jc w:val="left"/>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sym w:font="Wingdings 2" w:char="00A3"/>
            </w:r>
            <w:r>
              <w:rPr>
                <w:rFonts w:hint="default" w:ascii="Times New Roman" w:hAnsi="Times New Roman" w:cs="Times New Roman"/>
                <w:color w:val="auto"/>
                <w:kern w:val="21"/>
                <w:szCs w:val="21"/>
                <w:highlight w:val="none"/>
              </w:rPr>
              <w:t>不予批准后再次申报项目</w:t>
            </w:r>
          </w:p>
          <w:p w14:paraId="696B3E6F">
            <w:pPr>
              <w:keepNext w:val="0"/>
              <w:keepLines w:val="0"/>
              <w:suppressLineNumbers w:val="0"/>
              <w:spacing w:before="0" w:beforeAutospacing="0" w:after="0" w:afterAutospacing="0"/>
              <w:ind w:left="0" w:right="0"/>
              <w:jc w:val="left"/>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sym w:font="Wingdings 2" w:char="00A3"/>
            </w:r>
            <w:r>
              <w:rPr>
                <w:rFonts w:hint="default" w:ascii="Times New Roman" w:hAnsi="Times New Roman" w:cs="Times New Roman"/>
                <w:color w:val="auto"/>
                <w:kern w:val="21"/>
                <w:szCs w:val="21"/>
                <w:highlight w:val="none"/>
              </w:rPr>
              <w:t>超五年重新审核项目</w:t>
            </w:r>
          </w:p>
          <w:p w14:paraId="5A2B16DA">
            <w:pPr>
              <w:keepNext w:val="0"/>
              <w:keepLines w:val="0"/>
              <w:suppressLineNumbers w:val="0"/>
              <w:spacing w:before="0" w:beforeAutospacing="0" w:after="0" w:afterAutospacing="0"/>
              <w:ind w:left="0" w:right="0"/>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sym w:font="Wingdings 2" w:char="00A3"/>
            </w:r>
            <w:r>
              <w:rPr>
                <w:rFonts w:hint="default" w:ascii="Times New Roman" w:hAnsi="Times New Roman" w:cs="Times New Roman"/>
                <w:color w:val="auto"/>
                <w:kern w:val="21"/>
                <w:szCs w:val="21"/>
                <w:highlight w:val="none"/>
              </w:rPr>
              <w:t>重大变动重新报批项目</w:t>
            </w:r>
          </w:p>
        </w:tc>
      </w:tr>
      <w:tr w14:paraId="74E26D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95" w:type="pct"/>
            <w:tcMar>
              <w:top w:w="16" w:type="dxa"/>
              <w:left w:w="16" w:type="dxa"/>
              <w:right w:w="16" w:type="dxa"/>
            </w:tcMar>
            <w:vAlign w:val="center"/>
          </w:tcPr>
          <w:p w14:paraId="11A702B9">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t>项目审批（核准/</w:t>
            </w:r>
          </w:p>
          <w:p w14:paraId="73027A18">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t>备案）部门（选填）</w:t>
            </w:r>
          </w:p>
        </w:tc>
        <w:tc>
          <w:tcPr>
            <w:tcW w:w="1179" w:type="pct"/>
            <w:vAlign w:val="center"/>
          </w:tcPr>
          <w:p w14:paraId="403AF7AA">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1"/>
                <w:szCs w:val="21"/>
                <w:highlight w:val="none"/>
                <w:lang w:val="en-US" w:eastAsia="zh-CN"/>
              </w:rPr>
            </w:pPr>
            <w:r>
              <w:rPr>
                <w:rFonts w:hint="eastAsia" w:cs="Times New Roman"/>
                <w:color w:val="auto"/>
                <w:kern w:val="21"/>
                <w:szCs w:val="21"/>
                <w:highlight w:val="none"/>
                <w:lang w:val="en-US" w:eastAsia="zh-CN"/>
              </w:rPr>
              <w:t>无</w:t>
            </w:r>
          </w:p>
        </w:tc>
        <w:tc>
          <w:tcPr>
            <w:tcW w:w="1182" w:type="pct"/>
            <w:vAlign w:val="center"/>
          </w:tcPr>
          <w:p w14:paraId="04DF01F5">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t>项目审批（核准/</w:t>
            </w:r>
          </w:p>
          <w:p w14:paraId="4923756F">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t>备案）文号（选填）</w:t>
            </w:r>
          </w:p>
        </w:tc>
        <w:tc>
          <w:tcPr>
            <w:tcW w:w="1743" w:type="pct"/>
            <w:vAlign w:val="center"/>
          </w:tcPr>
          <w:p w14:paraId="2A8E0362">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1"/>
                <w:szCs w:val="21"/>
                <w:highlight w:val="none"/>
                <w:lang w:val="en-US" w:eastAsia="zh-CN"/>
              </w:rPr>
            </w:pPr>
            <w:r>
              <w:rPr>
                <w:rFonts w:hint="eastAsia" w:cs="Times New Roman"/>
                <w:color w:val="auto"/>
                <w:kern w:val="21"/>
                <w:szCs w:val="21"/>
                <w:highlight w:val="none"/>
                <w:lang w:val="en-US" w:eastAsia="zh-CN"/>
              </w:rPr>
              <w:t>无</w:t>
            </w:r>
          </w:p>
        </w:tc>
      </w:tr>
      <w:tr w14:paraId="73E544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95" w:type="pct"/>
            <w:tcMar>
              <w:top w:w="16" w:type="dxa"/>
              <w:left w:w="16" w:type="dxa"/>
              <w:right w:w="16" w:type="dxa"/>
            </w:tcMar>
            <w:vAlign w:val="center"/>
          </w:tcPr>
          <w:p w14:paraId="6F88987C">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 w:val="21"/>
                <w:szCs w:val="21"/>
                <w:highlight w:val="none"/>
              </w:rPr>
            </w:pPr>
            <w:r>
              <w:rPr>
                <w:rFonts w:hint="default" w:ascii="Times New Roman" w:hAnsi="Times New Roman" w:cs="Times New Roman"/>
                <w:color w:val="auto"/>
                <w:kern w:val="21"/>
                <w:sz w:val="21"/>
                <w:szCs w:val="21"/>
                <w:highlight w:val="none"/>
              </w:rPr>
              <w:t>总投资（万元）</w:t>
            </w:r>
          </w:p>
        </w:tc>
        <w:tc>
          <w:tcPr>
            <w:tcW w:w="1179" w:type="pct"/>
            <w:vAlign w:val="center"/>
          </w:tcPr>
          <w:p w14:paraId="068A4518">
            <w:pPr>
              <w:pStyle w:val="89"/>
              <w:keepNext w:val="0"/>
              <w:keepLines w:val="0"/>
              <w:suppressLineNumbers w:val="0"/>
              <w:spacing w:before="0" w:beforeAutospacing="0" w:after="0" w:afterAutospacing="0"/>
              <w:ind w:left="0" w:right="0"/>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868.1</w:t>
            </w:r>
          </w:p>
        </w:tc>
        <w:tc>
          <w:tcPr>
            <w:tcW w:w="1182" w:type="pct"/>
            <w:tcMar>
              <w:top w:w="16" w:type="dxa"/>
              <w:left w:w="16" w:type="dxa"/>
              <w:right w:w="16" w:type="dxa"/>
            </w:tcMar>
            <w:vAlign w:val="center"/>
          </w:tcPr>
          <w:p w14:paraId="250AE4F3">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 w:val="21"/>
                <w:szCs w:val="21"/>
                <w:highlight w:val="none"/>
              </w:rPr>
            </w:pPr>
            <w:r>
              <w:rPr>
                <w:rFonts w:hint="default" w:ascii="Times New Roman" w:hAnsi="Times New Roman" w:cs="Times New Roman"/>
                <w:color w:val="auto"/>
                <w:kern w:val="21"/>
                <w:sz w:val="21"/>
                <w:szCs w:val="21"/>
                <w:highlight w:val="none"/>
              </w:rPr>
              <w:t>环保投资（万元）</w:t>
            </w:r>
          </w:p>
        </w:tc>
        <w:tc>
          <w:tcPr>
            <w:tcW w:w="1743" w:type="pct"/>
            <w:vAlign w:val="center"/>
          </w:tcPr>
          <w:p w14:paraId="15844F16">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kern w:val="21"/>
                <w:sz w:val="21"/>
                <w:szCs w:val="21"/>
                <w:highlight w:val="none"/>
                <w:lang w:val="en-US" w:eastAsia="zh-CN"/>
              </w:rPr>
            </w:pPr>
            <w:r>
              <w:rPr>
                <w:rFonts w:hint="eastAsia" w:cs="Times New Roman"/>
                <w:color w:val="auto"/>
                <w:kern w:val="2"/>
                <w:sz w:val="21"/>
                <w:szCs w:val="21"/>
                <w:highlight w:val="none"/>
                <w:lang w:val="en-US" w:eastAsia="zh-CN" w:bidi="ar-SA"/>
              </w:rPr>
              <w:t>25</w:t>
            </w:r>
          </w:p>
        </w:tc>
      </w:tr>
      <w:tr w14:paraId="06EC79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95" w:type="pct"/>
            <w:tcMar>
              <w:top w:w="16" w:type="dxa"/>
              <w:left w:w="16" w:type="dxa"/>
              <w:right w:w="16" w:type="dxa"/>
            </w:tcMar>
            <w:vAlign w:val="center"/>
          </w:tcPr>
          <w:p w14:paraId="4C7F20FE">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 w:val="21"/>
                <w:szCs w:val="21"/>
                <w:highlight w:val="none"/>
              </w:rPr>
            </w:pPr>
            <w:r>
              <w:rPr>
                <w:rFonts w:hint="default" w:ascii="Times New Roman" w:hAnsi="Times New Roman" w:cs="Times New Roman"/>
                <w:color w:val="auto"/>
                <w:kern w:val="21"/>
                <w:sz w:val="21"/>
                <w:szCs w:val="21"/>
                <w:highlight w:val="none"/>
              </w:rPr>
              <w:t>环保投资占比（%）</w:t>
            </w:r>
          </w:p>
        </w:tc>
        <w:tc>
          <w:tcPr>
            <w:tcW w:w="1179" w:type="pct"/>
            <w:vAlign w:val="center"/>
          </w:tcPr>
          <w:p w14:paraId="090CC3A0">
            <w:pPr>
              <w:pStyle w:val="8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kern w:val="21"/>
                <w:sz w:val="21"/>
                <w:szCs w:val="21"/>
                <w:highlight w:val="none"/>
                <w:lang w:val="en-US" w:eastAsia="zh-CN"/>
              </w:rPr>
            </w:pPr>
            <w:r>
              <w:rPr>
                <w:rFonts w:hint="eastAsia" w:eastAsia="宋体" w:cs="Times New Roman"/>
                <w:color w:val="auto"/>
                <w:kern w:val="2"/>
                <w:sz w:val="21"/>
                <w:szCs w:val="21"/>
                <w:highlight w:val="none"/>
                <w:lang w:val="en-US" w:eastAsia="zh-CN" w:bidi="ar-SA"/>
              </w:rPr>
              <w:t>3</w:t>
            </w:r>
          </w:p>
        </w:tc>
        <w:tc>
          <w:tcPr>
            <w:tcW w:w="1182" w:type="pct"/>
            <w:tcMar>
              <w:top w:w="16" w:type="dxa"/>
              <w:left w:w="16" w:type="dxa"/>
              <w:right w:w="16" w:type="dxa"/>
            </w:tcMar>
            <w:vAlign w:val="center"/>
          </w:tcPr>
          <w:p w14:paraId="470A1528">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 w:val="21"/>
                <w:szCs w:val="21"/>
                <w:highlight w:val="none"/>
              </w:rPr>
            </w:pPr>
            <w:r>
              <w:rPr>
                <w:rFonts w:hint="default" w:ascii="Times New Roman" w:hAnsi="Times New Roman" w:cs="Times New Roman"/>
                <w:color w:val="auto"/>
                <w:kern w:val="21"/>
                <w:sz w:val="21"/>
                <w:szCs w:val="21"/>
                <w:highlight w:val="none"/>
              </w:rPr>
              <w:t>施工工期</w:t>
            </w:r>
          </w:p>
        </w:tc>
        <w:tc>
          <w:tcPr>
            <w:tcW w:w="1743" w:type="pct"/>
            <w:vAlign w:val="center"/>
          </w:tcPr>
          <w:p w14:paraId="3FFD3C0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1"/>
                <w:sz w:val="21"/>
                <w:szCs w:val="21"/>
                <w:highlight w:val="none"/>
                <w:lang w:val="en-US" w:eastAsia="zh-CN"/>
              </w:rPr>
            </w:pPr>
            <w:r>
              <w:rPr>
                <w:rFonts w:hint="eastAsia"/>
                <w:color w:val="auto"/>
                <w:sz w:val="21"/>
                <w:szCs w:val="21"/>
                <w:highlight w:val="none"/>
                <w:lang w:val="en-US" w:eastAsia="zh-CN"/>
              </w:rPr>
              <w:t>2026年9月—10月</w:t>
            </w:r>
          </w:p>
        </w:tc>
      </w:tr>
      <w:tr w14:paraId="3FD274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95" w:type="pct"/>
            <w:tcMar>
              <w:top w:w="16" w:type="dxa"/>
              <w:left w:w="16" w:type="dxa"/>
              <w:right w:w="16" w:type="dxa"/>
            </w:tcMar>
            <w:vAlign w:val="center"/>
          </w:tcPr>
          <w:p w14:paraId="48233E26">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 w:val="21"/>
                <w:szCs w:val="21"/>
                <w:highlight w:val="none"/>
              </w:rPr>
            </w:pPr>
            <w:r>
              <w:rPr>
                <w:rFonts w:hint="default" w:ascii="Times New Roman" w:hAnsi="Times New Roman" w:cs="Times New Roman"/>
                <w:color w:val="auto"/>
                <w:kern w:val="21"/>
                <w:sz w:val="21"/>
                <w:szCs w:val="21"/>
                <w:highlight w:val="none"/>
              </w:rPr>
              <w:t>是否开工建设</w:t>
            </w:r>
          </w:p>
        </w:tc>
        <w:tc>
          <w:tcPr>
            <w:tcW w:w="1179" w:type="pct"/>
            <w:vAlign w:val="center"/>
          </w:tcPr>
          <w:p w14:paraId="273B17DC">
            <w:pPr>
              <w:keepNext w:val="0"/>
              <w:keepLines w:val="0"/>
              <w:suppressLineNumbers w:val="0"/>
              <w:spacing w:before="0" w:beforeAutospacing="0" w:after="0" w:afterAutospacing="0"/>
              <w:ind w:left="0" w:right="0" w:firstLine="105"/>
              <w:jc w:val="left"/>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sym w:font="Wingdings 2" w:char="0052"/>
            </w:r>
            <w:r>
              <w:rPr>
                <w:rFonts w:hint="default" w:ascii="Times New Roman" w:hAnsi="Times New Roman" w:cs="Times New Roman"/>
                <w:color w:val="auto"/>
                <w:kern w:val="21"/>
                <w:szCs w:val="21"/>
                <w:highlight w:val="none"/>
              </w:rPr>
              <w:t>否</w:t>
            </w:r>
          </w:p>
          <w:p w14:paraId="0EB6781C">
            <w:pPr>
              <w:keepNext w:val="0"/>
              <w:keepLines w:val="0"/>
              <w:suppressLineNumbers w:val="0"/>
              <w:spacing w:before="0" w:beforeAutospacing="0" w:after="0" w:afterAutospacing="0"/>
              <w:ind w:left="0" w:right="0" w:firstLine="92"/>
              <w:jc w:val="left"/>
              <w:rPr>
                <w:rFonts w:hint="default" w:ascii="Times New Roman" w:hAnsi="Times New Roman" w:eastAsia="宋体" w:cs="Times New Roman"/>
                <w:color w:val="auto"/>
                <w:kern w:val="21"/>
                <w:szCs w:val="21"/>
                <w:highlight w:val="none"/>
                <w:u w:val="none"/>
                <w:lang w:val="en-US" w:eastAsia="zh-CN"/>
              </w:rPr>
            </w:pPr>
            <w:r>
              <w:rPr>
                <w:rFonts w:hint="default" w:ascii="Times New Roman" w:hAnsi="Times New Roman" w:cs="Times New Roman"/>
                <w:color w:val="auto"/>
                <w:kern w:val="21"/>
                <w:szCs w:val="21"/>
                <w:highlight w:val="none"/>
              </w:rPr>
              <w:sym w:font="Wingdings 2" w:char="00A3"/>
            </w:r>
            <w:r>
              <w:rPr>
                <w:rFonts w:hint="default" w:ascii="Times New Roman" w:hAnsi="Times New Roman" w:cs="Times New Roman"/>
                <w:color w:val="auto"/>
                <w:kern w:val="21"/>
                <w:szCs w:val="21"/>
                <w:highlight w:val="none"/>
              </w:rPr>
              <w:t>是</w:t>
            </w:r>
            <w:r>
              <w:rPr>
                <w:rFonts w:hint="default" w:ascii="Times New Roman" w:hAnsi="Times New Roman" w:cs="Times New Roman"/>
                <w:color w:val="auto"/>
                <w:kern w:val="21"/>
                <w:szCs w:val="21"/>
                <w:highlight w:val="none"/>
                <w:u w:val="single"/>
              </w:rPr>
              <w:t>：</w:t>
            </w:r>
            <w:r>
              <w:rPr>
                <w:rFonts w:hint="eastAsia" w:cs="Times New Roman"/>
                <w:color w:val="auto"/>
                <w:kern w:val="21"/>
                <w:szCs w:val="21"/>
                <w:highlight w:val="none"/>
                <w:u w:val="single"/>
                <w:lang w:val="en-US" w:eastAsia="zh-CN"/>
              </w:rPr>
              <w:t xml:space="preserve">            </w:t>
            </w:r>
          </w:p>
        </w:tc>
        <w:tc>
          <w:tcPr>
            <w:tcW w:w="1182" w:type="pct"/>
            <w:vAlign w:val="center"/>
          </w:tcPr>
          <w:p w14:paraId="060DFDC4">
            <w:pPr>
              <w:keepNext w:val="0"/>
              <w:keepLines w:val="0"/>
              <w:suppressLineNumbers w:val="0"/>
              <w:spacing w:before="0" w:beforeAutospacing="0" w:after="0" w:afterAutospacing="0"/>
              <w:ind w:left="0" w:right="0" w:firstLine="92"/>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t>用地（用海）面积（m</w:t>
            </w:r>
            <w:r>
              <w:rPr>
                <w:rFonts w:hint="default" w:ascii="Times New Roman" w:hAnsi="Times New Roman" w:cs="Times New Roman"/>
                <w:color w:val="auto"/>
                <w:kern w:val="21"/>
                <w:szCs w:val="21"/>
                <w:highlight w:val="none"/>
                <w:vertAlign w:val="superscript"/>
              </w:rPr>
              <w:t>2</w:t>
            </w:r>
            <w:r>
              <w:rPr>
                <w:rFonts w:hint="default" w:ascii="Times New Roman" w:hAnsi="Times New Roman" w:cs="Times New Roman"/>
                <w:color w:val="auto"/>
                <w:kern w:val="21"/>
                <w:szCs w:val="21"/>
                <w:highlight w:val="none"/>
              </w:rPr>
              <w:t>）</w:t>
            </w:r>
          </w:p>
        </w:tc>
        <w:tc>
          <w:tcPr>
            <w:tcW w:w="1743" w:type="pct"/>
            <w:vAlign w:val="center"/>
          </w:tcPr>
          <w:p w14:paraId="4A74B924">
            <w:pPr>
              <w:pStyle w:val="2"/>
              <w:keepLines w:val="0"/>
              <w:suppressLineNumbers w:val="0"/>
              <w:spacing w:beforeAutospacing="0" w:afterAutospacing="0" w:line="240" w:lineRule="auto"/>
              <w:ind w:right="0"/>
              <w:jc w:val="center"/>
              <w:rPr>
                <w:rFonts w:hint="eastAsia" w:ascii="Times New Roman" w:hAnsi="Times New Roman" w:eastAsia="宋体" w:cs="Times New Roman"/>
                <w:color w:val="auto"/>
                <w:kern w:val="21"/>
                <w:sz w:val="21"/>
                <w:szCs w:val="21"/>
                <w:highlight w:val="none"/>
                <w:lang w:val="en-US" w:eastAsia="zh-CN"/>
              </w:rPr>
            </w:pPr>
            <w:r>
              <w:rPr>
                <w:rFonts w:hint="eastAsia" w:eastAsia="仿宋_GB2312"/>
                <w:b w:val="0"/>
                <w:bCs w:val="0"/>
                <w:color w:val="auto"/>
                <w:sz w:val="21"/>
                <w:szCs w:val="21"/>
                <w:lang w:val="en-US" w:eastAsia="zh-CN"/>
              </w:rPr>
              <w:t>0</w:t>
            </w:r>
          </w:p>
        </w:tc>
      </w:tr>
      <w:tr w14:paraId="0446D5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95" w:type="pct"/>
            <w:tcMar>
              <w:top w:w="16" w:type="dxa"/>
              <w:left w:w="16" w:type="dxa"/>
              <w:right w:w="16" w:type="dxa"/>
            </w:tcMar>
            <w:vAlign w:val="center"/>
          </w:tcPr>
          <w:p w14:paraId="43985936">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 w:val="21"/>
                <w:szCs w:val="21"/>
                <w:highlight w:val="none"/>
              </w:rPr>
            </w:pPr>
            <w:r>
              <w:rPr>
                <w:rFonts w:hint="default" w:ascii="Times New Roman" w:hAnsi="Times New Roman" w:cs="Times New Roman"/>
                <w:color w:val="auto"/>
                <w:kern w:val="21"/>
                <w:sz w:val="21"/>
                <w:szCs w:val="21"/>
                <w:highlight w:val="none"/>
              </w:rPr>
              <w:t>专项评价设置情况</w:t>
            </w:r>
          </w:p>
        </w:tc>
        <w:tc>
          <w:tcPr>
            <w:tcW w:w="4104" w:type="pct"/>
            <w:gridSpan w:val="3"/>
            <w:tcMar>
              <w:top w:w="16" w:type="dxa"/>
              <w:left w:w="16" w:type="dxa"/>
              <w:right w:w="16" w:type="dxa"/>
            </w:tcMar>
            <w:vAlign w:val="center"/>
          </w:tcPr>
          <w:p w14:paraId="07177D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color w:val="auto"/>
                <w:highlight w:val="none"/>
              </w:rPr>
            </w:pPr>
            <w:r>
              <w:rPr>
                <w:rFonts w:hint="default"/>
                <w:color w:val="auto"/>
                <w:szCs w:val="21"/>
                <w:highlight w:val="none"/>
              </w:rPr>
              <w:t>根据《建设项目环境影响报告表</w:t>
            </w:r>
            <w:r>
              <w:rPr>
                <w:rFonts w:hint="eastAsia"/>
                <w:color w:val="auto"/>
                <w:szCs w:val="21"/>
                <w:highlight w:val="none"/>
              </w:rPr>
              <w:t>编制</w:t>
            </w:r>
            <w:r>
              <w:rPr>
                <w:rFonts w:hint="default"/>
                <w:color w:val="auto"/>
                <w:szCs w:val="21"/>
                <w:highlight w:val="none"/>
              </w:rPr>
              <w:t>技术指南（污染影响类）》可知，土壤、声环境</w:t>
            </w:r>
            <w:r>
              <w:rPr>
                <w:rFonts w:hint="eastAsia"/>
                <w:color w:val="auto"/>
                <w:szCs w:val="21"/>
                <w:highlight w:val="none"/>
                <w:lang w:val="en-US" w:eastAsia="zh-CN"/>
              </w:rPr>
              <w:t>及</w:t>
            </w:r>
            <w:r>
              <w:rPr>
                <w:rFonts w:hint="default"/>
                <w:color w:val="auto"/>
                <w:szCs w:val="21"/>
                <w:highlight w:val="none"/>
              </w:rPr>
              <w:t>地下水不开展专项评价，本项目大气、地表水、环境风险、生态和海洋专项评价设置情况详见</w:t>
            </w:r>
            <w:r>
              <w:rPr>
                <w:rFonts w:hint="eastAsia"/>
                <w:color w:val="auto"/>
                <w:szCs w:val="21"/>
                <w:highlight w:val="none"/>
              </w:rPr>
              <w:t>下</w:t>
            </w:r>
            <w:r>
              <w:rPr>
                <w:rFonts w:hint="default"/>
                <w:color w:val="auto"/>
                <w:szCs w:val="21"/>
                <w:highlight w:val="none"/>
              </w:rPr>
              <w:t>表1-1。</w:t>
            </w:r>
          </w:p>
          <w:p w14:paraId="44953F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color w:val="auto"/>
                <w:kern w:val="0"/>
                <w:sz w:val="21"/>
                <w:szCs w:val="21"/>
                <w:highlight w:val="none"/>
              </w:rPr>
            </w:pPr>
            <w:r>
              <w:rPr>
                <w:rFonts w:hint="default" w:ascii="Times New Roman" w:hAnsi="Times New Roman" w:cs="Times New Roman"/>
                <w:b/>
                <w:color w:val="auto"/>
                <w:kern w:val="0"/>
                <w:sz w:val="21"/>
                <w:szCs w:val="21"/>
                <w:highlight w:val="none"/>
              </w:rPr>
              <w:t>表1-1本项目专项评价设置情况</w:t>
            </w:r>
          </w:p>
          <w:tbl>
            <w:tblPr>
              <w:tblStyle w:val="35"/>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373"/>
              <w:gridCol w:w="4048"/>
            </w:tblGrid>
            <w:tr w14:paraId="45F1663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2" w:type="pct"/>
                  <w:tcBorders>
                    <w:tl2br w:val="nil"/>
                    <w:tr2bl w:val="nil"/>
                  </w:tcBorders>
                  <w:noWrap w:val="0"/>
                  <w:vAlign w:val="center"/>
                </w:tcPr>
                <w:p w14:paraId="4F16BB87">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olor w:val="auto"/>
                      <w:sz w:val="18"/>
                      <w:szCs w:val="18"/>
                      <w:highlight w:val="none"/>
                    </w:rPr>
                  </w:pPr>
                  <w:r>
                    <w:rPr>
                      <w:rFonts w:hint="default" w:ascii="Times New Roman" w:hAnsi="Times New Roman"/>
                      <w:color w:val="auto"/>
                      <w:sz w:val="18"/>
                      <w:szCs w:val="18"/>
                      <w:highlight w:val="none"/>
                    </w:rPr>
                    <w:t>设置原则</w:t>
                  </w:r>
                </w:p>
              </w:tc>
              <w:tc>
                <w:tcPr>
                  <w:tcW w:w="2727" w:type="pct"/>
                  <w:tcBorders>
                    <w:tl2br w:val="nil"/>
                    <w:tr2bl w:val="nil"/>
                  </w:tcBorders>
                  <w:noWrap w:val="0"/>
                  <w:vAlign w:val="center"/>
                </w:tcPr>
                <w:p w14:paraId="2AA680D9">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olor w:val="auto"/>
                      <w:sz w:val="18"/>
                      <w:szCs w:val="18"/>
                      <w:highlight w:val="none"/>
                    </w:rPr>
                  </w:pPr>
                  <w:r>
                    <w:rPr>
                      <w:rFonts w:hint="default" w:ascii="Times New Roman" w:hAnsi="Times New Roman"/>
                      <w:color w:val="auto"/>
                      <w:sz w:val="18"/>
                      <w:szCs w:val="18"/>
                      <w:highlight w:val="none"/>
                    </w:rPr>
                    <w:t>本项目设置情况</w:t>
                  </w:r>
                </w:p>
              </w:tc>
            </w:tr>
            <w:tr w14:paraId="18A1078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2" w:type="pct"/>
                  <w:tcBorders>
                    <w:tl2br w:val="nil"/>
                    <w:tr2bl w:val="nil"/>
                  </w:tcBorders>
                  <w:noWrap w:val="0"/>
                  <w:vAlign w:val="center"/>
                </w:tcPr>
                <w:p w14:paraId="3C01DA8D">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olor w:val="auto"/>
                      <w:sz w:val="18"/>
                      <w:szCs w:val="18"/>
                      <w:highlight w:val="none"/>
                    </w:rPr>
                  </w:pPr>
                  <w:r>
                    <w:rPr>
                      <w:rFonts w:hint="default" w:ascii="Times New Roman" w:hAnsi="Times New Roman"/>
                      <w:color w:val="auto"/>
                      <w:sz w:val="18"/>
                      <w:szCs w:val="18"/>
                      <w:highlight w:val="none"/>
                    </w:rPr>
                    <w:t>排放废气含有毒有害污染物、二噁英、苯并[</w:t>
                  </w:r>
                  <w:r>
                    <w:rPr>
                      <w:rFonts w:hint="default" w:ascii="Times New Roman" w:hAnsi="Times New Roman"/>
                      <w:i/>
                      <w:color w:val="auto"/>
                      <w:sz w:val="18"/>
                      <w:szCs w:val="18"/>
                      <w:highlight w:val="none"/>
                    </w:rPr>
                    <w:t>a</w:t>
                  </w:r>
                  <w:r>
                    <w:rPr>
                      <w:rFonts w:hint="default" w:ascii="Times New Roman" w:hAnsi="Times New Roman"/>
                      <w:color w:val="auto"/>
                      <w:sz w:val="18"/>
                      <w:szCs w:val="18"/>
                      <w:highlight w:val="none"/>
                    </w:rPr>
                    <w:t>]芘、氰化物、氯气且厂界外500米</w:t>
                  </w:r>
                  <w:r>
                    <w:rPr>
                      <w:rFonts w:hint="eastAsia" w:ascii="Times New Roman" w:hAnsi="Times New Roman"/>
                      <w:color w:val="auto"/>
                      <w:sz w:val="18"/>
                      <w:szCs w:val="18"/>
                      <w:highlight w:val="none"/>
                    </w:rPr>
                    <w:t>范</w:t>
                  </w:r>
                  <w:r>
                    <w:rPr>
                      <w:rFonts w:hint="default" w:ascii="Times New Roman" w:hAnsi="Times New Roman"/>
                      <w:color w:val="auto"/>
                      <w:sz w:val="18"/>
                      <w:szCs w:val="18"/>
                      <w:highlight w:val="none"/>
                    </w:rPr>
                    <w:t>围内有环境空气保护目标的建设项</w:t>
                  </w:r>
                  <w:r>
                    <w:rPr>
                      <w:rFonts w:hint="eastAsia" w:ascii="Times New Roman" w:hAnsi="Times New Roman"/>
                      <w:color w:val="auto"/>
                      <w:sz w:val="18"/>
                      <w:szCs w:val="18"/>
                      <w:highlight w:val="none"/>
                    </w:rPr>
                    <w:t>目</w:t>
                  </w:r>
                </w:p>
              </w:tc>
              <w:tc>
                <w:tcPr>
                  <w:tcW w:w="2727" w:type="pct"/>
                  <w:tcBorders>
                    <w:tl2br w:val="nil"/>
                    <w:tr2bl w:val="nil"/>
                  </w:tcBorders>
                  <w:noWrap w:val="0"/>
                  <w:vAlign w:val="center"/>
                </w:tcPr>
                <w:p w14:paraId="02BB1C21">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olor w:val="auto"/>
                      <w:sz w:val="18"/>
                      <w:szCs w:val="18"/>
                      <w:highlight w:val="none"/>
                    </w:rPr>
                  </w:pPr>
                  <w:r>
                    <w:rPr>
                      <w:rFonts w:hint="eastAsia" w:ascii="Times New Roman" w:hAnsi="Times New Roman"/>
                      <w:color w:val="auto"/>
                      <w:sz w:val="18"/>
                      <w:szCs w:val="18"/>
                      <w:highlight w:val="none"/>
                    </w:rPr>
                    <w:t>本项目排放废气中不含有毒有害污染物、</w:t>
                  </w:r>
                  <w:r>
                    <w:rPr>
                      <w:rFonts w:hint="default" w:ascii="Times New Roman" w:hAnsi="Times New Roman"/>
                      <w:color w:val="auto"/>
                      <w:sz w:val="18"/>
                      <w:szCs w:val="18"/>
                      <w:highlight w:val="none"/>
                    </w:rPr>
                    <w:t>二噁英、苯并[</w:t>
                  </w:r>
                  <w:r>
                    <w:rPr>
                      <w:rFonts w:hint="default" w:ascii="Times New Roman" w:hAnsi="Times New Roman"/>
                      <w:i/>
                      <w:color w:val="auto"/>
                      <w:sz w:val="18"/>
                      <w:szCs w:val="18"/>
                      <w:highlight w:val="none"/>
                    </w:rPr>
                    <w:t>a</w:t>
                  </w:r>
                  <w:r>
                    <w:rPr>
                      <w:rFonts w:hint="default" w:ascii="Times New Roman" w:hAnsi="Times New Roman"/>
                      <w:color w:val="auto"/>
                      <w:sz w:val="18"/>
                      <w:szCs w:val="18"/>
                      <w:highlight w:val="none"/>
                    </w:rPr>
                    <w:t>]芘、氰化物、氯气</w:t>
                  </w:r>
                  <w:r>
                    <w:rPr>
                      <w:rFonts w:hint="eastAsia" w:ascii="Times New Roman" w:hAnsi="Times New Roman"/>
                      <w:color w:val="auto"/>
                      <w:sz w:val="18"/>
                      <w:szCs w:val="18"/>
                      <w:highlight w:val="none"/>
                    </w:rPr>
                    <w:t>，不需设置大气专项评价。</w:t>
                  </w:r>
                </w:p>
              </w:tc>
            </w:tr>
            <w:tr w14:paraId="10CE824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2" w:type="pct"/>
                  <w:tcBorders>
                    <w:tl2br w:val="nil"/>
                    <w:tr2bl w:val="nil"/>
                  </w:tcBorders>
                  <w:noWrap w:val="0"/>
                  <w:vAlign w:val="center"/>
                </w:tcPr>
                <w:p w14:paraId="37E092A8">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olor w:val="auto"/>
                      <w:sz w:val="18"/>
                      <w:szCs w:val="18"/>
                      <w:highlight w:val="none"/>
                    </w:rPr>
                  </w:pPr>
                  <w:r>
                    <w:rPr>
                      <w:rFonts w:hint="eastAsia" w:ascii="Times New Roman" w:hAnsi="Times New Roman"/>
                      <w:color w:val="auto"/>
                      <w:sz w:val="18"/>
                      <w:szCs w:val="18"/>
                      <w:highlight w:val="none"/>
                    </w:rPr>
                    <w:t>新增工业废水直排建设项目（槽罐车外送污水处理厂的除外）；新增废水直排的污水集中处理厂</w:t>
                  </w:r>
                </w:p>
              </w:tc>
              <w:tc>
                <w:tcPr>
                  <w:tcW w:w="2727" w:type="pct"/>
                  <w:tcBorders>
                    <w:tl2br w:val="nil"/>
                    <w:tr2bl w:val="nil"/>
                  </w:tcBorders>
                  <w:noWrap w:val="0"/>
                  <w:vAlign w:val="center"/>
                </w:tcPr>
                <w:p w14:paraId="6DE0E25E">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olor w:val="auto"/>
                      <w:sz w:val="18"/>
                      <w:szCs w:val="18"/>
                      <w:highlight w:val="none"/>
                    </w:rPr>
                  </w:pPr>
                  <w:r>
                    <w:rPr>
                      <w:rFonts w:hint="eastAsia" w:ascii="Times New Roman" w:hAnsi="Times New Roman"/>
                      <w:color w:val="auto"/>
                      <w:sz w:val="18"/>
                      <w:szCs w:val="18"/>
                      <w:highlight w:val="none"/>
                    </w:rPr>
                    <w:t>本项目属于新增工业废水直排建设项目，需设置地表水专项评价。</w:t>
                  </w:r>
                </w:p>
              </w:tc>
            </w:tr>
            <w:tr w14:paraId="6794168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2" w:type="pct"/>
                  <w:tcBorders>
                    <w:tl2br w:val="nil"/>
                    <w:tr2bl w:val="nil"/>
                  </w:tcBorders>
                  <w:noWrap w:val="0"/>
                  <w:vAlign w:val="center"/>
                </w:tcPr>
                <w:p w14:paraId="5B7F173B">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olor w:val="auto"/>
                      <w:sz w:val="18"/>
                      <w:szCs w:val="18"/>
                      <w:highlight w:val="none"/>
                    </w:rPr>
                  </w:pPr>
                  <w:r>
                    <w:rPr>
                      <w:rFonts w:hint="eastAsia" w:ascii="Times New Roman" w:hAnsi="Times New Roman"/>
                      <w:color w:val="auto"/>
                      <w:sz w:val="18"/>
                      <w:szCs w:val="18"/>
                      <w:highlight w:val="none"/>
                    </w:rPr>
                    <w:t>有毒有害和易燃易爆危险物质存储量超过临界量的建设项目</w:t>
                  </w:r>
                </w:p>
              </w:tc>
              <w:tc>
                <w:tcPr>
                  <w:tcW w:w="2727" w:type="pct"/>
                  <w:tcBorders>
                    <w:tl2br w:val="nil"/>
                    <w:tr2bl w:val="nil"/>
                  </w:tcBorders>
                  <w:noWrap w:val="0"/>
                  <w:vAlign w:val="center"/>
                </w:tcPr>
                <w:p w14:paraId="6FB1DFFD">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olor w:val="auto"/>
                      <w:sz w:val="18"/>
                      <w:szCs w:val="18"/>
                      <w:highlight w:val="none"/>
                    </w:rPr>
                  </w:pPr>
                  <w:r>
                    <w:rPr>
                      <w:rFonts w:hint="default" w:ascii="Times New Roman" w:hAnsi="Times New Roman" w:eastAsia="宋体" w:cs="Times New Roman"/>
                      <w:b w:val="0"/>
                      <w:bCs w:val="0"/>
                      <w:color w:val="auto"/>
                      <w:spacing w:val="0"/>
                      <w:kern w:val="21"/>
                      <w:sz w:val="18"/>
                      <w:szCs w:val="18"/>
                      <w:highlight w:val="none"/>
                      <w:lang w:val="en-US" w:eastAsia="zh-CN"/>
                    </w:rPr>
                    <w:t>本项目</w:t>
                  </w:r>
                  <w:r>
                    <w:rPr>
                      <w:rFonts w:hint="default" w:ascii="Times New Roman" w:hAnsi="Times New Roman" w:eastAsia="宋体" w:cs="Times New Roman"/>
                      <w:b w:val="0"/>
                      <w:bCs w:val="0"/>
                      <w:color w:val="auto"/>
                      <w:spacing w:val="0"/>
                      <w:kern w:val="0"/>
                      <w:sz w:val="18"/>
                      <w:szCs w:val="18"/>
                      <w:lang w:val="en-US" w:eastAsia="zh-CN"/>
                    </w:rPr>
                    <w:t>无新增原辅材料，</w:t>
                  </w:r>
                  <w:r>
                    <w:rPr>
                      <w:rFonts w:hint="default" w:ascii="Times New Roman" w:hAnsi="Times New Roman" w:eastAsia="宋体" w:cs="Times New Roman"/>
                      <w:b w:val="0"/>
                      <w:bCs w:val="0"/>
                      <w:color w:val="auto"/>
                      <w:spacing w:val="0"/>
                      <w:kern w:val="0"/>
                      <w:sz w:val="18"/>
                      <w:szCs w:val="18"/>
                    </w:rPr>
                    <w:t>无</w:t>
                  </w:r>
                  <w:r>
                    <w:rPr>
                      <w:rFonts w:hint="default" w:ascii="Times New Roman" w:hAnsi="Times New Roman" w:eastAsia="宋体" w:cs="Times New Roman"/>
                      <w:b w:val="0"/>
                      <w:bCs w:val="0"/>
                      <w:color w:val="auto"/>
                      <w:spacing w:val="0"/>
                      <w:kern w:val="0"/>
                      <w:sz w:val="18"/>
                      <w:szCs w:val="18"/>
                      <w:lang w:val="en-US" w:eastAsia="zh-CN"/>
                    </w:rPr>
                    <w:t>新增</w:t>
                  </w:r>
                  <w:r>
                    <w:rPr>
                      <w:rFonts w:hint="default" w:ascii="Times New Roman" w:hAnsi="Times New Roman" w:eastAsia="宋体" w:cs="Times New Roman"/>
                      <w:b w:val="0"/>
                      <w:bCs w:val="0"/>
                      <w:color w:val="auto"/>
                      <w:spacing w:val="0"/>
                      <w:kern w:val="0"/>
                      <w:sz w:val="18"/>
                      <w:szCs w:val="18"/>
                    </w:rPr>
                    <w:t>环境风险物质</w:t>
                  </w:r>
                  <w:r>
                    <w:rPr>
                      <w:rFonts w:hint="default" w:ascii="Times New Roman" w:hAnsi="Times New Roman" w:eastAsia="宋体" w:cs="Times New Roman"/>
                      <w:b w:val="0"/>
                      <w:bCs w:val="0"/>
                      <w:color w:val="auto"/>
                      <w:spacing w:val="0"/>
                      <w:kern w:val="0"/>
                      <w:sz w:val="18"/>
                      <w:szCs w:val="18"/>
                      <w:lang w:eastAsia="zh-CN"/>
                    </w:rPr>
                    <w:t>。</w:t>
                  </w:r>
                  <w:r>
                    <w:rPr>
                      <w:rFonts w:hint="default" w:ascii="Times New Roman" w:hAnsi="Times New Roman" w:eastAsia="宋体" w:cs="Times New Roman"/>
                      <w:b w:val="0"/>
                      <w:bCs w:val="0"/>
                      <w:color w:val="auto"/>
                      <w:spacing w:val="0"/>
                      <w:kern w:val="21"/>
                      <w:sz w:val="18"/>
                      <w:szCs w:val="18"/>
                      <w:highlight w:val="none"/>
                      <w:lang w:val="en-US" w:eastAsia="zh-CN"/>
                    </w:rPr>
                    <w:t>厂区现有风险物质为液氯和</w:t>
                  </w:r>
                  <w:r>
                    <w:rPr>
                      <w:rFonts w:hint="default" w:ascii="Times New Roman" w:hAnsi="Times New Roman" w:eastAsia="宋体" w:cs="Times New Roman"/>
                      <w:color w:val="auto"/>
                      <w:spacing w:val="0"/>
                      <w:sz w:val="18"/>
                      <w:szCs w:val="18"/>
                    </w:rPr>
                    <w:t>38%三氯化铁溶液</w:t>
                  </w:r>
                  <w:r>
                    <w:rPr>
                      <w:rFonts w:hint="default" w:ascii="Times New Roman" w:hAnsi="Times New Roman" w:eastAsia="宋体" w:cs="Times New Roman"/>
                      <w:b w:val="0"/>
                      <w:bCs w:val="0"/>
                      <w:color w:val="auto"/>
                      <w:spacing w:val="0"/>
                      <w:kern w:val="21"/>
                      <w:sz w:val="18"/>
                      <w:szCs w:val="18"/>
                      <w:highlight w:val="none"/>
                      <w:lang w:val="en-US" w:eastAsia="zh-CN"/>
                    </w:rPr>
                    <w:t>，液氯最大存储量为2t，临界量为5t。</w:t>
                  </w:r>
                  <w:r>
                    <w:rPr>
                      <w:rFonts w:hint="default" w:ascii="Times New Roman" w:hAnsi="Times New Roman" w:eastAsia="宋体" w:cs="Times New Roman"/>
                      <w:color w:val="auto"/>
                      <w:spacing w:val="0"/>
                      <w:sz w:val="18"/>
                      <w:szCs w:val="18"/>
                    </w:rPr>
                    <w:t>38%三氯化铁溶液</w:t>
                  </w:r>
                  <w:r>
                    <w:rPr>
                      <w:rFonts w:hint="default" w:ascii="Times New Roman" w:hAnsi="Times New Roman" w:eastAsia="宋体" w:cs="Times New Roman"/>
                      <w:color w:val="auto"/>
                      <w:spacing w:val="0"/>
                      <w:sz w:val="18"/>
                      <w:szCs w:val="18"/>
                      <w:lang w:val="en-US" w:eastAsia="zh-CN"/>
                    </w:rPr>
                    <w:t>最大存储量为1t，临界量为200t。风险物质总计Q值0.405。风险物质最大储存量</w:t>
                  </w:r>
                  <w:r>
                    <w:rPr>
                      <w:rFonts w:hint="eastAsia" w:ascii="Times New Roman" w:hAnsi="Times New Roman" w:eastAsia="宋体" w:cs="Times New Roman"/>
                      <w:color w:val="auto"/>
                      <w:spacing w:val="0"/>
                      <w:sz w:val="18"/>
                      <w:szCs w:val="18"/>
                      <w:lang w:val="en-US" w:eastAsia="zh-CN"/>
                    </w:rPr>
                    <w:t>均</w:t>
                  </w:r>
                  <w:r>
                    <w:rPr>
                      <w:rFonts w:hint="default" w:ascii="Times New Roman" w:hAnsi="Times New Roman" w:eastAsia="宋体" w:cs="Times New Roman"/>
                      <w:b w:val="0"/>
                      <w:bCs w:val="0"/>
                      <w:color w:val="auto"/>
                      <w:spacing w:val="0"/>
                      <w:kern w:val="21"/>
                      <w:sz w:val="18"/>
                      <w:szCs w:val="18"/>
                      <w:highlight w:val="none"/>
                      <w:lang w:val="en-US" w:eastAsia="zh-CN"/>
                    </w:rPr>
                    <w:t>未超过临界量，</w:t>
                  </w:r>
                  <w:r>
                    <w:rPr>
                      <w:rFonts w:hint="default" w:ascii="Times New Roman" w:hAnsi="Times New Roman" w:eastAsia="宋体" w:cs="Times New Roman"/>
                      <w:color w:val="auto"/>
                      <w:kern w:val="0"/>
                      <w:sz w:val="18"/>
                      <w:szCs w:val="18"/>
                      <w:highlight w:val="none"/>
                      <w:lang w:val="en-US" w:eastAsia="zh-CN"/>
                    </w:rPr>
                    <w:t>因此本项目无需设置环境风险专项评价。</w:t>
                  </w:r>
                </w:p>
              </w:tc>
            </w:tr>
            <w:tr w14:paraId="159B09A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2" w:type="pct"/>
                  <w:tcBorders>
                    <w:tl2br w:val="nil"/>
                    <w:tr2bl w:val="nil"/>
                  </w:tcBorders>
                  <w:noWrap w:val="0"/>
                  <w:vAlign w:val="center"/>
                </w:tcPr>
                <w:p w14:paraId="027D66DC">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olor w:val="auto"/>
                      <w:sz w:val="18"/>
                      <w:szCs w:val="18"/>
                      <w:highlight w:val="none"/>
                    </w:rPr>
                  </w:pPr>
                  <w:r>
                    <w:rPr>
                      <w:rFonts w:hint="eastAsia" w:ascii="Times New Roman" w:hAnsi="Times New Roman"/>
                      <w:color w:val="auto"/>
                      <w:sz w:val="18"/>
                      <w:szCs w:val="18"/>
                      <w:highlight w:val="none"/>
                    </w:rPr>
                    <w:t>取水口下游500米范围内有重要水生生物的自然产卵场、索饵场、越冬场和洄游通道的新增河道取水的污染类建设项目</w:t>
                  </w:r>
                </w:p>
              </w:tc>
              <w:tc>
                <w:tcPr>
                  <w:tcW w:w="2727" w:type="pct"/>
                  <w:tcBorders>
                    <w:tl2br w:val="nil"/>
                    <w:tr2bl w:val="nil"/>
                  </w:tcBorders>
                  <w:noWrap w:val="0"/>
                  <w:vAlign w:val="center"/>
                </w:tcPr>
                <w:p w14:paraId="0CE7EF26">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olor w:val="auto"/>
                      <w:sz w:val="18"/>
                      <w:szCs w:val="18"/>
                      <w:highlight w:val="none"/>
                    </w:rPr>
                  </w:pPr>
                  <w:r>
                    <w:rPr>
                      <w:rFonts w:hint="eastAsia" w:ascii="Times New Roman" w:hAnsi="Times New Roman"/>
                      <w:color w:val="auto"/>
                      <w:sz w:val="18"/>
                      <w:szCs w:val="18"/>
                      <w:highlight w:val="none"/>
                      <w:lang w:val="en-US" w:eastAsia="zh-CN"/>
                    </w:rPr>
                    <w:t>本项目不涉及河道取水</w:t>
                  </w:r>
                  <w:r>
                    <w:rPr>
                      <w:rFonts w:hint="default" w:ascii="Times New Roman" w:hAnsi="Times New Roman"/>
                      <w:color w:val="auto"/>
                      <w:sz w:val="18"/>
                      <w:szCs w:val="18"/>
                      <w:highlight w:val="none"/>
                    </w:rPr>
                    <w:t>，不需设置生态专项评价。</w:t>
                  </w:r>
                </w:p>
              </w:tc>
            </w:tr>
            <w:tr w14:paraId="1C171E6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2" w:type="pct"/>
                  <w:tcBorders>
                    <w:tl2br w:val="nil"/>
                    <w:tr2bl w:val="nil"/>
                  </w:tcBorders>
                  <w:noWrap w:val="0"/>
                  <w:vAlign w:val="center"/>
                </w:tcPr>
                <w:p w14:paraId="2C363E91">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olor w:val="auto"/>
                      <w:sz w:val="18"/>
                      <w:szCs w:val="18"/>
                      <w:highlight w:val="none"/>
                    </w:rPr>
                  </w:pPr>
                  <w:r>
                    <w:rPr>
                      <w:rFonts w:hint="eastAsia" w:ascii="Times New Roman" w:hAnsi="Times New Roman"/>
                      <w:color w:val="auto"/>
                      <w:sz w:val="18"/>
                      <w:szCs w:val="18"/>
                      <w:highlight w:val="none"/>
                    </w:rPr>
                    <w:t>直接向海排放污染物的海洋工程建设项目</w:t>
                  </w:r>
                </w:p>
              </w:tc>
              <w:tc>
                <w:tcPr>
                  <w:tcW w:w="2727" w:type="pct"/>
                  <w:tcBorders>
                    <w:tl2br w:val="nil"/>
                    <w:tr2bl w:val="nil"/>
                  </w:tcBorders>
                  <w:noWrap w:val="0"/>
                  <w:vAlign w:val="center"/>
                </w:tcPr>
                <w:p w14:paraId="5070F1C3">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olor w:val="auto"/>
                      <w:sz w:val="18"/>
                      <w:szCs w:val="18"/>
                      <w:highlight w:val="none"/>
                    </w:rPr>
                  </w:pPr>
                  <w:r>
                    <w:rPr>
                      <w:rFonts w:hint="eastAsia" w:ascii="Times New Roman" w:hAnsi="Times New Roman"/>
                      <w:color w:val="auto"/>
                      <w:sz w:val="18"/>
                      <w:szCs w:val="18"/>
                      <w:highlight w:val="none"/>
                    </w:rPr>
                    <w:t>本项目不属于海洋工程，不需设置海洋专项评价。</w:t>
                  </w:r>
                </w:p>
              </w:tc>
            </w:tr>
          </w:tbl>
          <w:p w14:paraId="5D710F1E">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21"/>
                <w:szCs w:val="21"/>
                <w:highlight w:val="none"/>
                <w:lang w:val="en-US" w:eastAsia="zh-CN"/>
              </w:rPr>
            </w:pPr>
          </w:p>
        </w:tc>
      </w:tr>
      <w:tr w14:paraId="025420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95" w:type="pct"/>
            <w:tcMar>
              <w:top w:w="16" w:type="dxa"/>
              <w:left w:w="16" w:type="dxa"/>
              <w:right w:w="16" w:type="dxa"/>
            </w:tcMar>
            <w:vAlign w:val="center"/>
          </w:tcPr>
          <w:p w14:paraId="3CEC82AD">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 w:val="21"/>
                <w:szCs w:val="21"/>
                <w:highlight w:val="none"/>
              </w:rPr>
            </w:pPr>
            <w:r>
              <w:rPr>
                <w:rFonts w:hint="default" w:ascii="Times New Roman" w:hAnsi="Times New Roman" w:cs="Times New Roman"/>
                <w:color w:val="auto"/>
                <w:kern w:val="21"/>
                <w:sz w:val="21"/>
                <w:szCs w:val="21"/>
                <w:highlight w:val="none"/>
              </w:rPr>
              <w:t>规划情况</w:t>
            </w:r>
          </w:p>
        </w:tc>
        <w:tc>
          <w:tcPr>
            <w:tcW w:w="7452" w:type="dxa"/>
            <w:gridSpan w:val="3"/>
            <w:tcMar>
              <w:top w:w="16" w:type="dxa"/>
              <w:left w:w="16" w:type="dxa"/>
              <w:right w:w="16" w:type="dxa"/>
            </w:tcMar>
            <w:vAlign w:val="center"/>
          </w:tcPr>
          <w:p w14:paraId="7E2408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kern w:val="21"/>
                <w:sz w:val="21"/>
                <w:szCs w:val="21"/>
                <w:highlight w:val="none"/>
                <w:lang w:val="en-US" w:eastAsia="zh-CN"/>
              </w:rPr>
            </w:pPr>
            <w:r>
              <w:rPr>
                <w:rFonts w:hint="eastAsia" w:cs="Times New Roman"/>
                <w:color w:val="auto"/>
                <w:kern w:val="21"/>
                <w:sz w:val="21"/>
                <w:szCs w:val="21"/>
                <w:highlight w:val="none"/>
                <w:lang w:val="en-US" w:eastAsia="zh-CN"/>
              </w:rPr>
              <w:t>无</w:t>
            </w:r>
          </w:p>
        </w:tc>
      </w:tr>
      <w:tr w14:paraId="4B8892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95" w:type="pct"/>
            <w:tcMar>
              <w:top w:w="16" w:type="dxa"/>
              <w:left w:w="16" w:type="dxa"/>
              <w:right w:w="16" w:type="dxa"/>
            </w:tcMar>
            <w:vAlign w:val="center"/>
          </w:tcPr>
          <w:p w14:paraId="29F4806D">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 w:val="21"/>
                <w:szCs w:val="21"/>
                <w:highlight w:val="none"/>
              </w:rPr>
            </w:pPr>
            <w:r>
              <w:rPr>
                <w:rFonts w:hint="default" w:ascii="Times New Roman" w:hAnsi="Times New Roman" w:cs="Times New Roman"/>
                <w:color w:val="auto"/>
                <w:kern w:val="21"/>
                <w:sz w:val="21"/>
                <w:szCs w:val="21"/>
                <w:highlight w:val="none"/>
              </w:rPr>
              <w:t>规划环境影响</w:t>
            </w:r>
          </w:p>
          <w:p w14:paraId="6097D47C">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21"/>
                <w:sz w:val="21"/>
                <w:szCs w:val="21"/>
                <w:highlight w:val="none"/>
              </w:rPr>
            </w:pPr>
            <w:r>
              <w:rPr>
                <w:rFonts w:hint="default" w:ascii="Times New Roman" w:hAnsi="Times New Roman" w:cs="Times New Roman"/>
                <w:color w:val="auto"/>
                <w:kern w:val="21"/>
                <w:sz w:val="21"/>
                <w:szCs w:val="21"/>
                <w:highlight w:val="none"/>
              </w:rPr>
              <w:t>评价情况</w:t>
            </w:r>
          </w:p>
        </w:tc>
        <w:tc>
          <w:tcPr>
            <w:tcW w:w="7452" w:type="dxa"/>
            <w:gridSpan w:val="3"/>
            <w:tcMar>
              <w:top w:w="16" w:type="dxa"/>
              <w:left w:w="16" w:type="dxa"/>
              <w:right w:w="16" w:type="dxa"/>
            </w:tcMar>
            <w:vAlign w:val="center"/>
          </w:tcPr>
          <w:p w14:paraId="3930DF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kern w:val="21"/>
                <w:sz w:val="21"/>
                <w:szCs w:val="21"/>
                <w:highlight w:val="none"/>
                <w:lang w:val="en-US" w:eastAsia="zh-CN"/>
              </w:rPr>
            </w:pPr>
            <w:r>
              <w:rPr>
                <w:rFonts w:hint="eastAsia" w:cs="Times New Roman"/>
                <w:color w:val="auto"/>
                <w:kern w:val="21"/>
                <w:sz w:val="21"/>
                <w:szCs w:val="21"/>
                <w:highlight w:val="none"/>
                <w:lang w:val="en-US" w:eastAsia="zh-CN"/>
              </w:rPr>
              <w:t>无</w:t>
            </w:r>
          </w:p>
        </w:tc>
      </w:tr>
      <w:tr w14:paraId="2646D3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95" w:type="pct"/>
            <w:tcMar>
              <w:top w:w="16" w:type="dxa"/>
              <w:left w:w="16" w:type="dxa"/>
              <w:right w:w="16" w:type="dxa"/>
            </w:tcMar>
            <w:vAlign w:val="center"/>
          </w:tcPr>
          <w:p w14:paraId="7AF09D30">
            <w:pPr>
              <w:keepNext w:val="0"/>
              <w:keepLines w:val="0"/>
              <w:suppressLineNumbers w:val="0"/>
              <w:autoSpaceDE w:val="0"/>
              <w:autoSpaceDN w:val="0"/>
              <w:spacing w:before="0" w:beforeAutospacing="0" w:after="0" w:afterAutospacing="0"/>
              <w:ind w:left="0" w:right="0"/>
              <w:jc w:val="center"/>
              <w:rPr>
                <w:rFonts w:hint="default" w:ascii="Times New Roman" w:hAnsi="Times New Roman" w:cs="Times New Roman"/>
                <w:color w:val="auto"/>
                <w:kern w:val="21"/>
                <w:sz w:val="21"/>
                <w:szCs w:val="21"/>
                <w:highlight w:val="none"/>
              </w:rPr>
            </w:pPr>
            <w:r>
              <w:rPr>
                <w:rFonts w:hint="default" w:ascii="Times New Roman" w:hAnsi="Times New Roman" w:cs="Times New Roman"/>
                <w:color w:val="auto"/>
                <w:kern w:val="21"/>
                <w:sz w:val="21"/>
                <w:szCs w:val="21"/>
                <w:highlight w:val="none"/>
              </w:rPr>
              <w:t>规划及规划环境影响评价符合性分析</w:t>
            </w:r>
          </w:p>
        </w:tc>
        <w:tc>
          <w:tcPr>
            <w:tcW w:w="7452" w:type="dxa"/>
            <w:gridSpan w:val="3"/>
            <w:tcMar>
              <w:top w:w="16" w:type="dxa"/>
              <w:left w:w="16" w:type="dxa"/>
              <w:right w:w="16" w:type="dxa"/>
            </w:tcMar>
            <w:vAlign w:val="center"/>
          </w:tcPr>
          <w:p w14:paraId="20C35A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color w:val="auto"/>
                <w:highlight w:val="none"/>
                <w:lang w:val="en-US" w:eastAsia="zh-CN"/>
              </w:rPr>
            </w:pPr>
            <w:r>
              <w:rPr>
                <w:rFonts w:hint="eastAsia"/>
                <w:color w:val="auto"/>
                <w:highlight w:val="none"/>
                <w:lang w:val="en-US" w:eastAsia="zh-CN"/>
              </w:rPr>
              <w:t>无</w:t>
            </w:r>
          </w:p>
        </w:tc>
      </w:tr>
      <w:tr w14:paraId="030AC8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905" w:hRule="atLeast"/>
          <w:jc w:val="center"/>
        </w:trPr>
        <w:tc>
          <w:tcPr>
            <w:tcW w:w="895" w:type="pct"/>
            <w:tcMar>
              <w:top w:w="16" w:type="dxa"/>
              <w:left w:w="16" w:type="dxa"/>
              <w:right w:w="16" w:type="dxa"/>
            </w:tcMar>
            <w:vAlign w:val="center"/>
          </w:tcPr>
          <w:p w14:paraId="79B6325F">
            <w:pPr>
              <w:keepNext w:val="0"/>
              <w:keepLines w:val="0"/>
              <w:suppressLineNumbers w:val="0"/>
              <w:autoSpaceDE w:val="0"/>
              <w:autoSpaceDN w:val="0"/>
              <w:spacing w:before="0" w:beforeAutospacing="0" w:after="0" w:afterAutospacing="0"/>
              <w:ind w:left="0" w:right="0"/>
              <w:jc w:val="center"/>
              <w:rPr>
                <w:rFonts w:hint="default" w:ascii="Times New Roman" w:hAnsi="Times New Roman" w:cs="Times New Roman"/>
                <w:color w:val="auto"/>
                <w:kern w:val="21"/>
                <w:szCs w:val="21"/>
                <w:highlight w:val="none"/>
              </w:rPr>
            </w:pPr>
            <w:bookmarkStart w:id="3" w:name="_Hlk56690880"/>
            <w:r>
              <w:rPr>
                <w:rFonts w:hint="default" w:ascii="Times New Roman" w:hAnsi="Times New Roman" w:cs="Times New Roman"/>
                <w:color w:val="auto"/>
                <w:kern w:val="21"/>
                <w:szCs w:val="21"/>
                <w:highlight w:val="none"/>
              </w:rPr>
              <w:t>其他符合性分析</w:t>
            </w:r>
          </w:p>
        </w:tc>
        <w:tc>
          <w:tcPr>
            <w:tcW w:w="4104" w:type="pct"/>
            <w:gridSpan w:val="3"/>
            <w:tcMar>
              <w:top w:w="16" w:type="dxa"/>
              <w:left w:w="16" w:type="dxa"/>
              <w:right w:w="16" w:type="dxa"/>
            </w:tcMar>
            <w:vAlign w:val="center"/>
          </w:tcPr>
          <w:p w14:paraId="5C3D0A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2" w:firstLineChars="200"/>
              <w:textAlignment w:val="auto"/>
              <w:rPr>
                <w:rFonts w:hint="default"/>
                <w:b/>
                <w:bCs/>
                <w:color w:val="auto"/>
                <w:kern w:val="0"/>
                <w:sz w:val="21"/>
                <w:szCs w:val="21"/>
                <w:highlight w:val="none"/>
              </w:rPr>
            </w:pPr>
            <w:r>
              <w:rPr>
                <w:rFonts w:hint="eastAsia"/>
                <w:b/>
                <w:bCs/>
                <w:color w:val="auto"/>
                <w:kern w:val="0"/>
                <w:sz w:val="21"/>
                <w:szCs w:val="21"/>
                <w:highlight w:val="none"/>
                <w:lang w:val="en-US" w:eastAsia="zh-CN"/>
              </w:rPr>
              <w:t>1、</w:t>
            </w:r>
            <w:r>
              <w:rPr>
                <w:rFonts w:hint="eastAsia"/>
                <w:b/>
                <w:bCs/>
                <w:color w:val="auto"/>
                <w:kern w:val="0"/>
                <w:sz w:val="21"/>
                <w:szCs w:val="21"/>
                <w:highlight w:val="none"/>
                <w:lang w:eastAsia="zh-CN"/>
              </w:rPr>
              <w:t>生态环境分区管控</w:t>
            </w:r>
            <w:r>
              <w:rPr>
                <w:rFonts w:hint="eastAsia"/>
                <w:b/>
                <w:bCs/>
                <w:color w:val="auto"/>
                <w:kern w:val="0"/>
                <w:sz w:val="21"/>
                <w:szCs w:val="21"/>
                <w:highlight w:val="none"/>
              </w:rPr>
              <w:t>符合性分析</w:t>
            </w:r>
          </w:p>
          <w:p w14:paraId="2A9087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cs="Times New Roman"/>
                <w:color w:val="auto"/>
                <w:kern w:val="0"/>
                <w:sz w:val="21"/>
                <w:szCs w:val="21"/>
                <w:highlight w:val="none"/>
                <w:lang w:eastAsia="zh-CN" w:bidi="ar"/>
              </w:rPr>
            </w:pPr>
            <w:r>
              <w:rPr>
                <w:rFonts w:hint="default" w:ascii="Times New Roman" w:hAnsi="Times New Roman" w:cs="Times New Roman"/>
                <w:color w:val="auto"/>
                <w:kern w:val="0"/>
                <w:sz w:val="21"/>
                <w:szCs w:val="21"/>
                <w:highlight w:val="none"/>
                <w:lang w:bidi="ar"/>
              </w:rPr>
              <w:t>本项目位于</w:t>
            </w:r>
            <w:r>
              <w:rPr>
                <w:rFonts w:hint="eastAsia" w:cs="Times New Roman"/>
                <w:color w:val="auto"/>
                <w:sz w:val="21"/>
                <w:szCs w:val="21"/>
                <w:highlight w:val="none"/>
                <w:lang w:val="en-US" w:eastAsia="zh-CN"/>
              </w:rPr>
              <w:t>黑龙江省鸡西市鸡冠区东环路南侧，北方热电厂西南侧</w:t>
            </w:r>
            <w:r>
              <w:rPr>
                <w:rFonts w:hint="default" w:ascii="Times New Roman" w:hAnsi="Times New Roman" w:cs="Times New Roman"/>
                <w:color w:val="auto"/>
                <w:sz w:val="21"/>
                <w:szCs w:val="21"/>
                <w:highlight w:val="none"/>
              </w:rPr>
              <w:t>，根据</w:t>
            </w:r>
            <w:r>
              <w:rPr>
                <w:rFonts w:hint="default" w:ascii="Times New Roman" w:hAnsi="Times New Roman" w:cs="Times New Roman"/>
                <w:color w:val="auto"/>
                <w:kern w:val="0"/>
                <w:sz w:val="21"/>
                <w:szCs w:val="21"/>
                <w:highlight w:val="none"/>
                <w:lang w:bidi="ar"/>
              </w:rPr>
              <w:t>《黑龙江省人民政府关于实施</w:t>
            </w:r>
            <w:r>
              <w:rPr>
                <w:rFonts w:hint="eastAsia" w:ascii="宋体" w:hAnsi="宋体" w:eastAsia="宋体" w:cs="宋体"/>
                <w:color w:val="auto"/>
                <w:kern w:val="0"/>
                <w:sz w:val="21"/>
                <w:szCs w:val="21"/>
                <w:highlight w:val="none"/>
                <w:lang w:bidi="ar"/>
              </w:rPr>
              <w:t>“三线一单”生</w:t>
            </w:r>
            <w:r>
              <w:rPr>
                <w:rFonts w:hint="default" w:ascii="Times New Roman" w:hAnsi="Times New Roman" w:cs="Times New Roman"/>
                <w:color w:val="auto"/>
                <w:kern w:val="0"/>
                <w:sz w:val="21"/>
                <w:szCs w:val="21"/>
                <w:highlight w:val="none"/>
                <w:lang w:bidi="ar"/>
              </w:rPr>
              <w:t>态环境分区管控的意见》（黑政发〔2020〕14号）、《</w:t>
            </w:r>
            <w:r>
              <w:rPr>
                <w:rFonts w:hint="default" w:ascii="Times New Roman" w:hAnsi="Times New Roman" w:cs="Times New Roman"/>
                <w:color w:val="auto"/>
                <w:kern w:val="0"/>
                <w:sz w:val="21"/>
                <w:szCs w:val="21"/>
                <w:highlight w:val="none"/>
                <w:lang w:eastAsia="zh-CN" w:bidi="ar"/>
              </w:rPr>
              <w:t>鸡西</w:t>
            </w:r>
            <w:r>
              <w:rPr>
                <w:rFonts w:hint="default" w:ascii="Times New Roman" w:hAnsi="Times New Roman" w:cs="Times New Roman"/>
                <w:color w:val="auto"/>
                <w:kern w:val="0"/>
                <w:sz w:val="21"/>
                <w:szCs w:val="21"/>
                <w:highlight w:val="none"/>
                <w:lang w:bidi="ar"/>
              </w:rPr>
              <w:t>市人民政府关于实</w:t>
            </w:r>
            <w:r>
              <w:rPr>
                <w:rFonts w:hint="eastAsia" w:ascii="宋体" w:hAnsi="宋体" w:eastAsia="宋体" w:cs="宋体"/>
                <w:color w:val="auto"/>
                <w:kern w:val="0"/>
                <w:sz w:val="21"/>
                <w:szCs w:val="21"/>
                <w:highlight w:val="none"/>
                <w:lang w:bidi="ar"/>
              </w:rPr>
              <w:t>施“三线一单”生</w:t>
            </w:r>
            <w:r>
              <w:rPr>
                <w:rFonts w:hint="default" w:ascii="Times New Roman" w:hAnsi="Times New Roman" w:cs="Times New Roman"/>
                <w:color w:val="auto"/>
                <w:kern w:val="0"/>
                <w:sz w:val="21"/>
                <w:szCs w:val="21"/>
                <w:highlight w:val="none"/>
                <w:lang w:bidi="ar"/>
              </w:rPr>
              <w:t>态环境分区管控的意见》（</w:t>
            </w:r>
            <w:r>
              <w:rPr>
                <w:rFonts w:hint="default" w:ascii="Times New Roman" w:hAnsi="Times New Roman" w:cs="Times New Roman"/>
                <w:color w:val="auto"/>
                <w:kern w:val="0"/>
                <w:sz w:val="21"/>
                <w:szCs w:val="21"/>
                <w:highlight w:val="none"/>
                <w:lang w:eastAsia="zh-CN" w:bidi="ar"/>
              </w:rPr>
              <w:t>鸡</w:t>
            </w:r>
            <w:r>
              <w:rPr>
                <w:rFonts w:hint="default" w:ascii="Times New Roman" w:hAnsi="Times New Roman" w:cs="Times New Roman"/>
                <w:color w:val="auto"/>
                <w:kern w:val="0"/>
                <w:sz w:val="21"/>
                <w:szCs w:val="21"/>
                <w:highlight w:val="none"/>
                <w:lang w:bidi="ar"/>
              </w:rPr>
              <w:t>政发〔2021〕</w:t>
            </w:r>
            <w:r>
              <w:rPr>
                <w:rFonts w:hint="default" w:ascii="Times New Roman" w:hAnsi="Times New Roman" w:cs="Times New Roman"/>
                <w:color w:val="auto"/>
                <w:kern w:val="0"/>
                <w:sz w:val="21"/>
                <w:szCs w:val="21"/>
                <w:highlight w:val="none"/>
                <w:lang w:val="en-US" w:eastAsia="zh-CN" w:bidi="ar"/>
              </w:rPr>
              <w:t>7</w:t>
            </w:r>
            <w:r>
              <w:rPr>
                <w:rFonts w:hint="default" w:ascii="Times New Roman" w:hAnsi="Times New Roman" w:cs="Times New Roman"/>
                <w:color w:val="auto"/>
                <w:kern w:val="0"/>
                <w:sz w:val="21"/>
                <w:szCs w:val="21"/>
                <w:highlight w:val="none"/>
                <w:lang w:bidi="ar"/>
              </w:rPr>
              <w:t>号）</w:t>
            </w:r>
            <w:r>
              <w:rPr>
                <w:rFonts w:hint="eastAsia" w:cs="Times New Roman"/>
                <w:color w:val="auto"/>
                <w:kern w:val="0"/>
                <w:sz w:val="21"/>
                <w:szCs w:val="21"/>
                <w:highlight w:val="none"/>
                <w:lang w:eastAsia="zh-CN" w:bidi="ar"/>
              </w:rPr>
              <w:t>、</w:t>
            </w:r>
            <w:r>
              <w:rPr>
                <w:rFonts w:hint="default" w:ascii="Times New Roman" w:hAnsi="Times New Roman" w:eastAsia="宋体" w:cs="Times New Roman"/>
                <w:color w:val="auto"/>
                <w:sz w:val="21"/>
                <w:szCs w:val="21"/>
                <w:highlight w:val="none"/>
                <w:lang w:val="en-US" w:eastAsia="zh-CN"/>
              </w:rPr>
              <w:t>《鸡西市生态环境准入清单》（2023年版）</w:t>
            </w:r>
            <w:r>
              <w:rPr>
                <w:rFonts w:hint="default" w:ascii="Times New Roman" w:hAnsi="Times New Roman" w:cs="Times New Roman"/>
                <w:color w:val="auto"/>
                <w:kern w:val="0"/>
                <w:sz w:val="21"/>
                <w:szCs w:val="21"/>
                <w:highlight w:val="none"/>
                <w:lang w:eastAsia="zh-CN" w:bidi="ar"/>
              </w:rPr>
              <w:t>和《</w:t>
            </w:r>
            <w:r>
              <w:rPr>
                <w:rFonts w:hint="eastAsia" w:ascii="宋体" w:hAnsi="宋体" w:eastAsia="宋体" w:cs="宋体"/>
                <w:color w:val="auto"/>
                <w:sz w:val="21"/>
                <w:szCs w:val="21"/>
                <w:highlight w:val="none"/>
                <w:u w:val="none"/>
                <w:lang w:val="en-US" w:eastAsia="zh-CN"/>
              </w:rPr>
              <w:t>鸡西市</w:t>
            </w:r>
            <w:r>
              <w:rPr>
                <w:rFonts w:hint="eastAsia" w:ascii="宋体" w:hAnsi="宋体" w:cs="宋体"/>
                <w:color w:val="auto"/>
                <w:sz w:val="21"/>
                <w:szCs w:val="21"/>
                <w:highlight w:val="none"/>
                <w:u w:val="none"/>
                <w:lang w:val="en-US" w:eastAsia="zh-CN"/>
              </w:rPr>
              <w:t>供水有限公司朝阳净水厂改建项目</w:t>
            </w:r>
            <w:r>
              <w:rPr>
                <w:rFonts w:hint="default" w:ascii="Times New Roman" w:hAnsi="Times New Roman" w:cs="Times New Roman"/>
                <w:color w:val="auto"/>
                <w:kern w:val="0"/>
                <w:sz w:val="21"/>
                <w:szCs w:val="21"/>
                <w:highlight w:val="none"/>
                <w:lang w:eastAsia="zh-CN" w:bidi="ar"/>
              </w:rPr>
              <w:t>生态环境</w:t>
            </w:r>
            <w:r>
              <w:rPr>
                <w:rFonts w:hint="eastAsia" w:cs="Times New Roman"/>
                <w:color w:val="auto"/>
                <w:kern w:val="0"/>
                <w:sz w:val="21"/>
                <w:szCs w:val="21"/>
                <w:highlight w:val="none"/>
                <w:lang w:eastAsia="zh-CN" w:bidi="ar"/>
              </w:rPr>
              <w:t>分区管控分析报告》</w:t>
            </w:r>
            <w:r>
              <w:rPr>
                <w:rFonts w:hint="default" w:ascii="Times New Roman" w:hAnsi="Times New Roman" w:cs="Times New Roman"/>
                <w:color w:val="auto"/>
                <w:kern w:val="0"/>
                <w:sz w:val="21"/>
                <w:szCs w:val="21"/>
                <w:highlight w:val="none"/>
                <w:lang w:bidi="ar"/>
              </w:rPr>
              <w:t>，</w:t>
            </w:r>
            <w:r>
              <w:rPr>
                <w:rFonts w:hint="eastAsia" w:cs="Times New Roman"/>
                <w:color w:val="auto"/>
                <w:kern w:val="0"/>
                <w:sz w:val="21"/>
                <w:szCs w:val="21"/>
                <w:highlight w:val="none"/>
                <w:lang w:eastAsia="zh-CN" w:bidi="ar"/>
              </w:rPr>
              <w:t>本项目与“生态环境分区管控”符合性如下：</w:t>
            </w:r>
          </w:p>
          <w:p w14:paraId="45BA23DF">
            <w:pPr>
              <w:pStyle w:val="2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color w:val="auto"/>
                <w:sz w:val="21"/>
                <w:szCs w:val="21"/>
                <w:lang w:eastAsia="zh-CN"/>
              </w:rPr>
            </w:pPr>
            <w:r>
              <w:rPr>
                <w:rFonts w:hint="eastAsia" w:ascii="Calibri" w:hAnsi="Calibri"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1</w:t>
            </w:r>
            <w:r>
              <w:rPr>
                <w:rFonts w:hint="eastAsia" w:ascii="Calibri" w:hAnsi="Calibri" w:eastAsia="宋体" w:cs="Times New Roman"/>
                <w:color w:val="auto"/>
                <w:kern w:val="2"/>
                <w:sz w:val="21"/>
                <w:szCs w:val="21"/>
                <w:lang w:val="en-US" w:eastAsia="zh-CN" w:bidi="ar-SA"/>
              </w:rPr>
              <w:t>）</w:t>
            </w:r>
            <w:r>
              <w:rPr>
                <w:rFonts w:hint="eastAsia"/>
                <w:color w:val="auto"/>
                <w:sz w:val="21"/>
                <w:szCs w:val="21"/>
                <w:lang w:eastAsia="zh-CN"/>
              </w:rPr>
              <w:t>“一图”</w:t>
            </w:r>
          </w:p>
          <w:p w14:paraId="0E17FB8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s="Times New Roman"/>
                <w:color w:val="auto"/>
                <w:kern w:val="0"/>
                <w:sz w:val="21"/>
                <w:szCs w:val="21"/>
                <w:highlight w:val="none"/>
                <w:lang w:val="en-US" w:eastAsia="zh-CN" w:bidi="ar"/>
              </w:rPr>
            </w:pPr>
            <w:r>
              <w:rPr>
                <w:rFonts w:hint="eastAsia"/>
                <w:color w:val="auto"/>
                <w:sz w:val="21"/>
                <w:szCs w:val="21"/>
                <w:lang w:eastAsia="zh-CN"/>
              </w:rPr>
              <w:t>根据</w:t>
            </w:r>
            <w:r>
              <w:rPr>
                <w:rFonts w:hint="eastAsia" w:ascii="Times New Roman" w:hAnsi="Times New Roman" w:cs="Times New Roman"/>
                <w:color w:val="auto"/>
                <w:kern w:val="0"/>
                <w:sz w:val="21"/>
                <w:szCs w:val="21"/>
                <w:highlight w:val="none"/>
                <w:lang w:eastAsia="zh-CN" w:bidi="ar"/>
              </w:rPr>
              <w:t>《</w:t>
            </w:r>
            <w:r>
              <w:rPr>
                <w:rFonts w:hint="eastAsia" w:ascii="宋体" w:hAnsi="宋体" w:eastAsia="宋体" w:cs="宋体"/>
                <w:color w:val="auto"/>
                <w:sz w:val="21"/>
                <w:szCs w:val="21"/>
                <w:highlight w:val="none"/>
                <w:u w:val="none"/>
                <w:lang w:val="en-US" w:eastAsia="zh-CN"/>
              </w:rPr>
              <w:t>鸡西市</w:t>
            </w:r>
            <w:r>
              <w:rPr>
                <w:rFonts w:hint="eastAsia" w:ascii="宋体" w:hAnsi="宋体" w:cs="宋体"/>
                <w:color w:val="auto"/>
                <w:sz w:val="21"/>
                <w:szCs w:val="21"/>
                <w:highlight w:val="none"/>
                <w:u w:val="none"/>
                <w:lang w:val="en-US" w:eastAsia="zh-CN"/>
              </w:rPr>
              <w:t>供水有限公司朝阳净水厂改建项目</w:t>
            </w:r>
            <w:r>
              <w:rPr>
                <w:rFonts w:hint="eastAsia" w:cs="Times New Roman"/>
                <w:color w:val="auto"/>
                <w:kern w:val="0"/>
                <w:sz w:val="21"/>
                <w:szCs w:val="21"/>
                <w:highlight w:val="none"/>
                <w:lang w:eastAsia="zh-CN" w:bidi="ar"/>
              </w:rPr>
              <w:t>生态环境分区管控分析报告》，项目与环境管控单元叠加图见图</w:t>
            </w:r>
            <w:r>
              <w:rPr>
                <w:rFonts w:hint="eastAsia" w:cs="Times New Roman"/>
                <w:color w:val="auto"/>
                <w:kern w:val="0"/>
                <w:sz w:val="21"/>
                <w:szCs w:val="21"/>
                <w:highlight w:val="none"/>
                <w:lang w:val="en-US" w:eastAsia="zh-CN" w:bidi="ar"/>
              </w:rPr>
              <w:t>1-1。</w:t>
            </w:r>
          </w:p>
          <w:p w14:paraId="569142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Times New Roman" w:hAnsi="Times New Roman" w:eastAsia="宋体" w:cs="Times New Roman"/>
                <w:color w:val="auto"/>
                <w:kern w:val="0"/>
                <w:sz w:val="21"/>
                <w:szCs w:val="21"/>
                <w:highlight w:val="none"/>
                <w:lang w:eastAsia="zh-CN"/>
              </w:rPr>
            </w:pPr>
            <w:r>
              <w:rPr>
                <w:rFonts w:hint="eastAsia" w:ascii="Times New Roman" w:hAnsi="Times New Roman" w:eastAsia="宋体" w:cs="Times New Roman"/>
                <w:color w:val="auto"/>
                <w:kern w:val="0"/>
                <w:sz w:val="21"/>
                <w:szCs w:val="21"/>
                <w:highlight w:val="none"/>
                <w:lang w:eastAsia="zh-CN"/>
              </w:rPr>
              <w:drawing>
                <wp:inline distT="0" distB="0" distL="114300" distR="114300">
                  <wp:extent cx="4709795" cy="2370455"/>
                  <wp:effectExtent l="0" t="0" r="14605" b="10795"/>
                  <wp:docPr id="15" name="图片 15" descr="f8e8fe68-1ebd-40a4-9530-b88741df73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8e8fe68-1ebd-40a4-9530-b88741df737e"/>
                          <pic:cNvPicPr>
                            <a:picLocks noChangeAspect="1"/>
                          </pic:cNvPicPr>
                        </pic:nvPicPr>
                        <pic:blipFill>
                          <a:blip r:embed="rId14"/>
                          <a:stretch>
                            <a:fillRect/>
                          </a:stretch>
                        </pic:blipFill>
                        <pic:spPr>
                          <a:xfrm>
                            <a:off x="0" y="0"/>
                            <a:ext cx="4709795" cy="2370455"/>
                          </a:xfrm>
                          <a:prstGeom prst="rect">
                            <a:avLst/>
                          </a:prstGeom>
                        </pic:spPr>
                      </pic:pic>
                    </a:graphicData>
                  </a:graphic>
                </wp:inline>
              </w:drawing>
            </w:r>
          </w:p>
          <w:p w14:paraId="1E05DF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eastAsia="zh-CN"/>
              </w:rPr>
              <w:t>图</w:t>
            </w:r>
            <w:r>
              <w:rPr>
                <w:rFonts w:hint="default" w:ascii="Times New Roman" w:hAnsi="Times New Roman" w:eastAsia="宋体" w:cs="Times New Roman"/>
                <w:b/>
                <w:bCs/>
                <w:color w:val="auto"/>
                <w:kern w:val="0"/>
                <w:sz w:val="21"/>
                <w:szCs w:val="21"/>
                <w:highlight w:val="none"/>
                <w:lang w:val="en-US" w:eastAsia="zh-CN"/>
              </w:rPr>
              <w:t>1-1与</w:t>
            </w:r>
            <w:r>
              <w:rPr>
                <w:rFonts w:hint="eastAsia" w:ascii="Times New Roman" w:hAnsi="Times New Roman" w:cs="Times New Roman"/>
                <w:b/>
                <w:bCs/>
                <w:color w:val="auto"/>
                <w:kern w:val="0"/>
                <w:sz w:val="21"/>
                <w:szCs w:val="21"/>
                <w:highlight w:val="none"/>
                <w:lang w:val="en-US" w:eastAsia="zh-CN"/>
              </w:rPr>
              <w:t>环境</w:t>
            </w:r>
            <w:r>
              <w:rPr>
                <w:rFonts w:hint="default" w:ascii="Times New Roman" w:hAnsi="Times New Roman" w:eastAsia="宋体" w:cs="Times New Roman"/>
                <w:b/>
                <w:bCs/>
                <w:color w:val="auto"/>
                <w:kern w:val="0"/>
                <w:sz w:val="21"/>
                <w:szCs w:val="21"/>
                <w:highlight w:val="none"/>
                <w:lang w:val="en-US" w:eastAsia="zh-CN"/>
              </w:rPr>
              <w:t>管控</w:t>
            </w:r>
            <w:r>
              <w:rPr>
                <w:rFonts w:hint="eastAsia" w:ascii="Times New Roman" w:hAnsi="Times New Roman" w:cs="Times New Roman"/>
                <w:b/>
                <w:bCs/>
                <w:color w:val="auto"/>
                <w:kern w:val="0"/>
                <w:sz w:val="21"/>
                <w:szCs w:val="21"/>
                <w:highlight w:val="none"/>
                <w:lang w:val="en-US" w:eastAsia="zh-CN"/>
              </w:rPr>
              <w:t>单元</w:t>
            </w:r>
            <w:r>
              <w:rPr>
                <w:rFonts w:hint="default" w:ascii="Times New Roman" w:hAnsi="Times New Roman" w:eastAsia="宋体" w:cs="Times New Roman"/>
                <w:b/>
                <w:bCs/>
                <w:color w:val="auto"/>
                <w:kern w:val="0"/>
                <w:sz w:val="21"/>
                <w:szCs w:val="21"/>
                <w:highlight w:val="none"/>
                <w:lang w:val="en-US" w:eastAsia="zh-CN"/>
              </w:rPr>
              <w:t>叠加图</w:t>
            </w:r>
          </w:p>
          <w:p w14:paraId="4A160F18">
            <w:pPr>
              <w:pStyle w:val="8"/>
              <w:keepNext w:val="0"/>
              <w:keepLines w:val="0"/>
              <w:suppressLineNumbers w:val="0"/>
              <w:spacing w:before="0" w:beforeAutospacing="0" w:afterAutospacing="0"/>
              <w:ind w:left="0" w:leftChars="0" w:right="0" w:firstLine="0" w:firstLineChars="0"/>
              <w:rPr>
                <w:rFonts w:hint="eastAsia"/>
                <w:color w:val="auto"/>
                <w:lang w:val="en-US" w:eastAsia="zh-CN"/>
              </w:rPr>
            </w:pPr>
            <w:r>
              <w:rPr>
                <w:rFonts w:hint="eastAsia"/>
                <w:color w:val="auto"/>
                <w:lang w:val="en-US" w:eastAsia="zh-CN"/>
              </w:rPr>
              <w:drawing>
                <wp:inline distT="0" distB="0" distL="114300" distR="114300">
                  <wp:extent cx="4711065" cy="2366010"/>
                  <wp:effectExtent l="0" t="0" r="13335" b="15240"/>
                  <wp:docPr id="43" name="图片 43" descr="dd157236-a83e-4b04-a3e9-cb182aa488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dd157236-a83e-4b04-a3e9-cb182aa488b1"/>
                          <pic:cNvPicPr>
                            <a:picLocks noChangeAspect="1"/>
                          </pic:cNvPicPr>
                        </pic:nvPicPr>
                        <pic:blipFill>
                          <a:blip r:embed="rId15"/>
                          <a:stretch>
                            <a:fillRect/>
                          </a:stretch>
                        </pic:blipFill>
                        <pic:spPr>
                          <a:xfrm>
                            <a:off x="0" y="0"/>
                            <a:ext cx="4711065" cy="2366010"/>
                          </a:xfrm>
                          <a:prstGeom prst="rect">
                            <a:avLst/>
                          </a:prstGeom>
                        </pic:spPr>
                      </pic:pic>
                    </a:graphicData>
                  </a:graphic>
                </wp:inline>
              </w:drawing>
            </w:r>
          </w:p>
          <w:p w14:paraId="1BD62D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lang w:val="en-US" w:eastAsia="zh-CN"/>
              </w:rPr>
            </w:pPr>
            <w:r>
              <w:rPr>
                <w:rFonts w:hint="eastAsia" w:ascii="宋体" w:hAnsi="宋体" w:eastAsia="宋体" w:cs="宋体"/>
                <w:b/>
                <w:bCs/>
                <w:color w:val="auto"/>
                <w:kern w:val="0"/>
                <w:sz w:val="21"/>
                <w:szCs w:val="21"/>
                <w:highlight w:val="none"/>
                <w:lang w:eastAsia="zh-CN"/>
              </w:rPr>
              <w:t>图</w:t>
            </w:r>
            <w:r>
              <w:rPr>
                <w:rFonts w:hint="default" w:ascii="Times New Roman" w:hAnsi="Times New Roman" w:eastAsia="宋体" w:cs="Times New Roman"/>
                <w:b/>
                <w:bCs/>
                <w:color w:val="auto"/>
                <w:kern w:val="0"/>
                <w:sz w:val="21"/>
                <w:szCs w:val="21"/>
                <w:highlight w:val="none"/>
                <w:lang w:val="en-US" w:eastAsia="zh-CN"/>
              </w:rPr>
              <w:t>1-2</w:t>
            </w:r>
            <w:r>
              <w:rPr>
                <w:rFonts w:hint="eastAsia" w:ascii="宋体" w:hAnsi="宋体" w:eastAsia="宋体" w:cs="宋体"/>
                <w:b/>
                <w:bCs/>
                <w:color w:val="auto"/>
                <w:kern w:val="0"/>
                <w:sz w:val="21"/>
                <w:szCs w:val="21"/>
                <w:highlight w:val="none"/>
                <w:lang w:val="en-US" w:eastAsia="zh-CN"/>
              </w:rPr>
              <w:t>与地下水环境管控区叠加图</w:t>
            </w:r>
          </w:p>
          <w:p w14:paraId="07F4930B">
            <w:pPr>
              <w:pStyle w:val="15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一表”</w:t>
            </w:r>
          </w:p>
          <w:p w14:paraId="346552CF">
            <w:pPr>
              <w:pStyle w:val="15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本项目与生态环境准入清单符合性情况见表1-2。</w:t>
            </w:r>
          </w:p>
          <w:p w14:paraId="30B4B2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auto"/>
                <w:kern w:val="0"/>
                <w:sz w:val="21"/>
                <w:szCs w:val="21"/>
                <w:highlight w:val="none"/>
              </w:rPr>
            </w:pPr>
            <w:r>
              <w:rPr>
                <w:rFonts w:hint="default"/>
                <w:b/>
                <w:bCs/>
                <w:color w:val="auto"/>
                <w:kern w:val="0"/>
                <w:sz w:val="21"/>
                <w:szCs w:val="21"/>
                <w:highlight w:val="none"/>
              </w:rPr>
              <w:t>表1-</w:t>
            </w:r>
            <w:r>
              <w:rPr>
                <w:rFonts w:hint="eastAsia"/>
                <w:b/>
                <w:bCs/>
                <w:color w:val="auto"/>
                <w:kern w:val="0"/>
                <w:sz w:val="21"/>
                <w:szCs w:val="21"/>
                <w:highlight w:val="none"/>
                <w:lang w:val="en-US" w:eastAsia="zh-CN"/>
              </w:rPr>
              <w:t>2</w:t>
            </w:r>
            <w:r>
              <w:rPr>
                <w:rFonts w:hint="default"/>
                <w:b/>
                <w:bCs/>
                <w:color w:val="auto"/>
                <w:kern w:val="0"/>
                <w:sz w:val="21"/>
                <w:szCs w:val="21"/>
                <w:highlight w:val="none"/>
              </w:rPr>
              <w:t>生态环境准入清单符合性分析</w:t>
            </w:r>
          </w:p>
          <w:tbl>
            <w:tblPr>
              <w:tblStyle w:val="35"/>
              <w:tblW w:w="5000" w:type="pct"/>
              <w:jc w:val="center"/>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4775"/>
              <w:gridCol w:w="1407"/>
            </w:tblGrid>
            <w:tr w14:paraId="1D97EED9">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3"/>
                  <w:tcBorders>
                    <w:bottom w:val="single" w:color="auto" w:sz="4" w:space="0"/>
                  </w:tcBorders>
                  <w:noWrap w:val="0"/>
                  <w:vAlign w:val="center"/>
                </w:tcPr>
                <w:p w14:paraId="00BD1867">
                  <w:pPr>
                    <w:keepNext w:val="0"/>
                    <w:keepLines w:val="0"/>
                    <w:suppressLineNumbers w:val="0"/>
                    <w:adjustRightInd w:val="0"/>
                    <w:spacing w:before="0" w:beforeAutospacing="0" w:after="0" w:afterAutospacing="0" w:line="240" w:lineRule="auto"/>
                    <w:ind w:left="0" w:right="0"/>
                    <w:jc w:val="center"/>
                    <w:textAlignment w:val="baseline"/>
                    <w:rPr>
                      <w:rFonts w:hint="default"/>
                      <w:b/>
                      <w:bCs/>
                      <w:color w:val="auto"/>
                      <w:sz w:val="21"/>
                      <w:szCs w:val="21"/>
                      <w:highlight w:val="none"/>
                    </w:rPr>
                  </w:pPr>
                  <w:r>
                    <w:rPr>
                      <w:rFonts w:hint="default"/>
                      <w:b/>
                      <w:bCs/>
                      <w:color w:val="auto"/>
                      <w:sz w:val="21"/>
                      <w:szCs w:val="21"/>
                      <w:highlight w:val="none"/>
                    </w:rPr>
                    <w:t>一、生态保护红线</w:t>
                  </w:r>
                </w:p>
              </w:tc>
            </w:tr>
            <w:tr w14:paraId="1CAD59BA">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3"/>
                  <w:tcBorders>
                    <w:top w:val="single" w:color="auto" w:sz="4" w:space="0"/>
                    <w:bottom w:val="single" w:color="auto" w:sz="4" w:space="0"/>
                  </w:tcBorders>
                  <w:noWrap w:val="0"/>
                  <w:vAlign w:val="center"/>
                </w:tcPr>
                <w:p w14:paraId="132C3D2D">
                  <w:pPr>
                    <w:pStyle w:val="17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default"/>
                      <w:color w:val="auto"/>
                      <w:sz w:val="21"/>
                      <w:szCs w:val="21"/>
                      <w:highlight w:val="none"/>
                    </w:rPr>
                  </w:pPr>
                  <w:r>
                    <w:rPr>
                      <w:rFonts w:hint="eastAsia"/>
                      <w:color w:val="auto"/>
                      <w:sz w:val="21"/>
                      <w:szCs w:val="21"/>
                      <w:lang w:val="en-US" w:eastAsia="zh-CN"/>
                    </w:rPr>
                    <w:t>根据</w:t>
                  </w:r>
                  <w:r>
                    <w:rPr>
                      <w:rFonts w:hint="eastAsia" w:ascii="Times New Roman" w:hAnsi="Times New Roman" w:cs="Times New Roman"/>
                      <w:color w:val="auto"/>
                      <w:sz w:val="21"/>
                      <w:szCs w:val="21"/>
                      <w:lang w:val="en-US" w:eastAsia="zh-CN"/>
                    </w:rPr>
                    <w:t>《</w:t>
                  </w:r>
                  <w:r>
                    <w:rPr>
                      <w:rFonts w:hint="eastAsia" w:ascii="宋体" w:hAnsi="宋体" w:eastAsia="宋体" w:cs="宋体"/>
                      <w:color w:val="auto"/>
                      <w:sz w:val="21"/>
                      <w:szCs w:val="21"/>
                      <w:highlight w:val="none"/>
                      <w:u w:val="none"/>
                      <w:lang w:val="en-US" w:eastAsia="zh-CN"/>
                    </w:rPr>
                    <w:t>鸡西市</w:t>
                  </w:r>
                  <w:r>
                    <w:rPr>
                      <w:rFonts w:hint="eastAsia" w:ascii="宋体" w:hAnsi="宋体" w:cs="宋体"/>
                      <w:color w:val="auto"/>
                      <w:sz w:val="21"/>
                      <w:szCs w:val="21"/>
                      <w:highlight w:val="none"/>
                      <w:u w:val="none"/>
                      <w:lang w:val="en-US" w:eastAsia="zh-CN"/>
                    </w:rPr>
                    <w:t>供水有限公司朝阳净水厂改建项目</w:t>
                  </w:r>
                  <w:r>
                    <w:rPr>
                      <w:rFonts w:hint="eastAsia" w:cs="Times New Roman"/>
                      <w:color w:val="auto"/>
                      <w:kern w:val="0"/>
                      <w:sz w:val="21"/>
                      <w:szCs w:val="21"/>
                      <w:highlight w:val="none"/>
                      <w:lang w:eastAsia="zh-CN" w:bidi="ar"/>
                    </w:rPr>
                    <w:t>生态环境分区管控分析报告</w:t>
                  </w:r>
                  <w:r>
                    <w:rPr>
                      <w:rFonts w:hint="eastAsia" w:ascii="Times New Roman" w:hAnsi="Times New Roman" w:cs="Times New Roman"/>
                      <w:color w:val="auto"/>
                      <w:sz w:val="21"/>
                      <w:szCs w:val="21"/>
                      <w:lang w:val="en-US" w:eastAsia="zh-CN"/>
                    </w:rPr>
                    <w:t>》，本项目不涉及生态保护红线。</w:t>
                  </w:r>
                </w:p>
              </w:tc>
            </w:tr>
            <w:tr w14:paraId="095A44D9">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3"/>
                  <w:tcBorders>
                    <w:top w:val="single" w:color="auto" w:sz="4" w:space="0"/>
                    <w:bottom w:val="single" w:color="auto" w:sz="4" w:space="0"/>
                  </w:tcBorders>
                  <w:noWrap w:val="0"/>
                  <w:vAlign w:val="center"/>
                </w:tcPr>
                <w:p w14:paraId="6F5BC949">
                  <w:pPr>
                    <w:keepNext w:val="0"/>
                    <w:keepLines w:val="0"/>
                    <w:suppressLineNumbers w:val="0"/>
                    <w:adjustRightInd w:val="0"/>
                    <w:spacing w:before="0" w:beforeAutospacing="0" w:after="0" w:afterAutospacing="0" w:line="240" w:lineRule="auto"/>
                    <w:ind w:left="0" w:right="0"/>
                    <w:jc w:val="center"/>
                    <w:textAlignment w:val="baseline"/>
                    <w:rPr>
                      <w:rFonts w:hint="default"/>
                      <w:color w:val="auto"/>
                      <w:sz w:val="21"/>
                      <w:szCs w:val="21"/>
                      <w:highlight w:val="none"/>
                    </w:rPr>
                  </w:pPr>
                  <w:r>
                    <w:rPr>
                      <w:rFonts w:hint="default"/>
                      <w:b/>
                      <w:bCs/>
                      <w:color w:val="auto"/>
                      <w:sz w:val="21"/>
                      <w:szCs w:val="21"/>
                      <w:highlight w:val="none"/>
                    </w:rPr>
                    <w:t>二、环境质量底线</w:t>
                  </w:r>
                </w:p>
              </w:tc>
            </w:tr>
            <w:tr w14:paraId="09AF04A5">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3"/>
                  <w:tcBorders>
                    <w:top w:val="single" w:color="auto" w:sz="4" w:space="0"/>
                    <w:bottom w:val="single" w:color="auto" w:sz="4" w:space="0"/>
                  </w:tcBorders>
                  <w:noWrap w:val="0"/>
                  <w:vAlign w:val="center"/>
                </w:tcPr>
                <w:p w14:paraId="30A370CA">
                  <w:pPr>
                    <w:pStyle w:val="1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环境质量底线是国家和地方设置的大气、水和土壤环境质量目标，也是改善环境质量的基准线。项目环境影响评价应对照区域环境质量目标，深入分析预测项目建设对环境质量的影响，强化污染防治措施和污染物排放控制要求。</w:t>
                  </w:r>
                </w:p>
                <w:p w14:paraId="5F59A4C8">
                  <w:pPr>
                    <w:pStyle w:val="1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2"/>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1、大气环境</w:t>
                  </w:r>
                </w:p>
                <w:p w14:paraId="624DFA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color w:val="auto"/>
                      <w:kern w:val="2"/>
                      <w:sz w:val="21"/>
                      <w:szCs w:val="21"/>
                      <w:highlight w:val="none"/>
                      <w:lang w:val="en-US" w:eastAsia="zh-CN"/>
                    </w:rPr>
                  </w:pPr>
                  <w:r>
                    <w:rPr>
                      <w:rFonts w:hint="default" w:ascii="Times New Roman" w:hAnsi="Times New Roman" w:cs="Times New Roman"/>
                      <w:color w:val="auto"/>
                      <w:kern w:val="2"/>
                      <w:sz w:val="21"/>
                      <w:szCs w:val="21"/>
                      <w:highlight w:val="none"/>
                    </w:rPr>
                    <w:t>根据</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yellow"/>
                    </w:rPr>
                    <w:t>202</w:t>
                  </w:r>
                  <w:r>
                    <w:rPr>
                      <w:rFonts w:hint="eastAsia" w:cs="Times New Roman"/>
                      <w:color w:val="auto"/>
                      <w:sz w:val="21"/>
                      <w:szCs w:val="21"/>
                      <w:highlight w:val="yellow"/>
                      <w:lang w:val="en-US" w:eastAsia="zh-CN"/>
                    </w:rPr>
                    <w:t>5</w:t>
                  </w:r>
                  <w:r>
                    <w:rPr>
                      <w:rFonts w:hint="default" w:ascii="Times New Roman" w:hAnsi="Times New Roman" w:cs="Times New Roman"/>
                      <w:color w:val="auto"/>
                      <w:sz w:val="21"/>
                      <w:szCs w:val="21"/>
                      <w:highlight w:val="yellow"/>
                    </w:rPr>
                    <w:t>年</w:t>
                  </w:r>
                  <w:r>
                    <w:rPr>
                      <w:rFonts w:hint="default" w:ascii="Times New Roman" w:hAnsi="Times New Roman" w:cs="Times New Roman"/>
                      <w:color w:val="auto"/>
                      <w:sz w:val="21"/>
                      <w:szCs w:val="21"/>
                      <w:highlight w:val="yellow"/>
                      <w:lang w:val="en-US" w:eastAsia="zh-CN"/>
                    </w:rPr>
                    <w:t>黑龙江省生态环境质量状况</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yellow"/>
                      <w:lang w:val="en-US" w:eastAsia="zh-CN"/>
                    </w:rPr>
                    <w:t>202</w:t>
                  </w:r>
                  <w:r>
                    <w:rPr>
                      <w:rFonts w:hint="eastAsia" w:cs="Times New Roman"/>
                      <w:color w:val="auto"/>
                      <w:sz w:val="21"/>
                      <w:szCs w:val="21"/>
                      <w:highlight w:val="yellow"/>
                      <w:lang w:val="en-US" w:eastAsia="zh-CN"/>
                    </w:rPr>
                    <w:t>5</w:t>
                  </w:r>
                  <w:r>
                    <w:rPr>
                      <w:rFonts w:hint="default" w:ascii="Times New Roman" w:hAnsi="Times New Roman" w:cs="Times New Roman"/>
                      <w:color w:val="auto"/>
                      <w:sz w:val="21"/>
                      <w:szCs w:val="21"/>
                      <w:highlight w:val="yellow"/>
                      <w:lang w:val="en-US" w:eastAsia="zh-CN"/>
                    </w:rPr>
                    <w:t>年</w:t>
                  </w:r>
                  <w:r>
                    <w:rPr>
                      <w:rFonts w:hint="default" w:ascii="Times New Roman" w:hAnsi="Times New Roman" w:cs="Times New Roman"/>
                      <w:color w:val="auto"/>
                      <w:sz w:val="21"/>
                      <w:szCs w:val="21"/>
                      <w:highlight w:val="none"/>
                      <w:lang w:val="en-US" w:eastAsia="zh-CN"/>
                    </w:rPr>
                    <w:t>鸡西市空气基本污染物中</w:t>
                  </w: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2.5</w:t>
                  </w:r>
                  <w:r>
                    <w:rPr>
                      <w:rFonts w:hint="default" w:ascii="Times New Roman" w:hAnsi="Times New Roman"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10</w:t>
                  </w:r>
                  <w:r>
                    <w:rPr>
                      <w:rFonts w:hint="default" w:ascii="Times New Roman" w:hAnsi="Times New Roman" w:eastAsia="宋体"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rPr>
                    <w:t>SO</w:t>
                  </w:r>
                  <w:r>
                    <w:rPr>
                      <w:rFonts w:hint="default" w:ascii="Times New Roman" w:hAnsi="Times New Roman" w:eastAsia="宋体" w:cs="Times New Roman"/>
                      <w:color w:val="auto"/>
                      <w:sz w:val="21"/>
                      <w:szCs w:val="21"/>
                      <w:highlight w:val="none"/>
                      <w:vertAlign w:val="subscript"/>
                    </w:rPr>
                    <w:t>2</w:t>
                  </w:r>
                  <w:r>
                    <w:rPr>
                      <w:rFonts w:hint="default" w:ascii="Times New Roman" w:hAnsi="Times New Roman" w:eastAsia="宋体"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rPr>
                    <w:t>NO</w:t>
                  </w:r>
                  <w:r>
                    <w:rPr>
                      <w:rFonts w:hint="default" w:ascii="Times New Roman" w:hAnsi="Times New Roman" w:eastAsia="宋体" w:cs="Times New Roman"/>
                      <w:color w:val="auto"/>
                      <w:sz w:val="21"/>
                      <w:szCs w:val="21"/>
                      <w:highlight w:val="none"/>
                      <w:vertAlign w:val="subscript"/>
                    </w:rPr>
                    <w:t>2</w:t>
                  </w:r>
                  <w:r>
                    <w:rPr>
                      <w:rFonts w:hint="default" w:ascii="Times New Roman" w:hAnsi="Times New Roman" w:eastAsia="宋体" w:cs="Times New Roman"/>
                      <w:color w:val="auto"/>
                      <w:sz w:val="21"/>
                      <w:szCs w:val="21"/>
                      <w:highlight w:val="none"/>
                      <w:vertAlign w:val="baseline"/>
                      <w:lang w:val="en-US" w:eastAsia="zh-CN"/>
                    </w:rPr>
                    <w:t>年平均质量浓度</w:t>
                  </w:r>
                  <w:r>
                    <w:rPr>
                      <w:rFonts w:hint="default" w:ascii="Times New Roman" w:hAnsi="Times New Roman" w:cs="Times New Roman"/>
                      <w:color w:val="auto"/>
                      <w:sz w:val="21"/>
                      <w:szCs w:val="21"/>
                      <w:highlight w:val="none"/>
                      <w:vertAlign w:val="baseline"/>
                      <w:lang w:val="en-US" w:eastAsia="zh-CN"/>
                    </w:rPr>
                    <w:t>及</w:t>
                  </w:r>
                  <w:r>
                    <w:rPr>
                      <w:rFonts w:hint="default" w:ascii="Times New Roman" w:hAnsi="Times New Roman" w:eastAsia="宋体" w:cs="Times New Roman"/>
                      <w:color w:val="auto"/>
                      <w:sz w:val="21"/>
                      <w:szCs w:val="21"/>
                      <w:highlight w:val="none"/>
                    </w:rPr>
                    <w:t>CO</w:t>
                  </w:r>
                  <w:r>
                    <w:rPr>
                      <w:rFonts w:hint="default" w:ascii="Times New Roman" w:hAnsi="Times New Roman" w:cs="Times New Roman"/>
                      <w:color w:val="auto"/>
                      <w:sz w:val="21"/>
                      <w:szCs w:val="21"/>
                      <w:highlight w:val="none"/>
                      <w:lang w:val="en-US" w:eastAsia="zh-CN"/>
                    </w:rPr>
                    <w:t>第95百分位数日平均浓度、O</w:t>
                  </w:r>
                  <w:r>
                    <w:rPr>
                      <w:rFonts w:hint="default" w:ascii="Times New Roman" w:hAnsi="Times New Roman" w:cs="Times New Roman"/>
                      <w:color w:val="auto"/>
                      <w:sz w:val="21"/>
                      <w:szCs w:val="21"/>
                      <w:highlight w:val="none"/>
                      <w:vertAlign w:val="subscript"/>
                      <w:lang w:val="en-US" w:eastAsia="zh-CN"/>
                    </w:rPr>
                    <w:t>3</w:t>
                  </w:r>
                  <w:r>
                    <w:rPr>
                      <w:rFonts w:hint="default" w:ascii="Times New Roman" w:hAnsi="Times New Roman" w:cs="Times New Roman"/>
                      <w:color w:val="auto"/>
                      <w:sz w:val="21"/>
                      <w:szCs w:val="21"/>
                      <w:highlight w:val="none"/>
                      <w:lang w:val="en-US" w:eastAsia="zh-CN"/>
                    </w:rPr>
                    <w:t>第90</w:t>
                  </w:r>
                  <w:r>
                    <w:rPr>
                      <w:rFonts w:hint="default" w:ascii="Times New Roman" w:hAnsi="Times New Roman" w:eastAsia="宋体" w:cs="Times New Roman"/>
                      <w:color w:val="auto"/>
                      <w:sz w:val="21"/>
                      <w:szCs w:val="21"/>
                      <w:highlight w:val="none"/>
                    </w:rPr>
                    <w:t>百分位数8h平均</w:t>
                  </w:r>
                  <w:r>
                    <w:rPr>
                      <w:rFonts w:hint="default" w:ascii="Times New Roman" w:hAnsi="Times New Roman" w:cs="Times New Roman"/>
                      <w:color w:val="auto"/>
                      <w:sz w:val="21"/>
                      <w:szCs w:val="21"/>
                      <w:highlight w:val="none"/>
                      <w:lang w:val="en-US" w:eastAsia="zh-CN"/>
                    </w:rPr>
                    <w:t>质量</w:t>
                  </w:r>
                  <w:r>
                    <w:rPr>
                      <w:rFonts w:hint="default" w:ascii="Times New Roman" w:hAnsi="Times New Roman" w:eastAsia="宋体" w:cs="Times New Roman"/>
                      <w:color w:val="auto"/>
                      <w:sz w:val="21"/>
                      <w:szCs w:val="21"/>
                      <w:highlight w:val="none"/>
                    </w:rPr>
                    <w:t>浓度</w:t>
                  </w:r>
                  <w:r>
                    <w:rPr>
                      <w:rFonts w:hint="default" w:ascii="Times New Roman" w:hAnsi="Times New Roman" w:eastAsia="宋体" w:cs="Times New Roman"/>
                      <w:color w:val="auto"/>
                      <w:sz w:val="21"/>
                      <w:szCs w:val="21"/>
                      <w:highlight w:val="none"/>
                      <w:lang w:val="en-US" w:eastAsia="zh-CN"/>
                    </w:rPr>
                    <w:t>均</w:t>
                  </w:r>
                  <w:r>
                    <w:rPr>
                      <w:rFonts w:hint="default" w:ascii="Times New Roman" w:hAnsi="Times New Roman" w:eastAsia="宋体" w:cs="Times New Roman"/>
                      <w:color w:val="auto"/>
                      <w:sz w:val="21"/>
                      <w:szCs w:val="21"/>
                      <w:highlight w:val="none"/>
                      <w:vertAlign w:val="baseline"/>
                      <w:lang w:val="en-US" w:eastAsia="zh-CN"/>
                    </w:rPr>
                    <w:t>满足</w:t>
                  </w:r>
                  <w:r>
                    <w:rPr>
                      <w:rFonts w:hint="eastAsia" w:ascii="Times New Roman" w:hAnsi="Times New Roman" w:eastAsia="宋体" w:cs="Times New Roman"/>
                      <w:color w:val="auto"/>
                      <w:sz w:val="21"/>
                      <w:highlight w:val="yellow"/>
                      <w:lang w:eastAsia="zh-CN"/>
                    </w:rPr>
                    <w:t>《环境空气质量标准》（GB3095-2026）中</w:t>
                  </w:r>
                  <w:r>
                    <w:rPr>
                      <w:rFonts w:hint="eastAsia" w:ascii="Times New Roman" w:hAnsi="Times New Roman" w:eastAsia="宋体" w:cs="Times New Roman"/>
                      <w:color w:val="auto"/>
                      <w:spacing w:val="0"/>
                      <w:sz w:val="21"/>
                      <w:highlight w:val="yellow"/>
                      <w:lang w:val="en-US" w:eastAsia="zh-CN"/>
                    </w:rPr>
                    <w:t>过渡期</w:t>
                  </w:r>
                  <w:r>
                    <w:rPr>
                      <w:rFonts w:hint="eastAsia" w:ascii="Times New Roman" w:hAnsi="Times New Roman" w:eastAsia="宋体" w:cs="Times New Roman"/>
                      <w:color w:val="auto"/>
                      <w:sz w:val="21"/>
                      <w:highlight w:val="yellow"/>
                      <w:lang w:eastAsia="zh-CN"/>
                    </w:rPr>
                    <w:t>二级标准</w:t>
                  </w:r>
                  <w:r>
                    <w:rPr>
                      <w:rFonts w:hint="default" w:ascii="Times New Roman" w:hAnsi="Times New Roman" w:cs="Times New Roman"/>
                      <w:color w:val="auto"/>
                      <w:kern w:val="0"/>
                      <w:sz w:val="21"/>
                      <w:szCs w:val="21"/>
                      <w:highlight w:val="none"/>
                      <w:lang w:eastAsia="zh-CN"/>
                    </w:rPr>
                    <w:t>，</w:t>
                  </w:r>
                  <w:r>
                    <w:rPr>
                      <w:rFonts w:hint="default" w:ascii="Times New Roman" w:hAnsi="Times New Roman" w:cs="Times New Roman"/>
                      <w:color w:val="auto"/>
                      <w:kern w:val="0"/>
                      <w:sz w:val="21"/>
                      <w:szCs w:val="21"/>
                      <w:highlight w:val="none"/>
                      <w:lang w:val="en-US" w:eastAsia="zh-CN"/>
                    </w:rPr>
                    <w:t>因此判定本项目区域环境空气质量为达标区</w:t>
                  </w:r>
                  <w:r>
                    <w:rPr>
                      <w:rFonts w:hint="default" w:ascii="Times New Roman" w:hAnsi="Times New Roman" w:cs="Times New Roman"/>
                      <w:color w:val="auto"/>
                      <w:kern w:val="2"/>
                      <w:sz w:val="21"/>
                      <w:szCs w:val="21"/>
                      <w:highlight w:val="none"/>
                      <w:lang w:val="en-US" w:eastAsia="zh-CN"/>
                    </w:rPr>
                    <w:t>。</w:t>
                  </w:r>
                </w:p>
                <w:p w14:paraId="198A2ED0">
                  <w:pPr>
                    <w:pStyle w:val="1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2"/>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highlight w:val="none"/>
                      <w:lang w:val="en-US" w:eastAsia="zh-CN"/>
                    </w:rPr>
                    <w:t>本项目为净水厂项目，本项目</w:t>
                  </w:r>
                  <w:r>
                    <w:rPr>
                      <w:rFonts w:hint="default" w:ascii="Times New Roman" w:hAnsi="Times New Roman" w:cs="Times New Roman"/>
                      <w:color w:val="auto"/>
                      <w:kern w:val="0"/>
                      <w:sz w:val="21"/>
                      <w:szCs w:val="21"/>
                      <w:highlight w:val="none"/>
                      <w:lang w:val="en-US" w:eastAsia="zh-CN"/>
                    </w:rPr>
                    <w:t>不新增废气。</w:t>
                  </w:r>
                  <w:r>
                    <w:rPr>
                      <w:rFonts w:hint="default" w:ascii="Times New Roman" w:hAnsi="Times New Roman" w:eastAsia="宋体" w:cs="Times New Roman"/>
                      <w:color w:val="auto"/>
                      <w:spacing w:val="0"/>
                      <w:sz w:val="21"/>
                      <w:szCs w:val="21"/>
                      <w:lang w:val="en-US" w:eastAsia="zh-CN"/>
                    </w:rPr>
                    <w:t>净</w:t>
                  </w:r>
                  <w:r>
                    <w:rPr>
                      <w:rFonts w:hint="default" w:ascii="Times New Roman" w:hAnsi="Times New Roman" w:eastAsia="宋体" w:cs="Times New Roman"/>
                      <w:color w:val="auto"/>
                      <w:spacing w:val="0"/>
                      <w:kern w:val="0"/>
                      <w:sz w:val="21"/>
                      <w:szCs w:val="21"/>
                    </w:rPr>
                    <w:t>水厂</w:t>
                  </w:r>
                  <w:r>
                    <w:rPr>
                      <w:rFonts w:hint="default" w:ascii="Times New Roman" w:hAnsi="Times New Roman" w:eastAsia="宋体" w:cs="Times New Roman"/>
                      <w:color w:val="auto"/>
                      <w:spacing w:val="0"/>
                      <w:kern w:val="0"/>
                      <w:sz w:val="21"/>
                      <w:szCs w:val="21"/>
                      <w:lang w:val="en-US" w:eastAsia="zh-CN"/>
                    </w:rPr>
                    <w:t>现有工程</w:t>
                  </w:r>
                  <w:r>
                    <w:rPr>
                      <w:rFonts w:hint="default" w:ascii="Times New Roman" w:hAnsi="Times New Roman" w:eastAsia="宋体" w:cs="Times New Roman"/>
                      <w:color w:val="auto"/>
                      <w:spacing w:val="0"/>
                      <w:kern w:val="0"/>
                      <w:sz w:val="21"/>
                      <w:szCs w:val="21"/>
                    </w:rPr>
                    <w:t>生产过程中不会排放生产废气，加氯间仅有少量游离的Cl产生；在污泥处理区的贮泥池、浓缩池、污泥浓缩脱水间</w:t>
                  </w:r>
                  <w:r>
                    <w:rPr>
                      <w:rFonts w:hint="eastAsia" w:cs="Times New Roman"/>
                      <w:color w:val="auto"/>
                      <w:spacing w:val="0"/>
                      <w:kern w:val="0"/>
                      <w:sz w:val="21"/>
                      <w:szCs w:val="21"/>
                      <w:lang w:eastAsia="zh-CN"/>
                    </w:rPr>
                    <w:t>、</w:t>
                  </w:r>
                  <w:r>
                    <w:rPr>
                      <w:rFonts w:hint="eastAsia" w:cs="Times New Roman"/>
                      <w:color w:val="auto"/>
                      <w:spacing w:val="0"/>
                      <w:kern w:val="0"/>
                      <w:sz w:val="21"/>
                      <w:szCs w:val="21"/>
                      <w:lang w:val="en-US" w:eastAsia="zh-CN"/>
                    </w:rPr>
                    <w:t>污泥暂存库</w:t>
                  </w:r>
                  <w:r>
                    <w:rPr>
                      <w:rFonts w:hint="default" w:ascii="Times New Roman" w:hAnsi="Times New Roman" w:eastAsia="宋体" w:cs="Times New Roman"/>
                      <w:color w:val="auto"/>
                      <w:spacing w:val="0"/>
                      <w:kern w:val="0"/>
                      <w:sz w:val="21"/>
                      <w:szCs w:val="21"/>
                    </w:rPr>
                    <w:t>等会产生轻微的臭味，因比较轻微，且本工程稳压配水间通风次数为2次/h</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设置1台轴流通风机。滤池间通风次数为3次/h, 设置2台轴流通风机。加氯、加药间通风次数为8次h</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设置6台轴流通风机。</w:t>
                  </w:r>
                  <w:r>
                    <w:rPr>
                      <w:rFonts w:hint="default" w:ascii="Times New Roman" w:hAnsi="Times New Roman" w:eastAsia="宋体" w:cs="Times New Roman"/>
                      <w:color w:val="auto"/>
                      <w:spacing w:val="0"/>
                      <w:kern w:val="0"/>
                      <w:sz w:val="21"/>
                      <w:szCs w:val="21"/>
                    </w:rPr>
                    <w:t>污泥脱水间</w:t>
                  </w:r>
                  <w:r>
                    <w:rPr>
                      <w:rFonts w:hint="eastAsia" w:cs="Times New Roman"/>
                      <w:color w:val="auto"/>
                      <w:spacing w:val="0"/>
                      <w:kern w:val="0"/>
                      <w:sz w:val="21"/>
                      <w:szCs w:val="21"/>
                      <w:lang w:eastAsia="zh-CN"/>
                    </w:rPr>
                    <w:t>（</w:t>
                  </w:r>
                  <w:r>
                    <w:rPr>
                      <w:rFonts w:hint="eastAsia" w:cs="Times New Roman"/>
                      <w:color w:val="auto"/>
                      <w:spacing w:val="0"/>
                      <w:kern w:val="0"/>
                      <w:sz w:val="21"/>
                      <w:szCs w:val="21"/>
                      <w:lang w:val="en-US" w:eastAsia="zh-CN"/>
                    </w:rPr>
                    <w:t>包括污泥暂存库</w:t>
                  </w:r>
                  <w:r>
                    <w:rPr>
                      <w:rFonts w:hint="eastAsia"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通风次数为8次/h</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设置5台轴流通风机。经上述措施，同时加强室内通风及厂区绿化</w:t>
                  </w:r>
                  <w:r>
                    <w:rPr>
                      <w:rFonts w:hint="default" w:ascii="Times New Roman" w:hAnsi="Times New Roman" w:eastAsia="宋体" w:cs="Times New Roman"/>
                      <w:color w:val="auto"/>
                      <w:spacing w:val="0"/>
                      <w:kern w:val="0"/>
                      <w:sz w:val="21"/>
                      <w:szCs w:val="21"/>
                      <w:lang w:val="en-US" w:eastAsia="zh-CN"/>
                    </w:rPr>
                    <w:t>隔离稀释</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lang w:val="en-US" w:eastAsia="zh-CN"/>
                    </w:rPr>
                    <w:t>食堂油烟经油烟净化器（处理效率75%）处理后</w:t>
                  </w:r>
                  <w:r>
                    <w:rPr>
                      <w:rFonts w:hint="default" w:ascii="Times New Roman" w:hAnsi="Times New Roman" w:eastAsia="宋体" w:cs="Times New Roman"/>
                      <w:color w:val="auto"/>
                      <w:spacing w:val="0"/>
                      <w:sz w:val="21"/>
                      <w:szCs w:val="21"/>
                    </w:rPr>
                    <w:t>由专用烟道高于楼顶排放</w:t>
                  </w: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kern w:val="0"/>
                      <w:sz w:val="21"/>
                      <w:szCs w:val="21"/>
                      <w:highlight w:val="none"/>
                      <w:lang w:val="en-US" w:eastAsia="zh-CN"/>
                    </w:rPr>
                    <w:t>对周围环境影响较小，</w:t>
                  </w:r>
                  <w:r>
                    <w:rPr>
                      <w:rFonts w:hint="default" w:ascii="Times New Roman" w:hAnsi="Times New Roman" w:cs="Times New Roman"/>
                      <w:color w:val="auto"/>
                      <w:sz w:val="21"/>
                      <w:szCs w:val="21"/>
                      <w:highlight w:val="none"/>
                    </w:rPr>
                    <w:t>不会改变区域大气环境质量现状，因此，符合大气环境质量底线要求。</w:t>
                  </w:r>
                </w:p>
                <w:p w14:paraId="41732AC3">
                  <w:pPr>
                    <w:pStyle w:val="1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2"/>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SA"/>
                    </w:rPr>
                    <w:t>2、水环境</w:t>
                  </w:r>
                </w:p>
                <w:p w14:paraId="15DCFE9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sz w:val="21"/>
                      <w:szCs w:val="21"/>
                      <w:highlight w:val="none"/>
                      <w:lang w:val="en-US" w:eastAsia="zh-CN"/>
                    </w:rPr>
                    <w:t>本项目区域地表水体为穆棱河。</w:t>
                  </w:r>
                  <w:r>
                    <w:rPr>
                      <w:rFonts w:hint="default" w:ascii="Times New Roman" w:hAnsi="Times New Roman" w:cs="Times New Roman"/>
                      <w:color w:val="auto"/>
                      <w:sz w:val="21"/>
                      <w:szCs w:val="21"/>
                      <w:highlight w:val="none"/>
                    </w:rPr>
                    <w:t>根据</w:t>
                  </w:r>
                  <w:r>
                    <w:rPr>
                      <w:rFonts w:hint="default" w:ascii="Times New Roman" w:hAnsi="Times New Roman" w:cs="Times New Roman" w:eastAsiaTheme="minorEastAsia"/>
                      <w:color w:val="auto"/>
                      <w:sz w:val="21"/>
                      <w:szCs w:val="21"/>
                      <w:highlight w:val="none"/>
                    </w:rPr>
                    <w:t>《黑龙江省生态环境厅 黑龙江省财政厅关于 印发《黑龙江省水环境生态补偿办法》的通知》（黑环发〔2024〕22 号）</w:t>
                  </w:r>
                  <w:r>
                    <w:rPr>
                      <w:rFonts w:hint="default" w:ascii="Times New Roman" w:hAnsi="Times New Roman" w:cs="Times New Roman"/>
                      <w:bCs/>
                      <w:color w:val="auto"/>
                      <w:sz w:val="21"/>
                      <w:szCs w:val="21"/>
                      <w:highlight w:val="none"/>
                    </w:rPr>
                    <w:t>，穆棱河</w:t>
                  </w:r>
                  <w:r>
                    <w:rPr>
                      <w:rFonts w:hint="default" w:ascii="Times New Roman" w:hAnsi="Times New Roman" w:cs="Times New Roman"/>
                      <w:bCs/>
                      <w:color w:val="auto"/>
                      <w:sz w:val="21"/>
                      <w:szCs w:val="21"/>
                      <w:highlight w:val="none"/>
                      <w:lang w:val="en-US" w:eastAsia="zh-CN"/>
                    </w:rPr>
                    <w:t>碱场桥、</w:t>
                  </w:r>
                  <w:r>
                    <w:rPr>
                      <w:rFonts w:hint="default" w:ascii="Times New Roman" w:hAnsi="Times New Roman" w:cs="Times New Roman"/>
                      <w:bCs/>
                      <w:color w:val="auto"/>
                      <w:sz w:val="21"/>
                      <w:szCs w:val="21"/>
                      <w:highlight w:val="none"/>
                    </w:rPr>
                    <w:t>知一桥、穆棱河河口内断面</w:t>
                  </w:r>
                  <w:r>
                    <w:rPr>
                      <w:rFonts w:hint="default" w:ascii="Times New Roman" w:hAnsi="Times New Roman" w:cs="Times New Roman"/>
                      <w:bCs/>
                      <w:color w:val="auto"/>
                      <w:sz w:val="21"/>
                      <w:szCs w:val="21"/>
                      <w:highlight w:val="none"/>
                      <w:lang w:val="en-US" w:eastAsia="zh-CN"/>
                    </w:rPr>
                    <w:t>均</w:t>
                  </w:r>
                  <w:r>
                    <w:rPr>
                      <w:rFonts w:hint="default" w:ascii="Times New Roman" w:hAnsi="Times New Roman" w:cs="Times New Roman"/>
                      <w:bCs/>
                      <w:color w:val="auto"/>
                      <w:sz w:val="21"/>
                      <w:szCs w:val="21"/>
                      <w:highlight w:val="none"/>
                    </w:rPr>
                    <w:t>达到Ⅲ类水质类别标准</w:t>
                  </w:r>
                  <w:r>
                    <w:rPr>
                      <w:rFonts w:hint="default" w:ascii="Times New Roman" w:hAnsi="Times New Roman" w:eastAsia="宋体" w:cs="Times New Roman"/>
                      <w:color w:val="auto"/>
                      <w:sz w:val="21"/>
                      <w:szCs w:val="21"/>
                      <w:highlight w:val="none"/>
                    </w:rPr>
                    <w:t>。</w:t>
                  </w:r>
                </w:p>
                <w:p w14:paraId="316F070D">
                  <w:pPr>
                    <w:pStyle w:val="3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b w:val="0"/>
                      <w:bCs w:val="0"/>
                      <w:color w:val="auto"/>
                      <w:spacing w:val="0"/>
                      <w:sz w:val="21"/>
                      <w:szCs w:val="21"/>
                      <w:highlight w:val="none"/>
                    </w:rPr>
                    <w:t>本项目</w:t>
                  </w:r>
                  <w:r>
                    <w:rPr>
                      <w:rFonts w:hint="default" w:ascii="Times New Roman" w:hAnsi="Times New Roman" w:cs="Times New Roman"/>
                      <w:b w:val="0"/>
                      <w:bCs w:val="0"/>
                      <w:color w:val="auto"/>
                      <w:spacing w:val="0"/>
                      <w:sz w:val="21"/>
                      <w:szCs w:val="21"/>
                      <w:highlight w:val="none"/>
                      <w:lang w:val="en-US" w:eastAsia="zh-CN"/>
                    </w:rPr>
                    <w:t>不新增</w:t>
                  </w:r>
                  <w:r>
                    <w:rPr>
                      <w:rFonts w:hint="default" w:ascii="Times New Roman" w:hAnsi="Times New Roman" w:eastAsia="宋体" w:cs="Times New Roman"/>
                      <w:b w:val="0"/>
                      <w:bCs w:val="0"/>
                      <w:color w:val="auto"/>
                      <w:spacing w:val="0"/>
                      <w:sz w:val="21"/>
                      <w:szCs w:val="21"/>
                      <w:highlight w:val="none"/>
                    </w:rPr>
                    <w:t>生活污水</w:t>
                  </w:r>
                  <w:r>
                    <w:rPr>
                      <w:rFonts w:hint="default" w:ascii="Times New Roman" w:hAnsi="Times New Roman" w:cs="Times New Roman"/>
                      <w:b w:val="0"/>
                      <w:bCs w:val="0"/>
                      <w:color w:val="auto"/>
                      <w:spacing w:val="0"/>
                      <w:sz w:val="21"/>
                      <w:szCs w:val="21"/>
                      <w:highlight w:val="none"/>
                      <w:lang w:eastAsia="zh-CN"/>
                    </w:rPr>
                    <w:t>，</w:t>
                  </w:r>
                  <w:r>
                    <w:rPr>
                      <w:rFonts w:hint="default" w:ascii="Times New Roman" w:hAnsi="Times New Roman" w:eastAsia="宋体" w:cs="Times New Roman"/>
                      <w:bCs/>
                      <w:color w:val="auto"/>
                      <w:spacing w:val="0"/>
                      <w:kern w:val="0"/>
                      <w:sz w:val="21"/>
                      <w:szCs w:val="21"/>
                      <w:highlight w:val="none"/>
                      <w:lang w:val="en-US" w:eastAsia="zh-CN"/>
                    </w:rPr>
                    <w:t>反冲洗废水</w:t>
                  </w:r>
                  <w:r>
                    <w:rPr>
                      <w:rFonts w:hint="eastAsia" w:cs="Times New Roman"/>
                      <w:color w:val="auto"/>
                      <w:sz w:val="21"/>
                      <w:szCs w:val="21"/>
                      <w:highlight w:val="none"/>
                      <w:lang w:eastAsia="zh-CN"/>
                    </w:rPr>
                    <w:t>回收</w:t>
                  </w:r>
                  <w:r>
                    <w:rPr>
                      <w:rFonts w:hint="eastAsia" w:cs="Times New Roman"/>
                      <w:color w:val="auto"/>
                      <w:sz w:val="21"/>
                      <w:szCs w:val="21"/>
                      <w:highlight w:val="none"/>
                      <w:lang w:val="en-US" w:eastAsia="zh-CN"/>
                    </w:rPr>
                    <w:t>排入</w:t>
                  </w:r>
                  <w:r>
                    <w:rPr>
                      <w:rFonts w:hint="eastAsia" w:cs="Times New Roman"/>
                      <w:color w:val="auto"/>
                      <w:sz w:val="21"/>
                      <w:szCs w:val="21"/>
                      <w:highlight w:val="none"/>
                      <w:lang w:eastAsia="zh-CN"/>
                    </w:rPr>
                    <w:t>配水</w:t>
                  </w:r>
                  <w:r>
                    <w:rPr>
                      <w:rFonts w:hint="eastAsia" w:cs="Times New Roman"/>
                      <w:color w:val="auto"/>
                      <w:sz w:val="21"/>
                      <w:szCs w:val="21"/>
                      <w:highlight w:val="none"/>
                      <w:lang w:val="en-US" w:eastAsia="zh-CN"/>
                    </w:rPr>
                    <w:t>井</w:t>
                  </w:r>
                  <w:r>
                    <w:rPr>
                      <w:rFonts w:hint="eastAsia" w:cs="Times New Roman"/>
                      <w:color w:val="auto"/>
                      <w:sz w:val="21"/>
                      <w:szCs w:val="21"/>
                      <w:highlight w:val="none"/>
                      <w:lang w:eastAsia="zh-CN"/>
                    </w:rPr>
                    <w:t>与原水混合回用，不外排，</w:t>
                  </w:r>
                  <w:r>
                    <w:rPr>
                      <w:rFonts w:hint="default" w:ascii="Times New Roman" w:hAnsi="Times New Roman" w:eastAsia="宋体" w:cs="Times New Roman"/>
                      <w:color w:val="auto"/>
                      <w:spacing w:val="0"/>
                      <w:sz w:val="21"/>
                      <w:szCs w:val="21"/>
                    </w:rPr>
                    <w:t>沉淀池排泥水</w:t>
                  </w:r>
                  <w:r>
                    <w:rPr>
                      <w:rFonts w:hint="default" w:ascii="Times New Roman" w:hAnsi="Times New Roman" w:eastAsia="宋体" w:cs="Times New Roman"/>
                      <w:color w:val="auto"/>
                      <w:spacing w:val="0"/>
                      <w:kern w:val="21"/>
                      <w:sz w:val="21"/>
                      <w:szCs w:val="21"/>
                      <w:highlight w:val="none"/>
                      <w:lang w:val="en-US" w:eastAsia="zh-CN"/>
                    </w:rPr>
                    <w:t>经絮凝、沉淀处理后满足</w:t>
                  </w:r>
                  <w:r>
                    <w:rPr>
                      <w:rFonts w:hint="default" w:ascii="Times New Roman" w:hAnsi="Times New Roman" w:eastAsia="宋体" w:cs="Times New Roman"/>
                      <w:color w:val="auto"/>
                      <w:spacing w:val="0"/>
                      <w:sz w:val="21"/>
                      <w:szCs w:val="21"/>
                      <w:highlight w:val="none"/>
                      <w:lang w:val="en-US" w:eastAsia="zh-CN"/>
                    </w:rPr>
                    <w:t>《地表水环境质量标准》（GB3838-2002）表1中三类标准、悬浮物满足《污水综合排放标准》（GB8978-1996）一级标准</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排入</w:t>
                  </w:r>
                  <w:r>
                    <w:rPr>
                      <w:rFonts w:hint="eastAsia" w:ascii="Times New Roman" w:hAnsi="Times New Roman" w:eastAsia="宋体" w:cs="Times New Roman"/>
                      <w:color w:val="auto"/>
                      <w:sz w:val="21"/>
                      <w:szCs w:val="21"/>
                      <w:highlight w:val="none"/>
                      <w:lang w:val="en-US" w:eastAsia="zh-CN"/>
                    </w:rPr>
                    <w:t>红光沟流入</w:t>
                  </w:r>
                  <w:r>
                    <w:rPr>
                      <w:rFonts w:hint="default" w:ascii="Times New Roman" w:hAnsi="Times New Roman" w:eastAsia="宋体" w:cs="Times New Roman"/>
                      <w:color w:val="auto"/>
                      <w:sz w:val="21"/>
                      <w:szCs w:val="21"/>
                      <w:highlight w:val="none"/>
                      <w:lang w:val="en-US" w:eastAsia="zh-CN"/>
                    </w:rPr>
                    <w:t>穆棱河</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不会对地表水和地下水环境造成影响，符合水环境质量底线要求。</w:t>
                  </w:r>
                </w:p>
                <w:p w14:paraId="43B2AA5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3、声环境</w:t>
                  </w:r>
                </w:p>
                <w:p w14:paraId="14328A2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sz w:val="21"/>
                      <w:szCs w:val="21"/>
                      <w:highlight w:val="none"/>
                    </w:rPr>
                    <w:t>根据</w:t>
                  </w:r>
                  <w:r>
                    <w:rPr>
                      <w:rFonts w:hint="default" w:ascii="Times New Roman" w:hAnsi="Times New Roman" w:eastAsia="宋体" w:cs="Times New Roman"/>
                      <w:color w:val="auto"/>
                      <w:sz w:val="21"/>
                      <w:szCs w:val="21"/>
                      <w:highlight w:val="yellow"/>
                    </w:rPr>
                    <w:t>《202</w:t>
                  </w:r>
                  <w:r>
                    <w:rPr>
                      <w:rFonts w:hint="eastAsia" w:cs="Times New Roman"/>
                      <w:color w:val="auto"/>
                      <w:sz w:val="21"/>
                      <w:szCs w:val="21"/>
                      <w:highlight w:val="yellow"/>
                      <w:lang w:val="en-US" w:eastAsia="zh-CN"/>
                    </w:rPr>
                    <w:t>5</w:t>
                  </w:r>
                  <w:r>
                    <w:rPr>
                      <w:rFonts w:hint="default" w:ascii="Times New Roman" w:hAnsi="Times New Roman" w:eastAsia="宋体" w:cs="Times New Roman"/>
                      <w:color w:val="auto"/>
                      <w:sz w:val="21"/>
                      <w:szCs w:val="21"/>
                      <w:highlight w:val="yellow"/>
                    </w:rPr>
                    <w:t>年</w:t>
                  </w:r>
                  <w:r>
                    <w:rPr>
                      <w:rFonts w:hint="default" w:ascii="Times New Roman" w:hAnsi="Times New Roman" w:eastAsia="宋体" w:cs="Times New Roman"/>
                      <w:color w:val="auto"/>
                      <w:sz w:val="21"/>
                      <w:szCs w:val="21"/>
                      <w:highlight w:val="yellow"/>
                      <w:lang w:val="en-US" w:eastAsia="zh-CN"/>
                    </w:rPr>
                    <w:t>黑龙江省生态环境质量状况</w:t>
                  </w:r>
                  <w:r>
                    <w:rPr>
                      <w:rFonts w:hint="default" w:ascii="Times New Roman" w:hAnsi="Times New Roman" w:eastAsia="宋体" w:cs="Times New Roman"/>
                      <w:color w:val="auto"/>
                      <w:sz w:val="21"/>
                      <w:szCs w:val="21"/>
                      <w:highlight w:val="yellow"/>
                    </w:rPr>
                    <w:t>》</w:t>
                  </w:r>
                  <w:r>
                    <w:rPr>
                      <w:rFonts w:hint="default" w:ascii="Times New Roman" w:hAnsi="Times New Roman" w:eastAsia="宋体" w:cs="Times New Roman"/>
                      <w:color w:val="auto"/>
                      <w:sz w:val="21"/>
                      <w:szCs w:val="21"/>
                      <w:highlight w:val="none"/>
                    </w:rPr>
                    <w:t>数据可知，</w:t>
                  </w:r>
                  <w:r>
                    <w:rPr>
                      <w:rFonts w:hint="default" w:ascii="Times New Roman" w:hAnsi="Times New Roman" w:eastAsia="宋体" w:cs="Times New Roman"/>
                      <w:color w:val="auto"/>
                      <w:sz w:val="21"/>
                      <w:szCs w:val="21"/>
                      <w:highlight w:val="yellow"/>
                    </w:rPr>
                    <w:t>202</w:t>
                  </w:r>
                  <w:r>
                    <w:rPr>
                      <w:rFonts w:hint="eastAsia" w:cs="Times New Roman"/>
                      <w:color w:val="auto"/>
                      <w:sz w:val="21"/>
                      <w:szCs w:val="21"/>
                      <w:highlight w:val="yellow"/>
                      <w:lang w:val="en-US" w:eastAsia="zh-CN"/>
                    </w:rPr>
                    <w:t>5</w:t>
                  </w:r>
                  <w:r>
                    <w:rPr>
                      <w:rFonts w:hint="default" w:ascii="Times New Roman" w:hAnsi="Times New Roman" w:eastAsia="宋体" w:cs="Times New Roman"/>
                      <w:color w:val="auto"/>
                      <w:sz w:val="21"/>
                      <w:szCs w:val="21"/>
                      <w:highlight w:val="yellow"/>
                    </w:rPr>
                    <w:t>年</w:t>
                  </w:r>
                  <w:r>
                    <w:rPr>
                      <w:rFonts w:hint="default" w:ascii="Times New Roman" w:hAnsi="Times New Roman" w:eastAsia="宋体" w:cs="Times New Roman"/>
                      <w:color w:val="auto"/>
                      <w:kern w:val="0"/>
                      <w:sz w:val="21"/>
                      <w:szCs w:val="21"/>
                      <w:highlight w:val="none"/>
                      <w:lang w:val="en-US" w:eastAsia="zh-CN" w:bidi="ar"/>
                    </w:rPr>
                    <w:t>鸡西市区域昼间声环境质量为二级，</w:t>
                  </w:r>
                  <w:r>
                    <w:rPr>
                      <w:rFonts w:hint="default" w:ascii="Times New Roman" w:hAnsi="Times New Roman" w:eastAsia="宋体" w:cs="Times New Roman"/>
                      <w:color w:val="auto"/>
                      <w:kern w:val="0"/>
                      <w:sz w:val="21"/>
                      <w:szCs w:val="21"/>
                      <w:highlight w:val="yellow"/>
                      <w:lang w:val="en-US" w:eastAsia="zh-CN" w:bidi="ar"/>
                    </w:rPr>
                    <w:t>等效声级为5</w:t>
                  </w:r>
                  <w:r>
                    <w:rPr>
                      <w:rFonts w:hint="eastAsia" w:cs="Times New Roman"/>
                      <w:color w:val="auto"/>
                      <w:kern w:val="0"/>
                      <w:sz w:val="21"/>
                      <w:szCs w:val="21"/>
                      <w:highlight w:val="yellow"/>
                      <w:lang w:val="en-US" w:eastAsia="zh-CN" w:bidi="ar"/>
                    </w:rPr>
                    <w:t>3.2</w:t>
                  </w:r>
                  <w:r>
                    <w:rPr>
                      <w:rFonts w:hint="default" w:ascii="Times New Roman" w:hAnsi="Times New Roman" w:eastAsia="宋体" w:cs="Times New Roman"/>
                      <w:color w:val="auto"/>
                      <w:kern w:val="0"/>
                      <w:sz w:val="21"/>
                      <w:szCs w:val="21"/>
                      <w:highlight w:val="yellow"/>
                      <w:lang w:val="en-US" w:eastAsia="zh-CN" w:bidi="ar"/>
                    </w:rPr>
                    <w:t>dB(A</w:t>
                  </w:r>
                  <w:r>
                    <w:rPr>
                      <w:rFonts w:hint="eastAsia" w:cs="Times New Roman"/>
                      <w:color w:val="auto"/>
                      <w:kern w:val="0"/>
                      <w:sz w:val="21"/>
                      <w:szCs w:val="21"/>
                      <w:highlight w:val="yellow"/>
                      <w:lang w:val="en-US" w:eastAsia="zh-CN" w:bidi="ar"/>
                    </w:rPr>
                    <w:t>）</w:t>
                  </w:r>
                  <w:r>
                    <w:rPr>
                      <w:rFonts w:hint="eastAsia" w:cs="Times New Roman"/>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道路交通昼间声环境质量为一级，等效声级为</w:t>
                  </w:r>
                  <w:r>
                    <w:rPr>
                      <w:rFonts w:hint="default" w:ascii="Times New Roman" w:hAnsi="Times New Roman" w:eastAsia="宋体" w:cs="Times New Roman"/>
                      <w:color w:val="auto"/>
                      <w:kern w:val="0"/>
                      <w:sz w:val="21"/>
                      <w:szCs w:val="21"/>
                      <w:highlight w:val="yellow"/>
                      <w:lang w:val="en-US" w:eastAsia="zh-CN" w:bidi="ar"/>
                    </w:rPr>
                    <w:t>6</w:t>
                  </w:r>
                  <w:r>
                    <w:rPr>
                      <w:rFonts w:hint="eastAsia" w:cs="Times New Roman"/>
                      <w:color w:val="auto"/>
                      <w:kern w:val="0"/>
                      <w:sz w:val="21"/>
                      <w:szCs w:val="21"/>
                      <w:highlight w:val="yellow"/>
                      <w:lang w:val="en-US" w:eastAsia="zh-CN" w:bidi="ar"/>
                    </w:rPr>
                    <w:t>4.7</w:t>
                  </w:r>
                  <w:r>
                    <w:rPr>
                      <w:rFonts w:hint="default" w:ascii="Times New Roman" w:hAnsi="Times New Roman" w:eastAsia="宋体" w:cs="Times New Roman"/>
                      <w:color w:val="auto"/>
                      <w:kern w:val="0"/>
                      <w:sz w:val="21"/>
                      <w:szCs w:val="21"/>
                      <w:highlight w:val="yellow"/>
                      <w:lang w:val="en-US" w:eastAsia="zh-CN" w:bidi="ar"/>
                    </w:rPr>
                    <w:t>dB(A</w:t>
                  </w:r>
                  <w:r>
                    <w:rPr>
                      <w:rFonts w:hint="eastAsia" w:cs="Times New Roman"/>
                      <w:color w:val="auto"/>
                      <w:kern w:val="0"/>
                      <w:sz w:val="21"/>
                      <w:szCs w:val="21"/>
                      <w:highlight w:val="yellow"/>
                      <w:lang w:val="en-US" w:eastAsia="zh-CN" w:bidi="ar"/>
                    </w:rPr>
                    <w:t>）</w:t>
                  </w:r>
                  <w:r>
                    <w:rPr>
                      <w:rFonts w:hint="default" w:ascii="Times New Roman" w:hAnsi="Times New Roman" w:eastAsia="宋体" w:cs="Times New Roman"/>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rPr>
                    <w:t>本项目</w:t>
                  </w:r>
                  <w:r>
                    <w:rPr>
                      <w:rFonts w:hint="default" w:ascii="Times New Roman" w:hAnsi="Times New Roman" w:eastAsia="宋体" w:cs="Times New Roman"/>
                      <w:color w:val="auto"/>
                      <w:kern w:val="0"/>
                      <w:sz w:val="21"/>
                      <w:szCs w:val="21"/>
                      <w:highlight w:val="none"/>
                    </w:rPr>
                    <w:t>厂界外50米范围内</w:t>
                  </w:r>
                  <w:r>
                    <w:rPr>
                      <w:rFonts w:hint="default" w:ascii="Times New Roman" w:hAnsi="Times New Roman" w:cs="Times New Roman"/>
                      <w:color w:val="auto"/>
                      <w:kern w:val="0"/>
                      <w:sz w:val="21"/>
                      <w:szCs w:val="21"/>
                      <w:highlight w:val="none"/>
                      <w:lang w:val="en-US" w:eastAsia="zh-CN"/>
                    </w:rPr>
                    <w:t>无</w:t>
                  </w:r>
                  <w:r>
                    <w:rPr>
                      <w:rFonts w:hint="default" w:ascii="Times New Roman" w:hAnsi="Times New Roman" w:eastAsia="宋体" w:cs="Times New Roman"/>
                      <w:color w:val="auto"/>
                      <w:kern w:val="0"/>
                      <w:sz w:val="21"/>
                      <w:szCs w:val="21"/>
                      <w:highlight w:val="none"/>
                    </w:rPr>
                    <w:t>声环境保护目标。</w:t>
                  </w:r>
                  <w:r>
                    <w:rPr>
                      <w:rFonts w:hint="default" w:ascii="Times New Roman" w:hAnsi="Times New Roman" w:cs="Times New Roman"/>
                      <w:color w:val="auto"/>
                      <w:sz w:val="21"/>
                      <w:szCs w:val="21"/>
                      <w:highlight w:val="none"/>
                    </w:rPr>
                    <w:t>本项目采用低噪声设备、厂房隔声、基础减振等措施。</w:t>
                  </w:r>
                  <w:r>
                    <w:rPr>
                      <w:rFonts w:hint="default" w:ascii="Times New Roman" w:hAnsi="Times New Roman" w:cs="Times New Roman"/>
                      <w:color w:val="auto"/>
                      <w:sz w:val="21"/>
                      <w:szCs w:val="21"/>
                      <w:highlight w:val="none"/>
                      <w:lang w:val="en-US" w:eastAsia="zh-CN"/>
                    </w:rPr>
                    <w:t>不会对周边声环境造成影响，因此符合声环境质量底线要求。</w:t>
                  </w:r>
                </w:p>
                <w:p w14:paraId="121E22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color w:val="auto"/>
                      <w:sz w:val="21"/>
                      <w:szCs w:val="21"/>
                      <w:highlight w:val="none"/>
                    </w:rPr>
                  </w:pPr>
                  <w:r>
                    <w:rPr>
                      <w:rFonts w:hint="default" w:ascii="Times New Roman" w:hAnsi="Times New Roman" w:cs="Times New Roman"/>
                      <w:color w:val="auto"/>
                      <w:kern w:val="0"/>
                      <w:sz w:val="21"/>
                      <w:szCs w:val="21"/>
                      <w:highlight w:val="none"/>
                    </w:rPr>
                    <w:t>本项目运营期各类污染物经环境保护措施治理后均可达标排放，对区域环境造成的不利影响较小，不会改变区域环境质量现状，因此，</w:t>
                  </w:r>
                  <w:r>
                    <w:rPr>
                      <w:rFonts w:hint="default" w:ascii="Times New Roman" w:hAnsi="Times New Roman" w:cs="Times New Roman"/>
                      <w:color w:val="auto"/>
                      <w:kern w:val="0"/>
                      <w:sz w:val="21"/>
                      <w:szCs w:val="21"/>
                      <w:highlight w:val="none"/>
                      <w:lang w:val="en-US" w:eastAsia="zh-CN"/>
                    </w:rPr>
                    <w:t>本项目</w:t>
                  </w:r>
                  <w:r>
                    <w:rPr>
                      <w:rFonts w:hint="default" w:ascii="Times New Roman" w:hAnsi="Times New Roman" w:cs="Times New Roman"/>
                      <w:color w:val="auto"/>
                      <w:kern w:val="0"/>
                      <w:sz w:val="21"/>
                      <w:szCs w:val="21"/>
                      <w:highlight w:val="none"/>
                    </w:rPr>
                    <w:t>符合环境质量底线要求。</w:t>
                  </w:r>
                </w:p>
              </w:tc>
            </w:tr>
            <w:tr w14:paraId="203BF5DC">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3"/>
                  <w:tcBorders>
                    <w:top w:val="single" w:color="auto" w:sz="4" w:space="0"/>
                    <w:bottom w:val="single" w:color="auto" w:sz="4" w:space="0"/>
                  </w:tcBorders>
                  <w:noWrap w:val="0"/>
                  <w:vAlign w:val="center"/>
                </w:tcPr>
                <w:p w14:paraId="09074620">
                  <w:pPr>
                    <w:keepNext w:val="0"/>
                    <w:keepLines w:val="0"/>
                    <w:suppressLineNumbers w:val="0"/>
                    <w:adjustRightInd w:val="0"/>
                    <w:spacing w:before="0" w:beforeAutospacing="0" w:after="0" w:afterAutospacing="0" w:line="240" w:lineRule="auto"/>
                    <w:ind w:left="0" w:right="0"/>
                    <w:jc w:val="center"/>
                    <w:textAlignment w:val="baseline"/>
                    <w:rPr>
                      <w:rFonts w:hint="default"/>
                      <w:color w:val="auto"/>
                      <w:sz w:val="21"/>
                      <w:szCs w:val="21"/>
                      <w:highlight w:val="none"/>
                      <w:lang w:val="en-US"/>
                    </w:rPr>
                  </w:pPr>
                  <w:r>
                    <w:rPr>
                      <w:rFonts w:hint="default"/>
                      <w:b/>
                      <w:bCs/>
                      <w:color w:val="auto"/>
                      <w:sz w:val="21"/>
                      <w:szCs w:val="21"/>
                      <w:highlight w:val="none"/>
                    </w:rPr>
                    <w:t>三、资源利用</w:t>
                  </w:r>
                  <w:r>
                    <w:rPr>
                      <w:rFonts w:hint="eastAsia"/>
                      <w:b/>
                      <w:bCs/>
                      <w:color w:val="auto"/>
                      <w:sz w:val="21"/>
                      <w:szCs w:val="21"/>
                      <w:highlight w:val="none"/>
                      <w:lang w:eastAsia="zh-CN"/>
                    </w:rPr>
                    <w:t>上</w:t>
                  </w:r>
                  <w:r>
                    <w:rPr>
                      <w:rFonts w:hint="eastAsia"/>
                      <w:b/>
                      <w:bCs/>
                      <w:color w:val="auto"/>
                      <w:sz w:val="21"/>
                      <w:szCs w:val="21"/>
                      <w:highlight w:val="none"/>
                      <w:lang w:val="en-US" w:eastAsia="zh-CN"/>
                    </w:rPr>
                    <w:t>线</w:t>
                  </w:r>
                </w:p>
              </w:tc>
            </w:tr>
            <w:tr w14:paraId="358043B8">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3"/>
                  <w:tcBorders>
                    <w:top w:val="single" w:color="auto" w:sz="4" w:space="0"/>
                    <w:bottom w:val="single" w:color="auto" w:sz="4" w:space="0"/>
                  </w:tcBorders>
                  <w:noWrap w:val="0"/>
                  <w:vAlign w:val="center"/>
                </w:tcPr>
                <w:p w14:paraId="536FAF4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default"/>
                      <w:color w:val="auto"/>
                      <w:sz w:val="21"/>
                      <w:szCs w:val="21"/>
                      <w:highlight w:val="none"/>
                    </w:rPr>
                  </w:pPr>
                  <w:r>
                    <w:rPr>
                      <w:rFonts w:hint="default"/>
                      <w:color w:val="auto"/>
                      <w:kern w:val="0"/>
                      <w:sz w:val="21"/>
                      <w:szCs w:val="21"/>
                      <w:highlight w:val="none"/>
                    </w:rPr>
                    <w:t>本项目</w:t>
                  </w:r>
                  <w:r>
                    <w:rPr>
                      <w:rFonts w:hint="eastAsia"/>
                      <w:color w:val="auto"/>
                      <w:kern w:val="0"/>
                      <w:sz w:val="21"/>
                      <w:szCs w:val="21"/>
                      <w:highlight w:val="none"/>
                      <w:lang w:val="en-US" w:eastAsia="zh-CN"/>
                    </w:rPr>
                    <w:t>为自来水供应项目，水资源消耗主要用于城市供应，项目运行中会消耗一定的水资源和电力资源，</w:t>
                  </w:r>
                  <w:r>
                    <w:rPr>
                      <w:rFonts w:hint="default"/>
                      <w:color w:val="auto"/>
                      <w:kern w:val="0"/>
                      <w:sz w:val="21"/>
                      <w:szCs w:val="21"/>
                      <w:highlight w:val="none"/>
                    </w:rPr>
                    <w:t>不会突破区域的资源利用上线</w:t>
                  </w:r>
                  <w:r>
                    <w:rPr>
                      <w:rFonts w:hint="eastAsia"/>
                      <w:color w:val="auto"/>
                      <w:kern w:val="0"/>
                      <w:sz w:val="21"/>
                      <w:szCs w:val="21"/>
                      <w:highlight w:val="none"/>
                      <w:lang w:eastAsia="zh-CN"/>
                    </w:rPr>
                    <w:t>，</w:t>
                  </w:r>
                  <w:r>
                    <w:rPr>
                      <w:rFonts w:hint="eastAsia"/>
                      <w:color w:val="auto"/>
                      <w:kern w:val="0"/>
                      <w:sz w:val="21"/>
                      <w:szCs w:val="21"/>
                      <w:highlight w:val="none"/>
                      <w:lang w:val="en-US" w:eastAsia="zh-CN"/>
                    </w:rPr>
                    <w:t>本项目</w:t>
                  </w:r>
                  <w:r>
                    <w:rPr>
                      <w:rFonts w:hint="default"/>
                      <w:color w:val="auto"/>
                      <w:kern w:val="0"/>
                      <w:sz w:val="21"/>
                      <w:szCs w:val="21"/>
                      <w:highlight w:val="none"/>
                    </w:rPr>
                    <w:t>符合资源利用上线要求。</w:t>
                  </w:r>
                </w:p>
              </w:tc>
            </w:tr>
            <w:tr w14:paraId="71B057FE">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3"/>
                  <w:tcBorders>
                    <w:top w:val="single" w:color="auto" w:sz="4" w:space="0"/>
                    <w:bottom w:val="single" w:color="auto" w:sz="4" w:space="0"/>
                  </w:tcBorders>
                  <w:noWrap w:val="0"/>
                  <w:vAlign w:val="center"/>
                </w:tcPr>
                <w:p w14:paraId="2D732A3F">
                  <w:pPr>
                    <w:keepNext w:val="0"/>
                    <w:keepLines w:val="0"/>
                    <w:suppressLineNumbers w:val="0"/>
                    <w:adjustRightInd w:val="0"/>
                    <w:spacing w:before="0" w:beforeAutospacing="0" w:after="0" w:afterAutospacing="0" w:line="240" w:lineRule="auto"/>
                    <w:ind w:left="0" w:right="0"/>
                    <w:jc w:val="center"/>
                    <w:textAlignment w:val="baseline"/>
                    <w:rPr>
                      <w:rFonts w:hint="default"/>
                      <w:color w:val="auto"/>
                      <w:sz w:val="21"/>
                      <w:szCs w:val="21"/>
                      <w:highlight w:val="none"/>
                    </w:rPr>
                  </w:pPr>
                  <w:r>
                    <w:rPr>
                      <w:rFonts w:hint="default"/>
                      <w:b/>
                      <w:bCs/>
                      <w:color w:val="auto"/>
                      <w:sz w:val="21"/>
                      <w:szCs w:val="21"/>
                      <w:highlight w:val="none"/>
                    </w:rPr>
                    <w:t>四、环境准入清单</w:t>
                  </w:r>
                </w:p>
              </w:tc>
            </w:tr>
            <w:tr w14:paraId="2AD1EFC2">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4" w:type="pct"/>
                  <w:tcBorders>
                    <w:top w:val="single" w:color="auto" w:sz="4" w:space="0"/>
                    <w:bottom w:val="single" w:color="auto" w:sz="4" w:space="0"/>
                    <w:right w:val="single" w:color="auto" w:sz="4" w:space="0"/>
                  </w:tcBorders>
                  <w:noWrap w:val="0"/>
                  <w:vAlign w:val="center"/>
                </w:tcPr>
                <w:p w14:paraId="42D57838">
                  <w:pPr>
                    <w:keepNext w:val="0"/>
                    <w:keepLines w:val="0"/>
                    <w:suppressLineNumbers w:val="0"/>
                    <w:adjustRightInd w:val="0"/>
                    <w:spacing w:before="0" w:beforeAutospacing="0" w:after="0" w:afterAutospacing="0" w:line="240" w:lineRule="auto"/>
                    <w:ind w:left="0" w:right="0"/>
                    <w:jc w:val="center"/>
                    <w:textAlignment w:val="baseline"/>
                    <w:rPr>
                      <w:rFonts w:hint="default"/>
                      <w:b/>
                      <w:bCs/>
                      <w:color w:val="auto"/>
                      <w:sz w:val="21"/>
                      <w:szCs w:val="21"/>
                      <w:highlight w:val="none"/>
                    </w:rPr>
                  </w:pPr>
                  <w:r>
                    <w:rPr>
                      <w:rFonts w:hint="default"/>
                      <w:b/>
                      <w:bCs/>
                      <w:color w:val="auto"/>
                      <w:sz w:val="21"/>
                      <w:szCs w:val="21"/>
                      <w:highlight w:val="none"/>
                    </w:rPr>
                    <w:t>环境管控单元名称</w:t>
                  </w:r>
                </w:p>
              </w:tc>
              <w:tc>
                <w:tcPr>
                  <w:tcW w:w="4165" w:type="pct"/>
                  <w:gridSpan w:val="2"/>
                  <w:tcBorders>
                    <w:top w:val="single" w:color="auto" w:sz="4" w:space="0"/>
                    <w:left w:val="single" w:color="auto" w:sz="4" w:space="0"/>
                    <w:bottom w:val="single" w:color="auto" w:sz="4" w:space="0"/>
                  </w:tcBorders>
                  <w:noWrap w:val="0"/>
                  <w:vAlign w:val="center"/>
                </w:tcPr>
                <w:p w14:paraId="376FA482">
                  <w:pPr>
                    <w:keepNext w:val="0"/>
                    <w:keepLines w:val="0"/>
                    <w:widowControl/>
                    <w:suppressLineNumbers w:val="0"/>
                    <w:spacing w:before="0" w:beforeAutospacing="0" w:after="0" w:afterAutospacing="0"/>
                    <w:ind w:left="0" w:leftChars="0" w:right="0" w:rightChars="0"/>
                    <w:jc w:val="center"/>
                    <w:rPr>
                      <w:rFonts w:hint="eastAsia"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鸡冠水环境工业污染重点管控区</w:t>
                  </w:r>
                </w:p>
              </w:tc>
            </w:tr>
            <w:tr w14:paraId="5CC80B40">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4" w:type="pct"/>
                  <w:tcBorders>
                    <w:top w:val="single" w:color="auto" w:sz="4" w:space="0"/>
                    <w:bottom w:val="single" w:color="auto" w:sz="4" w:space="0"/>
                    <w:right w:val="single" w:color="auto" w:sz="4" w:space="0"/>
                  </w:tcBorders>
                  <w:noWrap w:val="0"/>
                  <w:vAlign w:val="center"/>
                </w:tcPr>
                <w:p w14:paraId="3F1AA667">
                  <w:pPr>
                    <w:keepNext w:val="0"/>
                    <w:keepLines w:val="0"/>
                    <w:suppressLineNumbers w:val="0"/>
                    <w:adjustRightInd w:val="0"/>
                    <w:spacing w:before="0" w:beforeAutospacing="0" w:after="0" w:afterAutospacing="0" w:line="240" w:lineRule="auto"/>
                    <w:ind w:left="0" w:right="0"/>
                    <w:jc w:val="center"/>
                    <w:textAlignment w:val="baseline"/>
                    <w:rPr>
                      <w:rFonts w:hint="default"/>
                      <w:b/>
                      <w:bCs/>
                      <w:color w:val="auto"/>
                      <w:sz w:val="21"/>
                      <w:szCs w:val="21"/>
                      <w:highlight w:val="none"/>
                    </w:rPr>
                  </w:pPr>
                  <w:r>
                    <w:rPr>
                      <w:rFonts w:hint="default"/>
                      <w:b/>
                      <w:bCs/>
                      <w:color w:val="auto"/>
                      <w:sz w:val="21"/>
                      <w:szCs w:val="21"/>
                      <w:highlight w:val="none"/>
                    </w:rPr>
                    <w:t>环境管控单元编码</w:t>
                  </w:r>
                </w:p>
              </w:tc>
              <w:tc>
                <w:tcPr>
                  <w:tcW w:w="4165" w:type="pct"/>
                  <w:gridSpan w:val="2"/>
                  <w:tcBorders>
                    <w:top w:val="single" w:color="auto" w:sz="4" w:space="0"/>
                    <w:left w:val="single" w:color="auto" w:sz="4" w:space="0"/>
                    <w:bottom w:val="single" w:color="auto" w:sz="4" w:space="0"/>
                  </w:tcBorders>
                  <w:noWrap w:val="0"/>
                  <w:vAlign w:val="center"/>
                </w:tcPr>
                <w:p w14:paraId="59DB82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lang w:val="en-US" w:eastAsia="zh-CN" w:bidi="ar"/>
                    </w:rPr>
                    <w:t>ZH23030220004</w:t>
                  </w:r>
                </w:p>
              </w:tc>
            </w:tr>
            <w:tr w14:paraId="39D42935">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4" w:type="pct"/>
                  <w:tcBorders>
                    <w:top w:val="single" w:color="auto" w:sz="4" w:space="0"/>
                    <w:bottom w:val="single" w:color="auto" w:sz="4" w:space="0"/>
                    <w:right w:val="single" w:color="auto" w:sz="4" w:space="0"/>
                  </w:tcBorders>
                  <w:noWrap w:val="0"/>
                  <w:vAlign w:val="center"/>
                </w:tcPr>
                <w:p w14:paraId="0CCF947A">
                  <w:pPr>
                    <w:keepNext w:val="0"/>
                    <w:keepLines w:val="0"/>
                    <w:suppressLineNumbers w:val="0"/>
                    <w:adjustRightInd w:val="0"/>
                    <w:spacing w:before="0" w:beforeAutospacing="0" w:after="0" w:afterAutospacing="0" w:line="240" w:lineRule="auto"/>
                    <w:ind w:left="0" w:right="0"/>
                    <w:jc w:val="center"/>
                    <w:textAlignment w:val="baseline"/>
                    <w:rPr>
                      <w:rFonts w:hint="default"/>
                      <w:b/>
                      <w:bCs/>
                      <w:color w:val="auto"/>
                      <w:sz w:val="21"/>
                      <w:szCs w:val="21"/>
                      <w:highlight w:val="none"/>
                    </w:rPr>
                  </w:pPr>
                  <w:r>
                    <w:rPr>
                      <w:rFonts w:hint="default"/>
                      <w:b/>
                      <w:bCs/>
                      <w:color w:val="auto"/>
                      <w:sz w:val="21"/>
                      <w:szCs w:val="21"/>
                      <w:highlight w:val="none"/>
                    </w:rPr>
                    <w:t>管控单元类别</w:t>
                  </w:r>
                </w:p>
              </w:tc>
              <w:tc>
                <w:tcPr>
                  <w:tcW w:w="4165" w:type="pct"/>
                  <w:gridSpan w:val="2"/>
                  <w:tcBorders>
                    <w:top w:val="single" w:color="auto" w:sz="4" w:space="0"/>
                    <w:left w:val="single" w:color="auto" w:sz="4" w:space="0"/>
                    <w:bottom w:val="single" w:color="auto" w:sz="4" w:space="0"/>
                  </w:tcBorders>
                  <w:noWrap w:val="0"/>
                  <w:vAlign w:val="center"/>
                </w:tcPr>
                <w:p w14:paraId="17AB8621">
                  <w:pPr>
                    <w:keepNext w:val="0"/>
                    <w:keepLines w:val="0"/>
                    <w:suppressLineNumbers w:val="0"/>
                    <w:adjustRightInd w:val="0"/>
                    <w:spacing w:before="0" w:beforeAutospacing="0" w:after="0" w:afterAutospacing="0" w:line="240" w:lineRule="auto"/>
                    <w:ind w:left="0" w:right="0"/>
                    <w:jc w:val="center"/>
                    <w:textAlignment w:val="baseline"/>
                    <w:rPr>
                      <w:rFonts w:hint="default"/>
                      <w:color w:val="auto"/>
                      <w:sz w:val="21"/>
                      <w:szCs w:val="21"/>
                      <w:highlight w:val="none"/>
                    </w:rPr>
                  </w:pPr>
                  <w:r>
                    <w:rPr>
                      <w:rFonts w:hint="eastAsia"/>
                      <w:color w:val="auto"/>
                      <w:sz w:val="21"/>
                      <w:szCs w:val="21"/>
                      <w:highlight w:val="none"/>
                      <w:lang w:val="en-US" w:eastAsia="zh-CN"/>
                    </w:rPr>
                    <w:t>重点管控</w:t>
                  </w:r>
                  <w:r>
                    <w:rPr>
                      <w:rFonts w:hint="default"/>
                      <w:color w:val="auto"/>
                      <w:sz w:val="21"/>
                      <w:szCs w:val="21"/>
                      <w:highlight w:val="none"/>
                    </w:rPr>
                    <w:t>单元</w:t>
                  </w:r>
                </w:p>
              </w:tc>
            </w:tr>
            <w:tr w14:paraId="215305EF">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052" w:type="pct"/>
                  <w:gridSpan w:val="2"/>
                  <w:tcBorders>
                    <w:top w:val="single" w:color="auto" w:sz="4" w:space="0"/>
                    <w:bottom w:val="single" w:color="auto" w:sz="4" w:space="0"/>
                    <w:right w:val="single" w:color="auto" w:sz="4" w:space="0"/>
                  </w:tcBorders>
                  <w:noWrap w:val="0"/>
                  <w:vAlign w:val="center"/>
                </w:tcPr>
                <w:p w14:paraId="4822EF97">
                  <w:pPr>
                    <w:keepNext w:val="0"/>
                    <w:keepLines w:val="0"/>
                    <w:suppressLineNumbers w:val="0"/>
                    <w:adjustRightInd w:val="0"/>
                    <w:spacing w:before="0" w:beforeAutospacing="0" w:after="0" w:afterAutospacing="0" w:line="240" w:lineRule="auto"/>
                    <w:ind w:left="0" w:right="0"/>
                    <w:jc w:val="center"/>
                    <w:textAlignment w:val="baseline"/>
                    <w:rPr>
                      <w:rFonts w:hint="default"/>
                      <w:color w:val="auto"/>
                      <w:sz w:val="21"/>
                      <w:szCs w:val="21"/>
                      <w:highlight w:val="none"/>
                    </w:rPr>
                  </w:pPr>
                  <w:r>
                    <w:rPr>
                      <w:rFonts w:hint="default"/>
                      <w:b/>
                      <w:bCs/>
                      <w:color w:val="auto"/>
                      <w:sz w:val="21"/>
                      <w:szCs w:val="21"/>
                      <w:highlight w:val="none"/>
                    </w:rPr>
                    <w:t>管控要求</w:t>
                  </w:r>
                </w:p>
              </w:tc>
              <w:tc>
                <w:tcPr>
                  <w:tcW w:w="947" w:type="pct"/>
                  <w:tcBorders>
                    <w:top w:val="single" w:color="auto" w:sz="4" w:space="0"/>
                    <w:left w:val="single" w:color="auto" w:sz="4" w:space="0"/>
                    <w:bottom w:val="single" w:color="auto" w:sz="4" w:space="0"/>
                  </w:tcBorders>
                  <w:noWrap w:val="0"/>
                  <w:vAlign w:val="center"/>
                </w:tcPr>
                <w:p w14:paraId="4F240D21">
                  <w:pPr>
                    <w:keepNext w:val="0"/>
                    <w:keepLines w:val="0"/>
                    <w:suppressLineNumbers w:val="0"/>
                    <w:adjustRightInd w:val="0"/>
                    <w:spacing w:before="0" w:beforeAutospacing="0" w:after="0" w:afterAutospacing="0" w:line="240" w:lineRule="auto"/>
                    <w:ind w:left="0" w:right="0"/>
                    <w:jc w:val="center"/>
                    <w:textAlignment w:val="baseline"/>
                    <w:rPr>
                      <w:rFonts w:hint="default"/>
                      <w:color w:val="auto"/>
                      <w:sz w:val="21"/>
                      <w:szCs w:val="21"/>
                      <w:highlight w:val="none"/>
                    </w:rPr>
                  </w:pPr>
                  <w:r>
                    <w:rPr>
                      <w:rFonts w:hint="default"/>
                      <w:b/>
                      <w:bCs/>
                      <w:color w:val="auto"/>
                      <w:sz w:val="21"/>
                      <w:szCs w:val="21"/>
                      <w:highlight w:val="none"/>
                    </w:rPr>
                    <w:t>项目符合性分析</w:t>
                  </w:r>
                </w:p>
              </w:tc>
            </w:tr>
            <w:tr w14:paraId="16E9F6AD">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4" w:type="pct"/>
                  <w:tcBorders>
                    <w:top w:val="single" w:color="auto" w:sz="4" w:space="0"/>
                    <w:bottom w:val="single" w:color="auto" w:sz="4" w:space="0"/>
                    <w:right w:val="single" w:color="auto" w:sz="4" w:space="0"/>
                  </w:tcBorders>
                  <w:noWrap w:val="0"/>
                  <w:vAlign w:val="center"/>
                </w:tcPr>
                <w:p w14:paraId="396E3E20">
                  <w:pPr>
                    <w:keepNext w:val="0"/>
                    <w:keepLines w:val="0"/>
                    <w:suppressLineNumbers w:val="0"/>
                    <w:spacing w:before="0" w:beforeAutospacing="0" w:after="0" w:afterAutospacing="0" w:line="240" w:lineRule="auto"/>
                    <w:ind w:left="0" w:right="0"/>
                    <w:jc w:val="center"/>
                    <w:rPr>
                      <w:rFonts w:hint="default"/>
                      <w:b/>
                      <w:bCs/>
                      <w:color w:val="auto"/>
                      <w:sz w:val="21"/>
                      <w:szCs w:val="21"/>
                      <w:highlight w:val="none"/>
                    </w:rPr>
                  </w:pPr>
                  <w:r>
                    <w:rPr>
                      <w:rFonts w:hint="default" w:ascii="Times New Roman" w:hAnsi="Times New Roman" w:eastAsia="宋体" w:cs="Times New Roman"/>
                      <w:b/>
                      <w:bCs/>
                      <w:color w:val="auto"/>
                      <w:sz w:val="21"/>
                      <w:szCs w:val="21"/>
                      <w:highlight w:val="none"/>
                    </w:rPr>
                    <w:t>空间布局约束</w:t>
                  </w:r>
                </w:p>
              </w:tc>
              <w:tc>
                <w:tcPr>
                  <w:tcW w:w="32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8AFF4CB">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18"/>
                      <w:szCs w:val="18"/>
                      <w:lang w:val="en-US" w:eastAsia="zh-CN" w:bidi="ar"/>
                    </w:rPr>
                    <w:t>1.同时执行：（1）区域内严格控制高耗水、高污染行业发展。（2）加快淘汰落后产能，大力推进产业结构调整和优化升级。（3）根据水资源和水环境承载能力，以水定城、以水定地、以水定人、以水定产。2.大气环境布局敏感重点管控区同时执行（1）严</w:t>
                  </w:r>
                  <w:r>
                    <w:rPr>
                      <w:rFonts w:hint="eastAsia" w:ascii="宋体" w:hAnsi="宋体" w:eastAsia="宋体" w:cs="宋体"/>
                      <w:color w:val="auto"/>
                      <w:kern w:val="0"/>
                      <w:sz w:val="18"/>
                      <w:szCs w:val="18"/>
                      <w:lang w:val="en-US" w:eastAsia="zh-CN" w:bidi="ar"/>
                    </w:rPr>
                    <w:t>控“ 两高”行</w:t>
                  </w:r>
                  <w:r>
                    <w:rPr>
                      <w:rFonts w:hint="default" w:ascii="Times New Roman" w:hAnsi="Times New Roman" w:eastAsia="宋体" w:cs="Times New Roman"/>
                      <w:color w:val="auto"/>
                      <w:kern w:val="0"/>
                      <w:sz w:val="18"/>
                      <w:szCs w:val="18"/>
                      <w:lang w:val="en-US" w:eastAsia="zh-CN" w:bidi="ar"/>
                    </w:rPr>
                    <w:t>业产能。严格执行钢铁、水泥、平板玻璃等行业产能置换实施办法。（2）利用水泥窑协同处置城市生活垃圾、危险废弃物、电石渣等固废伴生水泥项 目，必须依托现有 新型干法水泥熟料生产线进行不扩产能改造。</w:t>
                  </w:r>
                </w:p>
              </w:tc>
              <w:tc>
                <w:tcPr>
                  <w:tcW w:w="947" w:type="pct"/>
                  <w:tcBorders>
                    <w:top w:val="single" w:color="auto" w:sz="4" w:space="0"/>
                    <w:left w:val="single" w:color="auto" w:sz="4" w:space="0"/>
                    <w:bottom w:val="single" w:color="auto" w:sz="4" w:space="0"/>
                  </w:tcBorders>
                  <w:noWrap w:val="0"/>
                  <w:vAlign w:val="center"/>
                </w:tcPr>
                <w:p w14:paraId="277E66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18"/>
                      <w:szCs w:val="18"/>
                      <w:highlight w:val="none"/>
                      <w:lang w:val="en-US" w:eastAsia="zh-CN"/>
                    </w:rPr>
                    <w:t>本项目为自来水供应项目，不属于空间布局约束中管控的行业类别。</w:t>
                  </w:r>
                </w:p>
              </w:tc>
            </w:tr>
            <w:tr w14:paraId="4E87312E">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4" w:type="pct"/>
                  <w:tcBorders>
                    <w:top w:val="single" w:color="auto" w:sz="4" w:space="0"/>
                    <w:bottom w:val="single" w:color="auto" w:sz="4" w:space="0"/>
                    <w:right w:val="single" w:color="auto" w:sz="4" w:space="0"/>
                  </w:tcBorders>
                  <w:noWrap w:val="0"/>
                  <w:vAlign w:val="center"/>
                </w:tcPr>
                <w:p w14:paraId="529A4DE9">
                  <w:pPr>
                    <w:keepNext w:val="0"/>
                    <w:keepLines w:val="0"/>
                    <w:suppressLineNumbers w:val="0"/>
                    <w:spacing w:before="0" w:beforeAutospacing="0" w:after="0" w:afterAutospacing="0" w:line="240" w:lineRule="auto"/>
                    <w:ind w:left="0" w:right="0"/>
                    <w:jc w:val="center"/>
                    <w:rPr>
                      <w:rFonts w:hint="default"/>
                      <w:b/>
                      <w:bCs/>
                      <w:color w:val="auto"/>
                      <w:sz w:val="21"/>
                      <w:szCs w:val="21"/>
                      <w:highlight w:val="none"/>
                    </w:rPr>
                  </w:pPr>
                  <w:r>
                    <w:rPr>
                      <w:rFonts w:hint="default" w:ascii="Times New Roman" w:hAnsi="Times New Roman" w:eastAsia="宋体" w:cs="Times New Roman"/>
                      <w:b/>
                      <w:bCs/>
                      <w:color w:val="auto"/>
                      <w:sz w:val="21"/>
                      <w:szCs w:val="21"/>
                      <w:highlight w:val="none"/>
                    </w:rPr>
                    <w:t>污染物排放管控</w:t>
                  </w:r>
                </w:p>
              </w:tc>
              <w:tc>
                <w:tcPr>
                  <w:tcW w:w="3217" w:type="pct"/>
                  <w:tcBorders>
                    <w:top w:val="single" w:color="auto" w:sz="4" w:space="0"/>
                    <w:left w:val="single" w:color="auto" w:sz="4" w:space="0"/>
                    <w:bottom w:val="single" w:color="auto" w:sz="4" w:space="0"/>
                    <w:right w:val="single" w:color="auto" w:sz="4" w:space="0"/>
                  </w:tcBorders>
                  <w:noWrap w:val="0"/>
                  <w:vAlign w:val="center"/>
                </w:tcPr>
                <w:p w14:paraId="5A0DE061">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18"/>
                      <w:szCs w:val="18"/>
                      <w:lang w:val="en-US" w:eastAsia="zh-CN" w:bidi="ar"/>
                    </w:rPr>
                    <w:t>1.同时执行：（1）新建、改建和扩建项目应当优先采用资源利用率高以及污染物产生量少的清洁生产技术、工艺 和设备。（2）集中治理工业集聚区内工业废水，区内工业废水必须经预处理达到集中处理要求后，方可进入污水集中处理设施。新建、升级工业集聚区应同步规划和建设污水、垃圾集中处理等污染治理设施。2.大气环境布局敏感重点管控区同时执行（1）对以煤、石焦油、渣油、重油等为燃料的锅炉和工业炉窑 ，加快使用清洁低碳能源以及工厂余 热、电力热力等进行替代。（2）到2025年，在用65蒸吨/小时以上的燃煤锅炉（含电力）实现超低排放，钢铁企业基本实现超低排放。</w:t>
                  </w:r>
                </w:p>
              </w:tc>
              <w:tc>
                <w:tcPr>
                  <w:tcW w:w="947" w:type="pct"/>
                  <w:tcBorders>
                    <w:top w:val="single" w:color="auto" w:sz="4" w:space="0"/>
                    <w:left w:val="single" w:color="auto" w:sz="4" w:space="0"/>
                    <w:bottom w:val="single" w:color="auto" w:sz="4" w:space="0"/>
                  </w:tcBorders>
                  <w:noWrap w:val="0"/>
                  <w:vAlign w:val="center"/>
                </w:tcPr>
                <w:p w14:paraId="4109BD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18"/>
                      <w:szCs w:val="18"/>
                      <w:highlight w:val="none"/>
                      <w:lang w:val="en-US" w:eastAsia="zh-CN"/>
                    </w:rPr>
                    <w:t>本项目不涉及燃料使用，排泥水经压滤处理后排放。</w:t>
                  </w:r>
                </w:p>
              </w:tc>
            </w:tr>
            <w:tr w14:paraId="64BEACD1">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4" w:type="pct"/>
                  <w:tcBorders>
                    <w:top w:val="single" w:color="auto" w:sz="4" w:space="0"/>
                    <w:bottom w:val="single" w:color="auto" w:sz="4" w:space="0"/>
                    <w:right w:val="single" w:color="auto" w:sz="4" w:space="0"/>
                  </w:tcBorders>
                  <w:noWrap w:val="0"/>
                  <w:vAlign w:val="center"/>
                </w:tcPr>
                <w:p w14:paraId="262425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 xml:space="preserve">环境风险 </w:t>
                  </w:r>
                </w:p>
                <w:p w14:paraId="0E741CF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lang w:val="en-US" w:eastAsia="zh-CN" w:bidi="ar"/>
                    </w:rPr>
                    <w:t>防控</w:t>
                  </w:r>
                </w:p>
              </w:tc>
              <w:tc>
                <w:tcPr>
                  <w:tcW w:w="32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581127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eastAsia="zh-CN" w:bidi="ar"/>
                    </w:rPr>
                  </w:pPr>
                  <w:r>
                    <w:rPr>
                      <w:rFonts w:hint="default" w:ascii="Times New Roman" w:hAnsi="Times New Roman" w:eastAsia="宋体" w:cs="Times New Roman"/>
                      <w:color w:val="auto"/>
                      <w:kern w:val="0"/>
                      <w:sz w:val="18"/>
                      <w:szCs w:val="18"/>
                      <w:lang w:val="en-US" w:eastAsia="zh-CN" w:bidi="ar"/>
                    </w:rPr>
                    <w:t>1.排放《有毒有害水污染物名录》所列有毒有害水污染物的企业事业单位和其他生产经营者，应当对 排污 口和周边环境进行监测，评估环境风险，排查环境安全隐患，并公开有毒有害水污染物信息，采取有效措施防范环境风险。</w:t>
                  </w:r>
                </w:p>
                <w:p w14:paraId="2865C5D2">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18"/>
                      <w:szCs w:val="18"/>
                      <w:lang w:val="en-US" w:eastAsia="zh-CN" w:bidi="ar"/>
                    </w:rPr>
                    <w:t>2.大气环境布局敏感重点管控区同时执行禁止在居民区、学校、医疗和养老机构等周边新建有色金属 冶炼、焦化等行业企业。</w:t>
                  </w:r>
                </w:p>
              </w:tc>
              <w:tc>
                <w:tcPr>
                  <w:tcW w:w="947" w:type="pct"/>
                  <w:tcBorders>
                    <w:top w:val="single" w:color="auto" w:sz="4" w:space="0"/>
                    <w:left w:val="single" w:color="auto" w:sz="4" w:space="0"/>
                    <w:bottom w:val="single" w:color="auto" w:sz="4" w:space="0"/>
                  </w:tcBorders>
                  <w:noWrap w:val="0"/>
                  <w:vAlign w:val="center"/>
                </w:tcPr>
                <w:p w14:paraId="5E9D48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18"/>
                      <w:szCs w:val="18"/>
                      <w:lang w:eastAsia="zh-CN"/>
                    </w:rPr>
                    <w:t>不涉及</w:t>
                  </w:r>
                </w:p>
              </w:tc>
            </w:tr>
            <w:tr w14:paraId="6C869510">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4" w:type="pct"/>
                  <w:tcBorders>
                    <w:top w:val="single" w:color="auto" w:sz="4" w:space="0"/>
                    <w:bottom w:val="single" w:color="auto" w:sz="4" w:space="0"/>
                    <w:right w:val="single" w:color="auto" w:sz="4" w:space="0"/>
                  </w:tcBorders>
                  <w:noWrap w:val="0"/>
                  <w:vAlign w:val="center"/>
                </w:tcPr>
                <w:p w14:paraId="337706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val="en-US" w:eastAsia="zh-CN" w:bidi="ar"/>
                    </w:rPr>
                    <w:t>资源利用</w:t>
                  </w:r>
                </w:p>
                <w:p w14:paraId="79D54A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lang w:val="en-US" w:eastAsia="zh-CN" w:bidi="ar"/>
                    </w:rPr>
                    <w:t>效率要求</w:t>
                  </w:r>
                </w:p>
              </w:tc>
              <w:tc>
                <w:tcPr>
                  <w:tcW w:w="321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589E94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18"/>
                      <w:szCs w:val="18"/>
                      <w:lang w:val="en-US" w:eastAsia="zh-CN" w:bidi="ar"/>
                    </w:rPr>
                  </w:pPr>
                  <w:r>
                    <w:rPr>
                      <w:rFonts w:hint="default" w:ascii="Times New Roman" w:hAnsi="Times New Roman" w:eastAsia="宋体" w:cs="Times New Roman"/>
                      <w:color w:val="auto"/>
                      <w:kern w:val="0"/>
                      <w:sz w:val="18"/>
                      <w:szCs w:val="18"/>
                      <w:lang w:val="en-US" w:eastAsia="zh-CN" w:bidi="ar"/>
                    </w:rPr>
                    <w:t>1.高污染燃料禁燃区同时执行（1）在禁燃区内，禁止销售、燃用高污染燃料；禁止新建、扩建燃用高污染燃料的设施， 已建成的， 应当在城市人民政府规定的期限内改用天然气、页岩气、液化石油气、电或者其他清洁能源。</w:t>
                  </w:r>
                </w:p>
                <w:p w14:paraId="70C53470">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18"/>
                      <w:szCs w:val="18"/>
                      <w:lang w:val="en-US" w:eastAsia="zh-CN" w:bidi="ar"/>
                    </w:rPr>
                    <w:t>（2）城市建设应当统筹规划，在燃煤供热地区，推进热电联产和集中供热。在集中供热管网覆盖地  区，禁止新建、扩建分散燃煤供热锅炉；已建成的不能达标排放的燃煤供热锅炉，应当在城市人民政 府规定的期限内拆除</w:t>
                  </w:r>
                </w:p>
              </w:tc>
              <w:tc>
                <w:tcPr>
                  <w:tcW w:w="947" w:type="pct"/>
                  <w:tcBorders>
                    <w:top w:val="single" w:color="auto" w:sz="4" w:space="0"/>
                    <w:left w:val="single" w:color="auto" w:sz="4" w:space="0"/>
                    <w:bottom w:val="single" w:color="auto" w:sz="4" w:space="0"/>
                  </w:tcBorders>
                  <w:noWrap w:val="0"/>
                  <w:vAlign w:val="center"/>
                </w:tcPr>
                <w:p w14:paraId="52F803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18"/>
                      <w:szCs w:val="18"/>
                      <w:highlight w:val="none"/>
                      <w:lang w:val="en-US" w:eastAsia="zh-CN"/>
                    </w:rPr>
                    <w:t>本项目供暖为电采暖，不涉及燃料使用。</w:t>
                  </w:r>
                </w:p>
              </w:tc>
            </w:tr>
            <w:tr w14:paraId="4D9C8831">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4" w:type="pct"/>
                  <w:tcBorders>
                    <w:top w:val="single" w:color="auto" w:sz="4" w:space="0"/>
                    <w:bottom w:val="single" w:color="auto" w:sz="4" w:space="0"/>
                    <w:right w:val="single" w:color="auto" w:sz="4" w:space="0"/>
                  </w:tcBorders>
                  <w:shd w:val="clear" w:color="auto" w:fill="auto"/>
                  <w:noWrap w:val="0"/>
                  <w:vAlign w:val="center"/>
                </w:tcPr>
                <w:p w14:paraId="389D830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环境管控区名称</w:t>
                  </w:r>
                </w:p>
              </w:tc>
              <w:tc>
                <w:tcPr>
                  <w:tcW w:w="4165" w:type="pct"/>
                  <w:gridSpan w:val="2"/>
                  <w:tcBorders>
                    <w:top w:val="single" w:color="auto" w:sz="4" w:space="0"/>
                    <w:bottom w:val="single" w:color="auto" w:sz="4" w:space="0"/>
                  </w:tcBorders>
                  <w:shd w:val="clear" w:color="auto" w:fill="auto"/>
                  <w:noWrap w:val="0"/>
                  <w:vAlign w:val="center"/>
                </w:tcPr>
                <w:p w14:paraId="778EF899">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ascii="宋体" w:hAnsi="宋体" w:cs="宋体"/>
                      <w:color w:val="auto"/>
                      <w:kern w:val="0"/>
                      <w:sz w:val="21"/>
                      <w:szCs w:val="21"/>
                      <w:lang w:val="en-US" w:eastAsia="zh-CN" w:bidi="ar"/>
                    </w:rPr>
                    <w:t>鸡冠区</w:t>
                  </w:r>
                  <w:r>
                    <w:rPr>
                      <w:rFonts w:hint="eastAsia" w:ascii="宋体" w:hAnsi="宋体" w:eastAsia="宋体" w:cs="宋体"/>
                      <w:color w:val="auto"/>
                      <w:kern w:val="0"/>
                      <w:sz w:val="21"/>
                      <w:szCs w:val="21"/>
                      <w:lang w:val="en-US" w:eastAsia="zh-CN" w:bidi="ar"/>
                    </w:rPr>
                    <w:t>地下水环境一般管控区</w:t>
                  </w:r>
                </w:p>
              </w:tc>
            </w:tr>
            <w:tr w14:paraId="4CB3C459">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4" w:type="pct"/>
                  <w:tcBorders>
                    <w:top w:val="single" w:color="auto" w:sz="4" w:space="0"/>
                    <w:bottom w:val="single" w:color="auto" w:sz="4" w:space="0"/>
                    <w:right w:val="single" w:color="auto" w:sz="4" w:space="0"/>
                  </w:tcBorders>
                  <w:shd w:val="clear" w:color="auto" w:fill="auto"/>
                  <w:noWrap w:val="0"/>
                  <w:vAlign w:val="center"/>
                </w:tcPr>
                <w:p w14:paraId="1EA8888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环境管控区编码</w:t>
                  </w:r>
                </w:p>
              </w:tc>
              <w:tc>
                <w:tcPr>
                  <w:tcW w:w="4165" w:type="pct"/>
                  <w:gridSpan w:val="2"/>
                  <w:tcBorders>
                    <w:top w:val="single" w:color="auto" w:sz="4" w:space="0"/>
                    <w:bottom w:val="single" w:color="auto" w:sz="4" w:space="0"/>
                  </w:tcBorders>
                  <w:shd w:val="clear" w:color="auto" w:fill="auto"/>
                  <w:noWrap w:val="0"/>
                  <w:vAlign w:val="center"/>
                </w:tcPr>
                <w:p w14:paraId="7C5B576D">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lang w:val="en-US" w:eastAsia="zh-CN" w:bidi="ar"/>
                    </w:rPr>
                    <w:t>YS2303</w:t>
                  </w:r>
                  <w:r>
                    <w:rPr>
                      <w:rFonts w:hint="default" w:ascii="Times New Roman" w:hAnsi="Times New Roman" w:cs="Times New Roman"/>
                      <w:color w:val="auto"/>
                      <w:kern w:val="0"/>
                      <w:sz w:val="21"/>
                      <w:szCs w:val="21"/>
                      <w:lang w:val="en-US" w:eastAsia="zh-CN" w:bidi="ar"/>
                    </w:rPr>
                    <w:t>02</w:t>
                  </w:r>
                  <w:r>
                    <w:rPr>
                      <w:rFonts w:hint="default" w:ascii="Times New Roman" w:hAnsi="Times New Roman" w:eastAsia="宋体" w:cs="Times New Roman"/>
                      <w:color w:val="auto"/>
                      <w:kern w:val="0"/>
                      <w:sz w:val="21"/>
                      <w:szCs w:val="21"/>
                      <w:lang w:val="en-US" w:eastAsia="zh-CN" w:bidi="ar"/>
                    </w:rPr>
                    <w:t>6310001</w:t>
                  </w:r>
                </w:p>
              </w:tc>
            </w:tr>
            <w:tr w14:paraId="23CBCD6B">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4" w:type="pct"/>
                  <w:tcBorders>
                    <w:top w:val="single" w:color="auto" w:sz="4" w:space="0"/>
                    <w:bottom w:val="single" w:color="auto" w:sz="4" w:space="0"/>
                    <w:right w:val="single" w:color="auto" w:sz="4" w:space="0"/>
                  </w:tcBorders>
                  <w:shd w:val="clear" w:color="auto" w:fill="auto"/>
                  <w:noWrap w:val="0"/>
                  <w:vAlign w:val="center"/>
                </w:tcPr>
                <w:p w14:paraId="2014170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管控区类型</w:t>
                  </w:r>
                </w:p>
              </w:tc>
              <w:tc>
                <w:tcPr>
                  <w:tcW w:w="4165" w:type="pct"/>
                  <w:gridSpan w:val="2"/>
                  <w:tcBorders>
                    <w:top w:val="single" w:color="auto" w:sz="4" w:space="0"/>
                    <w:bottom w:val="single" w:color="auto" w:sz="4" w:space="0"/>
                  </w:tcBorders>
                  <w:shd w:val="clear" w:color="auto" w:fill="auto"/>
                  <w:noWrap w:val="0"/>
                  <w:vAlign w:val="center"/>
                </w:tcPr>
                <w:p w14:paraId="3A6E5EFE">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ascii="宋体" w:hAnsi="宋体" w:eastAsia="宋体" w:cs="宋体"/>
                      <w:color w:val="auto"/>
                      <w:kern w:val="0"/>
                      <w:sz w:val="21"/>
                      <w:szCs w:val="21"/>
                      <w:lang w:val="en-US" w:eastAsia="zh-CN" w:bidi="ar"/>
                    </w:rPr>
                    <w:t>一般管控区</w:t>
                  </w:r>
                </w:p>
              </w:tc>
            </w:tr>
            <w:tr w14:paraId="49558625">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052" w:type="pct"/>
                  <w:gridSpan w:val="2"/>
                  <w:tcBorders>
                    <w:top w:val="single" w:color="auto" w:sz="4" w:space="0"/>
                    <w:bottom w:val="single" w:color="auto" w:sz="4" w:space="0"/>
                    <w:right w:val="single" w:color="auto" w:sz="4" w:space="0"/>
                  </w:tcBorders>
                  <w:shd w:val="clear" w:color="auto" w:fill="auto"/>
                  <w:noWrap w:val="0"/>
                  <w:vAlign w:val="center"/>
                </w:tcPr>
                <w:p w14:paraId="634789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管控要求</w:t>
                  </w:r>
                </w:p>
              </w:tc>
              <w:tc>
                <w:tcPr>
                  <w:tcW w:w="947" w:type="pct"/>
                  <w:tcBorders>
                    <w:top w:val="single" w:color="auto" w:sz="4" w:space="0"/>
                    <w:left w:val="single" w:color="auto" w:sz="4" w:space="0"/>
                    <w:bottom w:val="single" w:color="auto" w:sz="4" w:space="0"/>
                  </w:tcBorders>
                  <w:shd w:val="clear" w:color="auto" w:fill="auto"/>
                  <w:noWrap w:val="0"/>
                  <w:vAlign w:val="center"/>
                </w:tcPr>
                <w:p w14:paraId="4EE7E0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符合性分析</w:t>
                  </w:r>
                </w:p>
              </w:tc>
            </w:tr>
            <w:tr w14:paraId="51B0E1D5">
              <w:tblPrEx>
                <w:tblBorders>
                  <w:top w:val="single" w:color="auto" w:sz="4"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4" w:type="pct"/>
                  <w:tcBorders>
                    <w:top w:val="single" w:color="auto" w:sz="4" w:space="0"/>
                    <w:bottom w:val="single" w:color="auto" w:sz="4" w:space="0"/>
                    <w:right w:val="single" w:color="auto" w:sz="4" w:space="0"/>
                  </w:tcBorders>
                  <w:shd w:val="clear" w:color="auto" w:fill="auto"/>
                  <w:noWrap w:val="0"/>
                  <w:vAlign w:val="center"/>
                </w:tcPr>
                <w:p w14:paraId="1C1301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环境风险管控</w:t>
                  </w:r>
                </w:p>
                <w:p w14:paraId="65DB03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kern w:val="0"/>
                      <w:sz w:val="18"/>
                      <w:szCs w:val="18"/>
                      <w:lang w:val="en-US" w:eastAsia="zh-CN" w:bidi="ar"/>
                    </w:rPr>
                  </w:pPr>
                </w:p>
              </w:tc>
              <w:tc>
                <w:tcPr>
                  <w:tcW w:w="3217" w:type="pct"/>
                  <w:tcBorders>
                    <w:top w:val="single" w:color="auto" w:sz="4" w:space="0"/>
                    <w:bottom w:val="single" w:color="auto" w:sz="4" w:space="0"/>
                    <w:right w:val="single" w:color="auto" w:sz="4" w:space="0"/>
                  </w:tcBorders>
                  <w:shd w:val="clear" w:color="auto" w:fill="auto"/>
                  <w:noWrap w:val="0"/>
                  <w:vAlign w:val="center"/>
                </w:tcPr>
                <w:p w14:paraId="1C988A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cs="Times New Roman"/>
                      <w:color w:val="auto"/>
                      <w:sz w:val="18"/>
                      <w:szCs w:val="18"/>
                    </w:rPr>
                  </w:pPr>
                  <w:r>
                    <w:rPr>
                      <w:rFonts w:hint="default" w:ascii="Times New Roman" w:hAnsi="Times New Roman" w:eastAsia="宋体" w:cs="Times New Roman"/>
                      <w:color w:val="auto"/>
                      <w:kern w:val="0"/>
                      <w:sz w:val="18"/>
                      <w:szCs w:val="18"/>
                      <w:lang w:val="en-US" w:eastAsia="zh-CN" w:bidi="ar"/>
                    </w:rPr>
                    <w:t>1.土壤污染重点监管单位应当履行下列义务：（一）严格控</w:t>
                  </w:r>
                </w:p>
                <w:p w14:paraId="1F2C7A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cs="Times New Roman"/>
                      <w:color w:val="auto"/>
                      <w:sz w:val="18"/>
                      <w:szCs w:val="18"/>
                    </w:rPr>
                  </w:pPr>
                  <w:r>
                    <w:rPr>
                      <w:rFonts w:hint="default" w:ascii="Times New Roman" w:hAnsi="Times New Roman" w:eastAsia="宋体" w:cs="Times New Roman"/>
                      <w:color w:val="auto"/>
                      <w:kern w:val="0"/>
                      <w:sz w:val="18"/>
                      <w:szCs w:val="18"/>
                      <w:lang w:val="en-US" w:eastAsia="zh-CN" w:bidi="ar"/>
                    </w:rPr>
                    <w:t>制有毒有害物质排放，并按年度向生态环境主管部门报告排放情况；（二）建立土壤污染隐患排查制度，保证持续有效防止有毒有害物质渗漏、流失、扬散；（三）制定、实施自</w:t>
                  </w:r>
                </w:p>
                <w:p w14:paraId="54AB14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cs="Times New Roman"/>
                      <w:color w:val="auto"/>
                      <w:sz w:val="18"/>
                      <w:szCs w:val="18"/>
                    </w:rPr>
                  </w:pPr>
                  <w:r>
                    <w:rPr>
                      <w:rFonts w:hint="default" w:ascii="Times New Roman" w:hAnsi="Times New Roman" w:eastAsia="宋体" w:cs="Times New Roman"/>
                      <w:color w:val="auto"/>
                      <w:kern w:val="0"/>
                      <w:sz w:val="18"/>
                      <w:szCs w:val="18"/>
                      <w:lang w:val="en-US" w:eastAsia="zh-CN" w:bidi="ar"/>
                    </w:rPr>
                    <w:t>行监测方案，并将监测数据报生态环境主管部门。 2.重点单位新、改、扩建项目地下储罐储存有毒有害物质的，应当在项目投入生产或者使用之前，将地下储罐的信息报所在地设</w:t>
                  </w:r>
                </w:p>
                <w:p w14:paraId="2C8962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cs="Times New Roman"/>
                      <w:color w:val="auto"/>
                      <w:sz w:val="18"/>
                      <w:szCs w:val="18"/>
                    </w:rPr>
                  </w:pPr>
                  <w:r>
                    <w:rPr>
                      <w:rFonts w:hint="default" w:ascii="Times New Roman" w:hAnsi="Times New Roman" w:eastAsia="宋体" w:cs="Times New Roman"/>
                      <w:color w:val="auto"/>
                      <w:kern w:val="0"/>
                      <w:sz w:val="18"/>
                      <w:szCs w:val="18"/>
                      <w:lang w:val="en-US" w:eastAsia="zh-CN" w:bidi="ar"/>
                    </w:rPr>
                    <w:t>区的市级生态环境主管部门备案。 3.重点单位应当建立土壤和地下水污染隐患排查治理制度，定期对重点区域、重点设施开展隐患排查。发现污染隐患的，应当制定整改方案，及</w:t>
                  </w:r>
                </w:p>
                <w:p w14:paraId="1C23E1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cs="Times New Roman"/>
                      <w:color w:val="auto"/>
                      <w:sz w:val="18"/>
                      <w:szCs w:val="18"/>
                    </w:rPr>
                  </w:pPr>
                  <w:r>
                    <w:rPr>
                      <w:rFonts w:hint="default" w:ascii="Times New Roman" w:hAnsi="Times New Roman" w:eastAsia="宋体" w:cs="Times New Roman"/>
                      <w:color w:val="auto"/>
                      <w:kern w:val="0"/>
                      <w:sz w:val="18"/>
                      <w:szCs w:val="18"/>
                      <w:lang w:val="en-US" w:eastAsia="zh-CN" w:bidi="ar"/>
                    </w:rPr>
                    <w:t>时采取技术、管理措施消除隐患。隐患排查、治理情况应当如实记录并建立档案。重点区域包括涉及有毒有害物质的生产区，原材料及固体废物的堆存区、储放区和转运区等；重</w:t>
                  </w:r>
                </w:p>
                <w:p w14:paraId="243861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宋体" w:cs="Times New Roman"/>
                      <w:color w:val="auto"/>
                      <w:kern w:val="0"/>
                      <w:sz w:val="18"/>
                      <w:szCs w:val="18"/>
                      <w:lang w:val="en-US" w:eastAsia="zh-CN" w:bidi="ar"/>
                    </w:rPr>
                  </w:pPr>
                  <w:r>
                    <w:rPr>
                      <w:rFonts w:hint="default" w:ascii="Times New Roman" w:hAnsi="Times New Roman" w:eastAsia="宋体" w:cs="Times New Roman"/>
                      <w:color w:val="auto"/>
                      <w:kern w:val="0"/>
                      <w:sz w:val="18"/>
                      <w:szCs w:val="18"/>
                      <w:lang w:val="en-US" w:eastAsia="zh-CN" w:bidi="ar"/>
                    </w:rPr>
                    <w:t>点设施包括涉及有毒有害物质的地下储罐、地下管线，以及污染治理设施等。4.化学品生产企业以及工业集聚区、矿山开采区、尾矿库、危险废物处置场、垃圾填埋场等的运营、管理单位，应当采取防渗漏等措施，并建设地下水水质监测井进行监测，防止地下水污染。5.重点单位通过新、改、扩建项目的土壤和地下水环境现状调查，发现项目用地污染物含量超过国家或者地方有关建设用地土壤污染风险管控标准的，土地使用权人或者污染责任人应当参照污染地块土壤环境管理有关规定开展详细调查、风险评估、风险管控、治理与修复等活动。</w:t>
                  </w:r>
                </w:p>
              </w:tc>
              <w:tc>
                <w:tcPr>
                  <w:tcW w:w="947" w:type="pct"/>
                  <w:tcBorders>
                    <w:top w:val="single" w:color="auto" w:sz="4" w:space="0"/>
                    <w:left w:val="single" w:color="auto" w:sz="4" w:space="0"/>
                    <w:bottom w:val="single" w:color="auto" w:sz="4" w:space="0"/>
                  </w:tcBorders>
                  <w:shd w:val="clear" w:color="auto" w:fill="auto"/>
                  <w:noWrap w:val="0"/>
                  <w:vAlign w:val="center"/>
                </w:tcPr>
                <w:p w14:paraId="3907CE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本项目不属于土壤污染重点监管单位。</w:t>
                  </w:r>
                </w:p>
              </w:tc>
            </w:tr>
          </w:tbl>
          <w:p w14:paraId="4F7FF270">
            <w:pPr>
              <w:pStyle w:val="15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3）“一说明”</w:t>
            </w:r>
          </w:p>
          <w:p w14:paraId="15E403DE">
            <w:pPr>
              <w:pStyle w:val="17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由上述分析可知，本项目的建设符合《</w:t>
            </w:r>
            <w:r>
              <w:rPr>
                <w:rFonts w:hint="eastAsia" w:ascii="宋体" w:hAnsi="宋体" w:eastAsia="宋体" w:cs="宋体"/>
                <w:color w:val="auto"/>
                <w:sz w:val="21"/>
                <w:szCs w:val="21"/>
                <w:highlight w:val="none"/>
                <w:u w:val="none"/>
                <w:lang w:val="en-US" w:eastAsia="zh-CN"/>
              </w:rPr>
              <w:t>鸡西市</w:t>
            </w:r>
            <w:r>
              <w:rPr>
                <w:rFonts w:hint="eastAsia" w:ascii="宋体" w:hAnsi="宋体" w:cs="宋体"/>
                <w:color w:val="auto"/>
                <w:sz w:val="21"/>
                <w:szCs w:val="21"/>
                <w:highlight w:val="none"/>
                <w:u w:val="none"/>
                <w:lang w:val="en-US" w:eastAsia="zh-CN"/>
              </w:rPr>
              <w:t>供水有限公司朝阳净水厂改建项目</w:t>
            </w:r>
            <w:r>
              <w:rPr>
                <w:rFonts w:hint="eastAsia" w:cs="Times New Roman"/>
                <w:color w:val="auto"/>
                <w:kern w:val="0"/>
                <w:sz w:val="21"/>
                <w:szCs w:val="21"/>
                <w:highlight w:val="none"/>
                <w:lang w:eastAsia="zh-CN" w:bidi="ar"/>
              </w:rPr>
              <w:t>生态环境分区管控分析报告</w:t>
            </w:r>
            <w:r>
              <w:rPr>
                <w:rFonts w:hint="eastAsia" w:ascii="宋体" w:hAnsi="宋体" w:eastAsia="宋体" w:cs="宋体"/>
                <w:color w:val="auto"/>
                <w:kern w:val="0"/>
                <w:sz w:val="21"/>
                <w:szCs w:val="21"/>
                <w:lang w:val="en-US" w:eastAsia="zh-CN" w:bidi="ar-SA"/>
              </w:rPr>
              <w:t>》中的要求。</w:t>
            </w:r>
          </w:p>
          <w:p w14:paraId="7921DFF0">
            <w:pPr>
              <w:pStyle w:val="17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根据黑龙江省生态环境分区管控数据应用平台查询的《生态环境分区管控分析报告》：</w:t>
            </w:r>
          </w:p>
          <w:p w14:paraId="777579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rPr>
            </w:pPr>
            <w:r>
              <w:rPr>
                <w:rFonts w:hint="default" w:ascii="Times New Roman" w:hAnsi="Times New Roman" w:eastAsia="宋体" w:cs="Times New Roman"/>
                <w:color w:val="auto"/>
                <w:kern w:val="0"/>
                <w:sz w:val="21"/>
                <w:szCs w:val="21"/>
                <w:lang w:val="en-US" w:eastAsia="zh-CN" w:bidi="ar-SA"/>
              </w:rPr>
              <w:t>本项目</w:t>
            </w:r>
            <w:r>
              <w:rPr>
                <w:rFonts w:hint="eastAsia" w:ascii="宋体" w:hAnsi="宋体" w:eastAsia="宋体" w:cs="宋体"/>
                <w:color w:val="auto"/>
                <w:kern w:val="0"/>
                <w:sz w:val="21"/>
                <w:szCs w:val="21"/>
                <w:lang w:val="en-US" w:eastAsia="zh-CN" w:bidi="ar"/>
              </w:rPr>
              <w:t>与生态保护红线交集面积为</w:t>
            </w:r>
            <w:r>
              <w:rPr>
                <w:rFonts w:hint="default" w:ascii="Times New Roman" w:hAnsi="Times New Roman" w:eastAsia="宋体" w:cs="Times New Roman"/>
                <w:color w:val="auto"/>
                <w:kern w:val="0"/>
                <w:sz w:val="21"/>
                <w:szCs w:val="21"/>
                <w:lang w:val="en-US" w:eastAsia="zh-CN" w:bidi="ar"/>
              </w:rPr>
              <w:t>0.00</w:t>
            </w:r>
            <w:r>
              <w:rPr>
                <w:rFonts w:hint="eastAsia" w:ascii="宋体" w:hAnsi="宋体" w:eastAsia="宋体" w:cs="宋体"/>
                <w:color w:val="auto"/>
                <w:kern w:val="0"/>
                <w:sz w:val="21"/>
                <w:szCs w:val="21"/>
                <w:lang w:val="en-US" w:eastAsia="zh-CN" w:bidi="ar"/>
              </w:rPr>
              <w:t>平方公里，占项目占地面积的</w:t>
            </w:r>
            <w:r>
              <w:rPr>
                <w:rFonts w:hint="default" w:ascii="Times New Roman" w:hAnsi="Times New Roman" w:eastAsia="宋体" w:cs="Times New Roman"/>
                <w:color w:val="auto"/>
                <w:kern w:val="0"/>
                <w:sz w:val="21"/>
                <w:szCs w:val="21"/>
                <w:lang w:val="en-US" w:eastAsia="zh-CN" w:bidi="ar"/>
              </w:rPr>
              <w:t>0.00%</w:t>
            </w:r>
            <w:r>
              <w:rPr>
                <w:rFonts w:hint="eastAsia" w:ascii="宋体" w:hAnsi="宋体" w:eastAsia="宋体" w:cs="宋体"/>
                <w:color w:val="auto"/>
                <w:kern w:val="0"/>
                <w:sz w:val="21"/>
                <w:szCs w:val="21"/>
                <w:lang w:val="en-US" w:eastAsia="zh-CN" w:bidi="ar"/>
              </w:rPr>
              <w:t xml:space="preserve">。 </w:t>
            </w:r>
          </w:p>
          <w:p w14:paraId="2B43BB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rPr>
            </w:pPr>
            <w:r>
              <w:rPr>
                <w:rFonts w:hint="eastAsia" w:ascii="宋体" w:hAnsi="宋体" w:eastAsia="宋体" w:cs="宋体"/>
                <w:color w:val="auto"/>
                <w:kern w:val="0"/>
                <w:sz w:val="21"/>
                <w:szCs w:val="21"/>
                <w:lang w:val="en-US" w:eastAsia="zh-CN" w:bidi="ar"/>
              </w:rPr>
              <w:t>与自然保护地整合优化方案数据交集面积为</w:t>
            </w:r>
            <w:r>
              <w:rPr>
                <w:rFonts w:hint="default" w:ascii="Times New Roman" w:hAnsi="Times New Roman" w:eastAsia="宋体" w:cs="Times New Roman"/>
                <w:color w:val="auto"/>
                <w:kern w:val="0"/>
                <w:sz w:val="21"/>
                <w:szCs w:val="21"/>
                <w:lang w:val="en-US" w:eastAsia="zh-CN" w:bidi="ar"/>
              </w:rPr>
              <w:t>0.00</w:t>
            </w:r>
            <w:r>
              <w:rPr>
                <w:rFonts w:hint="eastAsia" w:ascii="宋体" w:hAnsi="宋体" w:eastAsia="宋体" w:cs="宋体"/>
                <w:color w:val="auto"/>
                <w:kern w:val="0"/>
                <w:sz w:val="21"/>
                <w:szCs w:val="21"/>
                <w:lang w:val="en-US" w:eastAsia="zh-CN" w:bidi="ar"/>
              </w:rPr>
              <w:t>平方公里，占项目占地面积的</w:t>
            </w:r>
            <w:r>
              <w:rPr>
                <w:rFonts w:hint="default" w:ascii="Times New Roman" w:hAnsi="Times New Roman" w:eastAsia="宋体" w:cs="Times New Roman"/>
                <w:color w:val="auto"/>
                <w:kern w:val="0"/>
                <w:sz w:val="21"/>
                <w:szCs w:val="21"/>
                <w:lang w:val="en-US" w:eastAsia="zh-CN" w:bidi="ar"/>
              </w:rPr>
              <w:t>0.00%</w:t>
            </w:r>
            <w:r>
              <w:rPr>
                <w:rFonts w:hint="eastAsia" w:ascii="宋体" w:hAnsi="宋体" w:eastAsia="宋体" w:cs="宋体"/>
                <w:color w:val="auto"/>
                <w:kern w:val="0"/>
                <w:sz w:val="21"/>
                <w:szCs w:val="21"/>
                <w:lang w:val="en-US" w:eastAsia="zh-CN" w:bidi="ar"/>
              </w:rPr>
              <w:t>。保护地涉及等类型。与自然保护地（现状管理数据）交集面积为</w:t>
            </w:r>
            <w:r>
              <w:rPr>
                <w:rFonts w:hint="default" w:ascii="Times New Roman" w:hAnsi="Times New Roman" w:eastAsia="宋体" w:cs="Times New Roman"/>
                <w:color w:val="auto"/>
                <w:kern w:val="0"/>
                <w:sz w:val="21"/>
                <w:szCs w:val="21"/>
                <w:lang w:val="en-US" w:eastAsia="zh-CN" w:bidi="ar"/>
              </w:rPr>
              <w:t>0.00</w:t>
            </w:r>
            <w:r>
              <w:rPr>
                <w:rFonts w:hint="eastAsia" w:ascii="宋体" w:hAnsi="宋体" w:eastAsia="宋体" w:cs="宋体"/>
                <w:color w:val="auto"/>
                <w:kern w:val="0"/>
                <w:sz w:val="21"/>
                <w:szCs w:val="21"/>
                <w:lang w:val="en-US" w:eastAsia="zh-CN" w:bidi="ar"/>
              </w:rPr>
              <w:t xml:space="preserve">平方公里，占项目占地面积的 </w:t>
            </w:r>
            <w:r>
              <w:rPr>
                <w:rFonts w:hint="default" w:ascii="Times New Roman" w:hAnsi="Times New Roman" w:eastAsia="宋体" w:cs="Times New Roman"/>
                <w:color w:val="auto"/>
                <w:kern w:val="0"/>
                <w:sz w:val="21"/>
                <w:szCs w:val="21"/>
                <w:lang w:val="en-US" w:eastAsia="zh-CN" w:bidi="ar"/>
              </w:rPr>
              <w:t>0.00%</w:t>
            </w:r>
            <w:r>
              <w:rPr>
                <w:rFonts w:hint="eastAsia" w:ascii="宋体" w:hAnsi="宋体" w:eastAsia="宋体" w:cs="宋体"/>
                <w:color w:val="auto"/>
                <w:kern w:val="0"/>
                <w:sz w:val="21"/>
                <w:szCs w:val="21"/>
                <w:lang w:val="en-US" w:eastAsia="zh-CN" w:bidi="ar"/>
              </w:rPr>
              <w:t xml:space="preserve">。保护地涉及等类型。 </w:t>
            </w:r>
          </w:p>
          <w:p w14:paraId="02B13E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rPr>
            </w:pPr>
            <w:r>
              <w:rPr>
                <w:rFonts w:hint="eastAsia" w:ascii="宋体" w:hAnsi="宋体" w:eastAsia="宋体" w:cs="宋体"/>
                <w:color w:val="auto"/>
                <w:kern w:val="0"/>
                <w:sz w:val="21"/>
                <w:szCs w:val="21"/>
                <w:lang w:val="en-US" w:eastAsia="zh-CN" w:bidi="ar"/>
              </w:rPr>
              <w:t>与饮用水水源保护区交集面积为</w:t>
            </w:r>
            <w:r>
              <w:rPr>
                <w:rFonts w:hint="default" w:ascii="Times New Roman" w:hAnsi="Times New Roman" w:eastAsia="宋体" w:cs="Times New Roman"/>
                <w:color w:val="auto"/>
                <w:kern w:val="0"/>
                <w:sz w:val="21"/>
                <w:szCs w:val="21"/>
                <w:lang w:val="en-US" w:eastAsia="zh-CN" w:bidi="ar"/>
              </w:rPr>
              <w:t>0.00</w:t>
            </w:r>
            <w:r>
              <w:rPr>
                <w:rFonts w:hint="eastAsia" w:ascii="宋体" w:hAnsi="宋体" w:eastAsia="宋体" w:cs="宋体"/>
                <w:color w:val="auto"/>
                <w:kern w:val="0"/>
                <w:sz w:val="21"/>
                <w:szCs w:val="21"/>
                <w:lang w:val="en-US" w:eastAsia="zh-CN" w:bidi="ar"/>
              </w:rPr>
              <w:t>平方公里，占项目占地面积的</w:t>
            </w:r>
            <w:r>
              <w:rPr>
                <w:rFonts w:hint="default" w:ascii="Times New Roman" w:hAnsi="Times New Roman" w:eastAsia="宋体" w:cs="Times New Roman"/>
                <w:color w:val="auto"/>
                <w:kern w:val="0"/>
                <w:sz w:val="21"/>
                <w:szCs w:val="21"/>
                <w:lang w:val="en-US" w:eastAsia="zh-CN" w:bidi="ar"/>
              </w:rPr>
              <w:t>0.00%</w:t>
            </w:r>
            <w:r>
              <w:rPr>
                <w:rFonts w:hint="eastAsia" w:ascii="宋体" w:hAnsi="宋体" w:eastAsia="宋体" w:cs="宋体"/>
                <w:color w:val="auto"/>
                <w:kern w:val="0"/>
                <w:sz w:val="21"/>
                <w:szCs w:val="21"/>
                <w:lang w:val="en-US" w:eastAsia="zh-CN" w:bidi="ar"/>
              </w:rPr>
              <w:t>。与国家级水产种质资源保护区交集面积为</w:t>
            </w:r>
            <w:r>
              <w:rPr>
                <w:rFonts w:hint="default" w:ascii="Times New Roman" w:hAnsi="Times New Roman" w:eastAsia="宋体" w:cs="Times New Roman"/>
                <w:color w:val="auto"/>
                <w:kern w:val="0"/>
                <w:sz w:val="21"/>
                <w:szCs w:val="21"/>
                <w:lang w:val="en-US" w:eastAsia="zh-CN" w:bidi="ar"/>
              </w:rPr>
              <w:t>0.00</w:t>
            </w:r>
            <w:r>
              <w:rPr>
                <w:rFonts w:hint="eastAsia" w:ascii="宋体" w:hAnsi="宋体" w:eastAsia="宋体" w:cs="宋体"/>
                <w:color w:val="auto"/>
                <w:kern w:val="0"/>
                <w:sz w:val="21"/>
                <w:szCs w:val="21"/>
                <w:lang w:val="en-US" w:eastAsia="zh-CN" w:bidi="ar"/>
              </w:rPr>
              <w:t>平方公里，占项目占地面积的</w:t>
            </w:r>
            <w:r>
              <w:rPr>
                <w:rFonts w:hint="default" w:ascii="Times New Roman" w:hAnsi="Times New Roman" w:eastAsia="宋体" w:cs="Times New Roman"/>
                <w:color w:val="auto"/>
                <w:kern w:val="0"/>
                <w:sz w:val="21"/>
                <w:szCs w:val="21"/>
                <w:lang w:val="en-US" w:eastAsia="zh-CN" w:bidi="ar"/>
              </w:rPr>
              <w:t>0.00%</w:t>
            </w:r>
            <w:r>
              <w:rPr>
                <w:rFonts w:hint="eastAsia" w:ascii="宋体" w:hAnsi="宋体" w:eastAsia="宋体" w:cs="宋体"/>
                <w:color w:val="auto"/>
                <w:kern w:val="0"/>
                <w:sz w:val="21"/>
                <w:szCs w:val="21"/>
                <w:lang w:val="en-US" w:eastAsia="zh-CN" w:bidi="ar"/>
              </w:rPr>
              <w:t xml:space="preserve">。 </w:t>
            </w:r>
          </w:p>
          <w:p w14:paraId="4DD3C7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rPr>
            </w:pPr>
            <w:r>
              <w:rPr>
                <w:rFonts w:hint="eastAsia" w:ascii="宋体" w:hAnsi="宋体" w:eastAsia="宋体" w:cs="宋体"/>
                <w:color w:val="auto"/>
                <w:kern w:val="0"/>
                <w:sz w:val="21"/>
                <w:szCs w:val="21"/>
                <w:lang w:val="en-US" w:eastAsia="zh-CN" w:bidi="ar"/>
              </w:rPr>
              <w:t>与环境管控单元优先保护单元交集面积为</w:t>
            </w:r>
            <w:r>
              <w:rPr>
                <w:rFonts w:hint="default" w:ascii="Times New Roman" w:hAnsi="Times New Roman" w:eastAsia="宋体" w:cs="Times New Roman"/>
                <w:color w:val="auto"/>
                <w:kern w:val="0"/>
                <w:sz w:val="21"/>
                <w:szCs w:val="21"/>
                <w:lang w:val="en-US" w:eastAsia="zh-CN" w:bidi="ar"/>
              </w:rPr>
              <w:t>0.00</w:t>
            </w:r>
            <w:r>
              <w:rPr>
                <w:rFonts w:hint="eastAsia" w:ascii="宋体" w:hAnsi="宋体" w:eastAsia="宋体" w:cs="宋体"/>
                <w:color w:val="auto"/>
                <w:kern w:val="0"/>
                <w:sz w:val="21"/>
                <w:szCs w:val="21"/>
                <w:lang w:val="en-US" w:eastAsia="zh-CN" w:bidi="ar"/>
              </w:rPr>
              <w:t xml:space="preserve">平方公里，占项目占地面积的 </w:t>
            </w:r>
            <w:r>
              <w:rPr>
                <w:rFonts w:hint="default" w:ascii="Times New Roman" w:hAnsi="Times New Roman" w:eastAsia="宋体" w:cs="Times New Roman"/>
                <w:color w:val="auto"/>
                <w:kern w:val="0"/>
                <w:sz w:val="21"/>
                <w:szCs w:val="21"/>
                <w:lang w:val="en-US" w:eastAsia="zh-CN" w:bidi="ar"/>
              </w:rPr>
              <w:t>0.00%</w:t>
            </w:r>
            <w:r>
              <w:rPr>
                <w:rFonts w:hint="eastAsia" w:ascii="宋体" w:hAnsi="宋体" w:eastAsia="宋体" w:cs="宋体"/>
                <w:color w:val="auto"/>
                <w:kern w:val="0"/>
                <w:sz w:val="21"/>
                <w:szCs w:val="21"/>
                <w:lang w:val="en-US" w:eastAsia="zh-CN" w:bidi="ar"/>
              </w:rPr>
              <w:t>；与重点管控单元交集面积为</w:t>
            </w:r>
            <w:r>
              <w:rPr>
                <w:rFonts w:hint="default" w:ascii="Times New Roman" w:hAnsi="Times New Roman" w:eastAsia="宋体" w:cs="Times New Roman"/>
                <w:color w:val="auto"/>
                <w:kern w:val="0"/>
                <w:sz w:val="21"/>
                <w:szCs w:val="21"/>
                <w:lang w:val="en-US" w:eastAsia="zh-CN" w:bidi="ar"/>
              </w:rPr>
              <w:t>0.09</w:t>
            </w:r>
            <w:r>
              <w:rPr>
                <w:rFonts w:hint="eastAsia" w:ascii="宋体" w:hAnsi="宋体" w:eastAsia="宋体" w:cs="宋体"/>
                <w:color w:val="auto"/>
                <w:kern w:val="0"/>
                <w:sz w:val="21"/>
                <w:szCs w:val="21"/>
                <w:lang w:val="en-US" w:eastAsia="zh-CN" w:bidi="ar"/>
              </w:rPr>
              <w:t>平方公里，占项目占地面积的</w:t>
            </w:r>
            <w:r>
              <w:rPr>
                <w:rFonts w:hint="default" w:ascii="Times New Roman" w:hAnsi="Times New Roman" w:eastAsia="宋体" w:cs="Times New Roman"/>
                <w:color w:val="auto"/>
                <w:kern w:val="0"/>
                <w:sz w:val="21"/>
                <w:szCs w:val="21"/>
                <w:lang w:val="en-US" w:eastAsia="zh-CN" w:bidi="ar"/>
              </w:rPr>
              <w:t>100.00%</w:t>
            </w:r>
            <w:r>
              <w:rPr>
                <w:rFonts w:hint="eastAsia" w:ascii="宋体" w:hAnsi="宋体" w:eastAsia="宋体" w:cs="宋体"/>
                <w:color w:val="auto"/>
                <w:kern w:val="0"/>
                <w:sz w:val="21"/>
                <w:szCs w:val="21"/>
                <w:lang w:val="en-US" w:eastAsia="zh-CN" w:bidi="ar"/>
              </w:rPr>
              <w:t>；一般管控单元交集面积为</w:t>
            </w:r>
            <w:r>
              <w:rPr>
                <w:rFonts w:hint="default" w:ascii="Times New Roman" w:hAnsi="Times New Roman" w:eastAsia="宋体" w:cs="Times New Roman"/>
                <w:color w:val="auto"/>
                <w:kern w:val="0"/>
                <w:sz w:val="21"/>
                <w:szCs w:val="21"/>
                <w:lang w:val="en-US" w:eastAsia="zh-CN" w:bidi="ar"/>
              </w:rPr>
              <w:t>0.00</w:t>
            </w:r>
            <w:r>
              <w:rPr>
                <w:rFonts w:hint="eastAsia" w:ascii="宋体" w:hAnsi="宋体" w:eastAsia="宋体" w:cs="宋体"/>
                <w:color w:val="auto"/>
                <w:kern w:val="0"/>
                <w:sz w:val="21"/>
                <w:szCs w:val="21"/>
                <w:lang w:val="en-US" w:eastAsia="zh-CN" w:bidi="ar"/>
              </w:rPr>
              <w:t>平方公里，占项目占地面积的</w:t>
            </w:r>
            <w:r>
              <w:rPr>
                <w:rFonts w:hint="default" w:ascii="Times New Roman" w:hAnsi="Times New Roman" w:eastAsia="宋体" w:cs="Times New Roman"/>
                <w:color w:val="auto"/>
                <w:kern w:val="0"/>
                <w:sz w:val="21"/>
                <w:szCs w:val="21"/>
                <w:lang w:val="en-US" w:eastAsia="zh-CN" w:bidi="ar"/>
              </w:rPr>
              <w:t>0.00%</w:t>
            </w:r>
            <w:r>
              <w:rPr>
                <w:rFonts w:hint="eastAsia" w:ascii="宋体" w:hAnsi="宋体" w:eastAsia="宋体" w:cs="宋体"/>
                <w:color w:val="auto"/>
                <w:kern w:val="0"/>
                <w:sz w:val="21"/>
                <w:szCs w:val="21"/>
                <w:lang w:val="en-US" w:eastAsia="zh-CN" w:bidi="ar"/>
              </w:rPr>
              <w:t xml:space="preserve">。 </w:t>
            </w:r>
          </w:p>
          <w:p w14:paraId="30BB1D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default" w:ascii="Times New Roman" w:hAnsi="Times New Roman" w:eastAsia="宋体" w:cs="Times New Roman"/>
                <w:color w:val="auto"/>
                <w:kern w:val="0"/>
                <w:sz w:val="21"/>
                <w:szCs w:val="21"/>
                <w:highlight w:val="none"/>
              </w:rPr>
            </w:pPr>
            <w:r>
              <w:rPr>
                <w:rFonts w:hint="eastAsia" w:ascii="宋体" w:hAnsi="宋体" w:eastAsia="宋体" w:cs="宋体"/>
                <w:color w:val="auto"/>
                <w:kern w:val="0"/>
                <w:sz w:val="21"/>
                <w:szCs w:val="21"/>
                <w:lang w:val="en-US" w:eastAsia="zh-CN" w:bidi="ar"/>
              </w:rPr>
              <w:t>与地下水环境优先保护区交集面积为</w:t>
            </w:r>
            <w:r>
              <w:rPr>
                <w:rFonts w:hint="default" w:ascii="Times New Roman" w:hAnsi="Times New Roman" w:eastAsia="宋体" w:cs="Times New Roman"/>
                <w:color w:val="auto"/>
                <w:kern w:val="0"/>
                <w:sz w:val="21"/>
                <w:szCs w:val="21"/>
                <w:lang w:val="en-US" w:eastAsia="zh-CN" w:bidi="ar"/>
              </w:rPr>
              <w:t>0.00</w:t>
            </w:r>
            <w:r>
              <w:rPr>
                <w:rFonts w:hint="eastAsia" w:ascii="宋体" w:hAnsi="宋体" w:eastAsia="宋体" w:cs="宋体"/>
                <w:color w:val="auto"/>
                <w:kern w:val="0"/>
                <w:sz w:val="21"/>
                <w:szCs w:val="21"/>
                <w:lang w:val="en-US" w:eastAsia="zh-CN" w:bidi="ar"/>
              </w:rPr>
              <w:t>平方公里，占项目占地面积的</w:t>
            </w:r>
            <w:r>
              <w:rPr>
                <w:rFonts w:hint="default" w:ascii="Times New Roman" w:hAnsi="Times New Roman" w:eastAsia="宋体" w:cs="Times New Roman"/>
                <w:color w:val="auto"/>
                <w:kern w:val="0"/>
                <w:sz w:val="21"/>
                <w:szCs w:val="21"/>
                <w:lang w:val="en-US" w:eastAsia="zh-CN" w:bidi="ar"/>
              </w:rPr>
              <w:t>0.00%</w:t>
            </w:r>
            <w:r>
              <w:rPr>
                <w:rFonts w:hint="eastAsia" w:ascii="宋体" w:hAnsi="宋体" w:eastAsia="宋体" w:cs="宋体"/>
                <w:color w:val="auto"/>
                <w:kern w:val="0"/>
                <w:sz w:val="21"/>
                <w:szCs w:val="21"/>
                <w:lang w:val="en-US" w:eastAsia="zh-CN" w:bidi="ar"/>
              </w:rPr>
              <w:t>；与地下水环境重点管控区交集面积为</w:t>
            </w:r>
            <w:r>
              <w:rPr>
                <w:rFonts w:hint="default" w:ascii="Times New Roman" w:hAnsi="Times New Roman" w:eastAsia="宋体" w:cs="Times New Roman"/>
                <w:color w:val="auto"/>
                <w:kern w:val="0"/>
                <w:sz w:val="21"/>
                <w:szCs w:val="21"/>
                <w:lang w:val="en-US" w:eastAsia="zh-CN" w:bidi="ar"/>
              </w:rPr>
              <w:t>0.00</w:t>
            </w:r>
            <w:r>
              <w:rPr>
                <w:rFonts w:hint="eastAsia" w:ascii="宋体" w:hAnsi="宋体" w:eastAsia="宋体" w:cs="宋体"/>
                <w:color w:val="auto"/>
                <w:kern w:val="0"/>
                <w:sz w:val="21"/>
                <w:szCs w:val="21"/>
                <w:lang w:val="en-US" w:eastAsia="zh-CN" w:bidi="ar"/>
              </w:rPr>
              <w:t>平方公里，占项目占地面积的</w:t>
            </w:r>
            <w:r>
              <w:rPr>
                <w:rFonts w:hint="default" w:ascii="Times New Roman" w:hAnsi="Times New Roman" w:eastAsia="宋体" w:cs="Times New Roman"/>
                <w:color w:val="auto"/>
                <w:kern w:val="0"/>
                <w:sz w:val="21"/>
                <w:szCs w:val="21"/>
                <w:lang w:val="en-US" w:eastAsia="zh-CN" w:bidi="ar"/>
              </w:rPr>
              <w:t>0.00%</w:t>
            </w:r>
            <w:r>
              <w:rPr>
                <w:rFonts w:hint="eastAsia" w:ascii="宋体" w:hAnsi="宋体" w:eastAsia="宋体" w:cs="宋体"/>
                <w:color w:val="auto"/>
                <w:kern w:val="0"/>
                <w:sz w:val="21"/>
                <w:szCs w:val="21"/>
                <w:lang w:val="en-US" w:eastAsia="zh-CN" w:bidi="ar"/>
              </w:rPr>
              <w:t>，与地下水环境一般管控区交集面积为</w:t>
            </w:r>
            <w:r>
              <w:rPr>
                <w:rFonts w:hint="default" w:ascii="Times New Roman" w:hAnsi="Times New Roman" w:eastAsia="宋体" w:cs="Times New Roman"/>
                <w:color w:val="auto"/>
                <w:kern w:val="0"/>
                <w:sz w:val="21"/>
                <w:szCs w:val="21"/>
                <w:lang w:val="en-US" w:eastAsia="zh-CN" w:bidi="ar"/>
              </w:rPr>
              <w:t>0.09</w:t>
            </w:r>
            <w:r>
              <w:rPr>
                <w:rFonts w:hint="eastAsia" w:ascii="宋体" w:hAnsi="宋体" w:eastAsia="宋体" w:cs="宋体"/>
                <w:color w:val="auto"/>
                <w:kern w:val="0"/>
                <w:sz w:val="21"/>
                <w:szCs w:val="21"/>
                <w:lang w:val="en-US" w:eastAsia="zh-CN" w:bidi="ar"/>
              </w:rPr>
              <w:t>平方公里，占项目占地面积的</w:t>
            </w:r>
            <w:r>
              <w:rPr>
                <w:rFonts w:hint="default" w:ascii="Times New Roman" w:hAnsi="Times New Roman" w:eastAsia="宋体" w:cs="Times New Roman"/>
                <w:color w:val="auto"/>
                <w:kern w:val="0"/>
                <w:sz w:val="21"/>
                <w:szCs w:val="21"/>
                <w:lang w:val="en-US" w:eastAsia="zh-CN" w:bidi="ar"/>
              </w:rPr>
              <w:t>100.00%</w:t>
            </w:r>
            <w:r>
              <w:rPr>
                <w:rFonts w:hint="eastAsia" w:ascii="宋体" w:hAnsi="宋体" w:eastAsia="宋体" w:cs="宋体"/>
                <w:color w:val="auto"/>
                <w:kern w:val="0"/>
                <w:sz w:val="21"/>
                <w:szCs w:val="21"/>
                <w:lang w:val="en-US" w:eastAsia="zh-CN" w:bidi="ar"/>
              </w:rPr>
              <w:t>。</w:t>
            </w:r>
          </w:p>
          <w:p w14:paraId="7C527F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color w:val="auto"/>
                <w:kern w:val="0"/>
                <w:szCs w:val="21"/>
                <w:highlight w:val="none"/>
              </w:rPr>
            </w:pPr>
            <w:r>
              <w:rPr>
                <w:rFonts w:hint="default" w:ascii="Times New Roman" w:hAnsi="Times New Roman" w:cs="Times New Roman"/>
                <w:color w:val="auto"/>
                <w:sz w:val="21"/>
                <w:highlight w:val="none"/>
              </w:rPr>
              <w:t>本项目</w:t>
            </w:r>
            <w:r>
              <w:rPr>
                <w:rFonts w:hint="default" w:ascii="Times New Roman" w:hAnsi="Times New Roman" w:cs="Times New Roman"/>
                <w:color w:val="auto"/>
                <w:sz w:val="21"/>
                <w:highlight w:val="none"/>
                <w:shd w:val="clear"/>
              </w:rPr>
              <w:t>采取了有效、可行的污染治理措施，各项污染物均可达标排放，本项目建设对周围环境影响较小，因此本项目符合</w:t>
            </w:r>
            <w:r>
              <w:rPr>
                <w:rFonts w:hint="default" w:ascii="Times New Roman" w:hAnsi="Times New Roman" w:cs="Times New Roman"/>
                <w:color w:val="auto"/>
                <w:kern w:val="0"/>
                <w:sz w:val="21"/>
                <w:szCs w:val="21"/>
                <w:highlight w:val="none"/>
              </w:rPr>
              <w:t>《鸡西市人民政府关于实施</w:t>
            </w:r>
            <w:r>
              <w:rPr>
                <w:rFonts w:hint="eastAsia" w:ascii="宋体" w:hAnsi="宋体" w:eastAsia="宋体" w:cs="宋体"/>
                <w:color w:val="auto"/>
                <w:kern w:val="0"/>
                <w:sz w:val="21"/>
                <w:szCs w:val="21"/>
                <w:highlight w:val="none"/>
              </w:rPr>
              <w:t>“三线一单”</w:t>
            </w:r>
            <w:r>
              <w:rPr>
                <w:rFonts w:hint="default" w:ascii="Times New Roman" w:hAnsi="Times New Roman" w:cs="Times New Roman"/>
                <w:color w:val="auto"/>
                <w:kern w:val="0"/>
                <w:sz w:val="21"/>
                <w:szCs w:val="21"/>
                <w:highlight w:val="none"/>
              </w:rPr>
              <w:t>生态环境分区管控的意见》（鸡政发〔2021〕7号文件）</w:t>
            </w:r>
            <w:r>
              <w:rPr>
                <w:rFonts w:hint="default" w:ascii="Times New Roman" w:hAnsi="Times New Roman" w:cs="Times New Roman"/>
                <w:color w:val="auto"/>
                <w:sz w:val="21"/>
                <w:highlight w:val="none"/>
              </w:rPr>
              <w:t>中要求。</w:t>
            </w:r>
          </w:p>
          <w:p w14:paraId="5BB0B5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b/>
                <w:bCs/>
                <w:color w:val="auto"/>
                <w:kern w:val="0"/>
                <w:sz w:val="21"/>
                <w:szCs w:val="21"/>
                <w:highlight w:val="none"/>
              </w:rPr>
            </w:pPr>
            <w:r>
              <w:rPr>
                <w:rFonts w:hint="eastAsia"/>
                <w:b/>
                <w:bCs/>
                <w:color w:val="auto"/>
                <w:kern w:val="0"/>
                <w:sz w:val="21"/>
                <w:szCs w:val="21"/>
                <w:highlight w:val="none"/>
                <w:lang w:val="en-US" w:eastAsia="zh-CN"/>
              </w:rPr>
              <w:t>2</w:t>
            </w:r>
            <w:r>
              <w:rPr>
                <w:rFonts w:hint="eastAsia"/>
                <w:b/>
                <w:bCs/>
                <w:color w:val="auto"/>
                <w:kern w:val="0"/>
                <w:sz w:val="21"/>
                <w:szCs w:val="21"/>
                <w:highlight w:val="none"/>
              </w:rPr>
              <w:t>、选址合理性分析</w:t>
            </w:r>
          </w:p>
          <w:p w14:paraId="0BBCD77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textAlignment w:val="auto"/>
              <w:rPr>
                <w:rFonts w:hint="eastAsia"/>
                <w:color w:val="auto"/>
                <w:kern w:val="0"/>
                <w:sz w:val="21"/>
                <w:szCs w:val="21"/>
                <w:highlight w:val="none"/>
              </w:rPr>
            </w:pPr>
            <w:r>
              <w:rPr>
                <w:rFonts w:hint="eastAsia"/>
                <w:color w:val="auto"/>
                <w:kern w:val="0"/>
                <w:sz w:val="21"/>
                <w:szCs w:val="21"/>
                <w:highlight w:val="none"/>
                <w:lang w:val="en-US" w:eastAsia="zh-CN"/>
              </w:rPr>
              <w:t>厂区北侧隔空地为红太村，东侧隔空地为朝阳一队，西侧及南侧均为空地</w:t>
            </w:r>
            <w:r>
              <w:rPr>
                <w:rFonts w:hint="eastAsia"/>
                <w:b w:val="0"/>
                <w:bCs w:val="0"/>
                <w:color w:val="auto"/>
                <w:sz w:val="21"/>
                <w:szCs w:val="21"/>
                <w:highlight w:val="none"/>
                <w:lang w:eastAsia="zh-CN"/>
              </w:rPr>
              <w:t>。</w:t>
            </w:r>
            <w:r>
              <w:rPr>
                <w:rFonts w:hint="eastAsia"/>
                <w:color w:val="auto"/>
                <w:kern w:val="0"/>
                <w:sz w:val="21"/>
                <w:szCs w:val="21"/>
                <w:highlight w:val="none"/>
              </w:rPr>
              <w:t>本项目所在地地势平坦，厂区地理位置交通便利，基础设施齐全，与周边环境协调。项目不在风景名胜区、自然保护区、水源保护区及其他需要特别保护的区域内，没有明显的环境制约因素，项目选址合理。</w:t>
            </w:r>
          </w:p>
          <w:p w14:paraId="7B3A48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本项目</w:t>
            </w:r>
            <w:r>
              <w:rPr>
                <w:rFonts w:hint="eastAsia" w:cs="Times New Roman"/>
                <w:color w:val="auto"/>
                <w:kern w:val="0"/>
                <w:sz w:val="21"/>
                <w:szCs w:val="21"/>
                <w:highlight w:val="none"/>
                <w:lang w:val="en-US" w:eastAsia="zh-CN"/>
              </w:rPr>
              <w:t>不新增废气、不新增生活污水，净水工艺及污泥处理工艺不变。主要为</w:t>
            </w:r>
            <w:r>
              <w:rPr>
                <w:rFonts w:hint="default" w:ascii="Times New Roman" w:hAnsi="Times New Roman" w:eastAsia="宋体" w:cs="Times New Roman"/>
                <w:color w:val="auto"/>
                <w:spacing w:val="0"/>
                <w:sz w:val="21"/>
                <w:szCs w:val="21"/>
              </w:rPr>
              <w:t>沉淀池排泥水</w:t>
            </w:r>
            <w:r>
              <w:rPr>
                <w:rFonts w:hint="default" w:ascii="Times New Roman" w:hAnsi="Times New Roman" w:eastAsia="宋体" w:cs="Times New Roman"/>
                <w:color w:val="auto"/>
                <w:spacing w:val="0"/>
                <w:kern w:val="21"/>
                <w:sz w:val="21"/>
                <w:szCs w:val="21"/>
                <w:highlight w:val="none"/>
                <w:lang w:val="en-US" w:eastAsia="zh-CN"/>
              </w:rPr>
              <w:t>经絮凝、沉淀处理后满足</w:t>
            </w:r>
            <w:r>
              <w:rPr>
                <w:rFonts w:hint="default" w:ascii="Times New Roman" w:hAnsi="Times New Roman" w:eastAsia="宋体" w:cs="Times New Roman"/>
                <w:color w:val="auto"/>
                <w:spacing w:val="0"/>
                <w:sz w:val="21"/>
                <w:szCs w:val="21"/>
                <w:highlight w:val="none"/>
                <w:lang w:val="en-US" w:eastAsia="zh-CN"/>
              </w:rPr>
              <w:t>《地表水环境质量标准》（GB3838-2002）表1中三类标准、悬浮物满足《污水综合排放标准》（GB8978-1996）一级标准</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排入</w:t>
            </w:r>
            <w:r>
              <w:rPr>
                <w:rFonts w:hint="eastAsia" w:ascii="Times New Roman" w:hAnsi="Times New Roman" w:eastAsia="宋体" w:cs="Times New Roman"/>
                <w:color w:val="auto"/>
                <w:sz w:val="21"/>
                <w:szCs w:val="21"/>
                <w:highlight w:val="none"/>
                <w:lang w:val="en-US" w:eastAsia="zh-CN"/>
              </w:rPr>
              <w:t>红光沟流入</w:t>
            </w:r>
            <w:r>
              <w:rPr>
                <w:rFonts w:hint="default" w:ascii="Times New Roman" w:hAnsi="Times New Roman" w:eastAsia="宋体" w:cs="Times New Roman"/>
                <w:color w:val="auto"/>
                <w:sz w:val="21"/>
                <w:szCs w:val="21"/>
                <w:highlight w:val="none"/>
                <w:lang w:val="en-US" w:eastAsia="zh-CN"/>
              </w:rPr>
              <w:t>穆棱河</w:t>
            </w:r>
            <w:r>
              <w:rPr>
                <w:rFonts w:hint="default" w:ascii="Times New Roman" w:hAnsi="Times New Roman" w:eastAsia="宋体" w:cs="Times New Roman"/>
                <w:color w:val="auto"/>
                <w:spacing w:val="0"/>
                <w:sz w:val="21"/>
                <w:szCs w:val="21"/>
                <w:highlight w:val="none"/>
                <w:lang w:val="en-US" w:eastAsia="zh-CN"/>
              </w:rPr>
              <w:t>。</w:t>
            </w:r>
            <w:r>
              <w:rPr>
                <w:rFonts w:hint="default" w:ascii="Times New Roman" w:hAnsi="Times New Roman" w:eastAsia="宋体" w:cs="Times New Roman"/>
                <w:b w:val="0"/>
                <w:bCs w:val="0"/>
                <w:color w:val="auto"/>
                <w:spacing w:val="0"/>
                <w:w w:val="100"/>
                <w:sz w:val="21"/>
                <w:szCs w:val="21"/>
                <w:highlight w:val="none"/>
                <w:lang w:val="en-US" w:eastAsia="zh-CN"/>
              </w:rPr>
              <w:t>脱水污泥</w:t>
            </w:r>
            <w:r>
              <w:rPr>
                <w:rFonts w:hint="eastAsia" w:cs="Times New Roman"/>
                <w:b w:val="0"/>
                <w:bCs w:val="0"/>
                <w:color w:val="auto"/>
                <w:spacing w:val="0"/>
                <w:w w:val="100"/>
                <w:sz w:val="21"/>
                <w:szCs w:val="21"/>
                <w:highlight w:val="none"/>
                <w:lang w:val="en-US" w:eastAsia="zh-CN"/>
              </w:rPr>
              <w:t>暂存污泥暂存库内，定期</w:t>
            </w:r>
            <w:r>
              <w:rPr>
                <w:rFonts w:hint="eastAsia" w:ascii="宋体" w:hAnsi="宋体" w:cs="宋体"/>
                <w:color w:val="auto"/>
                <w:sz w:val="21"/>
                <w:szCs w:val="21"/>
                <w:highlight w:val="none"/>
                <w:lang w:val="en-US" w:eastAsia="zh-CN"/>
              </w:rPr>
              <w:t>外运委托有资质单位处理</w:t>
            </w:r>
            <w:r>
              <w:rPr>
                <w:rFonts w:hint="eastAsia"/>
                <w:color w:val="auto"/>
                <w:sz w:val="21"/>
                <w:szCs w:val="21"/>
                <w:highlight w:val="none"/>
                <w:lang w:val="en-US" w:eastAsia="zh-CN"/>
              </w:rPr>
              <w:t>。</w:t>
            </w:r>
            <w:r>
              <w:rPr>
                <w:rFonts w:hint="default" w:ascii="Times New Roman" w:hAnsi="Times New Roman" w:cs="Times New Roman"/>
                <w:color w:val="auto"/>
                <w:sz w:val="21"/>
                <w:szCs w:val="21"/>
                <w:highlight w:val="none"/>
              </w:rPr>
              <w:t>固体废物贮存、处置符合《一般工业固体废物贮存、处置场污染控制标准》</w:t>
            </w:r>
            <w:r>
              <w:rPr>
                <w:rFonts w:hint="eastAsia" w:cs="Times New Roman"/>
                <w:color w:val="auto"/>
                <w:sz w:val="21"/>
                <w:szCs w:val="21"/>
                <w:highlight w:val="none"/>
                <w:lang w:eastAsia="zh-CN"/>
              </w:rPr>
              <w:t>（</w:t>
            </w:r>
            <w:r>
              <w:rPr>
                <w:rFonts w:hint="default" w:ascii="Times New Roman" w:hAnsi="Times New Roman" w:cs="Times New Roman"/>
                <w:color w:val="auto"/>
                <w:sz w:val="21"/>
                <w:szCs w:val="21"/>
                <w:highlight w:val="none"/>
              </w:rPr>
              <w:t>GB 18599-2020</w:t>
            </w:r>
            <w:r>
              <w:rPr>
                <w:rFonts w:hint="eastAsia" w:cs="Times New Roman"/>
                <w:color w:val="auto"/>
                <w:sz w:val="21"/>
                <w:szCs w:val="21"/>
                <w:highlight w:val="none"/>
                <w:lang w:eastAsia="zh-CN"/>
              </w:rPr>
              <w:t>）。</w:t>
            </w:r>
            <w:r>
              <w:rPr>
                <w:rFonts w:hint="default" w:ascii="Times New Roman" w:hAnsi="Times New Roman" w:cs="Times New Roman"/>
                <w:color w:val="auto"/>
                <w:sz w:val="21"/>
                <w:szCs w:val="21"/>
                <w:highlight w:val="none"/>
              </w:rPr>
              <w:t>本项目各项污染物经过有效的污染治理措施后对环境影响较小</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从环保的角度分析本项目的选址是合理的</w:t>
            </w:r>
            <w:r>
              <w:rPr>
                <w:rFonts w:hint="default" w:ascii="Times New Roman" w:hAnsi="Times New Roman" w:cs="Times New Roman"/>
                <w:color w:val="auto"/>
                <w:kern w:val="0"/>
                <w:sz w:val="21"/>
                <w:szCs w:val="21"/>
                <w:highlight w:val="none"/>
              </w:rPr>
              <w:t>。</w:t>
            </w:r>
          </w:p>
          <w:p w14:paraId="4460887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22" w:firstLineChars="200"/>
              <w:textAlignment w:val="auto"/>
              <w:rPr>
                <w:rFonts w:hint="default"/>
                <w:color w:val="auto"/>
                <w:sz w:val="21"/>
                <w:highlight w:val="none"/>
              </w:rPr>
            </w:pPr>
            <w:r>
              <w:rPr>
                <w:rFonts w:hint="eastAsia"/>
                <w:b/>
                <w:bCs/>
                <w:color w:val="auto"/>
                <w:kern w:val="0"/>
                <w:sz w:val="21"/>
                <w:szCs w:val="21"/>
                <w:highlight w:val="none"/>
                <w:lang w:val="en-US" w:eastAsia="zh-CN"/>
              </w:rPr>
              <w:t>3</w:t>
            </w:r>
            <w:r>
              <w:rPr>
                <w:rFonts w:hint="eastAsia"/>
                <w:b/>
                <w:bCs/>
                <w:color w:val="auto"/>
                <w:kern w:val="0"/>
                <w:sz w:val="21"/>
                <w:szCs w:val="21"/>
                <w:highlight w:val="none"/>
              </w:rPr>
              <w:t>、产业政策符合性</w:t>
            </w:r>
          </w:p>
          <w:p w14:paraId="4437E5F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lang w:val="en-US"/>
              </w:rPr>
            </w:pPr>
            <w:r>
              <w:rPr>
                <w:rFonts w:hint="eastAsia" w:ascii="Times New Roman" w:hAnsi="Times New Roman" w:cs="Times New Roman"/>
                <w:color w:val="auto"/>
                <w:sz w:val="21"/>
                <w:szCs w:val="21"/>
                <w:highlight w:val="none"/>
                <w:lang w:val="en-US" w:eastAsia="zh-CN"/>
              </w:rPr>
              <w:t>本项目属于《国民经济行业类别》（</w:t>
            </w:r>
            <w:r>
              <w:rPr>
                <w:rFonts w:hint="default" w:ascii="Times New Roman" w:hAnsi="Times New Roman" w:cs="Times New Roman"/>
                <w:color w:val="auto"/>
                <w:sz w:val="21"/>
                <w:szCs w:val="21"/>
                <w:highlight w:val="none"/>
                <w:lang w:val="en-US" w:eastAsia="zh-CN"/>
              </w:rPr>
              <w:t>GB/T4754-2017</w:t>
            </w:r>
            <w:r>
              <w:rPr>
                <w:rFonts w:hint="eastAsia" w:ascii="Times New Roman" w:hAnsi="Times New Roman" w:cs="Times New Roman"/>
                <w:color w:val="auto"/>
                <w:sz w:val="21"/>
                <w:szCs w:val="21"/>
                <w:highlight w:val="none"/>
                <w:lang w:val="en-US" w:eastAsia="zh-CN"/>
              </w:rPr>
              <w:t>）分类中的“</w:t>
            </w:r>
            <w:r>
              <w:rPr>
                <w:rFonts w:hint="default" w:ascii="Times New Roman" w:hAnsi="Times New Roman" w:cs="Times New Roman"/>
                <w:color w:val="auto"/>
                <w:sz w:val="21"/>
                <w:szCs w:val="21"/>
                <w:highlight w:val="none"/>
                <w:lang w:val="en-US" w:eastAsia="zh-CN"/>
              </w:rPr>
              <w:t>D4610</w:t>
            </w:r>
            <w:r>
              <w:rPr>
                <w:rFonts w:hint="eastAsia" w:ascii="Times New Roman" w:hAnsi="Times New Roman" w:cs="Times New Roman"/>
                <w:color w:val="auto"/>
                <w:sz w:val="21"/>
                <w:szCs w:val="21"/>
                <w:highlight w:val="none"/>
                <w:lang w:val="en-US" w:eastAsia="zh-CN"/>
              </w:rPr>
              <w:t>自来水生产和供应”。根据《产业结构调整指导目录》（</w:t>
            </w:r>
            <w:r>
              <w:rPr>
                <w:rFonts w:hint="default" w:ascii="Times New Roman" w:hAnsi="Times New Roman" w:cs="Times New Roman"/>
                <w:color w:val="auto"/>
                <w:sz w:val="21"/>
                <w:szCs w:val="21"/>
                <w:highlight w:val="none"/>
                <w:lang w:val="en-US" w:eastAsia="zh-CN"/>
              </w:rPr>
              <w:t>2024</w:t>
            </w:r>
            <w:r>
              <w:rPr>
                <w:rFonts w:hint="eastAsia" w:ascii="Times New Roman" w:hAnsi="Times New Roman" w:cs="Times New Roman"/>
                <w:color w:val="auto"/>
                <w:sz w:val="21"/>
                <w:szCs w:val="21"/>
                <w:highlight w:val="none"/>
                <w:lang w:val="en-US" w:eastAsia="zh-CN"/>
              </w:rPr>
              <w:t>年本），本项目属于“鼓励类：二十二、城镇基础设施</w:t>
            </w:r>
            <w:r>
              <w:rPr>
                <w:rFonts w:hint="default" w:ascii="Times New Roman" w:hAnsi="Times New Roman" w:cs="Times New Roman"/>
                <w:color w:val="auto"/>
                <w:sz w:val="21"/>
                <w:szCs w:val="21"/>
                <w:highlight w:val="none"/>
                <w:lang w:val="en-US" w:eastAsia="zh-CN"/>
              </w:rPr>
              <w:t>-2</w:t>
            </w:r>
            <w:r>
              <w:rPr>
                <w:rFonts w:hint="eastAsia" w:ascii="Times New Roman" w:hAnsi="Times New Roman" w:cs="Times New Roman"/>
                <w:color w:val="auto"/>
                <w:sz w:val="21"/>
                <w:szCs w:val="21"/>
                <w:highlight w:val="none"/>
                <w:lang w:val="en-US" w:eastAsia="zh-CN"/>
              </w:rPr>
              <w:t>、市政基础设施</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lang w:val="en-US" w:eastAsia="zh-CN"/>
              </w:rPr>
              <w:t>城镇供排水工程及相关设备生产</w:t>
            </w:r>
            <w:r>
              <w:rPr>
                <w:rFonts w:hint="eastAsia"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因此本项目与产业政策相符。</w:t>
            </w:r>
          </w:p>
          <w:p w14:paraId="0D17B0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ascii="宋体" w:hAnsi="宋体" w:cs="宋体"/>
                <w:b/>
                <w:bCs/>
                <w:color w:val="auto"/>
                <w:kern w:val="0"/>
                <w:sz w:val="21"/>
                <w:szCs w:val="21"/>
                <w:highlight w:val="none"/>
                <w:lang w:val="en-US" w:eastAsia="zh-CN" w:bidi="ar"/>
              </w:rPr>
            </w:pPr>
            <w:r>
              <w:rPr>
                <w:rFonts w:hint="eastAsia" w:ascii="Times New Roman" w:hAnsi="Times New Roman" w:cs="Times New Roman"/>
                <w:b/>
                <w:bCs/>
                <w:color w:val="auto"/>
                <w:kern w:val="0"/>
                <w:sz w:val="21"/>
                <w:szCs w:val="21"/>
                <w:highlight w:val="none"/>
                <w:lang w:val="en-US" w:eastAsia="zh-CN"/>
              </w:rPr>
              <w:t>4、</w:t>
            </w:r>
            <w:r>
              <w:rPr>
                <w:rFonts w:hint="eastAsia" w:ascii="宋体" w:hAnsi="宋体" w:cs="宋体"/>
                <w:b/>
                <w:bCs/>
                <w:color w:val="auto"/>
                <w:kern w:val="0"/>
                <w:sz w:val="21"/>
                <w:szCs w:val="21"/>
                <w:highlight w:val="none"/>
                <w:lang w:val="en-US" w:eastAsia="zh-CN" w:bidi="ar"/>
              </w:rPr>
              <w:t>与</w:t>
            </w:r>
            <w:r>
              <w:rPr>
                <w:rFonts w:hint="default" w:ascii="Times New Roman" w:hAnsi="Times New Roman" w:eastAsia="宋体" w:cs="Times New Roman"/>
                <w:b/>
                <w:bCs/>
                <w:color w:val="auto"/>
                <w:sz w:val="21"/>
                <w:szCs w:val="21"/>
                <w:lang w:val="en-US" w:eastAsia="zh-CN"/>
              </w:rPr>
              <w:t>《黑龙江省水污染防治条例》</w:t>
            </w:r>
            <w:r>
              <w:rPr>
                <w:rFonts w:hint="eastAsia" w:ascii="宋体" w:hAnsi="宋体" w:cs="宋体"/>
                <w:b/>
                <w:bCs/>
                <w:color w:val="auto"/>
                <w:kern w:val="0"/>
                <w:sz w:val="21"/>
                <w:szCs w:val="21"/>
                <w:highlight w:val="none"/>
                <w:lang w:val="en-US" w:eastAsia="zh-CN" w:bidi="ar"/>
              </w:rPr>
              <w:t>符合性分析</w:t>
            </w:r>
          </w:p>
          <w:p w14:paraId="04AABC5B">
            <w:pPr>
              <w:pStyle w:val="4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第十一条 新建、改建、扩建直接或者间接向水体排放污染物的建设项目和其他水上设施，应当依法进行环境影响评价，并符合国家、省、市（地）有关生态保护红线、环境质量底线、资源利用上线和生态环境准入清单的要求。</w:t>
            </w:r>
            <w:r>
              <w:rPr>
                <w:rFonts w:hint="default" w:ascii="Helvetica" w:hAnsi="Helvetica" w:eastAsia="Helvetica" w:cs="Helvetica"/>
                <w:b w:val="0"/>
                <w:bCs w:val="0"/>
                <w:i w:val="0"/>
                <w:iCs w:val="0"/>
                <w:caps w:val="0"/>
                <w:color w:val="auto"/>
                <w:spacing w:val="0"/>
                <w:sz w:val="21"/>
                <w:szCs w:val="21"/>
                <w:highlight w:val="none"/>
                <w:shd w:val="clear" w:fill="FFFFFF"/>
              </w:rPr>
              <w:t>第三十三条排放工业废水的企业应当采取有效措施，收集和处理产生的全部废水，防止污染环境。含有毒有害水污染物的工业废水应当分类收集和处理，不得稀释排放。</w:t>
            </w:r>
            <w:r>
              <w:rPr>
                <w:rFonts w:hint="eastAsia" w:ascii="Times New Roman" w:hAnsi="Times New Roman" w:eastAsia="宋体" w:cs="Times New Roman"/>
                <w:b w:val="0"/>
                <w:bCs w:val="0"/>
                <w:color w:val="auto"/>
                <w:kern w:val="2"/>
                <w:sz w:val="21"/>
                <w:szCs w:val="21"/>
                <w:highlight w:val="none"/>
                <w:lang w:val="en-US" w:eastAsia="zh-CN" w:bidi="ar-SA"/>
              </w:rPr>
              <w:t>第四十八条 禁止在饮用水水源一级保护区内新建、改建、扩建与供水设施和保护水源无关的建设项目；已建成的与供水设施和保护水源无关的建设项目，依照法律规定处理。</w:t>
            </w:r>
          </w:p>
          <w:p w14:paraId="31F7D925">
            <w:pPr>
              <w:pStyle w:val="3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pacing w:val="0"/>
                <w:sz w:val="21"/>
                <w:szCs w:val="21"/>
                <w:highlight w:val="none"/>
              </w:rPr>
              <w:t>本项目</w:t>
            </w:r>
            <w:r>
              <w:rPr>
                <w:rFonts w:hint="eastAsia" w:cs="Times New Roman"/>
                <w:b w:val="0"/>
                <w:bCs w:val="0"/>
                <w:color w:val="auto"/>
                <w:spacing w:val="0"/>
                <w:sz w:val="21"/>
                <w:szCs w:val="21"/>
                <w:highlight w:val="none"/>
                <w:lang w:val="en-US" w:eastAsia="zh-CN"/>
              </w:rPr>
              <w:t>不新增</w:t>
            </w:r>
            <w:r>
              <w:rPr>
                <w:rFonts w:hint="default" w:ascii="Times New Roman" w:hAnsi="Times New Roman" w:eastAsia="宋体" w:cs="Times New Roman"/>
                <w:b w:val="0"/>
                <w:bCs w:val="0"/>
                <w:color w:val="auto"/>
                <w:spacing w:val="0"/>
                <w:sz w:val="21"/>
                <w:szCs w:val="21"/>
                <w:highlight w:val="none"/>
              </w:rPr>
              <w:t>生活污水</w:t>
            </w:r>
            <w:r>
              <w:rPr>
                <w:rFonts w:hint="eastAsia" w:cs="Times New Roman"/>
                <w:b w:val="0"/>
                <w:bCs w:val="0"/>
                <w:color w:val="auto"/>
                <w:spacing w:val="0"/>
                <w:sz w:val="21"/>
                <w:szCs w:val="21"/>
                <w:highlight w:val="none"/>
                <w:lang w:eastAsia="zh-CN"/>
              </w:rPr>
              <w:t>，</w:t>
            </w:r>
            <w:r>
              <w:rPr>
                <w:rFonts w:hint="default" w:ascii="Times New Roman" w:hAnsi="Times New Roman" w:eastAsia="宋体" w:cs="Times New Roman"/>
                <w:bCs/>
                <w:color w:val="auto"/>
                <w:spacing w:val="0"/>
                <w:kern w:val="0"/>
                <w:sz w:val="21"/>
                <w:szCs w:val="21"/>
                <w:highlight w:val="none"/>
                <w:lang w:val="en-US" w:eastAsia="zh-CN"/>
              </w:rPr>
              <w:t>反冲洗废水</w:t>
            </w:r>
            <w:r>
              <w:rPr>
                <w:rFonts w:hint="eastAsia" w:cs="Times New Roman"/>
                <w:color w:val="auto"/>
                <w:sz w:val="21"/>
                <w:szCs w:val="21"/>
                <w:highlight w:val="none"/>
                <w:lang w:eastAsia="zh-CN"/>
              </w:rPr>
              <w:t>回收</w:t>
            </w:r>
            <w:r>
              <w:rPr>
                <w:rFonts w:hint="eastAsia" w:cs="Times New Roman"/>
                <w:color w:val="auto"/>
                <w:sz w:val="21"/>
                <w:szCs w:val="21"/>
                <w:highlight w:val="none"/>
                <w:lang w:val="en-US" w:eastAsia="zh-CN"/>
              </w:rPr>
              <w:t>排入</w:t>
            </w:r>
            <w:r>
              <w:rPr>
                <w:rFonts w:hint="eastAsia" w:cs="Times New Roman"/>
                <w:color w:val="auto"/>
                <w:sz w:val="21"/>
                <w:szCs w:val="21"/>
                <w:highlight w:val="none"/>
                <w:lang w:eastAsia="zh-CN"/>
              </w:rPr>
              <w:t>配水</w:t>
            </w:r>
            <w:r>
              <w:rPr>
                <w:rFonts w:hint="eastAsia" w:cs="Times New Roman"/>
                <w:color w:val="auto"/>
                <w:sz w:val="21"/>
                <w:szCs w:val="21"/>
                <w:highlight w:val="none"/>
                <w:lang w:val="en-US" w:eastAsia="zh-CN"/>
              </w:rPr>
              <w:t>井</w:t>
            </w:r>
            <w:r>
              <w:rPr>
                <w:rFonts w:hint="eastAsia" w:cs="Times New Roman"/>
                <w:color w:val="auto"/>
                <w:sz w:val="21"/>
                <w:szCs w:val="21"/>
                <w:highlight w:val="none"/>
                <w:lang w:eastAsia="zh-CN"/>
              </w:rPr>
              <w:t>与原水混合回用，不外排，</w:t>
            </w:r>
            <w:r>
              <w:rPr>
                <w:rFonts w:hint="default" w:ascii="Times New Roman" w:hAnsi="Times New Roman" w:eastAsia="宋体" w:cs="Times New Roman"/>
                <w:color w:val="auto"/>
                <w:spacing w:val="0"/>
                <w:sz w:val="21"/>
                <w:szCs w:val="21"/>
              </w:rPr>
              <w:t>沉淀池排泥水</w:t>
            </w:r>
            <w:r>
              <w:rPr>
                <w:rFonts w:hint="default" w:ascii="Times New Roman" w:hAnsi="Times New Roman" w:eastAsia="宋体" w:cs="Times New Roman"/>
                <w:color w:val="auto"/>
                <w:spacing w:val="0"/>
                <w:kern w:val="21"/>
                <w:sz w:val="21"/>
                <w:szCs w:val="21"/>
                <w:highlight w:val="none"/>
                <w:lang w:val="en-US" w:eastAsia="zh-CN"/>
              </w:rPr>
              <w:t>经絮凝、沉淀处理后满足</w:t>
            </w:r>
            <w:r>
              <w:rPr>
                <w:rFonts w:hint="default" w:ascii="Times New Roman" w:hAnsi="Times New Roman" w:eastAsia="宋体" w:cs="Times New Roman"/>
                <w:color w:val="auto"/>
                <w:spacing w:val="0"/>
                <w:sz w:val="21"/>
                <w:szCs w:val="21"/>
                <w:highlight w:val="none"/>
                <w:lang w:val="en-US" w:eastAsia="zh-CN"/>
              </w:rPr>
              <w:t>《地表水环境质量标准》（GB3838-2002）表1中三类标准、悬浮物满足《污水综合排放标准》（GB8978-1996）一级标准</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排入</w:t>
            </w:r>
            <w:r>
              <w:rPr>
                <w:rFonts w:hint="eastAsia" w:ascii="Times New Roman" w:hAnsi="Times New Roman" w:eastAsia="宋体" w:cs="Times New Roman"/>
                <w:color w:val="auto"/>
                <w:sz w:val="21"/>
                <w:szCs w:val="21"/>
                <w:highlight w:val="none"/>
                <w:lang w:val="en-US" w:eastAsia="zh-CN"/>
              </w:rPr>
              <w:t>红光沟流入</w:t>
            </w:r>
            <w:r>
              <w:rPr>
                <w:rFonts w:hint="default" w:ascii="Times New Roman" w:hAnsi="Times New Roman" w:eastAsia="宋体" w:cs="Times New Roman"/>
                <w:color w:val="auto"/>
                <w:sz w:val="21"/>
                <w:szCs w:val="21"/>
                <w:highlight w:val="none"/>
                <w:lang w:val="en-US" w:eastAsia="zh-CN"/>
              </w:rPr>
              <w:t>穆棱河</w:t>
            </w:r>
            <w:r>
              <w:rPr>
                <w:rFonts w:hint="default" w:ascii="Times New Roman" w:hAnsi="Times New Roman" w:eastAsia="宋体" w:cs="Times New Roman"/>
                <w:color w:val="auto"/>
                <w:spacing w:val="0"/>
                <w:sz w:val="21"/>
                <w:szCs w:val="21"/>
                <w:highlight w:val="none"/>
                <w:lang w:val="en-US" w:eastAsia="zh-CN"/>
              </w:rPr>
              <w:t>。</w:t>
            </w:r>
            <w:r>
              <w:rPr>
                <w:rFonts w:hint="default" w:ascii="Times New Roman" w:hAnsi="Times New Roman" w:cs="Times New Roman"/>
                <w:b w:val="0"/>
                <w:bCs w:val="0"/>
                <w:color w:val="auto"/>
                <w:sz w:val="21"/>
                <w:szCs w:val="21"/>
                <w:highlight w:val="none"/>
              </w:rPr>
              <w:t>不会对地表水和地下水环境造成影响</w:t>
            </w:r>
            <w:r>
              <w:rPr>
                <w:rFonts w:hint="eastAsia" w:ascii="Times New Roman" w:hAnsi="Times New Roman" w:cs="Times New Roman"/>
                <w:b w:val="0"/>
                <w:bCs w:val="0"/>
                <w:color w:val="auto"/>
                <w:sz w:val="21"/>
                <w:szCs w:val="21"/>
                <w:highlight w:val="none"/>
                <w:lang w:eastAsia="zh-CN"/>
              </w:rPr>
              <w:t>。</w:t>
            </w:r>
            <w:r>
              <w:rPr>
                <w:rFonts w:hint="eastAsia" w:ascii="Times New Roman" w:hAnsi="Times New Roman" w:cs="Times New Roman"/>
                <w:b w:val="0"/>
                <w:bCs w:val="0"/>
                <w:color w:val="auto"/>
                <w:sz w:val="21"/>
                <w:szCs w:val="21"/>
                <w:highlight w:val="none"/>
                <w:lang w:val="en-US" w:eastAsia="zh-CN"/>
              </w:rPr>
              <w:t>本项目</w:t>
            </w:r>
            <w:r>
              <w:rPr>
                <w:rFonts w:hint="eastAsia" w:ascii="Times New Roman" w:hAnsi="Times New Roman" w:eastAsia="宋体" w:cs="Times New Roman"/>
                <w:b w:val="0"/>
                <w:bCs w:val="0"/>
                <w:color w:val="auto"/>
                <w:kern w:val="2"/>
                <w:sz w:val="21"/>
                <w:szCs w:val="21"/>
                <w:highlight w:val="none"/>
                <w:lang w:val="en-US" w:eastAsia="zh-CN" w:bidi="ar-SA"/>
              </w:rPr>
              <w:t>排污口</w:t>
            </w:r>
            <w:r>
              <w:rPr>
                <w:rFonts w:hint="eastAsia" w:cs="Times New Roman"/>
                <w:b w:val="0"/>
                <w:bCs w:val="0"/>
                <w:color w:val="auto"/>
                <w:kern w:val="2"/>
                <w:sz w:val="21"/>
                <w:szCs w:val="21"/>
                <w:highlight w:val="none"/>
                <w:lang w:val="en-US" w:eastAsia="zh-CN" w:bidi="ar-SA"/>
              </w:rPr>
              <w:t>不设置在</w:t>
            </w:r>
            <w:r>
              <w:rPr>
                <w:rFonts w:hint="eastAsia" w:ascii="Times New Roman" w:hAnsi="Times New Roman" w:eastAsia="宋体" w:cs="Times New Roman"/>
                <w:b w:val="0"/>
                <w:bCs w:val="0"/>
                <w:color w:val="auto"/>
                <w:kern w:val="2"/>
                <w:sz w:val="21"/>
                <w:szCs w:val="21"/>
                <w:highlight w:val="none"/>
                <w:lang w:val="en-US" w:eastAsia="zh-CN" w:bidi="ar-SA"/>
              </w:rPr>
              <w:t>饮用水水源保护区内，符</w:t>
            </w:r>
            <w:r>
              <w:rPr>
                <w:rFonts w:hint="eastAsia" w:ascii="Times New Roman" w:hAnsi="Times New Roman" w:eastAsia="宋体" w:cs="Times New Roman"/>
                <w:b w:val="0"/>
                <w:bCs w:val="0"/>
                <w:color w:val="auto"/>
                <w:kern w:val="2"/>
                <w:sz w:val="21"/>
                <w:szCs w:val="21"/>
                <w:highlight w:val="none"/>
                <w:lang w:val="en-US" w:eastAsia="zh-CN" w:bidi="ar-SA"/>
              </w:rPr>
              <w:t>合</w:t>
            </w:r>
            <w:r>
              <w:rPr>
                <w:rFonts w:hint="eastAsia" w:ascii="宋体" w:hAnsi="宋体" w:cs="宋体"/>
                <w:b w:val="0"/>
                <w:bCs w:val="0"/>
                <w:color w:val="auto"/>
                <w:kern w:val="0"/>
                <w:sz w:val="21"/>
                <w:szCs w:val="21"/>
                <w:highlight w:val="none"/>
                <w:lang w:val="en-US" w:eastAsia="zh-CN" w:bidi="ar"/>
              </w:rPr>
              <w:t>黑龙江省水污染防治条例中的要求。</w:t>
            </w:r>
          </w:p>
          <w:p w14:paraId="357D02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b/>
                <w:bCs/>
                <w:color w:val="auto"/>
                <w:sz w:val="21"/>
                <w:szCs w:val="21"/>
                <w:lang w:val="en-US" w:eastAsia="zh-CN"/>
              </w:rPr>
            </w:pPr>
            <w:r>
              <w:rPr>
                <w:rFonts w:hint="eastAsia"/>
                <w:b/>
                <w:bCs/>
                <w:color w:val="auto"/>
                <w:kern w:val="0"/>
                <w:sz w:val="21"/>
                <w:szCs w:val="21"/>
                <w:lang w:val="en-US" w:eastAsia="zh-CN"/>
              </w:rPr>
              <w:t>5、与《中华人民共和国水污染防治法》符合性分析</w:t>
            </w:r>
          </w:p>
          <w:p w14:paraId="7DBF110F">
            <w:pPr>
              <w:keepNext w:val="0"/>
              <w:keepLines w:val="0"/>
              <w:pageBreakBefore w:val="0"/>
              <w:widowControl/>
              <w:suppressLineNumbers w:val="0"/>
              <w:shd w:val="clear" w:color="auto"/>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kern w:val="0"/>
                <w:sz w:val="21"/>
                <w:lang w:val="en-US" w:eastAsia="zh-CN"/>
              </w:rPr>
            </w:pPr>
            <w:r>
              <w:rPr>
                <w:rFonts w:hint="default" w:ascii="Times New Roman" w:hAnsi="Times New Roman" w:cs="Times New Roman"/>
                <w:b/>
                <w:bCs/>
                <w:color w:val="auto"/>
                <w:kern w:val="0"/>
                <w:sz w:val="21"/>
                <w:szCs w:val="21"/>
                <w:highlight w:val="none"/>
              </w:rPr>
              <w:t>表1-</w:t>
            </w:r>
            <w:r>
              <w:rPr>
                <w:rFonts w:hint="eastAsia" w:cs="Times New Roman"/>
                <w:b/>
                <w:bCs/>
                <w:color w:val="auto"/>
                <w:kern w:val="0"/>
                <w:sz w:val="21"/>
                <w:szCs w:val="21"/>
                <w:highlight w:val="none"/>
                <w:lang w:val="en-US" w:eastAsia="zh-CN"/>
              </w:rPr>
              <w:t>3</w:t>
            </w:r>
            <w:r>
              <w:rPr>
                <w:rFonts w:hint="eastAsia"/>
                <w:b/>
                <w:bCs/>
                <w:color w:val="auto"/>
                <w:kern w:val="0"/>
                <w:sz w:val="21"/>
                <w:szCs w:val="21"/>
                <w:lang w:val="en-US" w:eastAsia="zh-CN"/>
              </w:rPr>
              <w:t>与《中华人民共和国水污染防治法》符合性分析</w:t>
            </w:r>
          </w:p>
          <w:tbl>
            <w:tblPr>
              <w:tblStyle w:val="36"/>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9"/>
              <w:gridCol w:w="3588"/>
              <w:gridCol w:w="2719"/>
              <w:gridCol w:w="685"/>
            </w:tblGrid>
            <w:tr w14:paraId="0987FA7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9" w:type="dxa"/>
                  <w:vAlign w:val="center"/>
                </w:tcPr>
                <w:p w14:paraId="6EE50909">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rPr>
                      <w:rFonts w:hint="default" w:ascii="Times New Roman" w:hAnsi="Times New Roman" w:eastAsia="宋体" w:cs="Times New Roman"/>
                      <w:color w:val="auto"/>
                      <w:kern w:val="0"/>
                      <w:sz w:val="18"/>
                      <w:szCs w:val="18"/>
                      <w:vertAlign w:val="baseline"/>
                      <w:lang w:val="en-US" w:eastAsia="zh-CN" w:bidi="ar"/>
                    </w:rPr>
                  </w:pPr>
                  <w:r>
                    <w:rPr>
                      <w:rFonts w:hint="default" w:ascii="Times New Roman" w:hAnsi="Times New Roman" w:eastAsia="宋体" w:cs="Times New Roman"/>
                      <w:b/>
                      <w:bCs/>
                      <w:color w:val="auto"/>
                      <w:kern w:val="0"/>
                      <w:sz w:val="18"/>
                      <w:szCs w:val="18"/>
                      <w:lang w:val="en-US" w:eastAsia="zh-CN" w:bidi="ar"/>
                    </w:rPr>
                    <w:t>序号</w:t>
                  </w:r>
                </w:p>
              </w:tc>
              <w:tc>
                <w:tcPr>
                  <w:tcW w:w="3588" w:type="dxa"/>
                  <w:vAlign w:val="center"/>
                </w:tcPr>
                <w:p w14:paraId="46C79B94">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rPr>
                      <w:rFonts w:hint="default" w:ascii="Times New Roman" w:hAnsi="Times New Roman" w:eastAsia="宋体" w:cs="Times New Roman"/>
                      <w:color w:val="auto"/>
                      <w:kern w:val="0"/>
                      <w:sz w:val="18"/>
                      <w:szCs w:val="18"/>
                      <w:vertAlign w:val="baseline"/>
                      <w:lang w:val="en-US" w:eastAsia="zh-CN" w:bidi="ar"/>
                    </w:rPr>
                  </w:pPr>
                  <w:r>
                    <w:rPr>
                      <w:rFonts w:hint="default" w:ascii="Times New Roman" w:hAnsi="Times New Roman" w:eastAsia="宋体" w:cs="Times New Roman"/>
                      <w:b/>
                      <w:bCs/>
                      <w:color w:val="auto"/>
                      <w:kern w:val="0"/>
                      <w:sz w:val="18"/>
                      <w:szCs w:val="18"/>
                      <w:lang w:val="en-US" w:eastAsia="zh-CN" w:bidi="ar"/>
                    </w:rPr>
                    <w:t>相关要求</w:t>
                  </w:r>
                </w:p>
              </w:tc>
              <w:tc>
                <w:tcPr>
                  <w:tcW w:w="2719" w:type="dxa"/>
                  <w:vAlign w:val="center"/>
                </w:tcPr>
                <w:p w14:paraId="6B54AF6E">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rPr>
                      <w:rFonts w:hint="default" w:ascii="Times New Roman" w:hAnsi="Times New Roman" w:eastAsia="宋体" w:cs="Times New Roman"/>
                      <w:color w:val="auto"/>
                      <w:kern w:val="0"/>
                      <w:sz w:val="18"/>
                      <w:szCs w:val="18"/>
                      <w:vertAlign w:val="baseline"/>
                      <w:lang w:val="en-US" w:eastAsia="zh-CN" w:bidi="ar"/>
                    </w:rPr>
                  </w:pPr>
                  <w:r>
                    <w:rPr>
                      <w:rFonts w:hint="default" w:ascii="Times New Roman" w:hAnsi="Times New Roman" w:eastAsia="宋体" w:cs="Times New Roman"/>
                      <w:b/>
                      <w:bCs/>
                      <w:color w:val="auto"/>
                      <w:kern w:val="0"/>
                      <w:sz w:val="18"/>
                      <w:szCs w:val="18"/>
                      <w:lang w:val="en-US" w:eastAsia="zh-CN" w:bidi="ar"/>
                    </w:rPr>
                    <w:t>项目情况</w:t>
                  </w:r>
                </w:p>
              </w:tc>
              <w:tc>
                <w:tcPr>
                  <w:tcW w:w="685" w:type="dxa"/>
                  <w:vAlign w:val="center"/>
                </w:tcPr>
                <w:p w14:paraId="28B51895">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rPr>
                      <w:rFonts w:hint="default" w:ascii="Times New Roman" w:hAnsi="Times New Roman" w:eastAsia="宋体" w:cs="Times New Roman"/>
                      <w:color w:val="auto"/>
                      <w:kern w:val="0"/>
                      <w:sz w:val="18"/>
                      <w:szCs w:val="18"/>
                      <w:vertAlign w:val="baseline"/>
                      <w:lang w:val="en-US" w:eastAsia="zh-CN" w:bidi="ar"/>
                    </w:rPr>
                  </w:pPr>
                  <w:r>
                    <w:rPr>
                      <w:rFonts w:hint="default" w:ascii="Times New Roman" w:hAnsi="Times New Roman" w:eastAsia="宋体" w:cs="Times New Roman"/>
                      <w:b/>
                      <w:bCs/>
                      <w:color w:val="auto"/>
                      <w:kern w:val="0"/>
                      <w:sz w:val="18"/>
                      <w:szCs w:val="18"/>
                      <w:lang w:val="en-US" w:eastAsia="zh-CN" w:bidi="ar"/>
                    </w:rPr>
                    <w:t>是否符合</w:t>
                  </w:r>
                </w:p>
              </w:tc>
            </w:tr>
            <w:tr w14:paraId="5D3858A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9" w:type="dxa"/>
                  <w:vAlign w:val="center"/>
                </w:tcPr>
                <w:p w14:paraId="3AC482FC">
                  <w:pPr>
                    <w:pStyle w:val="48"/>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18"/>
                      <w:szCs w:val="18"/>
                      <w:vertAlign w:val="baseline"/>
                      <w:lang w:val="en-US" w:eastAsia="zh-CN" w:bidi="ar"/>
                    </w:rPr>
                  </w:pPr>
                  <w:r>
                    <w:rPr>
                      <w:rFonts w:hint="default" w:ascii="Times New Roman" w:hAnsi="Times New Roman" w:cs="Times New Roman"/>
                      <w:color w:val="auto"/>
                      <w:kern w:val="0"/>
                      <w:sz w:val="18"/>
                      <w:szCs w:val="18"/>
                      <w:vertAlign w:val="baseline"/>
                      <w:lang w:val="en-US" w:eastAsia="zh-CN" w:bidi="ar"/>
                    </w:rPr>
                    <w:t>1</w:t>
                  </w:r>
                </w:p>
              </w:tc>
              <w:tc>
                <w:tcPr>
                  <w:tcW w:w="3588" w:type="dxa"/>
                  <w:vAlign w:val="center"/>
                </w:tcPr>
                <w:p w14:paraId="2E4BE206">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rPr>
                      <w:rFonts w:hint="default" w:ascii="Times New Roman" w:hAnsi="Times New Roman" w:eastAsia="宋体" w:cs="Times New Roman"/>
                      <w:color w:val="auto"/>
                      <w:kern w:val="0"/>
                      <w:sz w:val="18"/>
                      <w:szCs w:val="18"/>
                      <w:vertAlign w:val="baseline"/>
                      <w:lang w:val="en-US" w:eastAsia="zh-CN" w:bidi="ar"/>
                    </w:rPr>
                  </w:pPr>
                  <w:r>
                    <w:rPr>
                      <w:rFonts w:hint="default" w:ascii="Times New Roman" w:hAnsi="Times New Roman" w:eastAsia="宋体" w:cs="Times New Roman"/>
                      <w:color w:val="auto"/>
                      <w:kern w:val="0"/>
                      <w:sz w:val="18"/>
                      <w:szCs w:val="18"/>
                      <w:lang w:val="en-US" w:eastAsia="zh-CN" w:bidi="ar"/>
                    </w:rPr>
                    <w:t>第六十四条：在饮用水水源保护区内，禁止设置排污口。</w:t>
                  </w:r>
                </w:p>
              </w:tc>
              <w:tc>
                <w:tcPr>
                  <w:tcW w:w="2719" w:type="dxa"/>
                  <w:vAlign w:val="center"/>
                </w:tcPr>
                <w:p w14:paraId="36A9A2BD">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rPr>
                      <w:rFonts w:hint="default" w:ascii="Times New Roman" w:hAnsi="Times New Roman" w:eastAsia="宋体" w:cs="Times New Roman"/>
                      <w:color w:val="auto"/>
                      <w:kern w:val="0"/>
                      <w:sz w:val="18"/>
                      <w:szCs w:val="18"/>
                      <w:vertAlign w:val="baseline"/>
                      <w:lang w:val="en-US" w:eastAsia="zh-CN" w:bidi="ar"/>
                    </w:rPr>
                  </w:pPr>
                  <w:r>
                    <w:rPr>
                      <w:rFonts w:hint="default" w:ascii="Times New Roman" w:hAnsi="Times New Roman" w:eastAsia="宋体" w:cs="Times New Roman"/>
                      <w:color w:val="auto"/>
                      <w:kern w:val="0"/>
                      <w:sz w:val="18"/>
                      <w:szCs w:val="18"/>
                      <w:lang w:val="en-US" w:eastAsia="zh-CN" w:bidi="ar"/>
                    </w:rPr>
                    <w:t>项目</w:t>
                  </w:r>
                  <w:r>
                    <w:rPr>
                      <w:rFonts w:hint="eastAsia" w:cs="Times New Roman"/>
                      <w:color w:val="auto"/>
                      <w:kern w:val="0"/>
                      <w:sz w:val="18"/>
                      <w:szCs w:val="18"/>
                      <w:lang w:val="en-US" w:eastAsia="zh-CN" w:bidi="ar"/>
                    </w:rPr>
                    <w:t>入河</w:t>
                  </w:r>
                  <w:r>
                    <w:rPr>
                      <w:rFonts w:hint="default" w:ascii="Times New Roman" w:hAnsi="Times New Roman" w:eastAsia="宋体" w:cs="Times New Roman"/>
                      <w:color w:val="auto"/>
                      <w:kern w:val="0"/>
                      <w:sz w:val="18"/>
                      <w:szCs w:val="18"/>
                      <w:lang w:val="en-US" w:eastAsia="zh-CN" w:bidi="ar"/>
                    </w:rPr>
                    <w:t>排污口</w:t>
                  </w:r>
                  <w:r>
                    <w:rPr>
                      <w:rFonts w:hint="eastAsia" w:cs="Times New Roman"/>
                      <w:color w:val="auto"/>
                      <w:kern w:val="0"/>
                      <w:sz w:val="18"/>
                      <w:szCs w:val="18"/>
                      <w:lang w:val="en-US" w:eastAsia="zh-CN" w:bidi="ar"/>
                    </w:rPr>
                    <w:t>位置不在</w:t>
                  </w:r>
                  <w:r>
                    <w:rPr>
                      <w:rFonts w:hint="default" w:ascii="Times New Roman" w:hAnsi="Times New Roman" w:eastAsia="宋体" w:cs="Times New Roman"/>
                      <w:color w:val="auto"/>
                      <w:kern w:val="0"/>
                      <w:sz w:val="18"/>
                      <w:szCs w:val="18"/>
                      <w:lang w:val="en-US" w:eastAsia="zh-CN" w:bidi="ar"/>
                    </w:rPr>
                    <w:t>饮用水水源保护区内</w:t>
                  </w:r>
                  <w:r>
                    <w:rPr>
                      <w:rFonts w:hint="eastAsia" w:ascii="Times New Roman" w:hAnsi="Times New Roman" w:eastAsia="宋体" w:cs="Times New Roman"/>
                      <w:color w:val="auto"/>
                      <w:kern w:val="0"/>
                      <w:sz w:val="18"/>
                      <w:szCs w:val="18"/>
                      <w:lang w:val="en-US" w:eastAsia="zh-CN" w:bidi="ar"/>
                    </w:rPr>
                    <w:t>。</w:t>
                  </w:r>
                </w:p>
              </w:tc>
              <w:tc>
                <w:tcPr>
                  <w:tcW w:w="685" w:type="dxa"/>
                  <w:vAlign w:val="center"/>
                </w:tcPr>
                <w:p w14:paraId="3D395950">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rPr>
                      <w:rFonts w:hint="default" w:ascii="Times New Roman" w:hAnsi="Times New Roman" w:eastAsia="宋体" w:cs="Times New Roman"/>
                      <w:color w:val="auto"/>
                      <w:kern w:val="0"/>
                      <w:sz w:val="18"/>
                      <w:szCs w:val="18"/>
                      <w:vertAlign w:val="baseline"/>
                      <w:lang w:val="en-US" w:eastAsia="zh-CN" w:bidi="ar"/>
                    </w:rPr>
                  </w:pPr>
                  <w:r>
                    <w:rPr>
                      <w:rFonts w:hint="default" w:ascii="Times New Roman" w:hAnsi="Times New Roman" w:eastAsia="宋体" w:cs="Times New Roman"/>
                      <w:color w:val="auto"/>
                      <w:kern w:val="0"/>
                      <w:sz w:val="18"/>
                      <w:szCs w:val="18"/>
                      <w:lang w:val="en-US" w:eastAsia="zh-CN" w:bidi="ar"/>
                    </w:rPr>
                    <w:t>符合</w:t>
                  </w:r>
                </w:p>
              </w:tc>
            </w:tr>
            <w:tr w14:paraId="745D237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9" w:type="dxa"/>
                  <w:vAlign w:val="center"/>
                </w:tcPr>
                <w:p w14:paraId="6017369C">
                  <w:pPr>
                    <w:pStyle w:val="48"/>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18"/>
                      <w:szCs w:val="18"/>
                      <w:vertAlign w:val="baseline"/>
                      <w:lang w:val="en-US" w:eastAsia="zh-CN" w:bidi="ar"/>
                    </w:rPr>
                  </w:pPr>
                  <w:r>
                    <w:rPr>
                      <w:rFonts w:hint="default" w:ascii="Times New Roman" w:hAnsi="Times New Roman" w:cs="Times New Roman"/>
                      <w:color w:val="auto"/>
                      <w:kern w:val="0"/>
                      <w:sz w:val="18"/>
                      <w:szCs w:val="18"/>
                      <w:vertAlign w:val="baseline"/>
                      <w:lang w:val="en-US" w:eastAsia="zh-CN" w:bidi="ar"/>
                    </w:rPr>
                    <w:t>2</w:t>
                  </w:r>
                </w:p>
              </w:tc>
              <w:tc>
                <w:tcPr>
                  <w:tcW w:w="3588" w:type="dxa"/>
                  <w:vAlign w:val="center"/>
                </w:tcPr>
                <w:p w14:paraId="75EABD9F">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rPr>
                      <w:rFonts w:hint="default" w:ascii="Times New Roman" w:hAnsi="Times New Roman" w:eastAsia="宋体" w:cs="Times New Roman"/>
                      <w:color w:val="auto"/>
                      <w:kern w:val="0"/>
                      <w:sz w:val="18"/>
                      <w:szCs w:val="18"/>
                      <w:vertAlign w:val="baseline"/>
                      <w:lang w:val="en-US" w:eastAsia="zh-CN" w:bidi="ar"/>
                    </w:rPr>
                  </w:pPr>
                  <w:r>
                    <w:rPr>
                      <w:rFonts w:hint="default" w:ascii="Times New Roman" w:hAnsi="Times New Roman" w:eastAsia="宋体" w:cs="Times New Roman"/>
                      <w:color w:val="auto"/>
                      <w:kern w:val="0"/>
                      <w:sz w:val="18"/>
                      <w:szCs w:val="18"/>
                      <w:lang w:val="en-US" w:eastAsia="zh-CN" w:bidi="ar"/>
                    </w:rPr>
                    <w:t>第六十五条：禁止在饮用水水源一级保护区内新建、改建、扩建与供水设施和保护水源无关的建设项目；已建成的与供水设施和保护水源无关的建设项目，由县级以上人民政府责令拆除或者关闭。禁止在饮用水水源一级保护区内从事网箱养殖、旅游、游泳、垂钓或者其他可能污染饮用水水体的活动。</w:t>
                  </w:r>
                </w:p>
              </w:tc>
              <w:tc>
                <w:tcPr>
                  <w:tcW w:w="2719" w:type="dxa"/>
                  <w:vAlign w:val="center"/>
                </w:tcPr>
                <w:p w14:paraId="2DBC27A9">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rPr>
                      <w:rFonts w:hint="default" w:ascii="Times New Roman" w:hAnsi="Times New Roman" w:eastAsia="宋体" w:cs="Times New Roman"/>
                      <w:color w:val="auto"/>
                      <w:kern w:val="0"/>
                      <w:sz w:val="18"/>
                      <w:szCs w:val="18"/>
                      <w:vertAlign w:val="baseline"/>
                      <w:lang w:val="en-US" w:eastAsia="zh-CN" w:bidi="ar"/>
                    </w:rPr>
                  </w:pPr>
                  <w:r>
                    <w:rPr>
                      <w:rFonts w:hint="default" w:ascii="Times New Roman" w:hAnsi="Times New Roman" w:eastAsia="宋体" w:cs="Times New Roman"/>
                      <w:color w:val="auto"/>
                      <w:kern w:val="0"/>
                      <w:sz w:val="18"/>
                      <w:szCs w:val="18"/>
                      <w:lang w:val="en-US" w:eastAsia="zh-CN" w:bidi="ar"/>
                    </w:rPr>
                    <w:t>项目属于自来水生产和供应工程，属于供水设施</w:t>
                  </w:r>
                  <w:r>
                    <w:rPr>
                      <w:rFonts w:hint="eastAsia" w:cs="Times New Roman"/>
                      <w:color w:val="auto"/>
                      <w:kern w:val="0"/>
                      <w:sz w:val="18"/>
                      <w:szCs w:val="18"/>
                      <w:lang w:val="en-US" w:eastAsia="zh-CN" w:bidi="ar"/>
                    </w:rPr>
                    <w:t>，</w:t>
                  </w:r>
                  <w:r>
                    <w:rPr>
                      <w:rFonts w:hint="default" w:ascii="Times New Roman" w:hAnsi="Times New Roman" w:eastAsia="宋体" w:cs="Times New Roman"/>
                      <w:color w:val="auto"/>
                      <w:kern w:val="0"/>
                      <w:sz w:val="18"/>
                      <w:szCs w:val="18"/>
                      <w:lang w:val="en-US" w:eastAsia="zh-CN" w:bidi="ar"/>
                    </w:rPr>
                    <w:t>项目不属于网箱养殖、旅游、游泳、垂钓或者其他可能污染饮用水水体的活动。</w:t>
                  </w:r>
                </w:p>
              </w:tc>
              <w:tc>
                <w:tcPr>
                  <w:tcW w:w="685" w:type="dxa"/>
                  <w:vAlign w:val="center"/>
                </w:tcPr>
                <w:p w14:paraId="2DFF07C8">
                  <w:pPr>
                    <w:pStyle w:val="48"/>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18"/>
                      <w:szCs w:val="18"/>
                      <w:vertAlign w:val="baseline"/>
                      <w:lang w:val="en-US" w:eastAsia="zh-CN" w:bidi="ar"/>
                    </w:rPr>
                  </w:pPr>
                  <w:r>
                    <w:rPr>
                      <w:rFonts w:hint="default" w:ascii="Times New Roman" w:hAnsi="Times New Roman" w:eastAsia="宋体" w:cs="Times New Roman"/>
                      <w:color w:val="auto"/>
                      <w:kern w:val="0"/>
                      <w:sz w:val="18"/>
                      <w:szCs w:val="18"/>
                      <w:lang w:val="en-US" w:eastAsia="zh-CN" w:bidi="ar"/>
                    </w:rPr>
                    <w:t>符合</w:t>
                  </w:r>
                </w:p>
              </w:tc>
            </w:tr>
            <w:tr w14:paraId="12B0F53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9" w:type="dxa"/>
                  <w:vAlign w:val="center"/>
                </w:tcPr>
                <w:p w14:paraId="3BE270F7">
                  <w:pPr>
                    <w:pStyle w:val="48"/>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18"/>
                      <w:szCs w:val="18"/>
                      <w:vertAlign w:val="baseline"/>
                      <w:lang w:val="en-US" w:eastAsia="zh-CN" w:bidi="ar"/>
                    </w:rPr>
                  </w:pPr>
                  <w:r>
                    <w:rPr>
                      <w:rFonts w:hint="default" w:ascii="Times New Roman" w:hAnsi="Times New Roman" w:cs="Times New Roman"/>
                      <w:color w:val="auto"/>
                      <w:kern w:val="0"/>
                      <w:sz w:val="18"/>
                      <w:szCs w:val="18"/>
                      <w:vertAlign w:val="baseline"/>
                      <w:lang w:val="en-US" w:eastAsia="zh-CN" w:bidi="ar"/>
                    </w:rPr>
                    <w:t>3</w:t>
                  </w:r>
                </w:p>
              </w:tc>
              <w:tc>
                <w:tcPr>
                  <w:tcW w:w="3588" w:type="dxa"/>
                  <w:vAlign w:val="center"/>
                </w:tcPr>
                <w:p w14:paraId="570B8A72">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rPr>
                      <w:rFonts w:hint="default" w:ascii="Times New Roman" w:hAnsi="Times New Roman" w:eastAsia="宋体" w:cs="Times New Roman"/>
                      <w:color w:val="auto"/>
                      <w:kern w:val="0"/>
                      <w:sz w:val="18"/>
                      <w:szCs w:val="18"/>
                      <w:vertAlign w:val="baseline"/>
                      <w:lang w:val="en-US" w:eastAsia="zh-CN" w:bidi="ar"/>
                    </w:rPr>
                  </w:pPr>
                  <w:r>
                    <w:rPr>
                      <w:rFonts w:hint="default" w:ascii="Times New Roman" w:hAnsi="Times New Roman" w:eastAsia="宋体" w:cs="Times New Roman"/>
                      <w:color w:val="auto"/>
                      <w:kern w:val="0"/>
                      <w:sz w:val="18"/>
                      <w:szCs w:val="18"/>
                      <w:lang w:val="en-US" w:eastAsia="zh-CN" w:bidi="ar"/>
                    </w:rPr>
                    <w:t>第六十六条：禁止在饮用水水源二级保护区内新建、改建、扩建排放污染物的建设项目；已建成的排放污染物的建设项目，由县级以上人民政府责令拆除或者关闭。在饮用水水源二级保护区内从事网箱养殖、旅游等活动的，应当按照规定采取措施，防止污染饮用水水体。</w:t>
                  </w:r>
                </w:p>
              </w:tc>
              <w:tc>
                <w:tcPr>
                  <w:tcW w:w="2719" w:type="dxa"/>
                  <w:vAlign w:val="center"/>
                </w:tcPr>
                <w:p w14:paraId="62AE7685">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jc w:val="center"/>
                    <w:rPr>
                      <w:rFonts w:hint="default" w:ascii="Times New Roman" w:hAnsi="Times New Roman" w:eastAsia="宋体" w:cs="Times New Roman"/>
                      <w:color w:val="auto"/>
                      <w:kern w:val="0"/>
                      <w:sz w:val="18"/>
                      <w:szCs w:val="18"/>
                      <w:lang w:val="en-US" w:eastAsia="zh-CN" w:bidi="ar"/>
                    </w:rPr>
                  </w:pPr>
                  <w:r>
                    <w:rPr>
                      <w:rFonts w:hint="eastAsia" w:cs="Times New Roman"/>
                      <w:color w:val="auto"/>
                      <w:kern w:val="0"/>
                      <w:sz w:val="18"/>
                      <w:szCs w:val="18"/>
                      <w:lang w:val="en-US" w:eastAsia="zh-CN" w:bidi="ar"/>
                    </w:rPr>
                    <w:t>本项目为自来水供应项目，排污口位置不在饮用水水源保护区内</w:t>
                  </w:r>
                  <w:r>
                    <w:rPr>
                      <w:rFonts w:hint="eastAsia" w:ascii="Times New Roman" w:hAnsi="Times New Roman" w:eastAsia="宋体" w:cs="Times New Roman"/>
                      <w:color w:val="auto"/>
                      <w:kern w:val="0"/>
                      <w:sz w:val="18"/>
                      <w:szCs w:val="18"/>
                      <w:lang w:val="en-US" w:eastAsia="zh-CN" w:bidi="ar"/>
                    </w:rPr>
                    <w:t>。</w:t>
                  </w:r>
                </w:p>
                <w:p w14:paraId="5712D2E3">
                  <w:pPr>
                    <w:pStyle w:val="48"/>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18"/>
                      <w:szCs w:val="18"/>
                      <w:vertAlign w:val="baseline"/>
                      <w:lang w:val="en-US" w:eastAsia="zh-CN" w:bidi="ar"/>
                    </w:rPr>
                  </w:pPr>
                </w:p>
              </w:tc>
              <w:tc>
                <w:tcPr>
                  <w:tcW w:w="685" w:type="dxa"/>
                  <w:vAlign w:val="center"/>
                </w:tcPr>
                <w:p w14:paraId="61E56ED5">
                  <w:pPr>
                    <w:pStyle w:val="48"/>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18"/>
                      <w:szCs w:val="18"/>
                      <w:vertAlign w:val="baseline"/>
                      <w:lang w:val="en-US" w:eastAsia="zh-CN" w:bidi="ar"/>
                    </w:rPr>
                  </w:pPr>
                  <w:r>
                    <w:rPr>
                      <w:rFonts w:hint="default" w:ascii="Times New Roman" w:hAnsi="Times New Roman" w:eastAsia="宋体" w:cs="Times New Roman"/>
                      <w:color w:val="auto"/>
                      <w:kern w:val="0"/>
                      <w:sz w:val="18"/>
                      <w:szCs w:val="18"/>
                      <w:lang w:val="en-US" w:eastAsia="zh-CN" w:bidi="ar"/>
                    </w:rPr>
                    <w:t>符合</w:t>
                  </w:r>
                </w:p>
              </w:tc>
            </w:tr>
          </w:tbl>
          <w:p w14:paraId="21259412">
            <w:pPr>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360" w:lineRule="auto"/>
              <w:ind w:left="0" w:right="0" w:firstLine="422" w:firstLineChars="200"/>
              <w:textAlignment w:val="auto"/>
              <w:rPr>
                <w:rFonts w:hint="eastAsia" w:ascii="Times New Roman" w:hAnsi="Times New Roman" w:eastAsia="宋体" w:cs="Times New Roman"/>
                <w:b/>
                <w:bCs/>
                <w:color w:val="auto"/>
                <w:sz w:val="21"/>
                <w:lang w:val="en-US" w:eastAsia="zh-CN"/>
              </w:rPr>
            </w:pPr>
            <w:r>
              <w:rPr>
                <w:rFonts w:hint="eastAsia" w:cs="Times New Roman"/>
                <w:b/>
                <w:bCs/>
                <w:color w:val="auto"/>
                <w:kern w:val="2"/>
                <w:sz w:val="21"/>
                <w:szCs w:val="24"/>
                <w:lang w:val="en-US" w:eastAsia="zh-CN" w:bidi="ar-SA"/>
              </w:rPr>
              <w:t>6</w:t>
            </w:r>
            <w:r>
              <w:rPr>
                <w:rFonts w:hint="eastAsia" w:ascii="Times New Roman" w:hAnsi="Times New Roman" w:eastAsia="宋体" w:cs="Times New Roman"/>
                <w:b/>
                <w:bCs/>
                <w:color w:val="auto"/>
                <w:kern w:val="2"/>
                <w:sz w:val="21"/>
                <w:szCs w:val="24"/>
                <w:lang w:val="en-US" w:eastAsia="zh-CN" w:bidi="ar-SA"/>
              </w:rPr>
              <w:t>、</w:t>
            </w:r>
            <w:r>
              <w:rPr>
                <w:rFonts w:hint="default" w:ascii="Times New Roman" w:hAnsi="Times New Roman" w:eastAsia="宋体" w:cs="Times New Roman"/>
                <w:b/>
                <w:bCs/>
                <w:color w:val="auto"/>
                <w:sz w:val="21"/>
                <w:lang w:val="en-US" w:eastAsia="zh-CN"/>
              </w:rPr>
              <w:t>与《</w:t>
            </w:r>
            <w:r>
              <w:rPr>
                <w:rFonts w:hint="eastAsia" w:ascii="宋体" w:hAnsi="宋体" w:eastAsia="宋体" w:cs="宋体"/>
                <w:b/>
                <w:bCs/>
                <w:color w:val="auto"/>
                <w:sz w:val="21"/>
                <w:lang w:val="en-US" w:eastAsia="zh-CN"/>
              </w:rPr>
              <w:t>鸡西市“十四五”生态环境保护规划</w:t>
            </w:r>
            <w:r>
              <w:rPr>
                <w:rFonts w:hint="default" w:ascii="Times New Roman" w:hAnsi="Times New Roman" w:eastAsia="宋体" w:cs="Times New Roman"/>
                <w:b/>
                <w:bCs/>
                <w:color w:val="auto"/>
                <w:sz w:val="21"/>
                <w:lang w:val="en-US" w:eastAsia="zh-CN"/>
              </w:rPr>
              <w:t>》</w:t>
            </w:r>
            <w:r>
              <w:rPr>
                <w:rFonts w:hint="eastAsia" w:ascii="Times New Roman" w:hAnsi="Times New Roman" w:eastAsia="宋体" w:cs="Times New Roman"/>
                <w:b/>
                <w:bCs/>
                <w:color w:val="auto"/>
                <w:sz w:val="21"/>
                <w:lang w:val="en-US" w:eastAsia="zh-CN"/>
              </w:rPr>
              <w:t>符合性分析</w:t>
            </w:r>
          </w:p>
          <w:p w14:paraId="4412BEB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20" w:firstLineChars="200"/>
              <w:jc w:val="both"/>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b w:val="0"/>
                <w:bCs w:val="0"/>
                <w:color w:val="auto"/>
                <w:sz w:val="21"/>
                <w:lang w:val="en-US" w:eastAsia="zh-CN"/>
              </w:rPr>
              <w:t>鸡西</w:t>
            </w:r>
            <w:r>
              <w:rPr>
                <w:rFonts w:hint="eastAsia" w:ascii="宋体" w:hAnsi="宋体" w:eastAsia="宋体" w:cs="宋体"/>
                <w:b w:val="0"/>
                <w:bCs w:val="0"/>
                <w:color w:val="auto"/>
                <w:sz w:val="21"/>
                <w:lang w:val="en-US" w:eastAsia="zh-CN"/>
              </w:rPr>
              <w:t>市“十四五”生态环境</w:t>
            </w:r>
            <w:r>
              <w:rPr>
                <w:rFonts w:hint="default" w:ascii="Times New Roman" w:hAnsi="Times New Roman" w:eastAsia="宋体" w:cs="Times New Roman"/>
                <w:b w:val="0"/>
                <w:bCs w:val="0"/>
                <w:color w:val="auto"/>
                <w:sz w:val="21"/>
                <w:lang w:val="en-US" w:eastAsia="zh-CN"/>
              </w:rPr>
              <w:t>保护规划</w:t>
            </w:r>
            <w:r>
              <w:rPr>
                <w:rFonts w:hint="eastAsia" w:ascii="Times New Roman" w:hAnsi="Times New Roman" w:eastAsia="宋体" w:cs="Times New Roman"/>
                <w:b w:val="0"/>
                <w:bCs w:val="0"/>
                <w:color w:val="auto"/>
                <w:sz w:val="21"/>
                <w:lang w:val="en-US" w:eastAsia="zh-CN"/>
              </w:rPr>
              <w:t>中提出：</w:t>
            </w:r>
            <w:r>
              <w:rPr>
                <w:rFonts w:hint="default" w:ascii="Times New Roman" w:hAnsi="Times New Roman" w:eastAsia="宋体" w:cs="Times New Roman"/>
                <w:b w:val="0"/>
                <w:bCs w:val="0"/>
                <w:color w:val="auto"/>
                <w:sz w:val="21"/>
              </w:rPr>
              <w:t>构</w:t>
            </w:r>
            <w:r>
              <w:rPr>
                <w:rFonts w:hint="default" w:ascii="Times New Roman" w:hAnsi="Times New Roman" w:eastAsia="宋体" w:cs="Times New Roman"/>
                <w:color w:val="auto"/>
                <w:sz w:val="21"/>
              </w:rPr>
              <w:t>建清洁低碳能源体系</w:t>
            </w:r>
            <w:r>
              <w:rPr>
                <w:rFonts w:hint="default" w:ascii="Times New Roman" w:hAnsi="Times New Roman" w:eastAsia="宋体" w:cs="Times New Roman"/>
                <w:color w:val="auto"/>
                <w:sz w:val="21"/>
                <w:lang w:eastAsia="zh-CN"/>
              </w:rPr>
              <w:t>，</w:t>
            </w:r>
            <w:r>
              <w:rPr>
                <w:rFonts w:hint="default" w:ascii="Times New Roman" w:hAnsi="Times New Roman" w:eastAsia="宋体" w:cs="Times New Roman"/>
                <w:color w:val="auto"/>
                <w:sz w:val="21"/>
              </w:rPr>
              <w:t>实施终端用能清洁化替代。重点削减小型燃煤锅炉、民用散煤与农业用煤消费量</w:t>
            </w:r>
            <w:r>
              <w:rPr>
                <w:rFonts w:hint="default" w:ascii="Times New Roman" w:hAnsi="Times New Roman" w:eastAsia="宋体" w:cs="Times New Roman"/>
                <w:color w:val="auto"/>
                <w:sz w:val="21"/>
                <w:lang w:eastAsia="zh-CN"/>
              </w:rPr>
              <w:t>。</w:t>
            </w:r>
            <w:r>
              <w:rPr>
                <w:rFonts w:hint="eastAsia" w:ascii="Times New Roman" w:hAnsi="Times New Roman" w:eastAsia="宋体" w:cs="Times New Roman"/>
                <w:color w:val="auto"/>
                <w:sz w:val="21"/>
                <w:lang w:val="en-US" w:eastAsia="zh-CN"/>
              </w:rPr>
              <w:t>持续深化水污染治理。开展重点流域入河排污口排查整治。全面开展“一江、一湖、两库、三河”排污口排查（一江：乌苏里江，一湖：兴凯湖，两库：团山水库和哈达水库，三河：穆棱河、七虎林河、松阿察河），按照“取缔一批、规范一批、合并一批”工作原则，分类推进入河排污口规范整治，争取利用2</w:t>
            </w:r>
            <w:r>
              <w:rPr>
                <w:rFonts w:hint="eastAsia" w:cs="Times New Roman"/>
                <w:color w:val="auto"/>
                <w:sz w:val="21"/>
                <w:lang w:val="en-US" w:eastAsia="zh-CN"/>
              </w:rPr>
              <w:t>～</w:t>
            </w:r>
            <w:r>
              <w:rPr>
                <w:rFonts w:hint="eastAsia" w:ascii="Times New Roman" w:hAnsi="Times New Roman" w:eastAsia="宋体" w:cs="Times New Roman"/>
                <w:color w:val="auto"/>
                <w:sz w:val="21"/>
                <w:lang w:val="en-US" w:eastAsia="zh-CN"/>
              </w:rPr>
              <w:t>3年时间解决排污口超标或不稳定</w:t>
            </w:r>
            <w:r>
              <w:rPr>
                <w:rFonts w:hint="eastAsia" w:ascii="Times New Roman" w:hAnsi="Times New Roman" w:eastAsia="宋体" w:cs="Times New Roman"/>
                <w:color w:val="auto"/>
                <w:sz w:val="21"/>
                <w:highlight w:val="none"/>
                <w:lang w:val="en-US" w:eastAsia="zh-CN"/>
              </w:rPr>
              <w:t>达标问题。</w:t>
            </w:r>
          </w:p>
          <w:p w14:paraId="78578589">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本项目</w:t>
            </w:r>
            <w:r>
              <w:rPr>
                <w:rFonts w:hint="eastAsia" w:ascii="宋体" w:hAnsi="宋体" w:cs="宋体"/>
                <w:b w:val="0"/>
                <w:bCs w:val="0"/>
                <w:color w:val="auto"/>
                <w:sz w:val="21"/>
                <w:szCs w:val="21"/>
                <w:highlight w:val="none"/>
                <w:lang w:val="en-US" w:eastAsia="zh-CN"/>
              </w:rPr>
              <w:t>供暖为电采暖，不涉及锅炉及燃料</w:t>
            </w:r>
            <w:r>
              <w:rPr>
                <w:rFonts w:hint="eastAsia" w:ascii="宋体" w:hAnsi="宋体" w:eastAsia="宋体" w:cs="宋体"/>
                <w:b w:val="0"/>
                <w:bCs w:val="0"/>
                <w:color w:val="auto"/>
                <w:sz w:val="21"/>
                <w:szCs w:val="21"/>
                <w:highlight w:val="none"/>
                <w:lang w:val="en-US" w:eastAsia="zh-CN"/>
              </w:rPr>
              <w:t>，符合规划中提出的“</w:t>
            </w:r>
            <w:r>
              <w:rPr>
                <w:rFonts w:hint="default" w:ascii="Times New Roman" w:hAnsi="Times New Roman" w:eastAsia="宋体" w:cs="Times New Roman"/>
                <w:b w:val="0"/>
                <w:bCs w:val="0"/>
                <w:color w:val="auto"/>
                <w:sz w:val="21"/>
                <w:highlight w:val="none"/>
              </w:rPr>
              <w:t>构</w:t>
            </w:r>
            <w:r>
              <w:rPr>
                <w:rFonts w:hint="default" w:ascii="Times New Roman" w:hAnsi="Times New Roman" w:eastAsia="宋体" w:cs="Times New Roman"/>
                <w:color w:val="auto"/>
                <w:sz w:val="21"/>
                <w:highlight w:val="none"/>
              </w:rPr>
              <w:t>建清洁低碳能源体系</w:t>
            </w:r>
            <w:r>
              <w:rPr>
                <w:rFonts w:hint="default" w:ascii="Times New Roman" w:hAnsi="Times New Roman" w:eastAsia="宋体" w:cs="Times New Roman"/>
                <w:color w:val="auto"/>
                <w:sz w:val="21"/>
                <w:highlight w:val="none"/>
                <w:lang w:eastAsia="zh-CN"/>
              </w:rPr>
              <w:t>，</w:t>
            </w:r>
            <w:r>
              <w:rPr>
                <w:rFonts w:hint="default" w:ascii="Times New Roman" w:hAnsi="Times New Roman" w:eastAsia="宋体" w:cs="Times New Roman"/>
                <w:color w:val="auto"/>
                <w:sz w:val="21"/>
                <w:highlight w:val="none"/>
              </w:rPr>
              <w:t>实施终端用能清洁化替代</w:t>
            </w:r>
            <w:r>
              <w:rPr>
                <w:rFonts w:hint="eastAsia" w:ascii="Times New Roman" w:hAnsi="Times New Roman" w:eastAsia="宋体" w:cs="Times New Roman"/>
                <w:color w:val="auto"/>
                <w:sz w:val="21"/>
                <w:highlight w:val="none"/>
                <w:lang w:eastAsia="zh-CN"/>
              </w:rPr>
              <w:t>”要求。项目排污口设置规范，排泥水上清液经处理后满足</w:t>
            </w:r>
            <w:r>
              <w:rPr>
                <w:rFonts w:hint="eastAsia" w:cs="Times New Roman"/>
                <w:color w:val="auto"/>
                <w:spacing w:val="0"/>
                <w:sz w:val="21"/>
                <w:szCs w:val="21"/>
                <w:highlight w:val="none"/>
                <w:lang w:val="en-US" w:eastAsia="zh-CN"/>
              </w:rPr>
              <w:t>《地表水环境质量标准》（GB3838-2002）表1中三类标准、悬浮物满足</w:t>
            </w:r>
            <w:r>
              <w:rPr>
                <w:rFonts w:hint="default" w:ascii="Times New Roman" w:hAnsi="Times New Roman" w:eastAsia="宋体" w:cs="Times New Roman"/>
                <w:color w:val="auto"/>
                <w:sz w:val="21"/>
                <w:szCs w:val="21"/>
                <w:highlight w:val="none"/>
                <w:lang w:val="en-US" w:eastAsia="zh-CN"/>
              </w:rPr>
              <w:t>《污水综合排放标准》</w:t>
            </w:r>
            <w:r>
              <w:rPr>
                <w:rFonts w:hint="eastAsia" w:cs="Times New Roman"/>
                <w:color w:val="auto"/>
                <w:sz w:val="21"/>
                <w:szCs w:val="21"/>
                <w:highlight w:val="none"/>
                <w:lang w:val="en-US" w:eastAsia="zh-CN"/>
              </w:rPr>
              <w:t>（GB8978-1996）一级标准</w:t>
            </w:r>
            <w:r>
              <w:rPr>
                <w:rFonts w:hint="eastAsia" w:ascii="Times New Roman" w:hAnsi="Times New Roman" w:eastAsia="宋体" w:cs="Times New Roman"/>
                <w:color w:val="auto"/>
                <w:sz w:val="21"/>
                <w:szCs w:val="21"/>
                <w:highlight w:val="none"/>
                <w:lang w:val="en-US" w:eastAsia="zh-CN"/>
              </w:rPr>
              <w:t>后排放。</w:t>
            </w:r>
          </w:p>
          <w:p w14:paraId="27894FD7">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right="0" w:firstLine="422" w:firstLineChars="200"/>
              <w:textAlignment w:val="auto"/>
              <w:rPr>
                <w:rFonts w:hint="default" w:ascii="Times New Roman" w:hAnsi="Times New Roman" w:eastAsia="宋体" w:cs="Times New Roman"/>
                <w:b/>
                <w:bCs/>
                <w:color w:val="auto"/>
                <w:sz w:val="21"/>
                <w:lang w:val="en-US" w:eastAsia="zh-CN"/>
              </w:rPr>
            </w:pPr>
            <w:r>
              <w:rPr>
                <w:rFonts w:hint="eastAsia" w:cs="Times New Roman"/>
                <w:b/>
                <w:bCs/>
                <w:color w:val="auto"/>
                <w:kern w:val="2"/>
                <w:sz w:val="21"/>
                <w:szCs w:val="24"/>
                <w:highlight w:val="none"/>
                <w:lang w:val="en-US" w:eastAsia="zh-CN" w:bidi="ar-SA"/>
              </w:rPr>
              <w:t>7</w:t>
            </w:r>
            <w:r>
              <w:rPr>
                <w:rFonts w:hint="default" w:ascii="Times New Roman" w:hAnsi="Times New Roman" w:eastAsia="宋体" w:cs="Times New Roman"/>
                <w:b/>
                <w:bCs/>
                <w:color w:val="auto"/>
                <w:kern w:val="2"/>
                <w:sz w:val="21"/>
                <w:szCs w:val="24"/>
                <w:highlight w:val="none"/>
                <w:lang w:val="en-US" w:eastAsia="zh-CN" w:bidi="ar-SA"/>
              </w:rPr>
              <w:t>、</w:t>
            </w:r>
            <w:r>
              <w:rPr>
                <w:rFonts w:hint="default" w:ascii="Times New Roman" w:hAnsi="Times New Roman" w:eastAsia="宋体" w:cs="Times New Roman"/>
                <w:b/>
                <w:bCs/>
                <w:color w:val="auto"/>
                <w:sz w:val="21"/>
                <w:highlight w:val="none"/>
                <w:lang w:val="en-US" w:eastAsia="zh-CN"/>
              </w:rPr>
              <w:t>《关于加强城市供水安</w:t>
            </w:r>
            <w:r>
              <w:rPr>
                <w:rFonts w:hint="default" w:ascii="Times New Roman" w:hAnsi="Times New Roman" w:eastAsia="宋体" w:cs="Times New Roman"/>
                <w:b/>
                <w:bCs/>
                <w:color w:val="auto"/>
                <w:sz w:val="21"/>
                <w:lang w:val="en-US" w:eastAsia="zh-CN"/>
              </w:rPr>
              <w:t>全保障工作的通知》（建办城〔2022〕41号）符合性分析</w:t>
            </w:r>
          </w:p>
          <w:p w14:paraId="291F7752">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sz w:val="21"/>
                <w:lang w:val="en-US" w:eastAsia="zh-CN"/>
              </w:rPr>
            </w:pPr>
            <w:r>
              <w:rPr>
                <w:rFonts w:hint="default" w:ascii="Times New Roman" w:hAnsi="Times New Roman" w:eastAsia="宋体" w:cs="Times New Roman"/>
                <w:color w:val="auto"/>
                <w:sz w:val="21"/>
                <w:lang w:val="en-US" w:eastAsia="zh-CN"/>
              </w:rPr>
              <w:t>《关于加强城市供水安全保障工作的通知》（建办城〔2022〕41号）</w:t>
            </w:r>
            <w:r>
              <w:rPr>
                <w:rFonts w:hint="eastAsia" w:ascii="Times New Roman" w:hAnsi="Times New Roman" w:eastAsia="宋体" w:cs="Times New Roman"/>
                <w:color w:val="auto"/>
                <w:sz w:val="21"/>
                <w:lang w:val="en-US" w:eastAsia="zh-CN"/>
              </w:rPr>
              <w:t>中提出：</w:t>
            </w:r>
            <w:r>
              <w:rPr>
                <w:rFonts w:hint="eastAsia" w:ascii="Times New Roman" w:hAnsi="Times New Roman" w:eastAsia="宋体" w:cs="Times New Roman"/>
                <w:color w:val="auto"/>
                <w:sz w:val="21"/>
                <w:lang w:eastAsia="zh-CN"/>
              </w:rPr>
              <w:t>自2023年4月1日起，城市供水全面执行</w:t>
            </w:r>
            <w:r>
              <w:rPr>
                <w:rFonts w:hint="eastAsia" w:ascii="Times New Roman" w:hAnsi="Times New Roman" w:eastAsia="宋体" w:cs="Times New Roman"/>
                <w:color w:val="auto"/>
                <w:sz w:val="21"/>
                <w:lang w:eastAsia="zh-CN"/>
              </w:rPr>
              <w:t>《生活饮用水卫生标准》（GB 5749-2022）</w:t>
            </w:r>
            <w:r>
              <w:rPr>
                <w:rFonts w:hint="eastAsia" w:ascii="Times New Roman" w:hAnsi="Times New Roman" w:eastAsia="宋体" w:cs="Times New Roman"/>
                <w:color w:val="auto"/>
                <w:sz w:val="21"/>
                <w:lang w:eastAsia="zh-CN"/>
              </w:rPr>
              <w:t>建立较为完善的城市供水全流程保障体系和基本健全的城市供水应急体系。</w:t>
            </w:r>
            <w:r>
              <w:rPr>
                <w:rFonts w:hint="default" w:ascii="Times New Roman" w:hAnsi="Times New Roman" w:eastAsia="宋体" w:cs="Times New Roman"/>
                <w:color w:val="auto"/>
                <w:sz w:val="21"/>
                <w:lang w:val="en-US" w:eastAsia="zh-CN"/>
              </w:rPr>
              <w:t>各地要组织城市供水企业对照</w:t>
            </w:r>
            <w:r>
              <w:rPr>
                <w:rFonts w:hint="default" w:ascii="Times New Roman" w:hAnsi="Times New Roman" w:eastAsia="宋体" w:cs="Times New Roman"/>
                <w:color w:val="auto"/>
                <w:sz w:val="21"/>
                <w:lang w:val="en-US" w:eastAsia="zh-CN"/>
              </w:rPr>
              <w:t>《生活饮用水卫生标准》（GB 5749-2022）</w:t>
            </w:r>
            <w:r>
              <w:rPr>
                <w:rFonts w:hint="default" w:ascii="Times New Roman" w:hAnsi="Times New Roman" w:eastAsia="宋体" w:cs="Times New Roman"/>
                <w:color w:val="auto"/>
                <w:sz w:val="21"/>
                <w:lang w:val="en-US" w:eastAsia="zh-CN"/>
              </w:rPr>
              <w:t>要求，开展水厂净水工艺和出水水质达标能力复核。需要改造的，要按照国家和行业工程建设标准、卫生规范要求有序实施升级改造。要重点关注感官指标、消毒副产物指标、新增指标、限值加严指标以及水源水质潜在风险指标，当水源水质不能稳定达标或存在臭和味等不在水源水质标准内但会影响供水达标的物质时，应协调相关部门调整水源或根据需要增加预处理或深度处理工艺。</w:t>
            </w:r>
          </w:p>
          <w:p w14:paraId="0078EA2F">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pacing w:val="0"/>
                <w:kern w:val="0"/>
                <w:sz w:val="21"/>
                <w:szCs w:val="21"/>
                <w:highlight w:val="none"/>
                <w:lang w:val="en-US" w:eastAsia="zh-CN"/>
              </w:rPr>
              <w:t>本项目建成后设计处理量</w:t>
            </w:r>
            <w:r>
              <w:rPr>
                <w:rFonts w:hint="eastAsia" w:ascii="Times New Roman" w:hAnsi="Times New Roman" w:eastAsia="宋体" w:cs="Times New Roman"/>
                <w:color w:val="auto"/>
                <w:spacing w:val="0"/>
                <w:kern w:val="0"/>
                <w:sz w:val="21"/>
                <w:szCs w:val="21"/>
                <w:highlight w:val="none"/>
                <w:lang w:val="en-US" w:eastAsia="zh-CN"/>
              </w:rPr>
              <w:t>及工艺等不变。</w:t>
            </w:r>
            <w:r>
              <w:rPr>
                <w:rFonts w:hint="eastAsia" w:ascii="Times New Roman" w:hAnsi="Times New Roman" w:eastAsia="宋体" w:cs="Times New Roman"/>
                <w:color w:val="auto"/>
                <w:spacing w:val="0"/>
                <w:sz w:val="21"/>
                <w:szCs w:val="21"/>
                <w:lang w:val="en-US" w:eastAsia="zh-CN"/>
              </w:rPr>
              <w:t>朝阳净水厂</w:t>
            </w:r>
            <w:r>
              <w:rPr>
                <w:rFonts w:hint="default" w:ascii="Times New Roman" w:hAnsi="Times New Roman" w:eastAsia="宋体" w:cs="Times New Roman"/>
                <w:color w:val="auto"/>
                <w:spacing w:val="0"/>
                <w:sz w:val="21"/>
                <w:szCs w:val="21"/>
              </w:rPr>
              <w:t>设计供水量为15万m³/d，净水工艺</w:t>
            </w:r>
            <w:r>
              <w:rPr>
                <w:rFonts w:hint="eastAsia" w:ascii="Times New Roman" w:hAnsi="Times New Roman" w:eastAsia="宋体" w:cs="Times New Roman"/>
                <w:color w:val="auto"/>
                <w:spacing w:val="0"/>
                <w:sz w:val="21"/>
                <w:szCs w:val="21"/>
                <w:lang w:val="en-US" w:eastAsia="zh-CN"/>
              </w:rPr>
              <w:t>为</w:t>
            </w:r>
            <w:r>
              <w:rPr>
                <w:rFonts w:hint="default" w:ascii="Times New Roman" w:hAnsi="Times New Roman" w:eastAsia="宋体" w:cs="Times New Roman"/>
                <w:color w:val="auto"/>
                <w:spacing w:val="0"/>
                <w:sz w:val="21"/>
                <w:szCs w:val="21"/>
              </w:rPr>
              <w:t>稳压配</w:t>
            </w:r>
            <w:r>
              <w:rPr>
                <w:rFonts w:hint="default" w:ascii="Times New Roman" w:hAnsi="Times New Roman" w:eastAsia="宋体" w:cs="Times New Roman"/>
                <w:color w:val="auto"/>
                <w:spacing w:val="0"/>
                <w:sz w:val="21"/>
                <w:szCs w:val="21"/>
              </w:rPr>
              <w:t>水井→机械搅拌混合池→折板絮凝池→侧向流斜板沉淀池→V型滤池→液氯消毒→清水池→送水泵房→用户</w:t>
            </w:r>
            <w:r>
              <w:rPr>
                <w:rFonts w:hint="default" w:ascii="Times New Roman" w:hAnsi="Times New Roman" w:eastAsia="宋体" w:cs="Times New Roman"/>
                <w:bCs/>
                <w:color w:val="auto"/>
                <w:spacing w:val="0"/>
                <w:kern w:val="0"/>
                <w:sz w:val="21"/>
                <w:szCs w:val="21"/>
                <w:highlight w:val="none"/>
                <w:lang w:val="en-US" w:eastAsia="zh-CN"/>
              </w:rPr>
              <w:t>。</w:t>
            </w:r>
            <w:r>
              <w:rPr>
                <w:rFonts w:hint="default" w:ascii="Times New Roman" w:hAnsi="Times New Roman" w:eastAsia="宋体" w:cs="Times New Roman"/>
                <w:color w:val="auto"/>
                <w:sz w:val="21"/>
                <w:lang w:val="en-US" w:eastAsia="zh-CN"/>
              </w:rPr>
              <w:t>当水源水质不能稳定达标或存在臭和味等不在水源水质标准内但会影响供水达标的物质时</w:t>
            </w:r>
            <w:r>
              <w:rPr>
                <w:rFonts w:hint="eastAsia" w:ascii="Times New Roman" w:hAnsi="Times New Roman" w:eastAsia="宋体" w:cs="Times New Roman"/>
                <w:color w:val="auto"/>
                <w:sz w:val="21"/>
                <w:lang w:val="en-US" w:eastAsia="zh-CN"/>
              </w:rPr>
              <w:t>，采用深度处理工艺后可满足</w:t>
            </w:r>
            <w:r>
              <w:rPr>
                <w:rFonts w:hint="default" w:ascii="Times New Roman" w:hAnsi="Times New Roman" w:eastAsia="宋体" w:cs="Times New Roman"/>
                <w:color w:val="auto"/>
                <w:spacing w:val="0"/>
                <w:sz w:val="21"/>
                <w:szCs w:val="21"/>
              </w:rPr>
              <w:t>《生活饮用水卫生标准》（GB5749-20</w:t>
            </w:r>
            <w:r>
              <w:rPr>
                <w:rFonts w:hint="eastAsia" w:cs="Times New Roman"/>
                <w:color w:val="auto"/>
                <w:spacing w:val="0"/>
                <w:sz w:val="21"/>
                <w:szCs w:val="21"/>
                <w:lang w:val="en-US" w:eastAsia="zh-CN"/>
              </w:rPr>
              <w:t>22</w:t>
            </w:r>
            <w:r>
              <w:rPr>
                <w:rFonts w:hint="default" w:ascii="Times New Roman" w:hAnsi="Times New Roman" w:eastAsia="宋体" w:cs="Times New Roman"/>
                <w:color w:val="auto"/>
                <w:spacing w:val="0"/>
                <w:sz w:val="21"/>
                <w:szCs w:val="21"/>
              </w:rPr>
              <w:t>）</w:t>
            </w:r>
            <w:r>
              <w:rPr>
                <w:rFonts w:hint="default" w:ascii="Times New Roman" w:hAnsi="Times New Roman" w:eastAsia="宋体" w:cs="Times New Roman"/>
                <w:color w:val="auto"/>
                <w:spacing w:val="0"/>
                <w:sz w:val="21"/>
                <w:szCs w:val="21"/>
              </w:rPr>
              <w:t>要求</w:t>
            </w:r>
            <w:r>
              <w:rPr>
                <w:rFonts w:hint="eastAsia" w:ascii="Times New Roman" w:hAnsi="Times New Roman" w:eastAsia="宋体" w:cs="Times New Roman"/>
                <w:color w:val="auto"/>
                <w:sz w:val="21"/>
                <w:lang w:val="en-US" w:eastAsia="zh-CN"/>
              </w:rPr>
              <w:t>，</w:t>
            </w:r>
            <w:r>
              <w:rPr>
                <w:rFonts w:hint="eastAsia" w:ascii="Times New Roman" w:hAnsi="Times New Roman" w:eastAsia="宋体" w:cs="Times New Roman"/>
                <w:color w:val="auto"/>
                <w:sz w:val="21"/>
                <w:highlight w:val="none"/>
                <w:lang w:val="en-US" w:eastAsia="zh-CN"/>
              </w:rPr>
              <w:t>本项目的建设符合</w:t>
            </w:r>
            <w:r>
              <w:rPr>
                <w:rFonts w:hint="default" w:ascii="Times New Roman" w:hAnsi="Times New Roman" w:eastAsia="宋体" w:cs="Times New Roman"/>
                <w:color w:val="auto"/>
                <w:sz w:val="21"/>
                <w:highlight w:val="none"/>
                <w:lang w:val="en-US" w:eastAsia="zh-CN"/>
              </w:rPr>
              <w:t>《关于加强城市供水安全保障工作的通知》（建办城〔2022〕41号）</w:t>
            </w:r>
            <w:r>
              <w:rPr>
                <w:rFonts w:hint="eastAsia" w:ascii="Times New Roman" w:hAnsi="Times New Roman" w:eastAsia="宋体" w:cs="Times New Roman"/>
                <w:color w:val="auto"/>
                <w:sz w:val="21"/>
                <w:highlight w:val="none"/>
                <w:lang w:val="en-US" w:eastAsia="zh-CN"/>
              </w:rPr>
              <w:t>中的要求。</w:t>
            </w:r>
          </w:p>
          <w:p w14:paraId="2E5C5B37">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2" w:firstLineChars="200"/>
              <w:textAlignment w:val="auto"/>
              <w:rPr>
                <w:rFonts w:hint="default" w:ascii="Times New Roman" w:hAnsi="Times New Roman"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8</w:t>
            </w:r>
            <w:r>
              <w:rPr>
                <w:rFonts w:hint="default" w:ascii="Times New Roman" w:hAnsi="Times New Roman" w:cs="Times New Roman"/>
                <w:b/>
                <w:bCs/>
                <w:color w:val="auto"/>
                <w:sz w:val="21"/>
                <w:szCs w:val="21"/>
                <w:highlight w:val="none"/>
                <w:lang w:val="en-US" w:eastAsia="zh-CN"/>
              </w:rPr>
              <w:t>、与</w:t>
            </w:r>
            <w:r>
              <w:rPr>
                <w:rFonts w:hint="default" w:ascii="Times New Roman" w:hAnsi="Times New Roman" w:cs="Times New Roman" w:eastAsiaTheme="minorEastAsia"/>
                <w:b/>
                <w:bCs/>
                <w:color w:val="auto"/>
                <w:sz w:val="21"/>
                <w:szCs w:val="21"/>
                <w:highlight w:val="none"/>
              </w:rPr>
              <w:t>《鸡西市国土空间总体规划（2021—2035年）》符合性分析</w:t>
            </w:r>
          </w:p>
          <w:p w14:paraId="51B70554">
            <w:pPr>
              <w:keepNext w:val="0"/>
              <w:keepLines w:val="0"/>
              <w:pageBreakBefore w:val="0"/>
              <w:widowControl/>
              <w:suppressLineNumbers w:val="0"/>
              <w:tabs>
                <w:tab w:val="left" w:pos="6480"/>
              </w:tabs>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根据《</w:t>
            </w:r>
            <w:r>
              <w:rPr>
                <w:rFonts w:hint="default" w:ascii="Times New Roman" w:hAnsi="Times New Roman" w:cs="Times New Roman"/>
                <w:color w:val="auto"/>
                <w:sz w:val="21"/>
                <w:szCs w:val="21"/>
                <w:highlight w:val="none"/>
                <w:lang w:eastAsia="zh-CN"/>
              </w:rPr>
              <w:t>鸡西市国土空间总体规划</w:t>
            </w:r>
            <w:r>
              <w:rPr>
                <w:rFonts w:hint="default" w:ascii="Times New Roman" w:hAnsi="Times New Roman" w:eastAsia="宋体"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2021-2035</w:t>
            </w:r>
            <w:r>
              <w:rPr>
                <w:rFonts w:hint="default" w:ascii="Times New Roman" w:hAnsi="Times New Roman" w:eastAsia="宋体" w:cs="Times New Roman"/>
                <w:color w:val="auto"/>
                <w:sz w:val="21"/>
                <w:szCs w:val="21"/>
                <w:highlight w:val="none"/>
              </w:rPr>
              <w:t>）中</w:t>
            </w:r>
            <w:r>
              <w:rPr>
                <w:rFonts w:hint="default" w:ascii="Times New Roman" w:hAnsi="Times New Roman" w:cs="Times New Roman"/>
                <w:color w:val="auto"/>
                <w:sz w:val="21"/>
                <w:szCs w:val="21"/>
                <w:highlight w:val="none"/>
                <w:lang w:val="en-US" w:eastAsia="zh-CN"/>
              </w:rPr>
              <w:t>科学</w:t>
            </w:r>
            <w:r>
              <w:rPr>
                <w:rFonts w:hint="default" w:ascii="Times New Roman" w:hAnsi="Times New Roman" w:cs="Times New Roman"/>
                <w:color w:val="auto"/>
                <w:sz w:val="21"/>
                <w:szCs w:val="21"/>
                <w:highlight w:val="none"/>
                <w:lang w:eastAsia="zh-CN"/>
              </w:rPr>
              <w:t>划定</w:t>
            </w:r>
            <w:r>
              <w:rPr>
                <w:rFonts w:hint="eastAsia" w:ascii="宋体" w:hAnsi="宋体" w:eastAsia="宋体" w:cs="宋体"/>
                <w:color w:val="auto"/>
                <w:sz w:val="21"/>
                <w:szCs w:val="21"/>
                <w:highlight w:val="none"/>
                <w:lang w:eastAsia="zh-CN"/>
              </w:rPr>
              <w:t>“三区三线”</w:t>
            </w:r>
            <w:r>
              <w:rPr>
                <w:rFonts w:hint="default" w:ascii="Times New Roman" w:hAnsi="Times New Roman" w:eastAsia="宋体" w:cs="Times New Roman"/>
                <w:color w:val="auto"/>
                <w:sz w:val="21"/>
                <w:szCs w:val="21"/>
                <w:highlight w:val="none"/>
              </w:rPr>
              <w:t>情况，本项目与</w:t>
            </w:r>
            <w:r>
              <w:rPr>
                <w:rFonts w:hint="default" w:ascii="Times New Roman" w:hAnsi="Times New Roman" w:cs="Times New Roman"/>
                <w:color w:val="auto"/>
                <w:sz w:val="21"/>
                <w:szCs w:val="21"/>
                <w:highlight w:val="none"/>
                <w:lang w:eastAsia="zh-CN"/>
              </w:rPr>
              <w:t>国土空间规划</w:t>
            </w:r>
            <w:r>
              <w:rPr>
                <w:rFonts w:hint="default" w:ascii="Times New Roman" w:hAnsi="Times New Roman" w:eastAsia="宋体" w:cs="Times New Roman"/>
                <w:color w:val="auto"/>
                <w:sz w:val="21"/>
                <w:szCs w:val="21"/>
                <w:highlight w:val="none"/>
              </w:rPr>
              <w:t>符合性分析见</w:t>
            </w:r>
            <w:r>
              <w:rPr>
                <w:rFonts w:hint="default" w:ascii="Times New Roman" w:hAnsi="Times New Roman" w:eastAsia="宋体" w:cs="Times New Roman"/>
                <w:color w:val="auto"/>
                <w:sz w:val="21"/>
                <w:szCs w:val="21"/>
                <w:highlight w:val="none"/>
                <w:lang w:val="en-US" w:eastAsia="zh-CN"/>
              </w:rPr>
              <w:t>下</w:t>
            </w:r>
            <w:r>
              <w:rPr>
                <w:rFonts w:hint="default" w:ascii="Times New Roman" w:hAnsi="Times New Roman" w:eastAsia="宋体" w:cs="Times New Roman"/>
                <w:color w:val="auto"/>
                <w:sz w:val="21"/>
                <w:szCs w:val="21"/>
                <w:highlight w:val="none"/>
              </w:rPr>
              <w:t>表。</w:t>
            </w:r>
          </w:p>
          <w:p w14:paraId="70C09424">
            <w:pPr>
              <w:pStyle w:val="7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表1-</w:t>
            </w:r>
            <w:r>
              <w:rPr>
                <w:rFonts w:hint="default" w:ascii="Times New Roman" w:hAnsi="Times New Roman" w:eastAsia="宋体" w:cs="Times New Roman"/>
                <w:b/>
                <w:bCs/>
                <w:color w:val="auto"/>
                <w:sz w:val="21"/>
                <w:szCs w:val="21"/>
                <w:highlight w:val="none"/>
                <w:lang w:val="en-US" w:eastAsia="zh-CN"/>
              </w:rPr>
              <w:t>4与</w:t>
            </w:r>
            <w:r>
              <w:rPr>
                <w:rFonts w:hint="default" w:ascii="Times New Roman" w:hAnsi="Times New Roman" w:eastAsia="宋体" w:cs="Times New Roman"/>
                <w:b/>
                <w:bCs/>
                <w:color w:val="auto"/>
                <w:sz w:val="21"/>
                <w:szCs w:val="21"/>
                <w:highlight w:val="none"/>
                <w:lang w:eastAsia="zh-CN"/>
              </w:rPr>
              <w:t>鸡西市国土空间总体规划</w:t>
            </w:r>
            <w:r>
              <w:rPr>
                <w:rFonts w:hint="default" w:ascii="Times New Roman" w:hAnsi="Times New Roman" w:eastAsia="宋体" w:cs="Times New Roman"/>
                <w:b/>
                <w:bCs/>
                <w:color w:val="auto"/>
                <w:sz w:val="21"/>
                <w:szCs w:val="21"/>
                <w:highlight w:val="none"/>
              </w:rPr>
              <w:t>符合性分析</w:t>
            </w:r>
          </w:p>
          <w:tbl>
            <w:tblPr>
              <w:tblStyle w:val="36"/>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99"/>
              <w:gridCol w:w="1912"/>
              <w:gridCol w:w="1210"/>
            </w:tblGrid>
            <w:tr w14:paraId="457C959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99" w:type="dxa"/>
                  <w:tcBorders>
                    <w:tl2br w:val="nil"/>
                    <w:tr2bl w:val="nil"/>
                  </w:tcBorders>
                  <w:vAlign w:val="center"/>
                </w:tcPr>
                <w:p w14:paraId="0F20A085">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18"/>
                      <w:szCs w:val="18"/>
                      <w:highlight w:val="none"/>
                      <w:vertAlign w:val="baseline"/>
                      <w:lang w:eastAsia="zh-CN"/>
                    </w:rPr>
                  </w:pPr>
                  <w:r>
                    <w:rPr>
                      <w:rFonts w:hint="default" w:ascii="Times New Roman" w:hAnsi="Times New Roman" w:eastAsia="宋体" w:cs="Times New Roman"/>
                      <w:b/>
                      <w:bCs/>
                      <w:color w:val="auto"/>
                      <w:sz w:val="18"/>
                      <w:szCs w:val="18"/>
                      <w:highlight w:val="none"/>
                      <w:vertAlign w:val="baseline"/>
                      <w:lang w:eastAsia="zh-CN"/>
                    </w:rPr>
                    <w:t>规划成果</w:t>
                  </w:r>
                </w:p>
              </w:tc>
              <w:tc>
                <w:tcPr>
                  <w:tcW w:w="1912" w:type="dxa"/>
                  <w:tcBorders>
                    <w:tl2br w:val="nil"/>
                    <w:tr2bl w:val="nil"/>
                  </w:tcBorders>
                  <w:vAlign w:val="center"/>
                </w:tcPr>
                <w:p w14:paraId="4111A22B">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18"/>
                      <w:szCs w:val="18"/>
                      <w:highlight w:val="none"/>
                      <w:vertAlign w:val="baseline"/>
                      <w:lang w:eastAsia="zh-CN"/>
                    </w:rPr>
                  </w:pPr>
                  <w:r>
                    <w:rPr>
                      <w:rFonts w:hint="default" w:ascii="Times New Roman" w:hAnsi="Times New Roman" w:eastAsia="宋体" w:cs="Times New Roman"/>
                      <w:b/>
                      <w:bCs/>
                      <w:color w:val="auto"/>
                      <w:sz w:val="18"/>
                      <w:szCs w:val="18"/>
                      <w:highlight w:val="none"/>
                      <w:vertAlign w:val="baseline"/>
                      <w:lang w:eastAsia="zh-CN"/>
                    </w:rPr>
                    <w:t>项目内容</w:t>
                  </w:r>
                </w:p>
              </w:tc>
              <w:tc>
                <w:tcPr>
                  <w:tcW w:w="1210" w:type="dxa"/>
                  <w:tcBorders>
                    <w:tl2br w:val="nil"/>
                    <w:tr2bl w:val="nil"/>
                  </w:tcBorders>
                  <w:vAlign w:val="center"/>
                </w:tcPr>
                <w:p w14:paraId="141F7206">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18"/>
                      <w:szCs w:val="18"/>
                      <w:highlight w:val="none"/>
                      <w:vertAlign w:val="baseline"/>
                      <w:lang w:eastAsia="zh-CN"/>
                    </w:rPr>
                  </w:pPr>
                  <w:r>
                    <w:rPr>
                      <w:rFonts w:hint="default" w:ascii="Times New Roman" w:hAnsi="Times New Roman" w:eastAsia="宋体" w:cs="Times New Roman"/>
                      <w:b/>
                      <w:bCs/>
                      <w:color w:val="auto"/>
                      <w:sz w:val="18"/>
                      <w:szCs w:val="18"/>
                      <w:highlight w:val="none"/>
                      <w:vertAlign w:val="baseline"/>
                      <w:lang w:eastAsia="zh-CN"/>
                    </w:rPr>
                    <w:t>符合性</w:t>
                  </w:r>
                </w:p>
              </w:tc>
            </w:tr>
            <w:tr w14:paraId="14071DC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99" w:type="dxa"/>
                  <w:tcBorders>
                    <w:tl2br w:val="nil"/>
                    <w:tr2bl w:val="nil"/>
                  </w:tcBorders>
                  <w:vAlign w:val="center"/>
                </w:tcPr>
                <w:p w14:paraId="60DF7D13">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18"/>
                      <w:szCs w:val="18"/>
                      <w:highlight w:val="none"/>
                      <w:vertAlign w:val="baseline"/>
                    </w:rPr>
                  </w:pPr>
                  <w:r>
                    <w:rPr>
                      <w:rFonts w:hint="default" w:ascii="Times New Roman" w:hAnsi="Times New Roman" w:eastAsia="宋体" w:cs="Times New Roman"/>
                      <w:b w:val="0"/>
                      <w:bCs w:val="0"/>
                      <w:color w:val="auto"/>
                      <w:sz w:val="18"/>
                      <w:szCs w:val="18"/>
                      <w:highlight w:val="none"/>
                      <w:vertAlign w:val="baseline"/>
                    </w:rPr>
                    <w:t>[</w:t>
                  </w:r>
                  <w:r>
                    <w:rPr>
                      <w:rFonts w:hint="default" w:ascii="Times New Roman" w:hAnsi="Times New Roman" w:eastAsia="宋体" w:cs="Times New Roman"/>
                      <w:b w:val="0"/>
                      <w:bCs w:val="0"/>
                      <w:color w:val="auto"/>
                      <w:sz w:val="18"/>
                      <w:szCs w:val="18"/>
                      <w:highlight w:val="none"/>
                    </w:rPr>
                    <w:t>优先划定耕地和永久基本农田保护红线</w:t>
                  </w:r>
                  <w:r>
                    <w:rPr>
                      <w:rFonts w:hint="default" w:ascii="Times New Roman" w:hAnsi="Times New Roman" w:eastAsia="宋体" w:cs="Times New Roman"/>
                      <w:b w:val="0"/>
                      <w:bCs w:val="0"/>
                      <w:color w:val="auto"/>
                      <w:sz w:val="18"/>
                      <w:szCs w:val="18"/>
                      <w:highlight w:val="none"/>
                      <w:vertAlign w:val="baseline"/>
                    </w:rPr>
                    <w:t>]</w:t>
                  </w:r>
                  <w:r>
                    <w:rPr>
                      <w:rFonts w:hint="default" w:ascii="Times New Roman" w:hAnsi="Times New Roman" w:eastAsia="宋体" w:cs="Times New Roman"/>
                      <w:b w:val="0"/>
                      <w:bCs w:val="0"/>
                      <w:color w:val="auto"/>
                      <w:sz w:val="18"/>
                      <w:szCs w:val="18"/>
                      <w:highlight w:val="none"/>
                    </w:rPr>
                    <w:t>落实国家下达的耕地和永久基本农田保护任务，以“应划尽划、应保尽保”为划定原则，将可以长期稳定利用耕地优先划入永久基本农田实行特殊保护。全市划定耕地保有量不低于10222.40平方公里（1533.36万亩），占全市国土面积45.45%。划定永久基本农田8473.33平方公里（1271.00万亩），占全市域国土面积的37.67%</w:t>
                  </w:r>
                  <w:r>
                    <w:rPr>
                      <w:rFonts w:hint="default" w:ascii="Times New Roman" w:hAnsi="Times New Roman" w:eastAsia="宋体" w:cs="Times New Roman"/>
                      <w:b w:val="0"/>
                      <w:bCs w:val="0"/>
                      <w:color w:val="auto"/>
                      <w:sz w:val="18"/>
                      <w:szCs w:val="18"/>
                      <w:highlight w:val="none"/>
                      <w:vertAlign w:val="baseline"/>
                    </w:rPr>
                    <w:t>。</w:t>
                  </w:r>
                </w:p>
              </w:tc>
              <w:tc>
                <w:tcPr>
                  <w:tcW w:w="1912" w:type="dxa"/>
                  <w:tcBorders>
                    <w:tl2br w:val="nil"/>
                    <w:tr2bl w:val="nil"/>
                  </w:tcBorders>
                  <w:vAlign w:val="center"/>
                </w:tcPr>
                <w:p w14:paraId="004AEFAF">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18"/>
                      <w:szCs w:val="18"/>
                      <w:highlight w:val="none"/>
                      <w:vertAlign w:val="baseline"/>
                      <w:lang w:eastAsia="zh-CN"/>
                    </w:rPr>
                  </w:pPr>
                  <w:r>
                    <w:rPr>
                      <w:rFonts w:hint="default" w:ascii="Times New Roman" w:hAnsi="Times New Roman" w:eastAsia="宋体" w:cs="Times New Roman"/>
                      <w:b w:val="0"/>
                      <w:bCs w:val="0"/>
                      <w:color w:val="auto"/>
                      <w:sz w:val="18"/>
                      <w:szCs w:val="18"/>
                      <w:highlight w:val="none"/>
                      <w:vertAlign w:val="baseline"/>
                      <w:lang w:eastAsia="zh-CN"/>
                    </w:rPr>
                    <w:t>本项目用地</w:t>
                  </w:r>
                  <w:r>
                    <w:rPr>
                      <w:rFonts w:hint="eastAsia" w:ascii="Times New Roman" w:hAnsi="Times New Roman" w:eastAsia="宋体" w:cs="Times New Roman"/>
                      <w:b w:val="0"/>
                      <w:bCs w:val="0"/>
                      <w:color w:val="auto"/>
                      <w:sz w:val="18"/>
                      <w:szCs w:val="18"/>
                      <w:highlight w:val="none"/>
                      <w:vertAlign w:val="baseline"/>
                      <w:lang w:val="en-US" w:eastAsia="zh-CN"/>
                    </w:rPr>
                    <w:t>不涉及耕地及</w:t>
                  </w:r>
                  <w:r>
                    <w:rPr>
                      <w:rFonts w:hint="default" w:ascii="Times New Roman" w:hAnsi="Times New Roman" w:eastAsia="宋体" w:cs="Times New Roman"/>
                      <w:b w:val="0"/>
                      <w:bCs w:val="0"/>
                      <w:color w:val="auto"/>
                      <w:sz w:val="18"/>
                      <w:szCs w:val="18"/>
                      <w:highlight w:val="none"/>
                    </w:rPr>
                    <w:t>永久基本农田</w:t>
                  </w:r>
                  <w:r>
                    <w:rPr>
                      <w:rFonts w:hint="default" w:ascii="Times New Roman" w:hAnsi="Times New Roman" w:eastAsia="宋体" w:cs="Times New Roman"/>
                      <w:b w:val="0"/>
                      <w:bCs w:val="0"/>
                      <w:color w:val="auto"/>
                      <w:sz w:val="18"/>
                      <w:szCs w:val="18"/>
                      <w:highlight w:val="none"/>
                      <w:vertAlign w:val="baseline"/>
                      <w:lang w:eastAsia="zh-CN"/>
                    </w:rPr>
                    <w:t>，不会对农业造成影响。</w:t>
                  </w:r>
                </w:p>
              </w:tc>
              <w:tc>
                <w:tcPr>
                  <w:tcW w:w="1210" w:type="dxa"/>
                  <w:tcBorders>
                    <w:tl2br w:val="nil"/>
                    <w:tr2bl w:val="nil"/>
                  </w:tcBorders>
                  <w:vAlign w:val="center"/>
                </w:tcPr>
                <w:p w14:paraId="7E9037D6">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18"/>
                      <w:szCs w:val="18"/>
                      <w:highlight w:val="none"/>
                      <w:vertAlign w:val="baseline"/>
                      <w:lang w:eastAsia="zh-CN"/>
                    </w:rPr>
                  </w:pPr>
                  <w:r>
                    <w:rPr>
                      <w:rFonts w:hint="default" w:ascii="Times New Roman" w:hAnsi="Times New Roman" w:eastAsia="宋体" w:cs="Times New Roman"/>
                      <w:b w:val="0"/>
                      <w:bCs w:val="0"/>
                      <w:color w:val="auto"/>
                      <w:sz w:val="18"/>
                      <w:szCs w:val="18"/>
                      <w:highlight w:val="none"/>
                      <w:vertAlign w:val="baseline"/>
                      <w:lang w:eastAsia="zh-CN"/>
                    </w:rPr>
                    <w:t>符合</w:t>
                  </w:r>
                </w:p>
              </w:tc>
            </w:tr>
            <w:tr w14:paraId="008355B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99" w:type="dxa"/>
                  <w:tcBorders>
                    <w:tl2br w:val="nil"/>
                    <w:tr2bl w:val="nil"/>
                  </w:tcBorders>
                  <w:vAlign w:val="center"/>
                </w:tcPr>
                <w:p w14:paraId="20B16A18">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18"/>
                      <w:szCs w:val="18"/>
                      <w:highlight w:val="none"/>
                      <w:vertAlign w:val="baseline"/>
                    </w:rPr>
                  </w:pPr>
                  <w:r>
                    <w:rPr>
                      <w:rFonts w:hint="default" w:ascii="Times New Roman" w:hAnsi="Times New Roman" w:eastAsia="宋体" w:cs="Times New Roman"/>
                      <w:b w:val="0"/>
                      <w:bCs w:val="0"/>
                      <w:color w:val="auto"/>
                      <w:sz w:val="18"/>
                      <w:szCs w:val="18"/>
                      <w:highlight w:val="none"/>
                      <w:vertAlign w:val="baseline"/>
                    </w:rPr>
                    <w:t>[</w:t>
                  </w:r>
                  <w:r>
                    <w:rPr>
                      <w:rFonts w:hint="default" w:ascii="Times New Roman" w:hAnsi="Times New Roman" w:eastAsia="宋体" w:cs="Times New Roman"/>
                      <w:b w:val="0"/>
                      <w:bCs w:val="0"/>
                      <w:color w:val="auto"/>
                      <w:sz w:val="18"/>
                      <w:szCs w:val="18"/>
                      <w:highlight w:val="none"/>
                    </w:rPr>
                    <w:t>科学划定生态保护红线</w:t>
                  </w:r>
                  <w:r>
                    <w:rPr>
                      <w:rFonts w:hint="default" w:ascii="Times New Roman" w:hAnsi="Times New Roman" w:eastAsia="宋体" w:cs="Times New Roman"/>
                      <w:b w:val="0"/>
                      <w:bCs w:val="0"/>
                      <w:color w:val="auto"/>
                      <w:sz w:val="18"/>
                      <w:szCs w:val="18"/>
                      <w:highlight w:val="none"/>
                      <w:vertAlign w:val="baseline"/>
                    </w:rPr>
                    <w:t>]</w:t>
                  </w:r>
                  <w:r>
                    <w:rPr>
                      <w:rFonts w:hint="default" w:ascii="Times New Roman" w:hAnsi="Times New Roman" w:eastAsia="宋体" w:cs="Times New Roman"/>
                      <w:b w:val="0"/>
                      <w:bCs w:val="0"/>
                      <w:color w:val="auto"/>
                      <w:sz w:val="18"/>
                      <w:szCs w:val="18"/>
                      <w:highlight w:val="none"/>
                    </w:rPr>
                    <w:t>整合优化自然保护地、重要水源涵养、生物多样性维护、水土保持、防风固沙等生态系统服务功能极重要区域和水土流失、土地沙化等生态极脆弱区域，以及具有潜在重要生态价值的生态空间，划入生态保护红线范围内。全市划定生态保护红线5023.14平方公里，占市域总面积的22.33%</w:t>
                  </w:r>
                  <w:r>
                    <w:rPr>
                      <w:rFonts w:hint="default" w:ascii="Times New Roman" w:hAnsi="Times New Roman" w:eastAsia="宋体" w:cs="Times New Roman"/>
                      <w:b w:val="0"/>
                      <w:bCs w:val="0"/>
                      <w:color w:val="auto"/>
                      <w:sz w:val="18"/>
                      <w:szCs w:val="18"/>
                      <w:highlight w:val="none"/>
                      <w:vertAlign w:val="baseline"/>
                    </w:rPr>
                    <w:t>。</w:t>
                  </w:r>
                </w:p>
              </w:tc>
              <w:tc>
                <w:tcPr>
                  <w:tcW w:w="1912" w:type="dxa"/>
                  <w:tcBorders>
                    <w:tl2br w:val="nil"/>
                    <w:tr2bl w:val="nil"/>
                  </w:tcBorders>
                  <w:vAlign w:val="center"/>
                </w:tcPr>
                <w:p w14:paraId="5B71EF2C">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18"/>
                      <w:szCs w:val="18"/>
                      <w:highlight w:val="none"/>
                      <w:vertAlign w:val="baseline"/>
                      <w:lang w:eastAsia="zh-CN"/>
                    </w:rPr>
                  </w:pPr>
                  <w:r>
                    <w:rPr>
                      <w:rFonts w:hint="default" w:ascii="Times New Roman" w:hAnsi="Times New Roman" w:eastAsia="宋体" w:cs="Times New Roman"/>
                      <w:b w:val="0"/>
                      <w:bCs w:val="0"/>
                      <w:color w:val="auto"/>
                      <w:sz w:val="18"/>
                      <w:szCs w:val="18"/>
                      <w:highlight w:val="none"/>
                      <w:vertAlign w:val="baseline"/>
                      <w:lang w:eastAsia="zh-CN"/>
                    </w:rPr>
                    <w:t>本项目用地未处于</w:t>
                  </w:r>
                  <w:r>
                    <w:rPr>
                      <w:rFonts w:hint="eastAsia" w:cs="Times New Roman"/>
                      <w:b w:val="0"/>
                      <w:bCs w:val="0"/>
                      <w:color w:val="auto"/>
                      <w:sz w:val="18"/>
                      <w:szCs w:val="18"/>
                      <w:highlight w:val="none"/>
                      <w:vertAlign w:val="baseline"/>
                      <w:lang w:eastAsia="zh-CN"/>
                    </w:rPr>
                    <w:t>生态保护红线</w:t>
                  </w:r>
                  <w:r>
                    <w:rPr>
                      <w:rFonts w:hint="default" w:ascii="Times New Roman" w:hAnsi="Times New Roman" w:eastAsia="宋体" w:cs="Times New Roman"/>
                      <w:b w:val="0"/>
                      <w:bCs w:val="0"/>
                      <w:color w:val="auto"/>
                      <w:sz w:val="18"/>
                      <w:szCs w:val="18"/>
                      <w:highlight w:val="none"/>
                      <w:vertAlign w:val="baseline"/>
                      <w:lang w:eastAsia="zh-CN"/>
                    </w:rPr>
                    <w:t>范围内，周围不存在自然保护区等生态敏感区。</w:t>
                  </w:r>
                </w:p>
              </w:tc>
              <w:tc>
                <w:tcPr>
                  <w:tcW w:w="1210" w:type="dxa"/>
                  <w:tcBorders>
                    <w:tl2br w:val="nil"/>
                    <w:tr2bl w:val="nil"/>
                  </w:tcBorders>
                  <w:vAlign w:val="center"/>
                </w:tcPr>
                <w:p w14:paraId="0D421A4B">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18"/>
                      <w:szCs w:val="18"/>
                      <w:highlight w:val="none"/>
                      <w:vertAlign w:val="baseline"/>
                    </w:rPr>
                  </w:pPr>
                  <w:r>
                    <w:rPr>
                      <w:rFonts w:hint="default" w:ascii="Times New Roman" w:hAnsi="Times New Roman" w:eastAsia="宋体" w:cs="Times New Roman"/>
                      <w:b w:val="0"/>
                      <w:bCs w:val="0"/>
                      <w:color w:val="auto"/>
                      <w:sz w:val="18"/>
                      <w:szCs w:val="18"/>
                      <w:highlight w:val="none"/>
                      <w:vertAlign w:val="baseline"/>
                      <w:lang w:eastAsia="zh-CN"/>
                    </w:rPr>
                    <w:t>符合</w:t>
                  </w:r>
                </w:p>
              </w:tc>
            </w:tr>
            <w:tr w14:paraId="2ED54C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99" w:type="dxa"/>
                  <w:tcBorders>
                    <w:tl2br w:val="nil"/>
                    <w:tr2bl w:val="nil"/>
                  </w:tcBorders>
                  <w:vAlign w:val="center"/>
                </w:tcPr>
                <w:p w14:paraId="3B1394E3">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18"/>
                      <w:szCs w:val="18"/>
                      <w:highlight w:val="none"/>
                      <w:vertAlign w:val="baseline"/>
                    </w:rPr>
                  </w:pPr>
                  <w:r>
                    <w:rPr>
                      <w:rFonts w:hint="default" w:ascii="Times New Roman" w:hAnsi="Times New Roman" w:eastAsia="宋体" w:cs="Times New Roman"/>
                      <w:b w:val="0"/>
                      <w:bCs w:val="0"/>
                      <w:color w:val="auto"/>
                      <w:sz w:val="18"/>
                      <w:szCs w:val="18"/>
                      <w:highlight w:val="none"/>
                      <w:vertAlign w:val="baseline"/>
                    </w:rPr>
                    <w:t>[</w:t>
                  </w:r>
                  <w:r>
                    <w:rPr>
                      <w:rFonts w:hint="default" w:ascii="Times New Roman" w:hAnsi="Times New Roman" w:eastAsia="宋体" w:cs="Times New Roman"/>
                      <w:b w:val="0"/>
                      <w:bCs w:val="0"/>
                      <w:color w:val="auto"/>
                      <w:sz w:val="18"/>
                      <w:szCs w:val="18"/>
                      <w:highlight w:val="none"/>
                    </w:rPr>
                    <w:t>合理划定城镇开发边界</w:t>
                  </w:r>
                  <w:r>
                    <w:rPr>
                      <w:rFonts w:hint="default" w:ascii="Times New Roman" w:hAnsi="Times New Roman" w:eastAsia="宋体" w:cs="Times New Roman"/>
                      <w:b w:val="0"/>
                      <w:bCs w:val="0"/>
                      <w:color w:val="auto"/>
                      <w:sz w:val="18"/>
                      <w:szCs w:val="18"/>
                      <w:highlight w:val="none"/>
                      <w:vertAlign w:val="baseline"/>
                    </w:rPr>
                    <w:t>]</w:t>
                  </w:r>
                  <w:r>
                    <w:rPr>
                      <w:rFonts w:hint="default" w:ascii="Times New Roman" w:hAnsi="Times New Roman" w:eastAsia="宋体" w:cs="Times New Roman"/>
                      <w:b w:val="0"/>
                      <w:bCs w:val="0"/>
                      <w:color w:val="auto"/>
                      <w:sz w:val="18"/>
                      <w:szCs w:val="18"/>
                      <w:highlight w:val="none"/>
                    </w:rPr>
                    <w:t>在国土空间规划中城镇开发边界是一定时期内因城镇发展需要，可以集中进行城镇开发建设，完善城镇功能、提升空间品质的区域边界，涉及城市、建制镇以及各类开发区等。防止城镇无序建设与蔓延发展，促进城镇空间集约高效、紧凑布局</w:t>
                  </w:r>
                  <w:r>
                    <w:rPr>
                      <w:rFonts w:hint="default" w:ascii="Times New Roman" w:hAnsi="Times New Roman" w:eastAsia="宋体" w:cs="Times New Roman"/>
                      <w:b w:val="0"/>
                      <w:bCs w:val="0"/>
                      <w:color w:val="auto"/>
                      <w:sz w:val="18"/>
                      <w:szCs w:val="18"/>
                      <w:highlight w:val="none"/>
                      <w:lang w:eastAsia="zh-CN"/>
                    </w:rPr>
                    <w:t>。</w:t>
                  </w:r>
                  <w:r>
                    <w:rPr>
                      <w:rFonts w:hint="default" w:ascii="Times New Roman" w:hAnsi="Times New Roman" w:eastAsia="宋体" w:cs="Times New Roman"/>
                      <w:b w:val="0"/>
                      <w:bCs w:val="0"/>
                      <w:color w:val="auto"/>
                      <w:sz w:val="18"/>
                      <w:szCs w:val="18"/>
                      <w:highlight w:val="none"/>
                    </w:rPr>
                    <w:t>至2035年，全市落实上级下达的建设用地规模，结合城镇开发边界实际可建设空间合理框定全市建设用地总规模，总规模控制在195.30平方公里以内</w:t>
                  </w:r>
                  <w:r>
                    <w:rPr>
                      <w:rFonts w:hint="default" w:ascii="Times New Roman" w:hAnsi="Times New Roman" w:eastAsia="宋体" w:cs="Times New Roman"/>
                      <w:b w:val="0"/>
                      <w:bCs w:val="0"/>
                      <w:color w:val="auto"/>
                      <w:sz w:val="18"/>
                      <w:szCs w:val="18"/>
                      <w:highlight w:val="none"/>
                      <w:vertAlign w:val="baseline"/>
                    </w:rPr>
                    <w:t>。</w:t>
                  </w:r>
                </w:p>
              </w:tc>
              <w:tc>
                <w:tcPr>
                  <w:tcW w:w="1912" w:type="dxa"/>
                  <w:tcBorders>
                    <w:tl2br w:val="nil"/>
                    <w:tr2bl w:val="nil"/>
                  </w:tcBorders>
                  <w:vAlign w:val="center"/>
                </w:tcPr>
                <w:p w14:paraId="60E4D9BE">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18"/>
                      <w:szCs w:val="18"/>
                      <w:highlight w:val="none"/>
                      <w:vertAlign w:val="baseline"/>
                      <w:lang w:eastAsia="zh-CN"/>
                    </w:rPr>
                  </w:pPr>
                  <w:r>
                    <w:rPr>
                      <w:rFonts w:hint="default" w:ascii="Times New Roman" w:hAnsi="Times New Roman" w:eastAsia="宋体" w:cs="Times New Roman"/>
                      <w:b w:val="0"/>
                      <w:bCs w:val="0"/>
                      <w:color w:val="auto"/>
                      <w:sz w:val="18"/>
                      <w:szCs w:val="18"/>
                      <w:highlight w:val="none"/>
                      <w:vertAlign w:val="baseline"/>
                      <w:lang w:eastAsia="zh-CN"/>
                    </w:rPr>
                    <w:t>本项目符合城镇发展需要。</w:t>
                  </w:r>
                </w:p>
              </w:tc>
              <w:tc>
                <w:tcPr>
                  <w:tcW w:w="1210" w:type="dxa"/>
                  <w:tcBorders>
                    <w:tl2br w:val="nil"/>
                    <w:tr2bl w:val="nil"/>
                  </w:tcBorders>
                  <w:vAlign w:val="center"/>
                </w:tcPr>
                <w:p w14:paraId="41FAE91B">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z w:val="18"/>
                      <w:szCs w:val="18"/>
                      <w:highlight w:val="none"/>
                      <w:vertAlign w:val="baseline"/>
                    </w:rPr>
                  </w:pPr>
                  <w:r>
                    <w:rPr>
                      <w:rFonts w:hint="default" w:ascii="Times New Roman" w:hAnsi="Times New Roman" w:eastAsia="宋体" w:cs="Times New Roman"/>
                      <w:b w:val="0"/>
                      <w:bCs w:val="0"/>
                      <w:color w:val="auto"/>
                      <w:sz w:val="18"/>
                      <w:szCs w:val="18"/>
                      <w:highlight w:val="none"/>
                      <w:vertAlign w:val="baseline"/>
                      <w:lang w:eastAsia="zh-CN"/>
                    </w:rPr>
                    <w:t>符合</w:t>
                  </w:r>
                </w:p>
              </w:tc>
            </w:tr>
          </w:tbl>
          <w:p w14:paraId="0F576B5B">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与《污泥无害化处理和资源化利用实施方案》符合性分析</w:t>
            </w:r>
          </w:p>
          <w:p w14:paraId="63DD5CB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20" w:firstLineChars="200"/>
              <w:textAlignment w:val="auto"/>
              <w:rPr>
                <w:rFonts w:hint="default" w:ascii="Times New Roman" w:hAnsi="Times New Roman" w:eastAsia="宋体" w:cs="Times New Roman"/>
                <w:b w:val="0"/>
                <w:bCs w:val="0"/>
                <w:color w:val="auto"/>
                <w:spacing w:val="0"/>
                <w:kern w:val="0"/>
                <w:sz w:val="21"/>
                <w:szCs w:val="21"/>
                <w:highlight w:val="none"/>
                <w:lang w:val="en-US" w:eastAsia="zh-CN"/>
              </w:rPr>
            </w:pPr>
            <w:r>
              <w:rPr>
                <w:rFonts w:hint="default" w:ascii="Times New Roman" w:hAnsi="Times New Roman" w:eastAsia="宋体" w:cs="Times New Roman"/>
                <w:b w:val="0"/>
                <w:bCs w:val="0"/>
                <w:color w:val="auto"/>
                <w:spacing w:val="0"/>
                <w:kern w:val="0"/>
                <w:sz w:val="21"/>
                <w:szCs w:val="21"/>
                <w:highlight w:val="none"/>
                <w:lang w:val="en-US" w:eastAsia="zh-CN"/>
              </w:rPr>
              <w:t>《污泥无害化处理和资源化利用实施方案》中提出：“</w:t>
            </w:r>
            <w:r>
              <w:rPr>
                <w:rFonts w:hint="default" w:ascii="Times New Roman" w:hAnsi="Times New Roman" w:eastAsia="宋体" w:cs="Times New Roman"/>
                <w:b w:val="0"/>
                <w:bCs w:val="0"/>
                <w:color w:val="auto"/>
                <w:spacing w:val="0"/>
                <w:kern w:val="0"/>
                <w:sz w:val="21"/>
                <w:szCs w:val="21"/>
                <w:highlight w:val="none"/>
              </w:rPr>
              <w:t xml:space="preserve">（ 三 ）规范污泥处理方式 </w:t>
            </w:r>
            <w:r>
              <w:rPr>
                <w:rFonts w:hint="default" w:ascii="Times New Roman" w:hAnsi="Times New Roman" w:eastAsia="宋体" w:cs="Times New Roman"/>
                <w:b w:val="0"/>
                <w:bCs w:val="0"/>
                <w:color w:val="auto"/>
                <w:spacing w:val="0"/>
                <w:kern w:val="0"/>
                <w:sz w:val="21"/>
                <w:szCs w:val="21"/>
                <w:highlight w:val="none"/>
                <w:lang w:eastAsia="zh-CN"/>
              </w:rPr>
              <w:t>；</w:t>
            </w:r>
            <w:r>
              <w:rPr>
                <w:rFonts w:hint="default" w:ascii="Times New Roman" w:hAnsi="Times New Roman" w:eastAsia="宋体" w:cs="Times New Roman"/>
                <w:b w:val="0"/>
                <w:bCs w:val="0"/>
                <w:color w:val="auto"/>
                <w:spacing w:val="0"/>
                <w:kern w:val="0"/>
                <w:sz w:val="21"/>
                <w:szCs w:val="21"/>
                <w:highlight w:val="none"/>
              </w:rPr>
              <w:t xml:space="preserve">（ 四 ）积极推广污泥土地利用 </w:t>
            </w:r>
            <w:r>
              <w:rPr>
                <w:rFonts w:hint="default" w:ascii="Times New Roman" w:hAnsi="Times New Roman" w:eastAsia="宋体" w:cs="Times New Roman"/>
                <w:b w:val="0"/>
                <w:bCs w:val="0"/>
                <w:color w:val="auto"/>
                <w:spacing w:val="0"/>
                <w:kern w:val="0"/>
                <w:sz w:val="21"/>
                <w:szCs w:val="21"/>
                <w:highlight w:val="none"/>
                <w:lang w:eastAsia="zh-CN"/>
              </w:rPr>
              <w:t>；</w:t>
            </w:r>
            <w:r>
              <w:rPr>
                <w:rFonts w:hint="default" w:ascii="Times New Roman" w:hAnsi="Times New Roman" w:eastAsia="宋体" w:cs="Times New Roman"/>
                <w:b w:val="0"/>
                <w:bCs w:val="0"/>
                <w:color w:val="auto"/>
                <w:spacing w:val="0"/>
                <w:kern w:val="0"/>
                <w:sz w:val="21"/>
                <w:szCs w:val="21"/>
                <w:highlight w:val="none"/>
              </w:rPr>
              <w:t>（五）合理压减污泥填埋规模</w:t>
            </w:r>
            <w:r>
              <w:rPr>
                <w:rFonts w:hint="default" w:ascii="Times New Roman" w:hAnsi="Times New Roman" w:eastAsia="宋体" w:cs="Times New Roman"/>
                <w:b w:val="0"/>
                <w:bCs w:val="0"/>
                <w:color w:val="auto"/>
                <w:spacing w:val="0"/>
                <w:kern w:val="0"/>
                <w:sz w:val="21"/>
                <w:szCs w:val="21"/>
                <w:highlight w:val="none"/>
                <w:lang w:eastAsia="zh-CN"/>
              </w:rPr>
              <w:t>；</w:t>
            </w:r>
            <w:r>
              <w:rPr>
                <w:rFonts w:hint="default" w:ascii="Times New Roman" w:hAnsi="Times New Roman" w:eastAsia="宋体" w:cs="Times New Roman"/>
                <w:b w:val="0"/>
                <w:bCs w:val="0"/>
                <w:color w:val="auto"/>
                <w:spacing w:val="0"/>
                <w:kern w:val="0"/>
                <w:sz w:val="21"/>
                <w:szCs w:val="21"/>
                <w:highlight w:val="none"/>
              </w:rPr>
              <w:t>（ 六 ）有序推进污泥焚烧处理</w:t>
            </w:r>
            <w:r>
              <w:rPr>
                <w:rFonts w:hint="default" w:ascii="Times New Roman" w:hAnsi="Times New Roman" w:eastAsia="宋体" w:cs="Times New Roman"/>
                <w:b w:val="0"/>
                <w:bCs w:val="0"/>
                <w:color w:val="auto"/>
                <w:spacing w:val="0"/>
                <w:kern w:val="0"/>
                <w:sz w:val="21"/>
                <w:szCs w:val="21"/>
                <w:highlight w:val="none"/>
                <w:lang w:eastAsia="zh-CN"/>
              </w:rPr>
              <w:t>；</w:t>
            </w:r>
            <w:r>
              <w:rPr>
                <w:rFonts w:hint="default" w:ascii="Times New Roman" w:hAnsi="Times New Roman" w:eastAsia="宋体" w:cs="Times New Roman"/>
                <w:b w:val="0"/>
                <w:bCs w:val="0"/>
                <w:color w:val="auto"/>
                <w:spacing w:val="0"/>
                <w:kern w:val="0"/>
                <w:sz w:val="21"/>
                <w:szCs w:val="21"/>
                <w:highlight w:val="none"/>
              </w:rPr>
              <w:t xml:space="preserve">（ 七 ）推广能量和物质回收利用 </w:t>
            </w:r>
            <w:r>
              <w:rPr>
                <w:rFonts w:hint="default" w:ascii="Times New Roman" w:hAnsi="Times New Roman" w:eastAsia="宋体" w:cs="Times New Roman"/>
                <w:b w:val="0"/>
                <w:bCs w:val="0"/>
                <w:color w:val="auto"/>
                <w:spacing w:val="0"/>
                <w:kern w:val="0"/>
                <w:sz w:val="21"/>
                <w:szCs w:val="21"/>
                <w:highlight w:val="none"/>
                <w:lang w:eastAsia="zh-CN"/>
              </w:rPr>
              <w:t>。</w:t>
            </w:r>
            <w:r>
              <w:rPr>
                <w:rFonts w:hint="default" w:ascii="Times New Roman" w:hAnsi="Times New Roman" w:eastAsia="宋体" w:cs="Times New Roman"/>
                <w:b w:val="0"/>
                <w:bCs w:val="0"/>
                <w:color w:val="auto"/>
                <w:spacing w:val="0"/>
                <w:kern w:val="0"/>
                <w:sz w:val="21"/>
                <w:szCs w:val="21"/>
                <w:highlight w:val="none"/>
                <w:lang w:val="en-US" w:eastAsia="zh-CN"/>
              </w:rPr>
              <w:t>”</w:t>
            </w:r>
          </w:p>
          <w:p w14:paraId="301D09D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20" w:firstLineChars="200"/>
              <w:textAlignment w:val="auto"/>
              <w:rPr>
                <w:rFonts w:hint="default" w:ascii="Times New Roman" w:hAnsi="Times New Roman" w:eastAsia="宋体" w:cs="Times New Roman"/>
                <w:b w:val="0"/>
                <w:bCs w:val="0"/>
                <w:color w:val="auto"/>
                <w:spacing w:val="0"/>
                <w:kern w:val="0"/>
                <w:sz w:val="21"/>
                <w:szCs w:val="21"/>
                <w:lang w:val="en-US" w:eastAsia="zh-CN"/>
              </w:rPr>
            </w:pPr>
            <w:r>
              <w:rPr>
                <w:rFonts w:hint="default" w:ascii="Times New Roman" w:hAnsi="Times New Roman" w:eastAsia="宋体" w:cs="Times New Roman"/>
                <w:b w:val="0"/>
                <w:bCs w:val="0"/>
                <w:color w:val="auto"/>
                <w:spacing w:val="0"/>
                <w:kern w:val="0"/>
                <w:sz w:val="21"/>
                <w:szCs w:val="21"/>
                <w:highlight w:val="none"/>
                <w:lang w:val="en-US" w:eastAsia="zh-CN"/>
              </w:rPr>
              <w:t>本项目经</w:t>
            </w:r>
            <w:r>
              <w:rPr>
                <w:rFonts w:hint="default" w:ascii="Times New Roman" w:hAnsi="Times New Roman" w:eastAsia="宋体" w:cs="Times New Roman"/>
                <w:color w:val="auto"/>
                <w:spacing w:val="0"/>
                <w:sz w:val="21"/>
                <w:szCs w:val="21"/>
                <w:highlight w:val="none"/>
              </w:rPr>
              <w:t>容压一体化污泥深度脱水工艺</w:t>
            </w:r>
            <w:r>
              <w:rPr>
                <w:rFonts w:hint="default" w:ascii="Times New Roman" w:hAnsi="Times New Roman" w:eastAsia="宋体" w:cs="Times New Roman"/>
                <w:color w:val="auto"/>
                <w:spacing w:val="0"/>
                <w:sz w:val="21"/>
                <w:szCs w:val="21"/>
                <w:highlight w:val="none"/>
                <w:lang w:val="en-US" w:eastAsia="zh-CN"/>
              </w:rPr>
              <w:t>处理后，</w:t>
            </w:r>
            <w:r>
              <w:rPr>
                <w:rFonts w:hint="default" w:ascii="Times New Roman" w:hAnsi="Times New Roman" w:eastAsia="宋体" w:cs="Times New Roman"/>
                <w:b w:val="0"/>
                <w:bCs w:val="0"/>
                <w:color w:val="auto"/>
                <w:spacing w:val="0"/>
                <w:w w:val="100"/>
                <w:sz w:val="21"/>
                <w:szCs w:val="21"/>
                <w:highlight w:val="none"/>
                <w:lang w:val="en-US" w:eastAsia="zh-CN"/>
              </w:rPr>
              <w:t>脱水污泥暂存污泥暂存库内，定期</w:t>
            </w:r>
            <w:r>
              <w:rPr>
                <w:rFonts w:hint="default" w:ascii="Times New Roman" w:hAnsi="Times New Roman" w:eastAsia="宋体" w:cs="Times New Roman"/>
                <w:color w:val="auto"/>
                <w:sz w:val="21"/>
                <w:szCs w:val="21"/>
                <w:highlight w:val="none"/>
                <w:lang w:val="en-US" w:eastAsia="zh-CN"/>
              </w:rPr>
              <w:t>外运委托</w:t>
            </w:r>
            <w:r>
              <w:rPr>
                <w:rFonts w:hint="eastAsia" w:cs="Times New Roman"/>
                <w:color w:val="auto"/>
                <w:sz w:val="21"/>
                <w:szCs w:val="21"/>
                <w:highlight w:val="none"/>
                <w:lang w:val="en-US" w:eastAsia="zh-CN"/>
              </w:rPr>
              <w:t>有资质单位</w:t>
            </w:r>
            <w:r>
              <w:rPr>
                <w:rFonts w:hint="eastAsia" w:cs="Times New Roman"/>
                <w:color w:val="auto"/>
                <w:sz w:val="21"/>
                <w:szCs w:val="21"/>
                <w:highlight w:val="yellow"/>
                <w:lang w:val="en-US" w:eastAsia="zh-CN"/>
              </w:rPr>
              <w:t>（鸡西聚邦环境科技有限公司），进行无害化焚烧处置</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脱水污泥含水率为60%。故本项目符合</w:t>
            </w:r>
            <w:r>
              <w:rPr>
                <w:rFonts w:hint="default" w:ascii="Times New Roman" w:hAnsi="Times New Roman" w:eastAsia="宋体" w:cs="Times New Roman"/>
                <w:b w:val="0"/>
                <w:bCs w:val="0"/>
                <w:color w:val="auto"/>
                <w:kern w:val="0"/>
                <w:sz w:val="21"/>
                <w:szCs w:val="21"/>
                <w:highlight w:val="none"/>
                <w:lang w:val="en-US" w:eastAsia="zh-CN"/>
              </w:rPr>
              <w:t>《污泥无害化处理和资源化利用实施方案》中要求。</w:t>
            </w:r>
          </w:p>
        </w:tc>
      </w:tr>
      <w:bookmarkEnd w:id="3"/>
    </w:tbl>
    <w:p w14:paraId="4AF76777">
      <w:pPr>
        <w:spacing w:line="360" w:lineRule="auto"/>
        <w:outlineLvl w:val="0"/>
        <w:rPr>
          <w:rFonts w:hint="default" w:ascii="Times New Roman" w:hAnsi="Times New Roman" w:eastAsia="黑体" w:cs="Times New Roman"/>
          <w:color w:val="auto"/>
          <w:sz w:val="30"/>
          <w:highlight w:val="none"/>
        </w:rPr>
        <w:sectPr>
          <w:footerReference r:id="rId4" w:type="default"/>
          <w:pgSz w:w="11850" w:h="16783"/>
          <w:pgMar w:top="1701" w:right="1531" w:bottom="1701" w:left="1531" w:header="851" w:footer="1077" w:gutter="0"/>
          <w:pgBorders>
            <w:top w:val="none" w:sz="0" w:space="0"/>
            <w:left w:val="none" w:sz="0" w:space="0"/>
            <w:bottom w:val="none" w:sz="0" w:space="0"/>
            <w:right w:val="none" w:sz="0" w:space="0"/>
          </w:pgBorders>
          <w:pgNumType w:fmt="numberInDash" w:start="1"/>
          <w:cols w:space="0" w:num="1"/>
          <w:docGrid w:type="lines" w:linePitch="312" w:charSpace="0"/>
        </w:sectPr>
      </w:pPr>
    </w:p>
    <w:p w14:paraId="2531B6A6">
      <w:pPr>
        <w:pStyle w:val="30"/>
        <w:spacing w:before="0" w:beforeAutospacing="0" w:after="0" w:afterAutospacing="0"/>
        <w:jc w:val="center"/>
        <w:outlineLvl w:val="0"/>
        <w:rPr>
          <w:rFonts w:hint="default" w:ascii="Times New Roman" w:hAnsi="Times New Roman" w:eastAsia="黑体" w:cs="Times New Roman"/>
          <w:snapToGrid w:val="0"/>
          <w:color w:val="auto"/>
          <w:kern w:val="21"/>
          <w:sz w:val="30"/>
          <w:szCs w:val="30"/>
          <w:highlight w:val="none"/>
        </w:rPr>
      </w:pPr>
      <w:bookmarkStart w:id="4" w:name="_Toc20676"/>
      <w:r>
        <w:rPr>
          <w:rFonts w:hint="default" w:ascii="Times New Roman" w:hAnsi="Times New Roman" w:eastAsia="黑体" w:cs="Times New Roman"/>
          <w:snapToGrid w:val="0"/>
          <w:color w:val="auto"/>
          <w:kern w:val="21"/>
          <w:sz w:val="30"/>
          <w:szCs w:val="30"/>
          <w:highlight w:val="none"/>
        </w:rPr>
        <w:t>二、建设项目工程分析</w:t>
      </w:r>
      <w:bookmarkEnd w:id="4"/>
    </w:p>
    <w:tbl>
      <w:tblPr>
        <w:tblStyle w:val="35"/>
        <w:tblW w:w="512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8"/>
        <w:gridCol w:w="8473"/>
      </w:tblGrid>
      <w:tr w14:paraId="29D3D7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76" w:hRule="atLeast"/>
          <w:jc w:val="center"/>
        </w:trPr>
        <w:tc>
          <w:tcPr>
            <w:tcW w:w="748" w:type="dxa"/>
            <w:vAlign w:val="center"/>
          </w:tcPr>
          <w:p w14:paraId="79805C5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1"/>
                <w:sz w:val="24"/>
                <w:szCs w:val="21"/>
                <w:highlight w:val="none"/>
              </w:rPr>
            </w:pPr>
            <w:r>
              <w:rPr>
                <w:rFonts w:hint="default" w:ascii="Times New Roman" w:hAnsi="Times New Roman" w:cs="Times New Roman"/>
                <w:color w:val="auto"/>
                <w:kern w:val="21"/>
                <w:szCs w:val="21"/>
                <w:highlight w:val="none"/>
              </w:rPr>
              <w:t>建设内容</w:t>
            </w:r>
          </w:p>
        </w:tc>
        <w:tc>
          <w:tcPr>
            <w:tcW w:w="8473" w:type="dxa"/>
            <w:vAlign w:val="center"/>
          </w:tcPr>
          <w:p w14:paraId="4A66722D">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Times New Roman" w:hAnsi="Times New Roman" w:eastAsia="宋体" w:cs="Times New Roman"/>
                <w:b/>
                <w:bCs/>
                <w:color w:val="auto"/>
                <w:kern w:val="21"/>
                <w:sz w:val="21"/>
                <w:szCs w:val="21"/>
                <w:highlight w:val="none"/>
                <w:lang w:val="en-US" w:eastAsia="zh-CN"/>
              </w:rPr>
            </w:pPr>
            <w:r>
              <w:rPr>
                <w:rFonts w:hint="eastAsia" w:cs="Times New Roman"/>
                <w:b/>
                <w:bCs/>
                <w:color w:val="auto"/>
                <w:kern w:val="21"/>
                <w:sz w:val="21"/>
                <w:szCs w:val="21"/>
                <w:highlight w:val="none"/>
                <w:lang w:val="en-US" w:eastAsia="zh-CN"/>
              </w:rPr>
              <w:t>1、</w:t>
            </w:r>
            <w:r>
              <w:rPr>
                <w:rFonts w:hint="default" w:ascii="Times New Roman" w:hAnsi="Times New Roman" w:cs="Times New Roman"/>
                <w:b/>
                <w:bCs/>
                <w:color w:val="auto"/>
                <w:kern w:val="21"/>
                <w:sz w:val="21"/>
                <w:szCs w:val="21"/>
                <w:highlight w:val="none"/>
              </w:rPr>
              <w:t>建</w:t>
            </w:r>
            <w:r>
              <w:rPr>
                <w:rFonts w:hint="default" w:ascii="Times New Roman" w:hAnsi="Times New Roman" w:cs="Times New Roman"/>
                <w:b/>
                <w:bCs/>
                <w:color w:val="auto"/>
                <w:kern w:val="0"/>
                <w:sz w:val="21"/>
                <w:szCs w:val="21"/>
                <w:highlight w:val="none"/>
              </w:rPr>
              <w:t>设内容及规模</w:t>
            </w:r>
          </w:p>
          <w:p w14:paraId="2B60734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bCs/>
                <w:color w:val="auto"/>
                <w:spacing w:val="0"/>
                <w:kern w:val="0"/>
                <w:sz w:val="21"/>
                <w:szCs w:val="21"/>
                <w:highlight w:val="none"/>
                <w:lang w:val="en-US" w:eastAsia="zh-CN"/>
              </w:rPr>
            </w:pPr>
            <w:r>
              <w:rPr>
                <w:rFonts w:hint="default" w:ascii="Times New Roman" w:hAnsi="Times New Roman" w:eastAsia="宋体" w:cs="Times New Roman"/>
                <w:color w:val="auto"/>
                <w:spacing w:val="0"/>
                <w:sz w:val="21"/>
                <w:szCs w:val="21"/>
                <w:highlight w:val="none"/>
                <w:u w:val="none"/>
                <w:lang w:val="en-US" w:eastAsia="zh-CN"/>
              </w:rPr>
              <w:t>现有工程鸡西市供水有限公司建设</w:t>
            </w:r>
            <w:r>
              <w:rPr>
                <w:rFonts w:hint="default" w:ascii="Times New Roman" w:hAnsi="Times New Roman" w:eastAsia="宋体" w:cs="Times New Roman"/>
                <w:color w:val="auto"/>
                <w:spacing w:val="0"/>
                <w:sz w:val="21"/>
                <w:szCs w:val="21"/>
              </w:rPr>
              <w:t>鸡西市朝阳净水厂一座、供水管线39km、加压泵站二座、改造加压泵站一座以及与之配套的其他工程。取水取自兴凯湖。</w:t>
            </w:r>
            <w:r>
              <w:rPr>
                <w:rFonts w:hint="default" w:ascii="Times New Roman" w:hAnsi="Times New Roman" w:eastAsia="宋体" w:cs="Times New Roman"/>
                <w:color w:val="auto"/>
                <w:spacing w:val="0"/>
                <w:sz w:val="21"/>
                <w:szCs w:val="21"/>
                <w:highlight w:val="none"/>
                <w:u w:val="none"/>
                <w:lang w:val="en-US" w:eastAsia="zh-CN"/>
              </w:rPr>
              <w:t>朝阳净水厂位于</w:t>
            </w:r>
            <w:r>
              <w:rPr>
                <w:rFonts w:hint="default" w:ascii="Times New Roman" w:hAnsi="Times New Roman" w:eastAsia="宋体" w:cs="Times New Roman"/>
                <w:b w:val="0"/>
                <w:bCs w:val="0"/>
                <w:i w:val="0"/>
                <w:iCs w:val="0"/>
                <w:caps w:val="0"/>
                <w:color w:val="auto"/>
                <w:spacing w:val="0"/>
                <w:sz w:val="21"/>
                <w:szCs w:val="21"/>
                <w:shd w:val="clear" w:fill="FFFFFF"/>
              </w:rPr>
              <w:t>黑龙江省鸡西市鸡冠区东环路南侧，北方热电厂西南侧</w:t>
            </w:r>
            <w:r>
              <w:rPr>
                <w:rFonts w:hint="default" w:ascii="Times New Roman" w:hAnsi="Times New Roman" w:eastAsia="宋体" w:cs="Times New Roman"/>
                <w:b w:val="0"/>
                <w:bCs w:val="0"/>
                <w:i w:val="0"/>
                <w:iCs w:val="0"/>
                <w:caps w:val="0"/>
                <w:color w:val="auto"/>
                <w:spacing w:val="0"/>
                <w:sz w:val="21"/>
                <w:szCs w:val="21"/>
                <w:shd w:val="clear" w:fill="FFFFFF"/>
                <w:lang w:eastAsia="zh-CN"/>
              </w:rPr>
              <w:t>。</w:t>
            </w:r>
            <w:r>
              <w:rPr>
                <w:rFonts w:hint="default" w:ascii="Times New Roman" w:hAnsi="Times New Roman" w:eastAsia="宋体" w:cs="Times New Roman"/>
                <w:b w:val="0"/>
                <w:bCs w:val="0"/>
                <w:i w:val="0"/>
                <w:iCs w:val="0"/>
                <w:caps w:val="0"/>
                <w:color w:val="auto"/>
                <w:spacing w:val="0"/>
                <w:sz w:val="21"/>
                <w:szCs w:val="21"/>
                <w:shd w:val="clear" w:fill="FFFFFF"/>
                <w:lang w:val="en-US" w:eastAsia="zh-CN"/>
              </w:rPr>
              <w:t>净水厂占地面积8155m</w:t>
            </w:r>
            <w:r>
              <w:rPr>
                <w:rFonts w:hint="default" w:ascii="Times New Roman" w:hAnsi="Times New Roman" w:eastAsia="宋体" w:cs="Times New Roman"/>
                <w:b w:val="0"/>
                <w:bCs w:val="0"/>
                <w:i w:val="0"/>
                <w:iCs w:val="0"/>
                <w:caps w:val="0"/>
                <w:color w:val="auto"/>
                <w:spacing w:val="0"/>
                <w:sz w:val="21"/>
                <w:szCs w:val="21"/>
                <w:shd w:val="clear" w:fill="FFFFFF"/>
                <w:vertAlign w:val="superscript"/>
                <w:lang w:val="en-US" w:eastAsia="zh-CN"/>
              </w:rPr>
              <w:t>2</w:t>
            </w:r>
            <w:r>
              <w:rPr>
                <w:rFonts w:hint="default" w:ascii="Times New Roman" w:hAnsi="Times New Roman" w:eastAsia="宋体" w:cs="Times New Roman"/>
                <w:b w:val="0"/>
                <w:bCs w:val="0"/>
                <w:i w:val="0"/>
                <w:iCs w:val="0"/>
                <w:caps w:val="0"/>
                <w:color w:val="auto"/>
                <w:spacing w:val="0"/>
                <w:sz w:val="21"/>
                <w:szCs w:val="21"/>
                <w:shd w:val="clear" w:fill="FFFFFF"/>
                <w:vertAlign w:val="baseline"/>
                <w:lang w:val="en-US" w:eastAsia="zh-CN"/>
              </w:rPr>
              <w:t>，</w:t>
            </w:r>
            <w:r>
              <w:rPr>
                <w:rFonts w:hint="default" w:ascii="Times New Roman" w:hAnsi="Times New Roman" w:eastAsia="宋体" w:cs="Times New Roman"/>
                <w:color w:val="auto"/>
                <w:spacing w:val="0"/>
                <w:sz w:val="21"/>
                <w:szCs w:val="21"/>
              </w:rPr>
              <w:t>主要工程内容包括稳压配水井、加药加氯间、净化间、清水池、吸水井</w:t>
            </w:r>
            <w:r>
              <w:rPr>
                <w:rFonts w:hint="eastAsia" w:ascii="Times New Roman" w:hAnsi="Times New Roman" w:cs="Times New Roman"/>
                <w:color w:val="auto"/>
                <w:spacing w:val="0"/>
                <w:sz w:val="21"/>
                <w:szCs w:val="21"/>
                <w:lang w:eastAsia="zh-CN"/>
              </w:rPr>
              <w:t>及</w:t>
            </w:r>
            <w:r>
              <w:rPr>
                <w:rFonts w:hint="default" w:ascii="Times New Roman" w:hAnsi="Times New Roman" w:eastAsia="宋体" w:cs="Times New Roman"/>
                <w:color w:val="auto"/>
                <w:spacing w:val="0"/>
                <w:sz w:val="21"/>
                <w:szCs w:val="21"/>
              </w:rPr>
              <w:t>送水泵房，综合楼、机修仓库、污泥处理间等建构筑物，设计供水量为15万m³/d，净水工艺</w:t>
            </w:r>
            <w:r>
              <w:rPr>
                <w:rFonts w:hint="eastAsia" w:ascii="Times New Roman" w:hAnsi="Times New Roman" w:eastAsia="宋体" w:cs="Times New Roman"/>
                <w:color w:val="auto"/>
                <w:spacing w:val="0"/>
                <w:sz w:val="21"/>
                <w:szCs w:val="21"/>
                <w:lang w:val="en-US" w:eastAsia="zh-CN"/>
              </w:rPr>
              <w:t>为</w:t>
            </w:r>
            <w:r>
              <w:rPr>
                <w:rFonts w:hint="default" w:ascii="Times New Roman" w:hAnsi="Times New Roman" w:eastAsia="宋体" w:cs="Times New Roman"/>
                <w:color w:val="auto"/>
                <w:spacing w:val="0"/>
                <w:sz w:val="21"/>
                <w:szCs w:val="21"/>
              </w:rPr>
              <w:t>稳压配水井→机械搅拌混合池→折板絮凝池→侧向流斜板沉淀池→V型滤池→液氯消毒→清水池→送水泵房→用户</w:t>
            </w:r>
            <w:r>
              <w:rPr>
                <w:rFonts w:hint="default" w:ascii="Times New Roman" w:hAnsi="Times New Roman" w:eastAsia="宋体" w:cs="Times New Roman"/>
                <w:bCs/>
                <w:color w:val="auto"/>
                <w:spacing w:val="0"/>
                <w:kern w:val="0"/>
                <w:sz w:val="21"/>
                <w:szCs w:val="21"/>
                <w:highlight w:val="none"/>
                <w:lang w:val="en-US" w:eastAsia="zh-CN"/>
              </w:rPr>
              <w:t>。</w:t>
            </w:r>
            <w:r>
              <w:rPr>
                <w:rFonts w:hint="default" w:ascii="Times New Roman" w:hAnsi="Times New Roman" w:eastAsia="宋体" w:cs="Times New Roman"/>
                <w:color w:val="auto"/>
                <w:spacing w:val="0"/>
                <w:sz w:val="21"/>
                <w:szCs w:val="21"/>
              </w:rPr>
              <w:t>供水水质符合《</w:t>
            </w:r>
            <w:r>
              <w:rPr>
                <w:rFonts w:hint="default" w:ascii="Times New Roman" w:hAnsi="Times New Roman" w:eastAsia="宋体" w:cs="Times New Roman"/>
                <w:color w:val="auto"/>
                <w:spacing w:val="0"/>
                <w:sz w:val="21"/>
                <w:szCs w:val="21"/>
              </w:rPr>
              <w:t>生活饮用水卫生标准》（GB5749-20</w:t>
            </w:r>
            <w:r>
              <w:rPr>
                <w:rFonts w:hint="eastAsia" w:ascii="Times New Roman" w:hAnsi="Times New Roman" w:cs="Times New Roman"/>
                <w:color w:val="auto"/>
                <w:spacing w:val="0"/>
                <w:sz w:val="21"/>
                <w:szCs w:val="21"/>
                <w:lang w:val="en-US" w:eastAsia="zh-CN"/>
              </w:rPr>
              <w:t>22</w:t>
            </w:r>
            <w:r>
              <w:rPr>
                <w:rFonts w:hint="default" w:ascii="Times New Roman" w:hAnsi="Times New Roman" w:eastAsia="宋体" w:cs="Times New Roman"/>
                <w:color w:val="auto"/>
                <w:spacing w:val="0"/>
                <w:sz w:val="21"/>
                <w:szCs w:val="21"/>
              </w:rPr>
              <w:t>）</w:t>
            </w:r>
            <w:r>
              <w:rPr>
                <w:rFonts w:hint="default" w:ascii="Times New Roman" w:hAnsi="Times New Roman" w:eastAsia="宋体" w:cs="Times New Roman"/>
                <w:color w:val="auto"/>
                <w:spacing w:val="0"/>
                <w:sz w:val="21"/>
                <w:szCs w:val="21"/>
              </w:rPr>
              <w:t>要求</w:t>
            </w:r>
            <w:r>
              <w:rPr>
                <w:rFonts w:hint="default" w:ascii="Times New Roman" w:hAnsi="Times New Roman" w:eastAsia="宋体" w:cs="Times New Roman"/>
                <w:bCs/>
                <w:color w:val="auto"/>
                <w:spacing w:val="0"/>
                <w:kern w:val="0"/>
                <w:sz w:val="21"/>
                <w:szCs w:val="21"/>
                <w:highlight w:val="none"/>
                <w:lang w:val="en-US" w:eastAsia="zh-CN"/>
              </w:rPr>
              <w:t>，</w:t>
            </w:r>
            <w:r>
              <w:rPr>
                <w:rFonts w:hint="default" w:ascii="Times New Roman" w:hAnsi="Times New Roman" w:eastAsia="宋体" w:cs="Times New Roman"/>
                <w:color w:val="auto"/>
                <w:spacing w:val="0"/>
                <w:sz w:val="21"/>
                <w:szCs w:val="21"/>
              </w:rPr>
              <w:t>水厂建成后负责鸡冠低压区、鸡冠部分高压区和鸡冠工业园区、立新矿、恒山区供水。</w:t>
            </w:r>
            <w:r>
              <w:rPr>
                <w:rFonts w:hint="eastAsia" w:ascii="Times New Roman" w:hAnsi="Times New Roman" w:eastAsia="宋体" w:cs="Times New Roman"/>
                <w:color w:val="auto"/>
                <w:spacing w:val="0"/>
                <w:sz w:val="21"/>
                <w:szCs w:val="21"/>
                <w:lang w:val="en-US" w:eastAsia="zh-CN"/>
              </w:rPr>
              <w:t>净水厂</w:t>
            </w:r>
            <w:r>
              <w:rPr>
                <w:rFonts w:hint="default" w:ascii="Times New Roman" w:hAnsi="Times New Roman" w:eastAsia="宋体" w:cs="Times New Roman"/>
                <w:color w:val="auto"/>
                <w:spacing w:val="0"/>
                <w:sz w:val="21"/>
                <w:szCs w:val="21"/>
                <w:lang w:val="en-US" w:eastAsia="zh-CN"/>
              </w:rPr>
              <w:t>污泥处理采用</w:t>
            </w:r>
            <w:r>
              <w:rPr>
                <w:rFonts w:hint="default" w:ascii="Times New Roman" w:hAnsi="Times New Roman" w:eastAsia="宋体" w:cs="Times New Roman"/>
                <w:color w:val="auto"/>
                <w:spacing w:val="0"/>
                <w:sz w:val="21"/>
                <w:szCs w:val="21"/>
              </w:rPr>
              <w:t>“容压一体化污泥深度脱水”处理工艺</w:t>
            </w: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lang w:val="en-US" w:eastAsia="zh-CN"/>
              </w:rPr>
              <w:t>现有工程</w:t>
            </w:r>
            <w:r>
              <w:rPr>
                <w:rFonts w:hint="default" w:ascii="Times New Roman" w:hAnsi="Times New Roman" w:eastAsia="宋体" w:cs="Times New Roman"/>
                <w:color w:val="auto"/>
                <w:spacing w:val="0"/>
                <w:sz w:val="21"/>
                <w:szCs w:val="21"/>
              </w:rPr>
              <w:t>排泥水、滤池</w:t>
            </w:r>
            <w:r>
              <w:rPr>
                <w:rFonts w:hint="default" w:ascii="Times New Roman" w:hAnsi="Times New Roman" w:eastAsia="宋体" w:cs="Times New Roman"/>
                <w:color w:val="auto"/>
                <w:spacing w:val="0"/>
                <w:sz w:val="21"/>
                <w:szCs w:val="21"/>
                <w:lang w:val="en-US" w:eastAsia="zh-CN"/>
              </w:rPr>
              <w:t>反冲洗废水</w:t>
            </w:r>
            <w:r>
              <w:rPr>
                <w:rFonts w:hint="default" w:ascii="Times New Roman" w:hAnsi="Times New Roman" w:eastAsia="宋体" w:cs="Times New Roman"/>
                <w:color w:val="auto"/>
                <w:spacing w:val="0"/>
                <w:sz w:val="21"/>
                <w:szCs w:val="21"/>
              </w:rPr>
              <w:t>进入废水回收池排入配水井重新处理不外排；生活污水经厂区</w:t>
            </w:r>
            <w:r>
              <w:rPr>
                <w:rFonts w:hint="default" w:ascii="Times New Roman" w:hAnsi="Times New Roman" w:eastAsia="宋体" w:cs="Times New Roman"/>
                <w:color w:val="auto"/>
                <w:spacing w:val="0"/>
                <w:sz w:val="21"/>
                <w:szCs w:val="21"/>
              </w:rPr>
              <w:t>化粪池</w:t>
            </w:r>
            <w:r>
              <w:rPr>
                <w:rFonts w:hint="eastAsia" w:ascii="Times New Roman" w:hAnsi="Times New Roman" w:cs="Times New Roman"/>
                <w:color w:val="auto"/>
                <w:spacing w:val="0"/>
                <w:sz w:val="21"/>
                <w:szCs w:val="21"/>
                <w:lang w:val="en-US" w:eastAsia="zh-CN"/>
              </w:rPr>
              <w:t>沉淀</w:t>
            </w:r>
            <w:r>
              <w:rPr>
                <w:rFonts w:hint="default" w:ascii="Times New Roman" w:hAnsi="Times New Roman" w:eastAsia="宋体" w:cs="Times New Roman"/>
                <w:color w:val="auto"/>
                <w:spacing w:val="0"/>
                <w:sz w:val="21"/>
                <w:szCs w:val="21"/>
              </w:rPr>
              <w:t>处理</w:t>
            </w:r>
            <w:r>
              <w:rPr>
                <w:rFonts w:hint="default" w:ascii="Times New Roman" w:hAnsi="Times New Roman" w:eastAsia="宋体" w:cs="Times New Roman"/>
                <w:color w:val="auto"/>
                <w:spacing w:val="0"/>
                <w:sz w:val="21"/>
                <w:szCs w:val="21"/>
              </w:rPr>
              <w:t>后经厂区排水管道进入市政管网，最终排至鸡西市鸡冠区污水处理厂达到《城镇污水处理厂污染物排放标准》</w:t>
            </w:r>
            <w:r>
              <w:rPr>
                <w:rFonts w:hint="eastAsia" w:ascii="Times New Roman" w:hAnsi="Times New Roman" w:cs="Times New Roman"/>
                <w:color w:val="auto"/>
                <w:spacing w:val="0"/>
                <w:sz w:val="21"/>
                <w:szCs w:val="21"/>
                <w:lang w:eastAsia="zh-CN"/>
              </w:rPr>
              <w:t>（</w:t>
            </w:r>
            <w:r>
              <w:rPr>
                <w:rFonts w:hint="default" w:ascii="Times New Roman" w:hAnsi="Times New Roman" w:eastAsia="宋体" w:cs="Times New Roman"/>
                <w:color w:val="auto"/>
                <w:spacing w:val="0"/>
                <w:sz w:val="21"/>
                <w:szCs w:val="21"/>
              </w:rPr>
              <w:t>GB18918-2002</w:t>
            </w:r>
            <w:r>
              <w:rPr>
                <w:rFonts w:hint="eastAsia" w:ascii="Times New Roman" w:hAnsi="Times New Roman" w:cs="Times New Roman"/>
                <w:color w:val="auto"/>
                <w:spacing w:val="0"/>
                <w:sz w:val="21"/>
                <w:szCs w:val="21"/>
                <w:lang w:eastAsia="zh-CN"/>
              </w:rPr>
              <w:t>）</w:t>
            </w:r>
            <w:r>
              <w:rPr>
                <w:rFonts w:hint="default" w:ascii="Times New Roman" w:hAnsi="Times New Roman" w:eastAsia="宋体" w:cs="Times New Roman"/>
                <w:color w:val="auto"/>
                <w:spacing w:val="0"/>
                <w:sz w:val="21"/>
                <w:szCs w:val="21"/>
              </w:rPr>
              <w:t>中一级A标准后</w:t>
            </w:r>
            <w:r>
              <w:rPr>
                <w:rFonts w:hint="default" w:ascii="Times New Roman" w:hAnsi="Times New Roman" w:eastAsia="宋体" w:cs="Times New Roman"/>
                <w:color w:val="auto"/>
                <w:sz w:val="21"/>
                <w:szCs w:val="21"/>
                <w:highlight w:val="none"/>
                <w:lang w:val="en-US" w:eastAsia="zh-CN"/>
              </w:rPr>
              <w:t>排入</w:t>
            </w:r>
            <w:r>
              <w:rPr>
                <w:rFonts w:hint="eastAsia" w:ascii="Times New Roman" w:hAnsi="Times New Roman" w:eastAsia="宋体" w:cs="Times New Roman"/>
                <w:color w:val="auto"/>
                <w:sz w:val="21"/>
                <w:szCs w:val="21"/>
                <w:highlight w:val="none"/>
                <w:lang w:val="en-US" w:eastAsia="zh-CN"/>
              </w:rPr>
              <w:t>红光沟流入</w:t>
            </w:r>
            <w:r>
              <w:rPr>
                <w:rFonts w:hint="default" w:ascii="Times New Roman" w:hAnsi="Times New Roman" w:eastAsia="宋体" w:cs="Times New Roman"/>
                <w:color w:val="auto"/>
                <w:sz w:val="21"/>
                <w:szCs w:val="21"/>
                <w:highlight w:val="none"/>
                <w:lang w:val="en-US" w:eastAsia="zh-CN"/>
              </w:rPr>
              <w:t>穆棱河</w:t>
            </w:r>
            <w:r>
              <w:rPr>
                <w:rFonts w:hint="default" w:ascii="Times New Roman" w:hAnsi="Times New Roman" w:eastAsia="宋体" w:cs="Times New Roman"/>
                <w:color w:val="auto"/>
                <w:spacing w:val="0"/>
                <w:sz w:val="21"/>
                <w:szCs w:val="21"/>
              </w:rPr>
              <w:t>。</w:t>
            </w:r>
          </w:p>
          <w:p w14:paraId="400A1B1D">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bCs/>
                <w:color w:val="auto"/>
                <w:spacing w:val="0"/>
                <w:kern w:val="0"/>
                <w:sz w:val="21"/>
                <w:szCs w:val="21"/>
                <w:highlight w:val="none"/>
                <w:lang w:val="en-US" w:eastAsia="zh-CN"/>
              </w:rPr>
            </w:pPr>
            <w:r>
              <w:rPr>
                <w:rFonts w:hint="default" w:ascii="Times New Roman" w:hAnsi="Times New Roman" w:eastAsia="宋体" w:cs="Times New Roman"/>
                <w:color w:val="auto"/>
                <w:spacing w:val="0"/>
                <w:sz w:val="21"/>
                <w:szCs w:val="21"/>
              </w:rPr>
              <w:t>企业运行至今，反冲洗废水和沉淀池排泥水回收利用后，直接影响净化效果，反冲洗水和沉淀池排泥水中的物质多是絮凝沉淀无法净化的，也就是说常规净化手段无法去除的物质，又重新回到净化系统，虽然在节水方面达到目的了，但由于难净化物质的增多、富集，又会造成投剂量、用电费用的增加，得不偿失。排泥水在处理过程中使用的药剂在水中残留量比较大，回收到稳压配水井后会与聚氯化铝直接反应，降低其净化效果，增加制水成本</w:t>
            </w:r>
            <w:r>
              <w:rPr>
                <w:rFonts w:hint="default" w:ascii="Times New Roman" w:hAnsi="Times New Roman" w:eastAsia="宋体" w:cs="Times New Roman"/>
                <w:bCs/>
                <w:color w:val="auto"/>
                <w:spacing w:val="0"/>
                <w:kern w:val="0"/>
                <w:sz w:val="21"/>
                <w:szCs w:val="21"/>
                <w:highlight w:val="none"/>
                <w:lang w:val="en-US" w:eastAsia="zh-CN"/>
              </w:rPr>
              <w:t>。</w:t>
            </w:r>
            <w:r>
              <w:rPr>
                <w:rFonts w:hint="default" w:ascii="Times New Roman" w:hAnsi="Times New Roman" w:eastAsia="宋体" w:cs="Times New Roman"/>
                <w:bCs/>
                <w:color w:val="auto"/>
                <w:spacing w:val="0"/>
                <w:kern w:val="0"/>
                <w:sz w:val="21"/>
                <w:szCs w:val="21"/>
                <w:highlight w:val="none"/>
                <w:lang w:val="en-US" w:eastAsia="zh-CN"/>
              </w:rPr>
              <w:t>故本项目将</w:t>
            </w:r>
            <w:r>
              <w:rPr>
                <w:rFonts w:hint="default" w:ascii="Times New Roman" w:hAnsi="Times New Roman" w:eastAsia="宋体" w:cs="Times New Roman"/>
                <w:color w:val="auto"/>
                <w:spacing w:val="0"/>
                <w:sz w:val="21"/>
                <w:szCs w:val="21"/>
              </w:rPr>
              <w:t>沉淀池排泥水</w:t>
            </w:r>
            <w:r>
              <w:rPr>
                <w:rFonts w:hint="default" w:ascii="Times New Roman" w:hAnsi="Times New Roman" w:eastAsia="宋体" w:cs="Times New Roman"/>
                <w:color w:val="auto"/>
                <w:spacing w:val="0"/>
                <w:kern w:val="21"/>
                <w:sz w:val="21"/>
                <w:szCs w:val="21"/>
                <w:highlight w:val="none"/>
                <w:lang w:val="en-US" w:eastAsia="zh-CN"/>
              </w:rPr>
              <w:t>经絮凝、沉淀处理后</w:t>
            </w:r>
            <w:r>
              <w:rPr>
                <w:rFonts w:hint="eastAsia" w:ascii="Times New Roman" w:hAnsi="Times New Roman" w:eastAsia="宋体" w:cs="Times New Roman"/>
                <w:color w:val="auto"/>
                <w:spacing w:val="0"/>
                <w:kern w:val="21"/>
                <w:sz w:val="21"/>
                <w:szCs w:val="21"/>
                <w:highlight w:val="none"/>
                <w:lang w:val="en-US" w:eastAsia="zh-CN"/>
              </w:rPr>
              <w:t>，由回收利用改为</w:t>
            </w:r>
            <w:r>
              <w:rPr>
                <w:rFonts w:hint="default" w:ascii="Times New Roman" w:hAnsi="Times New Roman" w:eastAsia="宋体" w:cs="Times New Roman"/>
                <w:color w:val="auto"/>
                <w:sz w:val="21"/>
                <w:szCs w:val="21"/>
                <w:highlight w:val="none"/>
                <w:lang w:val="en-US" w:eastAsia="zh-CN"/>
              </w:rPr>
              <w:t>排入</w:t>
            </w:r>
            <w:r>
              <w:rPr>
                <w:rFonts w:hint="eastAsia" w:ascii="Times New Roman" w:hAnsi="Times New Roman" w:eastAsia="宋体" w:cs="Times New Roman"/>
                <w:color w:val="auto"/>
                <w:sz w:val="21"/>
                <w:szCs w:val="21"/>
                <w:highlight w:val="none"/>
                <w:lang w:val="en-US" w:eastAsia="zh-CN"/>
              </w:rPr>
              <w:t>红光沟流入</w:t>
            </w:r>
            <w:r>
              <w:rPr>
                <w:rFonts w:hint="default" w:ascii="Times New Roman" w:hAnsi="Times New Roman" w:eastAsia="宋体" w:cs="Times New Roman"/>
                <w:color w:val="auto"/>
                <w:sz w:val="21"/>
                <w:szCs w:val="21"/>
                <w:highlight w:val="none"/>
                <w:lang w:val="en-US" w:eastAsia="zh-CN"/>
              </w:rPr>
              <w:t>穆棱河</w:t>
            </w:r>
            <w:r>
              <w:rPr>
                <w:rFonts w:hint="default" w:ascii="Times New Roman" w:hAnsi="Times New Roman" w:eastAsia="宋体" w:cs="Times New Roman"/>
                <w:bCs/>
                <w:color w:val="auto"/>
                <w:spacing w:val="0"/>
                <w:kern w:val="0"/>
                <w:sz w:val="21"/>
                <w:szCs w:val="21"/>
                <w:highlight w:val="none"/>
                <w:lang w:val="en-US" w:eastAsia="zh-CN"/>
              </w:rPr>
              <w:t>。</w:t>
            </w:r>
          </w:p>
          <w:p w14:paraId="08CF83B6">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b/>
                <w:color w:val="auto"/>
                <w:sz w:val="21"/>
                <w:szCs w:val="21"/>
                <w:highlight w:val="none"/>
              </w:rPr>
            </w:pPr>
            <w:r>
              <w:rPr>
                <w:rFonts w:hint="default" w:ascii="Times New Roman" w:hAnsi="Times New Roman" w:eastAsia="宋体" w:cs="Times New Roman"/>
                <w:bCs/>
                <w:color w:val="auto"/>
                <w:spacing w:val="0"/>
                <w:kern w:val="0"/>
                <w:sz w:val="21"/>
                <w:szCs w:val="21"/>
                <w:highlight w:val="none"/>
                <w:lang w:val="en-US" w:eastAsia="zh-CN"/>
              </w:rPr>
              <w:t>本项目将</w:t>
            </w:r>
            <w:r>
              <w:rPr>
                <w:rFonts w:hint="default" w:ascii="Times New Roman" w:hAnsi="Times New Roman" w:eastAsia="宋体" w:cs="Times New Roman"/>
                <w:color w:val="auto"/>
                <w:spacing w:val="0"/>
                <w:sz w:val="21"/>
                <w:szCs w:val="21"/>
              </w:rPr>
              <w:t>沉淀池排泥水</w:t>
            </w:r>
            <w:r>
              <w:rPr>
                <w:rFonts w:hint="default" w:ascii="Times New Roman" w:hAnsi="Times New Roman" w:eastAsia="宋体" w:cs="Times New Roman"/>
                <w:color w:val="auto"/>
                <w:spacing w:val="0"/>
                <w:kern w:val="21"/>
                <w:sz w:val="21"/>
                <w:szCs w:val="21"/>
                <w:highlight w:val="none"/>
                <w:lang w:val="en-US" w:eastAsia="zh-CN"/>
              </w:rPr>
              <w:t>经絮凝、沉淀处理后满足</w:t>
            </w:r>
            <w:r>
              <w:rPr>
                <w:rFonts w:hint="default" w:ascii="Times New Roman" w:hAnsi="Times New Roman" w:eastAsia="宋体" w:cs="Times New Roman"/>
                <w:color w:val="auto"/>
                <w:spacing w:val="0"/>
                <w:sz w:val="21"/>
                <w:szCs w:val="21"/>
                <w:highlight w:val="none"/>
                <w:lang w:val="en-US" w:eastAsia="zh-CN"/>
              </w:rPr>
              <w:t>《地表水环境质量标准》（GB3838-2002）表1中三类标准、悬浮物满足《污水综合排放标准》（GB8978-1996）一级标准</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排入</w:t>
            </w:r>
            <w:r>
              <w:rPr>
                <w:rFonts w:hint="eastAsia" w:ascii="Times New Roman" w:hAnsi="Times New Roman" w:eastAsia="宋体" w:cs="Times New Roman"/>
                <w:color w:val="auto"/>
                <w:sz w:val="21"/>
                <w:szCs w:val="21"/>
                <w:highlight w:val="none"/>
                <w:lang w:val="en-US" w:eastAsia="zh-CN"/>
              </w:rPr>
              <w:t>红光沟流入</w:t>
            </w:r>
            <w:r>
              <w:rPr>
                <w:rFonts w:hint="default" w:ascii="Times New Roman" w:hAnsi="Times New Roman" w:eastAsia="宋体" w:cs="Times New Roman"/>
                <w:color w:val="auto"/>
                <w:sz w:val="21"/>
                <w:szCs w:val="21"/>
                <w:highlight w:val="none"/>
                <w:lang w:val="en-US" w:eastAsia="zh-CN"/>
              </w:rPr>
              <w:t>穆棱河</w:t>
            </w:r>
            <w:r>
              <w:rPr>
                <w:rFonts w:hint="default" w:ascii="Times New Roman" w:hAnsi="Times New Roman" w:eastAsia="宋体" w:cs="Times New Roman"/>
                <w:color w:val="auto"/>
                <w:spacing w:val="0"/>
                <w:sz w:val="21"/>
                <w:szCs w:val="21"/>
                <w:highlight w:val="none"/>
                <w:lang w:val="en-US" w:eastAsia="zh-CN"/>
              </w:rPr>
              <w:t>。</w:t>
            </w:r>
            <w:r>
              <w:rPr>
                <w:rFonts w:hint="eastAsia" w:cs="Times New Roman"/>
                <w:bCs/>
                <w:color w:val="auto"/>
                <w:spacing w:val="0"/>
                <w:kern w:val="0"/>
                <w:sz w:val="21"/>
                <w:szCs w:val="21"/>
                <w:highlight w:val="none"/>
                <w:lang w:val="en-US" w:eastAsia="zh-CN"/>
              </w:rPr>
              <w:t>本项目无新增占地面积，本次改建</w:t>
            </w:r>
            <w:r>
              <w:rPr>
                <w:rFonts w:hint="default" w:ascii="Times New Roman" w:hAnsi="Times New Roman" w:eastAsia="宋体" w:cs="Times New Roman"/>
                <w:color w:val="auto"/>
                <w:spacing w:val="0"/>
                <w:sz w:val="21"/>
                <w:szCs w:val="21"/>
                <w:highlight w:val="none"/>
                <w:lang w:val="en-US" w:eastAsia="zh-CN"/>
              </w:rPr>
              <w:t>建设内容为</w:t>
            </w:r>
            <w:r>
              <w:rPr>
                <w:rFonts w:hint="eastAsia" w:cs="Times New Roman"/>
                <w:color w:val="auto"/>
                <w:spacing w:val="0"/>
                <w:sz w:val="21"/>
                <w:szCs w:val="21"/>
                <w:highlight w:val="none"/>
                <w:lang w:val="en-US" w:eastAsia="zh-CN"/>
              </w:rPr>
              <w:t>利用原有</w:t>
            </w:r>
            <w:r>
              <w:rPr>
                <w:rFonts w:hint="eastAsia" w:cs="Times New Roman"/>
                <w:bCs/>
                <w:color w:val="auto"/>
                <w:spacing w:val="0"/>
                <w:kern w:val="0"/>
                <w:sz w:val="21"/>
                <w:szCs w:val="21"/>
                <w:highlight w:val="none"/>
                <w:lang w:val="en-US" w:eastAsia="zh-CN"/>
              </w:rPr>
              <w:t>1座入河排污口及原有</w:t>
            </w:r>
            <w:r>
              <w:rPr>
                <w:rFonts w:hint="default" w:ascii="Times New Roman" w:hAnsi="Times New Roman" w:eastAsia="宋体" w:cs="Times New Roman"/>
                <w:bCs/>
                <w:color w:val="auto"/>
                <w:spacing w:val="0"/>
                <w:kern w:val="0"/>
                <w:sz w:val="21"/>
                <w:szCs w:val="21"/>
                <w:highlight w:val="none"/>
                <w:lang w:val="en-US" w:eastAsia="zh-CN"/>
              </w:rPr>
              <w:t>排污管线</w:t>
            </w:r>
            <w:r>
              <w:rPr>
                <w:rFonts w:hint="eastAsia" w:cs="Times New Roman"/>
                <w:bCs/>
                <w:color w:val="auto"/>
                <w:spacing w:val="0"/>
                <w:kern w:val="0"/>
                <w:sz w:val="21"/>
                <w:szCs w:val="21"/>
                <w:highlight w:val="none"/>
                <w:lang w:val="en-US" w:eastAsia="zh-CN"/>
              </w:rPr>
              <w:t>，管线</w:t>
            </w:r>
            <w:r>
              <w:rPr>
                <w:rFonts w:hint="default" w:ascii="Times New Roman" w:hAnsi="Times New Roman" w:eastAsia="宋体" w:cs="Times New Roman"/>
                <w:bCs/>
                <w:color w:val="auto"/>
                <w:spacing w:val="0"/>
                <w:kern w:val="0"/>
                <w:sz w:val="21"/>
                <w:szCs w:val="21"/>
              </w:rPr>
              <w:t>长度约为520m</w:t>
            </w:r>
            <w:r>
              <w:rPr>
                <w:rFonts w:hint="default" w:ascii="Times New Roman" w:hAnsi="Times New Roman" w:eastAsia="宋体" w:cs="Times New Roman"/>
                <w:bCs/>
                <w:color w:val="auto"/>
                <w:spacing w:val="0"/>
                <w:kern w:val="0"/>
                <w:sz w:val="21"/>
                <w:szCs w:val="21"/>
                <w:lang w:eastAsia="zh-CN"/>
              </w:rPr>
              <w:t>，</w:t>
            </w:r>
            <w:r>
              <w:rPr>
                <w:rFonts w:hint="default" w:ascii="Times New Roman" w:hAnsi="Times New Roman" w:eastAsia="宋体" w:cs="Times New Roman"/>
                <w:bCs/>
                <w:color w:val="auto"/>
                <w:spacing w:val="0"/>
                <w:kern w:val="0"/>
                <w:sz w:val="21"/>
                <w:szCs w:val="21"/>
              </w:rPr>
              <w:t>污水经管道排入红光沟流入穆棱河。入河排污口位于鸡西市鸡冠区鸡西北方热电厂北侧，地理坐标为：经度为131.015052°，纬度为45.281099°。</w:t>
            </w:r>
            <w:r>
              <w:rPr>
                <w:rFonts w:hint="default" w:ascii="Times New Roman" w:hAnsi="Times New Roman" w:eastAsia="宋体" w:cs="Times New Roman"/>
                <w:color w:val="auto"/>
                <w:spacing w:val="0"/>
                <w:sz w:val="21"/>
                <w:szCs w:val="21"/>
              </w:rPr>
              <w:t>排放方式为</w:t>
            </w:r>
            <w:r>
              <w:rPr>
                <w:rFonts w:hint="eastAsia" w:cs="Times New Roman"/>
                <w:color w:val="auto"/>
                <w:sz w:val="21"/>
                <w:szCs w:val="21"/>
                <w:lang w:val="en-US" w:eastAsia="zh-CN"/>
              </w:rPr>
              <w:t>间歇</w:t>
            </w:r>
            <w:r>
              <w:rPr>
                <w:rFonts w:hint="default" w:ascii="Times New Roman" w:hAnsi="Times New Roman" w:eastAsia="宋体" w:cs="Times New Roman"/>
                <w:color w:val="auto"/>
                <w:spacing w:val="0"/>
                <w:sz w:val="21"/>
                <w:szCs w:val="21"/>
              </w:rPr>
              <w:t>式，排污口排放的废水为排泥水经絮凝、沉淀处理后的上清液。排污口材质为Ⅱ级钢筋混凝土管，管径为DN1500</w:t>
            </w:r>
            <w:r>
              <w:rPr>
                <w:rFonts w:hint="eastAsia" w:cs="Times New Roman"/>
                <w:color w:val="auto"/>
                <w:spacing w:val="0"/>
                <w:sz w:val="21"/>
                <w:szCs w:val="21"/>
                <w:lang w:eastAsia="zh-CN"/>
              </w:rPr>
              <w:t>；</w:t>
            </w:r>
            <w:r>
              <w:rPr>
                <w:rFonts w:hint="eastAsia" w:cs="Times New Roman"/>
                <w:color w:val="auto"/>
                <w:spacing w:val="0"/>
                <w:sz w:val="21"/>
                <w:szCs w:val="21"/>
                <w:lang w:val="en-US" w:eastAsia="zh-CN"/>
              </w:rPr>
              <w:t>污泥脱水间内由于部分设备老化，本次将更换污泥脱水间设备，污泥脱水工艺不变，</w:t>
            </w:r>
            <w:r>
              <w:rPr>
                <w:rFonts w:hint="default" w:ascii="Times New Roman" w:hAnsi="Times New Roman" w:eastAsia="宋体" w:cs="Times New Roman"/>
                <w:b w:val="0"/>
                <w:bCs w:val="0"/>
                <w:color w:val="auto"/>
                <w:spacing w:val="0"/>
                <w:w w:val="100"/>
                <w:sz w:val="21"/>
                <w:szCs w:val="21"/>
                <w:highlight w:val="none"/>
                <w:lang w:val="en-US" w:eastAsia="zh-CN"/>
              </w:rPr>
              <w:t>脱水污泥</w:t>
            </w:r>
            <w:r>
              <w:rPr>
                <w:rFonts w:hint="eastAsia" w:cs="Times New Roman"/>
                <w:b w:val="0"/>
                <w:bCs w:val="0"/>
                <w:color w:val="auto"/>
                <w:spacing w:val="0"/>
                <w:w w:val="100"/>
                <w:sz w:val="21"/>
                <w:szCs w:val="21"/>
                <w:highlight w:val="none"/>
                <w:lang w:val="en-US" w:eastAsia="zh-CN"/>
              </w:rPr>
              <w:t>由</w:t>
            </w:r>
            <w:r>
              <w:rPr>
                <w:rFonts w:hint="default" w:ascii="Times New Roman" w:hAnsi="Times New Roman" w:eastAsia="宋体" w:cs="Times New Roman"/>
                <w:color w:val="auto"/>
                <w:spacing w:val="0"/>
                <w:kern w:val="0"/>
                <w:sz w:val="21"/>
                <w:szCs w:val="21"/>
              </w:rPr>
              <w:t>运至鸡西市垃圾填埋场处理</w:t>
            </w:r>
            <w:r>
              <w:rPr>
                <w:rFonts w:hint="eastAsia" w:ascii="Times New Roman" w:hAnsi="Times New Roman" w:eastAsia="宋体" w:cs="Times New Roman"/>
                <w:color w:val="auto"/>
                <w:spacing w:val="0"/>
                <w:kern w:val="0"/>
                <w:sz w:val="21"/>
                <w:szCs w:val="21"/>
                <w:lang w:val="en-US" w:eastAsia="zh-CN"/>
              </w:rPr>
              <w:t>改为</w:t>
            </w:r>
            <w:r>
              <w:rPr>
                <w:rFonts w:hint="eastAsia" w:cs="Times New Roman"/>
                <w:b w:val="0"/>
                <w:bCs w:val="0"/>
                <w:color w:val="auto"/>
                <w:spacing w:val="0"/>
                <w:w w:val="100"/>
                <w:sz w:val="21"/>
                <w:szCs w:val="21"/>
                <w:highlight w:val="none"/>
                <w:lang w:val="en-US" w:eastAsia="zh-CN"/>
              </w:rPr>
              <w:t>暂存污泥暂存库内，定期</w:t>
            </w:r>
            <w:r>
              <w:rPr>
                <w:rFonts w:hint="eastAsia" w:ascii="宋体" w:hAnsi="宋体" w:cs="宋体"/>
                <w:color w:val="auto"/>
                <w:sz w:val="21"/>
                <w:szCs w:val="21"/>
                <w:highlight w:val="none"/>
                <w:lang w:val="en-US" w:eastAsia="zh-CN"/>
              </w:rPr>
              <w:t>外运委托有资质单位处理</w:t>
            </w:r>
            <w:r>
              <w:rPr>
                <w:rFonts w:hint="eastAsia"/>
                <w:color w:val="auto"/>
                <w:sz w:val="21"/>
                <w:szCs w:val="21"/>
                <w:highlight w:val="none"/>
                <w:lang w:val="en-US" w:eastAsia="zh-CN"/>
              </w:rPr>
              <w:t>。</w:t>
            </w:r>
            <w:r>
              <w:rPr>
                <w:rFonts w:hint="default" w:ascii="Times New Roman" w:hAnsi="Times New Roman" w:eastAsia="宋体" w:cs="Times New Roman"/>
                <w:color w:val="auto"/>
                <w:spacing w:val="0"/>
                <w:kern w:val="0"/>
                <w:sz w:val="21"/>
                <w:szCs w:val="21"/>
                <w:highlight w:val="none"/>
                <w:lang w:val="en-US" w:eastAsia="zh-CN"/>
              </w:rPr>
              <w:t>本项目建成后设计处理量仍为15万m</w:t>
            </w:r>
            <w:r>
              <w:rPr>
                <w:rFonts w:hint="default" w:ascii="Times New Roman" w:hAnsi="Times New Roman" w:eastAsia="宋体" w:cs="Times New Roman"/>
                <w:color w:val="auto"/>
                <w:spacing w:val="0"/>
                <w:kern w:val="0"/>
                <w:sz w:val="21"/>
                <w:szCs w:val="21"/>
                <w:highlight w:val="none"/>
                <w:vertAlign w:val="superscript"/>
                <w:lang w:val="en-US" w:eastAsia="zh-CN"/>
              </w:rPr>
              <w:t>3</w:t>
            </w:r>
            <w:r>
              <w:rPr>
                <w:rFonts w:hint="default" w:ascii="Times New Roman" w:hAnsi="Times New Roman" w:eastAsia="宋体" w:cs="Times New Roman"/>
                <w:color w:val="auto"/>
                <w:spacing w:val="0"/>
                <w:kern w:val="0"/>
                <w:sz w:val="21"/>
                <w:szCs w:val="21"/>
                <w:highlight w:val="none"/>
                <w:lang w:val="en-US" w:eastAsia="zh-CN"/>
              </w:rPr>
              <w:t>/d</w:t>
            </w:r>
            <w:r>
              <w:rPr>
                <w:rFonts w:hint="default" w:ascii="Times New Roman" w:hAnsi="Times New Roman" w:eastAsia="宋体" w:cs="Times New Roman"/>
                <w:bCs/>
                <w:color w:val="auto"/>
                <w:spacing w:val="0"/>
                <w:sz w:val="21"/>
                <w:szCs w:val="21"/>
                <w:highlight w:val="none"/>
              </w:rPr>
              <w:t>。具体工程组成见下表。</w:t>
            </w:r>
          </w:p>
          <w:p w14:paraId="6315BA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b/>
                <w:color w:val="auto"/>
                <w:kern w:val="0"/>
                <w:sz w:val="21"/>
                <w:szCs w:val="21"/>
                <w:highlight w:val="none"/>
              </w:rPr>
            </w:pPr>
            <w:r>
              <w:rPr>
                <w:rFonts w:hint="default"/>
                <w:b/>
                <w:color w:val="auto"/>
                <w:kern w:val="0"/>
                <w:sz w:val="21"/>
                <w:szCs w:val="21"/>
                <w:highlight w:val="none"/>
              </w:rPr>
              <w:t>表2-</w:t>
            </w:r>
            <w:r>
              <w:rPr>
                <w:rFonts w:hint="eastAsia"/>
                <w:b/>
                <w:color w:val="auto"/>
                <w:kern w:val="0"/>
                <w:sz w:val="21"/>
                <w:szCs w:val="21"/>
                <w:highlight w:val="none"/>
                <w:lang w:val="en-US" w:eastAsia="zh-CN"/>
              </w:rPr>
              <w:t>1本</w:t>
            </w:r>
            <w:r>
              <w:rPr>
                <w:rFonts w:hint="default"/>
                <w:b/>
                <w:color w:val="auto"/>
                <w:kern w:val="0"/>
                <w:sz w:val="21"/>
                <w:szCs w:val="21"/>
                <w:highlight w:val="none"/>
              </w:rPr>
              <w:t>项目</w:t>
            </w:r>
            <w:r>
              <w:rPr>
                <w:rFonts w:hint="eastAsia"/>
                <w:b/>
                <w:color w:val="auto"/>
                <w:kern w:val="0"/>
                <w:sz w:val="21"/>
                <w:szCs w:val="21"/>
                <w:highlight w:val="none"/>
                <w:lang w:val="en-US" w:eastAsia="zh-CN"/>
              </w:rPr>
              <w:t>工程组成</w:t>
            </w:r>
            <w:r>
              <w:rPr>
                <w:rFonts w:hint="default"/>
                <w:b/>
                <w:color w:val="auto"/>
                <w:kern w:val="0"/>
                <w:sz w:val="21"/>
                <w:szCs w:val="21"/>
                <w:highlight w:val="none"/>
              </w:rPr>
              <w:t>一览表</w:t>
            </w:r>
          </w:p>
          <w:tbl>
            <w:tblPr>
              <w:tblStyle w:val="35"/>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104"/>
              <w:gridCol w:w="5093"/>
              <w:gridCol w:w="1416"/>
            </w:tblGrid>
            <w:tr w14:paraId="35F8306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8" w:type="pct"/>
                  <w:gridSpan w:val="2"/>
                  <w:tcBorders>
                    <w:tl2br w:val="nil"/>
                    <w:tr2bl w:val="nil"/>
                  </w:tcBorders>
                  <w:vAlign w:val="center"/>
                </w:tcPr>
                <w:p w14:paraId="09EAB4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default" w:ascii="Times New Roman" w:hAnsi="Times New Roman" w:eastAsia="宋体" w:cs="Times New Roman"/>
                      <w:b w:val="0"/>
                      <w:bCs w:val="0"/>
                      <w:color w:val="auto"/>
                      <w:spacing w:val="0"/>
                      <w:w w:val="100"/>
                      <w:sz w:val="18"/>
                      <w:szCs w:val="18"/>
                      <w:highlight w:val="none"/>
                    </w:rPr>
                    <w:t>建设内容</w:t>
                  </w:r>
                </w:p>
              </w:tc>
              <w:tc>
                <w:tcPr>
                  <w:tcW w:w="3084" w:type="pct"/>
                  <w:tcBorders>
                    <w:tl2br w:val="nil"/>
                    <w:tr2bl w:val="nil"/>
                  </w:tcBorders>
                  <w:vAlign w:val="center"/>
                </w:tcPr>
                <w:p w14:paraId="19ED56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default" w:ascii="Times New Roman" w:hAnsi="Times New Roman" w:eastAsia="宋体" w:cs="Times New Roman"/>
                      <w:b w:val="0"/>
                      <w:bCs w:val="0"/>
                      <w:color w:val="auto"/>
                      <w:spacing w:val="0"/>
                      <w:w w:val="100"/>
                      <w:sz w:val="18"/>
                      <w:szCs w:val="18"/>
                      <w:highlight w:val="none"/>
                    </w:rPr>
                    <w:t>建设规模及内容</w:t>
                  </w:r>
                </w:p>
              </w:tc>
              <w:tc>
                <w:tcPr>
                  <w:tcW w:w="857" w:type="pct"/>
                  <w:tcBorders>
                    <w:tl2br w:val="nil"/>
                    <w:tr2bl w:val="nil"/>
                  </w:tcBorders>
                  <w:vAlign w:val="center"/>
                </w:tcPr>
                <w:p w14:paraId="586171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default" w:ascii="Times New Roman" w:hAnsi="Times New Roman" w:eastAsia="宋体" w:cs="Times New Roman"/>
                      <w:b w:val="0"/>
                      <w:bCs w:val="0"/>
                      <w:color w:val="auto"/>
                      <w:spacing w:val="0"/>
                      <w:w w:val="100"/>
                      <w:sz w:val="18"/>
                      <w:szCs w:val="18"/>
                      <w:highlight w:val="none"/>
                    </w:rPr>
                    <w:t>备注</w:t>
                  </w:r>
                </w:p>
              </w:tc>
            </w:tr>
            <w:tr w14:paraId="1BA697A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restart"/>
                  <w:tcBorders>
                    <w:tl2br w:val="nil"/>
                    <w:tr2bl w:val="nil"/>
                  </w:tcBorders>
                  <w:shd w:val="clear" w:color="auto" w:fill="auto"/>
                  <w:vAlign w:val="center"/>
                </w:tcPr>
                <w:p w14:paraId="0EC6ED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lang w:val="en-US" w:eastAsia="zh-CN"/>
                    </w:rPr>
                  </w:pPr>
                  <w:r>
                    <w:rPr>
                      <w:rFonts w:hint="default" w:ascii="Times New Roman" w:hAnsi="Times New Roman" w:eastAsia="宋体" w:cs="Times New Roman"/>
                      <w:b w:val="0"/>
                      <w:bCs w:val="0"/>
                      <w:color w:val="auto"/>
                      <w:spacing w:val="0"/>
                      <w:w w:val="100"/>
                      <w:sz w:val="18"/>
                      <w:szCs w:val="18"/>
                      <w:highlight w:val="none"/>
                      <w:lang w:val="en-US" w:eastAsia="zh-CN"/>
                    </w:rPr>
                    <w:t>主体工程</w:t>
                  </w:r>
                </w:p>
              </w:tc>
              <w:tc>
                <w:tcPr>
                  <w:tcW w:w="668" w:type="pct"/>
                  <w:tcBorders>
                    <w:tl2br w:val="nil"/>
                    <w:tr2bl w:val="nil"/>
                  </w:tcBorders>
                  <w:shd w:val="clear" w:color="auto" w:fill="auto"/>
                  <w:vAlign w:val="center"/>
                </w:tcPr>
                <w:p w14:paraId="31FAFC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w w:val="100"/>
                      <w:sz w:val="18"/>
                      <w:szCs w:val="18"/>
                    </w:rPr>
                  </w:pPr>
                  <w:r>
                    <w:rPr>
                      <w:rFonts w:hint="eastAsia" w:ascii="Times New Roman" w:hAnsi="Times New Roman" w:eastAsia="宋体" w:cs="Times New Roman"/>
                      <w:b w:val="0"/>
                      <w:bCs w:val="0"/>
                      <w:color w:val="auto"/>
                      <w:spacing w:val="0"/>
                      <w:w w:val="100"/>
                      <w:sz w:val="18"/>
                      <w:szCs w:val="18"/>
                      <w:highlight w:val="none"/>
                      <w:lang w:val="en-US" w:eastAsia="zh-CN"/>
                    </w:rPr>
                    <w:t>排泥水排放</w:t>
                  </w:r>
                  <w:r>
                    <w:rPr>
                      <w:rFonts w:hint="default" w:ascii="Times New Roman" w:hAnsi="Times New Roman" w:eastAsia="宋体" w:cs="Times New Roman"/>
                      <w:b w:val="0"/>
                      <w:bCs w:val="0"/>
                      <w:color w:val="auto"/>
                      <w:spacing w:val="0"/>
                      <w:w w:val="100"/>
                      <w:sz w:val="18"/>
                      <w:szCs w:val="18"/>
                      <w:highlight w:val="none"/>
                      <w:lang w:val="en-US" w:eastAsia="zh-CN"/>
                    </w:rPr>
                    <w:t>工程</w:t>
                  </w:r>
                </w:p>
              </w:tc>
              <w:tc>
                <w:tcPr>
                  <w:tcW w:w="3084" w:type="pct"/>
                  <w:tcBorders>
                    <w:tl2br w:val="nil"/>
                    <w:tr2bl w:val="nil"/>
                  </w:tcBorders>
                  <w:shd w:val="clear" w:color="auto" w:fill="auto"/>
                  <w:vAlign w:val="center"/>
                </w:tcPr>
                <w:p w14:paraId="37FB5E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w w:val="100"/>
                      <w:sz w:val="18"/>
                      <w:szCs w:val="18"/>
                    </w:rPr>
                  </w:pPr>
                  <w:r>
                    <w:rPr>
                      <w:rFonts w:hint="default" w:ascii="Times New Roman" w:hAnsi="Times New Roman" w:eastAsia="宋体" w:cs="Times New Roman"/>
                      <w:bCs/>
                      <w:color w:val="auto"/>
                      <w:spacing w:val="0"/>
                      <w:kern w:val="0"/>
                      <w:sz w:val="18"/>
                      <w:szCs w:val="18"/>
                      <w:highlight w:val="none"/>
                      <w:lang w:val="en-US" w:eastAsia="zh-CN"/>
                    </w:rPr>
                    <w:t>本项目将</w:t>
                  </w:r>
                  <w:r>
                    <w:rPr>
                      <w:rFonts w:hint="default" w:ascii="Times New Roman" w:hAnsi="Times New Roman" w:eastAsia="宋体" w:cs="Times New Roman"/>
                      <w:color w:val="auto"/>
                      <w:spacing w:val="0"/>
                      <w:sz w:val="18"/>
                      <w:szCs w:val="18"/>
                    </w:rPr>
                    <w:t>沉淀池排泥水</w:t>
                  </w:r>
                  <w:r>
                    <w:rPr>
                      <w:rFonts w:hint="default" w:ascii="Times New Roman" w:hAnsi="Times New Roman" w:eastAsia="宋体" w:cs="Times New Roman"/>
                      <w:color w:val="auto"/>
                      <w:spacing w:val="0"/>
                      <w:kern w:val="21"/>
                      <w:sz w:val="18"/>
                      <w:szCs w:val="18"/>
                      <w:highlight w:val="none"/>
                      <w:lang w:val="en-US" w:eastAsia="zh-CN"/>
                    </w:rPr>
                    <w:t>经絮凝、沉淀处理后</w:t>
                  </w:r>
                  <w:r>
                    <w:rPr>
                      <w:rFonts w:hint="eastAsia" w:ascii="Times New Roman" w:hAnsi="Times New Roman" w:eastAsia="宋体" w:cs="Times New Roman"/>
                      <w:color w:val="auto"/>
                      <w:spacing w:val="0"/>
                      <w:kern w:val="21"/>
                      <w:sz w:val="18"/>
                      <w:szCs w:val="18"/>
                      <w:highlight w:val="none"/>
                      <w:lang w:val="en-US" w:eastAsia="zh-CN"/>
                    </w:rPr>
                    <w:t>，由回收利用改为</w:t>
                  </w:r>
                  <w:r>
                    <w:rPr>
                      <w:rFonts w:hint="default" w:ascii="Times New Roman" w:hAnsi="Times New Roman" w:eastAsia="宋体" w:cs="Times New Roman"/>
                      <w:color w:val="auto"/>
                      <w:sz w:val="18"/>
                      <w:szCs w:val="18"/>
                      <w:highlight w:val="none"/>
                      <w:lang w:val="en-US" w:eastAsia="zh-CN"/>
                    </w:rPr>
                    <w:t>排入</w:t>
                  </w:r>
                  <w:r>
                    <w:rPr>
                      <w:rFonts w:hint="eastAsia" w:ascii="Times New Roman" w:hAnsi="Times New Roman" w:eastAsia="宋体" w:cs="Times New Roman"/>
                      <w:color w:val="auto"/>
                      <w:sz w:val="18"/>
                      <w:szCs w:val="18"/>
                      <w:highlight w:val="none"/>
                      <w:lang w:val="en-US" w:eastAsia="zh-CN"/>
                    </w:rPr>
                    <w:t>红光沟流入</w:t>
                  </w:r>
                  <w:r>
                    <w:rPr>
                      <w:rFonts w:hint="default" w:ascii="Times New Roman" w:hAnsi="Times New Roman" w:eastAsia="宋体" w:cs="Times New Roman"/>
                      <w:color w:val="auto"/>
                      <w:sz w:val="18"/>
                      <w:szCs w:val="18"/>
                      <w:highlight w:val="none"/>
                      <w:lang w:val="en-US" w:eastAsia="zh-CN"/>
                    </w:rPr>
                    <w:t>穆棱河</w:t>
                  </w:r>
                  <w:r>
                    <w:rPr>
                      <w:rFonts w:hint="default" w:ascii="Times New Roman" w:hAnsi="Times New Roman" w:eastAsia="宋体" w:cs="Times New Roman"/>
                      <w:bCs/>
                      <w:color w:val="auto"/>
                      <w:spacing w:val="0"/>
                      <w:kern w:val="0"/>
                      <w:sz w:val="18"/>
                      <w:szCs w:val="18"/>
                      <w:highlight w:val="none"/>
                      <w:lang w:val="en-US" w:eastAsia="zh-CN"/>
                    </w:rPr>
                    <w:t>。依托原有入河排污口及排水管线，</w:t>
                  </w:r>
                  <w:r>
                    <w:rPr>
                      <w:rFonts w:hint="default" w:ascii="Times New Roman" w:hAnsi="Times New Roman" w:eastAsia="宋体" w:cs="Times New Roman"/>
                      <w:bCs/>
                      <w:color w:val="auto"/>
                      <w:spacing w:val="0"/>
                      <w:kern w:val="0"/>
                      <w:sz w:val="18"/>
                      <w:szCs w:val="18"/>
                    </w:rPr>
                    <w:t>入河排污口位于鸡西市鸡冠区鸡西北方热电厂北侧，地理坐标为：经度为131.015052°，纬度为45.281099°。</w:t>
                  </w:r>
                  <w:r>
                    <w:rPr>
                      <w:rFonts w:hint="default" w:ascii="Times New Roman" w:hAnsi="Times New Roman" w:eastAsia="宋体" w:cs="Times New Roman"/>
                      <w:color w:val="auto"/>
                      <w:spacing w:val="0"/>
                      <w:sz w:val="18"/>
                      <w:szCs w:val="18"/>
                      <w:lang w:val="en-US" w:eastAsia="zh-CN"/>
                    </w:rPr>
                    <w:t>入河方式为暗管进明渠，</w:t>
                  </w:r>
                  <w:r>
                    <w:rPr>
                      <w:rFonts w:hint="default" w:ascii="Times New Roman" w:hAnsi="Times New Roman" w:eastAsia="宋体" w:cs="Times New Roman"/>
                      <w:color w:val="auto"/>
                      <w:sz w:val="18"/>
                      <w:szCs w:val="18"/>
                    </w:rPr>
                    <w:t>污水排放方式为间歇性排放</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color w:val="auto"/>
                      <w:spacing w:val="0"/>
                      <w:sz w:val="18"/>
                      <w:szCs w:val="18"/>
                    </w:rPr>
                    <w:t>排污口材质为Ⅱ级钢筋混凝土管，</w:t>
                  </w:r>
                  <w:r>
                    <w:rPr>
                      <w:rFonts w:hint="default" w:ascii="Times New Roman" w:hAnsi="Times New Roman" w:eastAsia="宋体" w:cs="Times New Roman"/>
                      <w:bCs/>
                      <w:color w:val="auto"/>
                      <w:spacing w:val="0"/>
                      <w:kern w:val="0"/>
                      <w:sz w:val="18"/>
                      <w:szCs w:val="18"/>
                      <w:highlight w:val="none"/>
                      <w:lang w:val="en-US" w:eastAsia="zh-CN"/>
                    </w:rPr>
                    <w:t>排污管线</w:t>
                  </w:r>
                  <w:r>
                    <w:rPr>
                      <w:rFonts w:hint="default" w:ascii="Times New Roman" w:hAnsi="Times New Roman" w:eastAsia="宋体" w:cs="Times New Roman"/>
                      <w:bCs/>
                      <w:color w:val="auto"/>
                      <w:spacing w:val="0"/>
                      <w:kern w:val="0"/>
                      <w:sz w:val="18"/>
                      <w:szCs w:val="18"/>
                    </w:rPr>
                    <w:t>长度约为520m</w:t>
                  </w:r>
                  <w:r>
                    <w:rPr>
                      <w:rFonts w:hint="default" w:ascii="Times New Roman" w:hAnsi="Times New Roman" w:eastAsia="宋体" w:cs="Times New Roman"/>
                      <w:bCs/>
                      <w:color w:val="auto"/>
                      <w:spacing w:val="0"/>
                      <w:kern w:val="0"/>
                      <w:sz w:val="18"/>
                      <w:szCs w:val="18"/>
                      <w:lang w:eastAsia="zh-CN"/>
                    </w:rPr>
                    <w:t>，</w:t>
                  </w:r>
                  <w:r>
                    <w:rPr>
                      <w:rFonts w:hint="default" w:ascii="Times New Roman" w:hAnsi="Times New Roman" w:eastAsia="宋体" w:cs="Times New Roman"/>
                      <w:color w:val="auto"/>
                      <w:spacing w:val="0"/>
                      <w:sz w:val="18"/>
                      <w:szCs w:val="18"/>
                    </w:rPr>
                    <w:t>管径为</w:t>
                  </w:r>
                  <w:r>
                    <w:rPr>
                      <w:rFonts w:hint="default" w:ascii="Times New Roman" w:hAnsi="Times New Roman" w:eastAsia="宋体" w:cs="Times New Roman"/>
                      <w:color w:val="auto"/>
                      <w:spacing w:val="0"/>
                      <w:sz w:val="18"/>
                      <w:szCs w:val="18"/>
                      <w:lang w:val="en-US" w:eastAsia="zh-CN"/>
                    </w:rPr>
                    <w:t>1m</w:t>
                  </w:r>
                  <w:r>
                    <w:rPr>
                      <w:rFonts w:hint="default" w:ascii="Times New Roman" w:hAnsi="Times New Roman" w:eastAsia="宋体" w:cs="Times New Roman"/>
                      <w:color w:val="auto"/>
                      <w:spacing w:val="0"/>
                      <w:sz w:val="18"/>
                      <w:szCs w:val="18"/>
                      <w:lang w:eastAsia="zh-CN"/>
                    </w:rPr>
                    <w:t>。</w:t>
                  </w:r>
                </w:p>
              </w:tc>
              <w:tc>
                <w:tcPr>
                  <w:tcW w:w="857" w:type="pct"/>
                  <w:tcBorders>
                    <w:tl2br w:val="nil"/>
                    <w:tr2bl w:val="nil"/>
                  </w:tcBorders>
                  <w:vAlign w:val="center"/>
                </w:tcPr>
                <w:p w14:paraId="29373F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w w:val="100"/>
                      <w:sz w:val="18"/>
                      <w:szCs w:val="18"/>
                      <w:highlight w:val="none"/>
                      <w:lang w:val="en-US" w:eastAsia="zh-CN"/>
                    </w:rPr>
                  </w:pPr>
                  <w:r>
                    <w:rPr>
                      <w:rFonts w:hint="eastAsia" w:cs="Times New Roman"/>
                      <w:bCs/>
                      <w:color w:val="auto"/>
                      <w:spacing w:val="0"/>
                      <w:kern w:val="0"/>
                      <w:sz w:val="18"/>
                      <w:szCs w:val="18"/>
                      <w:highlight w:val="none"/>
                      <w:lang w:val="en-US" w:eastAsia="zh-CN"/>
                    </w:rPr>
                    <w:t>入河排污口依托，排泥水排放去向改建</w:t>
                  </w:r>
                </w:p>
              </w:tc>
            </w:tr>
            <w:tr w14:paraId="052FBFA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shd w:val="clear" w:color="auto" w:fill="auto"/>
                  <w:vAlign w:val="center"/>
                </w:tcPr>
                <w:p w14:paraId="1B4195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lang w:val="en-US" w:eastAsia="zh-CN"/>
                    </w:rPr>
                  </w:pPr>
                </w:p>
              </w:tc>
              <w:tc>
                <w:tcPr>
                  <w:tcW w:w="668" w:type="pct"/>
                  <w:tcBorders>
                    <w:tl2br w:val="nil"/>
                    <w:tr2bl w:val="nil"/>
                  </w:tcBorders>
                  <w:shd w:val="clear" w:color="auto" w:fill="auto"/>
                  <w:vAlign w:val="center"/>
                </w:tcPr>
                <w:p w14:paraId="54221A8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eastAsia" w:ascii="Times New Roman" w:hAnsi="Times New Roman" w:eastAsia="宋体" w:cs="Times New Roman"/>
                      <w:b w:val="0"/>
                      <w:bCs w:val="0"/>
                      <w:color w:val="auto"/>
                      <w:spacing w:val="0"/>
                      <w:w w:val="100"/>
                      <w:sz w:val="18"/>
                      <w:szCs w:val="18"/>
                      <w:highlight w:val="none"/>
                      <w:lang w:val="en-US" w:eastAsia="zh-CN"/>
                    </w:rPr>
                  </w:pPr>
                  <w:r>
                    <w:rPr>
                      <w:rFonts w:hint="eastAsia" w:ascii="Times New Roman" w:hAnsi="Times New Roman" w:cs="Times New Roman"/>
                      <w:b w:val="0"/>
                      <w:bCs w:val="0"/>
                      <w:color w:val="auto"/>
                      <w:spacing w:val="0"/>
                      <w:w w:val="100"/>
                      <w:sz w:val="18"/>
                      <w:szCs w:val="18"/>
                      <w:lang w:val="en-US" w:eastAsia="zh-CN"/>
                    </w:rPr>
                    <w:t>污泥脱水间</w:t>
                  </w:r>
                </w:p>
              </w:tc>
              <w:tc>
                <w:tcPr>
                  <w:tcW w:w="3084" w:type="pct"/>
                  <w:tcBorders>
                    <w:tl2br w:val="nil"/>
                    <w:tr2bl w:val="nil"/>
                  </w:tcBorders>
                  <w:shd w:val="clear" w:color="auto" w:fill="auto"/>
                  <w:vAlign w:val="center"/>
                </w:tcPr>
                <w:p w14:paraId="5760ECA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kern w:val="0"/>
                      <w:sz w:val="18"/>
                      <w:szCs w:val="18"/>
                      <w:highlight w:val="none"/>
                      <w:lang w:val="en-US" w:eastAsia="zh-CN" w:bidi="ar"/>
                    </w:rPr>
                  </w:pPr>
                  <w:r>
                    <w:rPr>
                      <w:rFonts w:hint="eastAsia" w:ascii="Times New Roman" w:hAnsi="Times New Roman" w:eastAsia="宋体" w:cs="Times New Roman"/>
                      <w:color w:val="auto"/>
                      <w:spacing w:val="3"/>
                      <w:sz w:val="18"/>
                      <w:szCs w:val="18"/>
                      <w:lang w:val="en-US" w:eastAsia="zh-CN"/>
                    </w:rPr>
                    <w:t>污泥脱水间厂房不变，</w:t>
                  </w:r>
                  <w:r>
                    <w:rPr>
                      <w:rFonts w:hint="default" w:ascii="Times New Roman" w:hAnsi="Times New Roman" w:eastAsia="宋体" w:cs="Times New Roman"/>
                      <w:color w:val="auto"/>
                      <w:spacing w:val="3"/>
                      <w:sz w:val="18"/>
                      <w:szCs w:val="18"/>
                      <w:lang w:val="en-US" w:eastAsia="zh-CN"/>
                    </w:rPr>
                    <w:t>由于污泥脱水间部分设备老化，本项目</w:t>
                  </w:r>
                  <w:r>
                    <w:rPr>
                      <w:rFonts w:hint="eastAsia" w:ascii="Times New Roman" w:hAnsi="Times New Roman" w:eastAsia="宋体" w:cs="Times New Roman"/>
                      <w:color w:val="auto"/>
                      <w:spacing w:val="3"/>
                      <w:sz w:val="18"/>
                      <w:szCs w:val="18"/>
                      <w:lang w:val="en-US" w:eastAsia="zh-CN"/>
                    </w:rPr>
                    <w:t>污泥脱水间内仅</w:t>
                  </w:r>
                  <w:r>
                    <w:rPr>
                      <w:rFonts w:hint="default" w:ascii="Times New Roman" w:hAnsi="Times New Roman" w:eastAsia="宋体" w:cs="Times New Roman"/>
                      <w:color w:val="auto"/>
                      <w:spacing w:val="3"/>
                      <w:sz w:val="18"/>
                      <w:szCs w:val="18"/>
                      <w:lang w:val="en-US" w:eastAsia="zh-CN"/>
                    </w:rPr>
                    <w:t>更换污泥脱水设备，污泥处理工艺不变，</w:t>
                  </w:r>
                  <w:r>
                    <w:rPr>
                      <w:rFonts w:hint="default" w:ascii="Times New Roman" w:hAnsi="Times New Roman" w:eastAsia="宋体" w:cs="Times New Roman"/>
                      <w:color w:val="auto"/>
                      <w:spacing w:val="3"/>
                      <w:sz w:val="18"/>
                      <w:szCs w:val="18"/>
                    </w:rPr>
                    <w:t>采用容压一体化污泥深度脱水技术</w:t>
                  </w:r>
                  <w:r>
                    <w:rPr>
                      <w:rFonts w:hint="default" w:ascii="Times New Roman" w:hAnsi="Times New Roman" w:eastAsia="宋体" w:cs="Times New Roman"/>
                      <w:b w:val="0"/>
                      <w:bCs w:val="0"/>
                      <w:color w:val="auto"/>
                      <w:spacing w:val="0"/>
                      <w:w w:val="100"/>
                      <w:sz w:val="18"/>
                      <w:szCs w:val="18"/>
                    </w:rPr>
                    <w:t>。</w:t>
                  </w:r>
                </w:p>
              </w:tc>
              <w:tc>
                <w:tcPr>
                  <w:tcW w:w="857" w:type="pct"/>
                  <w:tcBorders>
                    <w:tl2br w:val="nil"/>
                    <w:tr2bl w:val="nil"/>
                  </w:tcBorders>
                  <w:vAlign w:val="center"/>
                </w:tcPr>
                <w:p w14:paraId="56C3A7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lang w:val="en-US" w:eastAsia="zh-CN"/>
                    </w:rPr>
                  </w:pPr>
                  <w:r>
                    <w:rPr>
                      <w:rFonts w:hint="eastAsia" w:cs="Times New Roman"/>
                      <w:b w:val="0"/>
                      <w:bCs w:val="0"/>
                      <w:color w:val="auto"/>
                      <w:spacing w:val="0"/>
                      <w:w w:val="100"/>
                      <w:sz w:val="18"/>
                      <w:szCs w:val="18"/>
                      <w:highlight w:val="none"/>
                      <w:lang w:val="en-US" w:eastAsia="zh-CN"/>
                    </w:rPr>
                    <w:t>厂房</w:t>
                  </w:r>
                  <w:r>
                    <w:rPr>
                      <w:rFonts w:hint="default" w:ascii="Times New Roman" w:hAnsi="Times New Roman" w:eastAsia="宋体" w:cs="Times New Roman"/>
                      <w:b w:val="0"/>
                      <w:bCs w:val="0"/>
                      <w:color w:val="auto"/>
                      <w:spacing w:val="0"/>
                      <w:w w:val="100"/>
                      <w:sz w:val="18"/>
                      <w:szCs w:val="18"/>
                      <w:highlight w:val="none"/>
                      <w:lang w:val="en-US" w:eastAsia="zh-CN"/>
                    </w:rPr>
                    <w:t>依托</w:t>
                  </w:r>
                </w:p>
                <w:p w14:paraId="1B4EC0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lang w:val="en-US" w:eastAsia="zh-CN"/>
                    </w:rPr>
                  </w:pPr>
                  <w:r>
                    <w:rPr>
                      <w:rFonts w:hint="eastAsia" w:cs="Times New Roman"/>
                      <w:b w:val="0"/>
                      <w:bCs w:val="0"/>
                      <w:color w:val="auto"/>
                      <w:spacing w:val="0"/>
                      <w:w w:val="100"/>
                      <w:sz w:val="18"/>
                      <w:szCs w:val="18"/>
                      <w:highlight w:val="none"/>
                      <w:lang w:val="en-US" w:eastAsia="zh-CN"/>
                    </w:rPr>
                    <w:t>设备更换</w:t>
                  </w:r>
                </w:p>
              </w:tc>
            </w:tr>
            <w:tr w14:paraId="4D9BDD1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restart"/>
                  <w:tcBorders>
                    <w:tl2br w:val="nil"/>
                    <w:tr2bl w:val="nil"/>
                  </w:tcBorders>
                  <w:shd w:val="clear" w:color="auto" w:fill="auto"/>
                  <w:vAlign w:val="center"/>
                </w:tcPr>
                <w:p w14:paraId="1033FA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default" w:ascii="Times New Roman" w:hAnsi="Times New Roman" w:eastAsia="宋体" w:cs="Times New Roman"/>
                      <w:b w:val="0"/>
                      <w:bCs w:val="0"/>
                      <w:color w:val="auto"/>
                      <w:spacing w:val="0"/>
                      <w:w w:val="100"/>
                      <w:sz w:val="18"/>
                      <w:szCs w:val="18"/>
                      <w:highlight w:val="none"/>
                    </w:rPr>
                    <w:t>储运</w:t>
                  </w:r>
                </w:p>
                <w:p w14:paraId="004CE3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default" w:ascii="Times New Roman" w:hAnsi="Times New Roman" w:eastAsia="宋体" w:cs="Times New Roman"/>
                      <w:b w:val="0"/>
                      <w:bCs w:val="0"/>
                      <w:color w:val="auto"/>
                      <w:spacing w:val="0"/>
                      <w:w w:val="100"/>
                      <w:sz w:val="18"/>
                      <w:szCs w:val="18"/>
                      <w:highlight w:val="none"/>
                    </w:rPr>
                    <w:t>工程</w:t>
                  </w:r>
                </w:p>
              </w:tc>
              <w:tc>
                <w:tcPr>
                  <w:tcW w:w="668" w:type="pct"/>
                  <w:tcBorders>
                    <w:tl2br w:val="nil"/>
                    <w:tr2bl w:val="nil"/>
                  </w:tcBorders>
                  <w:shd w:val="clear" w:color="auto" w:fill="auto"/>
                  <w:vAlign w:val="center"/>
                </w:tcPr>
                <w:p w14:paraId="4CDCAE6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eastAsia" w:ascii="Times New Roman" w:hAnsi="Times New Roman" w:cs="Times New Roman"/>
                      <w:b w:val="0"/>
                      <w:bCs w:val="0"/>
                      <w:color w:val="auto"/>
                      <w:spacing w:val="0"/>
                      <w:w w:val="100"/>
                      <w:sz w:val="18"/>
                      <w:szCs w:val="18"/>
                      <w:highlight w:val="none"/>
                      <w:lang w:val="en-US" w:eastAsia="zh-CN"/>
                    </w:rPr>
                    <w:t>污泥暂存库</w:t>
                  </w:r>
                </w:p>
              </w:tc>
              <w:tc>
                <w:tcPr>
                  <w:tcW w:w="3084" w:type="pct"/>
                  <w:tcBorders>
                    <w:tl2br w:val="nil"/>
                    <w:tr2bl w:val="nil"/>
                  </w:tcBorders>
                  <w:shd w:val="clear" w:color="auto" w:fill="auto"/>
                  <w:vAlign w:val="center"/>
                </w:tcPr>
                <w:p w14:paraId="0B8DAFB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lang w:val="en-US" w:eastAsia="zh-CN"/>
                    </w:rPr>
                  </w:pPr>
                  <w:r>
                    <w:rPr>
                      <w:rFonts w:hint="eastAsia" w:ascii="Times New Roman" w:hAnsi="Times New Roman" w:cs="Times New Roman"/>
                      <w:b w:val="0"/>
                      <w:bCs w:val="0"/>
                      <w:color w:val="auto"/>
                      <w:spacing w:val="0"/>
                      <w:w w:val="100"/>
                      <w:sz w:val="18"/>
                      <w:szCs w:val="18"/>
                      <w:lang w:val="en-US" w:eastAsia="zh-CN"/>
                    </w:rPr>
                    <w:t>位于污泥脱水间</w:t>
                  </w:r>
                  <w:r>
                    <w:rPr>
                      <w:rFonts w:hint="eastAsia" w:ascii="Times New Roman" w:hAnsi="Times New Roman" w:cs="Times New Roman"/>
                      <w:b w:val="0"/>
                      <w:bCs w:val="0"/>
                      <w:color w:val="auto"/>
                      <w:spacing w:val="0"/>
                      <w:w w:val="100"/>
                      <w:sz w:val="18"/>
                      <w:szCs w:val="18"/>
                      <w:highlight w:val="none"/>
                      <w:lang w:val="en-US" w:eastAsia="zh-CN"/>
                    </w:rPr>
                    <w:t>内，面积约80m</w:t>
                  </w:r>
                  <w:r>
                    <w:rPr>
                      <w:rFonts w:hint="eastAsia" w:ascii="Times New Roman" w:hAnsi="Times New Roman" w:cs="Times New Roman"/>
                      <w:b w:val="0"/>
                      <w:bCs w:val="0"/>
                      <w:color w:val="auto"/>
                      <w:spacing w:val="0"/>
                      <w:w w:val="100"/>
                      <w:sz w:val="18"/>
                      <w:szCs w:val="18"/>
                      <w:highlight w:val="none"/>
                      <w:vertAlign w:val="superscript"/>
                      <w:lang w:val="en-US" w:eastAsia="zh-CN"/>
                    </w:rPr>
                    <w:t>2</w:t>
                  </w:r>
                  <w:r>
                    <w:rPr>
                      <w:rFonts w:hint="eastAsia" w:ascii="Times New Roman" w:hAnsi="Times New Roman" w:cs="Times New Roman"/>
                      <w:b w:val="0"/>
                      <w:bCs w:val="0"/>
                      <w:color w:val="auto"/>
                      <w:spacing w:val="0"/>
                      <w:w w:val="100"/>
                      <w:sz w:val="18"/>
                      <w:szCs w:val="18"/>
                      <w:highlight w:val="none"/>
                      <w:vertAlign w:val="baseline"/>
                      <w:lang w:val="en-US" w:eastAsia="zh-CN"/>
                    </w:rPr>
                    <w:t>，最大存储量为200t，用于存储脱水后污泥</w:t>
                  </w:r>
                  <w:r>
                    <w:rPr>
                      <w:rFonts w:hint="default" w:ascii="Times New Roman" w:hAnsi="Times New Roman" w:eastAsia="宋体" w:cs="Times New Roman"/>
                      <w:b w:val="0"/>
                      <w:bCs w:val="0"/>
                      <w:color w:val="auto"/>
                      <w:spacing w:val="0"/>
                      <w:w w:val="100"/>
                      <w:sz w:val="18"/>
                      <w:szCs w:val="18"/>
                      <w:highlight w:val="none"/>
                    </w:rPr>
                    <w:t>。</w:t>
                  </w:r>
                </w:p>
              </w:tc>
              <w:tc>
                <w:tcPr>
                  <w:tcW w:w="857" w:type="pct"/>
                  <w:tcBorders>
                    <w:tl2br w:val="nil"/>
                    <w:tr2bl w:val="nil"/>
                  </w:tcBorders>
                  <w:vAlign w:val="center"/>
                </w:tcPr>
                <w:p w14:paraId="42118F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lang w:val="en-US" w:eastAsia="zh-CN"/>
                    </w:rPr>
                  </w:pPr>
                  <w:r>
                    <w:rPr>
                      <w:rFonts w:hint="eastAsia" w:cs="Times New Roman"/>
                      <w:b w:val="0"/>
                      <w:bCs w:val="0"/>
                      <w:color w:val="auto"/>
                      <w:spacing w:val="0"/>
                      <w:w w:val="100"/>
                      <w:sz w:val="18"/>
                      <w:szCs w:val="18"/>
                      <w:highlight w:val="none"/>
                      <w:lang w:val="en-US" w:eastAsia="zh-CN"/>
                    </w:rPr>
                    <w:t>新建</w:t>
                  </w:r>
                </w:p>
              </w:tc>
            </w:tr>
            <w:tr w14:paraId="3C8FEFB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shd w:val="clear" w:color="auto" w:fill="auto"/>
                  <w:vAlign w:val="center"/>
                </w:tcPr>
                <w:p w14:paraId="692543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p>
              </w:tc>
              <w:tc>
                <w:tcPr>
                  <w:tcW w:w="668" w:type="pct"/>
                  <w:tcBorders>
                    <w:tl2br w:val="nil"/>
                    <w:tr2bl w:val="nil"/>
                  </w:tcBorders>
                  <w:shd w:val="clear" w:color="auto" w:fill="auto"/>
                  <w:vAlign w:val="center"/>
                </w:tcPr>
                <w:p w14:paraId="2D555C6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cs="Times New Roman"/>
                      <w:b w:val="0"/>
                      <w:bCs w:val="0"/>
                      <w:color w:val="auto"/>
                      <w:spacing w:val="0"/>
                      <w:w w:val="100"/>
                      <w:sz w:val="18"/>
                      <w:szCs w:val="18"/>
                      <w:highlight w:val="none"/>
                      <w:lang w:val="en-US" w:eastAsia="zh-CN"/>
                    </w:rPr>
                  </w:pPr>
                  <w:r>
                    <w:rPr>
                      <w:rFonts w:hint="eastAsia" w:ascii="Times New Roman" w:hAnsi="Times New Roman" w:cs="Times New Roman"/>
                      <w:b w:val="0"/>
                      <w:bCs w:val="0"/>
                      <w:color w:val="auto"/>
                      <w:spacing w:val="0"/>
                      <w:w w:val="100"/>
                      <w:sz w:val="18"/>
                      <w:szCs w:val="18"/>
                      <w:highlight w:val="none"/>
                      <w:lang w:val="en-US" w:eastAsia="zh-CN"/>
                    </w:rPr>
                    <w:t>加氯加药间</w:t>
                  </w:r>
                </w:p>
              </w:tc>
              <w:tc>
                <w:tcPr>
                  <w:tcW w:w="3084" w:type="pct"/>
                  <w:tcBorders>
                    <w:tl2br w:val="nil"/>
                    <w:tr2bl w:val="nil"/>
                  </w:tcBorders>
                  <w:shd w:val="clear" w:color="auto" w:fill="auto"/>
                  <w:vAlign w:val="center"/>
                </w:tcPr>
                <w:p w14:paraId="6EB0575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lang w:val="en-US" w:eastAsia="zh-CN"/>
                    </w:rPr>
                  </w:pPr>
                  <w:r>
                    <w:rPr>
                      <w:rFonts w:hint="eastAsia" w:ascii="Times New Roman" w:hAnsi="Times New Roman" w:cs="Times New Roman"/>
                      <w:b w:val="0"/>
                      <w:bCs w:val="0"/>
                      <w:color w:val="auto"/>
                      <w:spacing w:val="0"/>
                      <w:w w:val="100"/>
                      <w:sz w:val="18"/>
                      <w:szCs w:val="18"/>
                      <w:lang w:val="en-US" w:eastAsia="zh-CN"/>
                    </w:rPr>
                    <w:t>厂区现有加氯加药间，建筑面积</w:t>
                  </w:r>
                  <w:r>
                    <w:rPr>
                      <w:rFonts w:hint="eastAsia" w:ascii="Times New Roman" w:hAnsi="Times New Roman" w:cs="Times New Roman"/>
                      <w:b w:val="0"/>
                      <w:bCs w:val="0"/>
                      <w:color w:val="auto"/>
                      <w:spacing w:val="0"/>
                      <w:w w:val="100"/>
                      <w:sz w:val="18"/>
                      <w:szCs w:val="18"/>
                      <w:highlight w:val="none"/>
                      <w:lang w:val="en-US" w:eastAsia="zh-CN"/>
                    </w:rPr>
                    <w:t>756m</w:t>
                  </w:r>
                  <w:r>
                    <w:rPr>
                      <w:rFonts w:hint="eastAsia" w:ascii="Times New Roman" w:hAnsi="Times New Roman" w:cs="Times New Roman"/>
                      <w:b w:val="0"/>
                      <w:bCs w:val="0"/>
                      <w:color w:val="auto"/>
                      <w:spacing w:val="0"/>
                      <w:w w:val="100"/>
                      <w:sz w:val="18"/>
                      <w:szCs w:val="18"/>
                      <w:highlight w:val="none"/>
                      <w:vertAlign w:val="superscript"/>
                      <w:lang w:val="en-US" w:eastAsia="zh-CN"/>
                    </w:rPr>
                    <w:t>2</w:t>
                  </w:r>
                  <w:r>
                    <w:rPr>
                      <w:rFonts w:hint="eastAsia" w:ascii="Times New Roman" w:hAnsi="Times New Roman" w:cs="Times New Roman"/>
                      <w:b w:val="0"/>
                      <w:bCs w:val="0"/>
                      <w:color w:val="auto"/>
                      <w:spacing w:val="0"/>
                      <w:w w:val="100"/>
                      <w:sz w:val="18"/>
                      <w:szCs w:val="18"/>
                      <w:highlight w:val="none"/>
                      <w:vertAlign w:val="baseline"/>
                      <w:lang w:val="en-US" w:eastAsia="zh-CN"/>
                    </w:rPr>
                    <w:t>，内存液氯（氯瓶存储，设有安全阀）、</w:t>
                  </w:r>
                  <w:r>
                    <w:rPr>
                      <w:rFonts w:hint="default" w:ascii="Times New Roman" w:hAnsi="Times New Roman" w:cs="Times New Roman"/>
                      <w:color w:val="auto"/>
                      <w:spacing w:val="0"/>
                      <w:sz w:val="18"/>
                      <w:szCs w:val="18"/>
                    </w:rPr>
                    <w:t>38%三氯化铁溶液</w:t>
                  </w:r>
                  <w:r>
                    <w:rPr>
                      <w:rFonts w:hint="eastAsia" w:ascii="Times New Roman" w:hAnsi="Times New Roman" w:cs="Times New Roman"/>
                      <w:color w:val="auto"/>
                      <w:spacing w:val="0"/>
                      <w:sz w:val="18"/>
                      <w:szCs w:val="18"/>
                      <w:lang w:eastAsia="zh-CN"/>
                    </w:rPr>
                    <w:t>（</w:t>
                  </w:r>
                  <w:r>
                    <w:rPr>
                      <w:rFonts w:hint="eastAsia" w:ascii="Times New Roman" w:hAnsi="Times New Roman" w:cs="Times New Roman"/>
                      <w:color w:val="auto"/>
                      <w:spacing w:val="0"/>
                      <w:sz w:val="18"/>
                      <w:szCs w:val="18"/>
                      <w:lang w:val="en-US" w:eastAsia="zh-CN"/>
                    </w:rPr>
                    <w:t>密闭桶装）、硅酸钠（密封桶装）、PAC（密封袋装）、PAM（密封桶装）。所有药剂的最大贮存量为12t/a。</w:t>
                  </w:r>
                </w:p>
              </w:tc>
              <w:tc>
                <w:tcPr>
                  <w:tcW w:w="857" w:type="pct"/>
                  <w:tcBorders>
                    <w:tl2br w:val="nil"/>
                    <w:tr2bl w:val="nil"/>
                  </w:tcBorders>
                  <w:vAlign w:val="center"/>
                </w:tcPr>
                <w:p w14:paraId="7FE6B1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val="0"/>
                      <w:color w:val="auto"/>
                      <w:spacing w:val="0"/>
                      <w:w w:val="100"/>
                      <w:sz w:val="18"/>
                      <w:szCs w:val="18"/>
                      <w:highlight w:val="none"/>
                      <w:lang w:val="en-US" w:eastAsia="zh-CN"/>
                    </w:rPr>
                  </w:pPr>
                  <w:r>
                    <w:rPr>
                      <w:rFonts w:hint="eastAsia" w:cs="Times New Roman"/>
                      <w:b w:val="0"/>
                      <w:bCs w:val="0"/>
                      <w:color w:val="auto"/>
                      <w:spacing w:val="0"/>
                      <w:w w:val="100"/>
                      <w:sz w:val="18"/>
                      <w:szCs w:val="18"/>
                      <w:highlight w:val="none"/>
                      <w:lang w:val="en-US" w:eastAsia="zh-CN"/>
                    </w:rPr>
                    <w:t>依托</w:t>
                  </w:r>
                </w:p>
              </w:tc>
            </w:tr>
            <w:tr w14:paraId="6BA68C8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restart"/>
                  <w:tcBorders>
                    <w:tl2br w:val="nil"/>
                    <w:tr2bl w:val="nil"/>
                  </w:tcBorders>
                  <w:vAlign w:val="center"/>
                </w:tcPr>
                <w:p w14:paraId="1523AC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default" w:ascii="Times New Roman" w:hAnsi="Times New Roman" w:eastAsia="宋体" w:cs="Times New Roman"/>
                      <w:b w:val="0"/>
                      <w:bCs w:val="0"/>
                      <w:color w:val="auto"/>
                      <w:spacing w:val="0"/>
                      <w:w w:val="100"/>
                      <w:sz w:val="18"/>
                      <w:szCs w:val="18"/>
                      <w:highlight w:val="none"/>
                    </w:rPr>
                    <w:t>公用工程</w:t>
                  </w:r>
                </w:p>
              </w:tc>
              <w:tc>
                <w:tcPr>
                  <w:tcW w:w="668" w:type="pct"/>
                  <w:tcBorders>
                    <w:tl2br w:val="nil"/>
                    <w:tr2bl w:val="nil"/>
                  </w:tcBorders>
                  <w:vAlign w:val="center"/>
                </w:tcPr>
                <w:p w14:paraId="66FBF5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default" w:ascii="Times New Roman" w:hAnsi="Times New Roman" w:eastAsia="宋体" w:cs="Times New Roman"/>
                      <w:b w:val="0"/>
                      <w:bCs w:val="0"/>
                      <w:color w:val="auto"/>
                      <w:spacing w:val="0"/>
                      <w:w w:val="100"/>
                      <w:sz w:val="18"/>
                      <w:szCs w:val="18"/>
                      <w:highlight w:val="none"/>
                    </w:rPr>
                    <w:t>供水</w:t>
                  </w:r>
                </w:p>
              </w:tc>
              <w:tc>
                <w:tcPr>
                  <w:tcW w:w="3084" w:type="pct"/>
                  <w:tcBorders>
                    <w:tl2br w:val="nil"/>
                    <w:tr2bl w:val="nil"/>
                  </w:tcBorders>
                  <w:vAlign w:val="center"/>
                </w:tcPr>
                <w:p w14:paraId="143E54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lang w:val="en-US" w:eastAsia="zh-CN"/>
                    </w:rPr>
                  </w:pPr>
                  <w:r>
                    <w:rPr>
                      <w:rFonts w:hint="default" w:ascii="Times New Roman" w:hAnsi="Times New Roman" w:eastAsia="宋体" w:cs="Times New Roman"/>
                      <w:b w:val="0"/>
                      <w:bCs w:val="0"/>
                      <w:color w:val="auto"/>
                      <w:spacing w:val="0"/>
                      <w:w w:val="100"/>
                      <w:sz w:val="18"/>
                      <w:szCs w:val="18"/>
                      <w:highlight w:val="none"/>
                      <w:lang w:val="en-US" w:eastAsia="zh-CN"/>
                    </w:rPr>
                    <w:t>生产、生活用水由厂区供给</w:t>
                  </w:r>
                </w:p>
              </w:tc>
              <w:tc>
                <w:tcPr>
                  <w:tcW w:w="857" w:type="pct"/>
                  <w:tcBorders>
                    <w:tl2br w:val="nil"/>
                    <w:tr2bl w:val="nil"/>
                  </w:tcBorders>
                  <w:vAlign w:val="center"/>
                </w:tcPr>
                <w:p w14:paraId="7E8C9B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default" w:ascii="Times New Roman" w:hAnsi="Times New Roman" w:eastAsia="宋体" w:cs="Times New Roman"/>
                      <w:b w:val="0"/>
                      <w:bCs w:val="0"/>
                      <w:color w:val="auto"/>
                      <w:spacing w:val="0"/>
                      <w:w w:val="100"/>
                      <w:sz w:val="18"/>
                      <w:szCs w:val="18"/>
                      <w:highlight w:val="none"/>
                    </w:rPr>
                    <w:t>依托</w:t>
                  </w:r>
                </w:p>
              </w:tc>
            </w:tr>
            <w:tr w14:paraId="38C2403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1927EE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p>
              </w:tc>
              <w:tc>
                <w:tcPr>
                  <w:tcW w:w="668" w:type="pct"/>
                  <w:vMerge w:val="restart"/>
                  <w:tcBorders>
                    <w:tl2br w:val="nil"/>
                    <w:tr2bl w:val="nil"/>
                  </w:tcBorders>
                  <w:vAlign w:val="center"/>
                </w:tcPr>
                <w:p w14:paraId="0DBE95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default" w:ascii="Times New Roman" w:hAnsi="Times New Roman" w:eastAsia="宋体" w:cs="Times New Roman"/>
                      <w:b w:val="0"/>
                      <w:bCs w:val="0"/>
                      <w:color w:val="auto"/>
                      <w:spacing w:val="0"/>
                      <w:w w:val="100"/>
                      <w:sz w:val="18"/>
                      <w:szCs w:val="18"/>
                      <w:highlight w:val="none"/>
                    </w:rPr>
                    <w:t>排水</w:t>
                  </w:r>
                </w:p>
              </w:tc>
              <w:tc>
                <w:tcPr>
                  <w:tcW w:w="3084" w:type="pct"/>
                  <w:tcBorders>
                    <w:tl2br w:val="nil"/>
                    <w:tr2bl w:val="nil"/>
                  </w:tcBorders>
                  <w:vAlign w:val="center"/>
                </w:tcPr>
                <w:p w14:paraId="1ACFA9C8">
                  <w:pPr>
                    <w:pStyle w:val="15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kern w:val="0"/>
                      <w:sz w:val="18"/>
                      <w:szCs w:val="18"/>
                      <w:highlight w:val="none"/>
                      <w:lang w:val="en-US" w:eastAsia="zh-CN"/>
                    </w:rPr>
                  </w:pPr>
                  <w:r>
                    <w:rPr>
                      <w:rFonts w:hint="eastAsia" w:ascii="Times New Roman" w:hAnsi="Times New Roman" w:cs="Times New Roman"/>
                      <w:color w:val="auto"/>
                      <w:spacing w:val="0"/>
                      <w:sz w:val="18"/>
                      <w:szCs w:val="18"/>
                      <w:lang w:val="en-US" w:eastAsia="zh-CN"/>
                    </w:rPr>
                    <w:t>净水厂现有</w:t>
                  </w:r>
                  <w:r>
                    <w:rPr>
                      <w:rFonts w:hint="default" w:ascii="Times New Roman" w:hAnsi="Times New Roman" w:cs="Times New Roman"/>
                      <w:color w:val="auto"/>
                      <w:spacing w:val="0"/>
                      <w:sz w:val="18"/>
                      <w:szCs w:val="18"/>
                    </w:rPr>
                    <w:t>生活污水经厂区</w:t>
                  </w:r>
                  <w:r>
                    <w:rPr>
                      <w:rFonts w:hint="default" w:ascii="Times New Roman" w:hAnsi="Times New Roman" w:eastAsia="宋体" w:cs="Times New Roman"/>
                      <w:color w:val="auto"/>
                      <w:spacing w:val="0"/>
                      <w:sz w:val="18"/>
                      <w:szCs w:val="18"/>
                    </w:rPr>
                    <w:t>化粪池</w:t>
                  </w:r>
                  <w:r>
                    <w:rPr>
                      <w:rFonts w:hint="eastAsia" w:ascii="Times New Roman" w:hAnsi="Times New Roman" w:cs="Times New Roman"/>
                      <w:color w:val="auto"/>
                      <w:spacing w:val="0"/>
                      <w:sz w:val="18"/>
                      <w:szCs w:val="18"/>
                      <w:lang w:val="en-US" w:eastAsia="zh-CN"/>
                    </w:rPr>
                    <w:t>沉淀</w:t>
                  </w:r>
                  <w:r>
                    <w:rPr>
                      <w:rFonts w:hint="default" w:ascii="Times New Roman" w:hAnsi="Times New Roman" w:eastAsia="宋体" w:cs="Times New Roman"/>
                      <w:color w:val="auto"/>
                      <w:spacing w:val="0"/>
                      <w:sz w:val="18"/>
                      <w:szCs w:val="18"/>
                    </w:rPr>
                    <w:t>处理</w:t>
                  </w:r>
                  <w:r>
                    <w:rPr>
                      <w:rFonts w:hint="default" w:ascii="Times New Roman" w:hAnsi="Times New Roman" w:cs="Times New Roman"/>
                      <w:color w:val="auto"/>
                      <w:spacing w:val="0"/>
                      <w:sz w:val="18"/>
                      <w:szCs w:val="18"/>
                    </w:rPr>
                    <w:t>后进入市政管网，最终排至</w:t>
                  </w:r>
                  <w:r>
                    <w:rPr>
                      <w:rFonts w:hint="eastAsia" w:ascii="Times New Roman" w:hAnsi="Times New Roman" w:cs="Times New Roman"/>
                      <w:color w:val="auto"/>
                      <w:spacing w:val="0"/>
                      <w:sz w:val="18"/>
                      <w:szCs w:val="18"/>
                      <w:lang w:eastAsia="zh-CN"/>
                    </w:rPr>
                    <w:t>鸡西市鸡冠区</w:t>
                  </w:r>
                  <w:r>
                    <w:rPr>
                      <w:rFonts w:hint="default" w:ascii="Times New Roman" w:hAnsi="Times New Roman" w:cs="Times New Roman"/>
                      <w:color w:val="auto"/>
                      <w:spacing w:val="0"/>
                      <w:sz w:val="18"/>
                      <w:szCs w:val="18"/>
                    </w:rPr>
                    <w:t>污水处理厂达到《城镇污水处理厂污染物排放标准》</w:t>
                  </w:r>
                  <w:r>
                    <w:rPr>
                      <w:rFonts w:hint="eastAsia" w:ascii="Times New Roman" w:hAnsi="Times New Roman" w:cs="Times New Roman"/>
                      <w:color w:val="auto"/>
                      <w:spacing w:val="0"/>
                      <w:sz w:val="18"/>
                      <w:szCs w:val="18"/>
                      <w:lang w:eastAsia="zh-CN"/>
                    </w:rPr>
                    <w:t>（</w:t>
                  </w:r>
                  <w:r>
                    <w:rPr>
                      <w:rFonts w:hint="default" w:ascii="Times New Roman" w:hAnsi="Times New Roman" w:cs="Times New Roman"/>
                      <w:color w:val="auto"/>
                      <w:spacing w:val="0"/>
                      <w:sz w:val="18"/>
                      <w:szCs w:val="18"/>
                    </w:rPr>
                    <w:t>GB18918-2002</w:t>
                  </w:r>
                  <w:r>
                    <w:rPr>
                      <w:rFonts w:hint="eastAsia" w:ascii="Times New Roman" w:hAnsi="Times New Roman" w:cs="Times New Roman"/>
                      <w:color w:val="auto"/>
                      <w:spacing w:val="0"/>
                      <w:sz w:val="18"/>
                      <w:szCs w:val="18"/>
                      <w:lang w:eastAsia="zh-CN"/>
                    </w:rPr>
                    <w:t>）</w:t>
                  </w:r>
                  <w:r>
                    <w:rPr>
                      <w:rFonts w:hint="default" w:ascii="Times New Roman" w:hAnsi="Times New Roman" w:cs="Times New Roman"/>
                      <w:color w:val="auto"/>
                      <w:spacing w:val="0"/>
                      <w:sz w:val="18"/>
                      <w:szCs w:val="18"/>
                    </w:rPr>
                    <w:t>中一级A标准后排入穆棱河。</w:t>
                  </w:r>
                  <w:r>
                    <w:rPr>
                      <w:rFonts w:hint="eastAsia" w:ascii="Times New Roman" w:hAnsi="Times New Roman" w:cs="Times New Roman"/>
                      <w:bCs/>
                      <w:color w:val="auto"/>
                      <w:spacing w:val="0"/>
                      <w:kern w:val="0"/>
                      <w:sz w:val="18"/>
                      <w:szCs w:val="18"/>
                      <w:highlight w:val="none"/>
                      <w:lang w:val="en-US" w:eastAsia="zh-CN"/>
                    </w:rPr>
                    <w:t>本项目不新增生活污水。</w:t>
                  </w:r>
                </w:p>
              </w:tc>
              <w:tc>
                <w:tcPr>
                  <w:tcW w:w="857" w:type="pct"/>
                  <w:tcBorders>
                    <w:tl2br w:val="nil"/>
                    <w:tr2bl w:val="nil"/>
                  </w:tcBorders>
                  <w:vAlign w:val="center"/>
                </w:tcPr>
                <w:p w14:paraId="44C813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lang w:eastAsia="zh-CN"/>
                    </w:rPr>
                  </w:pPr>
                  <w:r>
                    <w:rPr>
                      <w:rFonts w:hint="default" w:ascii="Times New Roman" w:hAnsi="Times New Roman" w:eastAsia="宋体" w:cs="Times New Roman"/>
                      <w:b w:val="0"/>
                      <w:bCs w:val="0"/>
                      <w:color w:val="auto"/>
                      <w:spacing w:val="0"/>
                      <w:w w:val="100"/>
                      <w:sz w:val="18"/>
                      <w:szCs w:val="18"/>
                      <w:highlight w:val="none"/>
                    </w:rPr>
                    <w:t>依托</w:t>
                  </w:r>
                </w:p>
              </w:tc>
            </w:tr>
            <w:tr w14:paraId="237313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2FC4B3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p>
              </w:tc>
              <w:tc>
                <w:tcPr>
                  <w:tcW w:w="668" w:type="pct"/>
                  <w:vMerge w:val="continue"/>
                  <w:tcBorders>
                    <w:tl2br w:val="nil"/>
                    <w:tr2bl w:val="nil"/>
                  </w:tcBorders>
                  <w:vAlign w:val="center"/>
                </w:tcPr>
                <w:p w14:paraId="73D71F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p>
              </w:tc>
              <w:tc>
                <w:tcPr>
                  <w:tcW w:w="3084" w:type="pct"/>
                  <w:tcBorders>
                    <w:tl2br w:val="nil"/>
                    <w:tr2bl w:val="nil"/>
                  </w:tcBorders>
                  <w:vAlign w:val="center"/>
                </w:tcPr>
                <w:p w14:paraId="4635C84D">
                  <w:pPr>
                    <w:pStyle w:val="15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pacing w:val="0"/>
                      <w:sz w:val="18"/>
                      <w:szCs w:val="18"/>
                      <w:lang w:val="en-US" w:eastAsia="zh-CN"/>
                    </w:rPr>
                  </w:pPr>
                  <w:r>
                    <w:rPr>
                      <w:rFonts w:hint="default" w:ascii="Times New Roman" w:hAnsi="Times New Roman" w:eastAsia="宋体" w:cs="Times New Roman"/>
                      <w:bCs/>
                      <w:color w:val="auto"/>
                      <w:spacing w:val="0"/>
                      <w:kern w:val="0"/>
                      <w:sz w:val="18"/>
                      <w:szCs w:val="18"/>
                      <w:highlight w:val="none"/>
                      <w:lang w:val="en-US" w:eastAsia="zh-CN"/>
                    </w:rPr>
                    <w:t>反冲洗废水</w:t>
                  </w:r>
                  <w:r>
                    <w:rPr>
                      <w:rFonts w:hint="eastAsia" w:cs="Times New Roman"/>
                      <w:color w:val="auto"/>
                      <w:sz w:val="18"/>
                      <w:szCs w:val="18"/>
                      <w:highlight w:val="none"/>
                      <w:lang w:eastAsia="zh-CN"/>
                    </w:rPr>
                    <w:t>回收</w:t>
                  </w:r>
                  <w:r>
                    <w:rPr>
                      <w:rFonts w:hint="eastAsia" w:cs="Times New Roman"/>
                      <w:color w:val="auto"/>
                      <w:sz w:val="18"/>
                      <w:szCs w:val="18"/>
                      <w:highlight w:val="none"/>
                      <w:lang w:val="en-US" w:eastAsia="zh-CN"/>
                    </w:rPr>
                    <w:t>排入</w:t>
                  </w:r>
                  <w:r>
                    <w:rPr>
                      <w:rFonts w:hint="eastAsia" w:cs="Times New Roman"/>
                      <w:color w:val="auto"/>
                      <w:sz w:val="18"/>
                      <w:szCs w:val="18"/>
                      <w:highlight w:val="none"/>
                      <w:lang w:eastAsia="zh-CN"/>
                    </w:rPr>
                    <w:t>配水</w:t>
                  </w:r>
                  <w:r>
                    <w:rPr>
                      <w:rFonts w:hint="eastAsia" w:cs="Times New Roman"/>
                      <w:color w:val="auto"/>
                      <w:sz w:val="18"/>
                      <w:szCs w:val="18"/>
                      <w:highlight w:val="none"/>
                      <w:lang w:val="en-US" w:eastAsia="zh-CN"/>
                    </w:rPr>
                    <w:t>井</w:t>
                  </w:r>
                  <w:r>
                    <w:rPr>
                      <w:rFonts w:hint="eastAsia" w:cs="Times New Roman"/>
                      <w:color w:val="auto"/>
                      <w:sz w:val="18"/>
                      <w:szCs w:val="18"/>
                      <w:highlight w:val="none"/>
                      <w:lang w:eastAsia="zh-CN"/>
                    </w:rPr>
                    <w:t>与原水混合回用，不外排</w:t>
                  </w:r>
                </w:p>
              </w:tc>
              <w:tc>
                <w:tcPr>
                  <w:tcW w:w="857" w:type="pct"/>
                  <w:tcBorders>
                    <w:tl2br w:val="nil"/>
                    <w:tr2bl w:val="nil"/>
                  </w:tcBorders>
                  <w:vAlign w:val="center"/>
                </w:tcPr>
                <w:p w14:paraId="139D3F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 w:val="0"/>
                      <w:bCs w:val="0"/>
                      <w:color w:val="auto"/>
                      <w:spacing w:val="0"/>
                      <w:w w:val="100"/>
                      <w:sz w:val="18"/>
                      <w:szCs w:val="18"/>
                      <w:highlight w:val="none"/>
                      <w:lang w:val="en-US" w:eastAsia="zh-CN"/>
                    </w:rPr>
                  </w:pPr>
                  <w:r>
                    <w:rPr>
                      <w:rFonts w:hint="eastAsia" w:cs="Times New Roman"/>
                      <w:b w:val="0"/>
                      <w:bCs w:val="0"/>
                      <w:color w:val="auto"/>
                      <w:spacing w:val="0"/>
                      <w:w w:val="100"/>
                      <w:sz w:val="18"/>
                      <w:szCs w:val="18"/>
                      <w:highlight w:val="none"/>
                      <w:lang w:val="en-US" w:eastAsia="zh-CN"/>
                    </w:rPr>
                    <w:t>依托</w:t>
                  </w:r>
                </w:p>
              </w:tc>
            </w:tr>
            <w:tr w14:paraId="5206146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76FFDB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pacing w:val="0"/>
                      <w:sz w:val="18"/>
                      <w:szCs w:val="18"/>
                    </w:rPr>
                  </w:pPr>
                </w:p>
              </w:tc>
              <w:tc>
                <w:tcPr>
                  <w:tcW w:w="668" w:type="pct"/>
                  <w:vMerge w:val="continue"/>
                  <w:tcBorders>
                    <w:tl2br w:val="nil"/>
                    <w:tr2bl w:val="nil"/>
                  </w:tcBorders>
                  <w:vAlign w:val="center"/>
                </w:tcPr>
                <w:p w14:paraId="236619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pacing w:val="0"/>
                      <w:sz w:val="18"/>
                      <w:szCs w:val="18"/>
                    </w:rPr>
                  </w:pPr>
                </w:p>
              </w:tc>
              <w:tc>
                <w:tcPr>
                  <w:tcW w:w="3084" w:type="pct"/>
                  <w:tcBorders>
                    <w:tl2br w:val="nil"/>
                    <w:tr2bl w:val="nil"/>
                  </w:tcBorders>
                  <w:vAlign w:val="center"/>
                </w:tcPr>
                <w:p w14:paraId="55CC58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kern w:val="0"/>
                      <w:sz w:val="18"/>
                      <w:szCs w:val="18"/>
                      <w:highlight w:val="none"/>
                      <w:lang w:val="en-US" w:eastAsia="zh-CN"/>
                    </w:rPr>
                  </w:pPr>
                  <w:r>
                    <w:rPr>
                      <w:rFonts w:hint="default" w:ascii="Times New Roman" w:hAnsi="Times New Roman" w:eastAsia="宋体" w:cs="Times New Roman"/>
                      <w:color w:val="auto"/>
                      <w:spacing w:val="0"/>
                      <w:sz w:val="18"/>
                      <w:szCs w:val="18"/>
                    </w:rPr>
                    <w:t>沉淀池排泥水</w:t>
                  </w:r>
                  <w:r>
                    <w:rPr>
                      <w:rFonts w:hint="default" w:ascii="Times New Roman" w:hAnsi="Times New Roman" w:eastAsia="宋体" w:cs="Times New Roman"/>
                      <w:color w:val="auto"/>
                      <w:spacing w:val="0"/>
                      <w:kern w:val="21"/>
                      <w:sz w:val="18"/>
                      <w:szCs w:val="18"/>
                      <w:highlight w:val="none"/>
                      <w:lang w:val="en-US" w:eastAsia="zh-CN"/>
                    </w:rPr>
                    <w:t>经絮凝、沉淀处理后满足</w:t>
                  </w:r>
                  <w:r>
                    <w:rPr>
                      <w:rFonts w:hint="default" w:ascii="Times New Roman" w:hAnsi="Times New Roman" w:eastAsia="宋体" w:cs="Times New Roman"/>
                      <w:color w:val="auto"/>
                      <w:spacing w:val="0"/>
                      <w:sz w:val="18"/>
                      <w:szCs w:val="18"/>
                      <w:highlight w:val="none"/>
                      <w:lang w:val="en-US" w:eastAsia="zh-CN"/>
                    </w:rPr>
                    <w:t>《地表水环境质量标准》（GB3838-2002）表1中三类标准、悬浮物满足《污水综合排放标准》（GB8978-1996）一级标准</w:t>
                  </w:r>
                  <w:r>
                    <w:rPr>
                      <w:rFonts w:hint="default" w:ascii="Times New Roman" w:hAnsi="Times New Roman" w:eastAsia="宋体" w:cs="Times New Roman"/>
                      <w:color w:val="auto"/>
                      <w:spacing w:val="0"/>
                      <w:sz w:val="18"/>
                      <w:szCs w:val="18"/>
                      <w:highlight w:val="none"/>
                      <w:lang w:eastAsia="zh-CN"/>
                    </w:rPr>
                    <w:t>，</w:t>
                  </w:r>
                  <w:r>
                    <w:rPr>
                      <w:rFonts w:hint="default" w:ascii="Times New Roman" w:hAnsi="Times New Roman" w:eastAsia="宋体" w:cs="Times New Roman"/>
                      <w:color w:val="auto"/>
                      <w:sz w:val="18"/>
                      <w:szCs w:val="18"/>
                      <w:highlight w:val="none"/>
                      <w:lang w:val="en-US" w:eastAsia="zh-CN"/>
                    </w:rPr>
                    <w:t>排入</w:t>
                  </w:r>
                  <w:r>
                    <w:rPr>
                      <w:rFonts w:hint="eastAsia" w:ascii="Times New Roman" w:hAnsi="Times New Roman" w:eastAsia="宋体" w:cs="Times New Roman"/>
                      <w:color w:val="auto"/>
                      <w:sz w:val="18"/>
                      <w:szCs w:val="18"/>
                      <w:highlight w:val="none"/>
                      <w:lang w:val="en-US" w:eastAsia="zh-CN"/>
                    </w:rPr>
                    <w:t>红光沟流入</w:t>
                  </w:r>
                  <w:r>
                    <w:rPr>
                      <w:rFonts w:hint="default" w:ascii="Times New Roman" w:hAnsi="Times New Roman" w:eastAsia="宋体" w:cs="Times New Roman"/>
                      <w:color w:val="auto"/>
                      <w:sz w:val="18"/>
                      <w:szCs w:val="18"/>
                      <w:highlight w:val="none"/>
                      <w:lang w:val="en-US" w:eastAsia="zh-CN"/>
                    </w:rPr>
                    <w:t>穆棱河</w:t>
                  </w:r>
                  <w:r>
                    <w:rPr>
                      <w:rFonts w:hint="default" w:ascii="Times New Roman" w:hAnsi="Times New Roman" w:eastAsia="宋体" w:cs="Times New Roman"/>
                      <w:color w:val="auto"/>
                      <w:spacing w:val="0"/>
                      <w:sz w:val="18"/>
                      <w:szCs w:val="18"/>
                      <w:highlight w:val="none"/>
                      <w:lang w:val="en-US" w:eastAsia="zh-CN"/>
                    </w:rPr>
                    <w:t>。</w:t>
                  </w:r>
                </w:p>
              </w:tc>
              <w:tc>
                <w:tcPr>
                  <w:tcW w:w="857" w:type="pct"/>
                  <w:tcBorders>
                    <w:tl2br w:val="nil"/>
                    <w:tr2bl w:val="nil"/>
                  </w:tcBorders>
                  <w:vAlign w:val="center"/>
                </w:tcPr>
                <w:p w14:paraId="479C9B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kern w:val="0"/>
                      <w:sz w:val="18"/>
                      <w:szCs w:val="18"/>
                      <w:highlight w:val="none"/>
                      <w:lang w:val="en-US" w:eastAsia="zh-CN"/>
                    </w:rPr>
                  </w:pPr>
                  <w:r>
                    <w:rPr>
                      <w:rFonts w:hint="default" w:ascii="Times New Roman" w:hAnsi="Times New Roman" w:eastAsia="宋体" w:cs="Times New Roman"/>
                      <w:b w:val="0"/>
                      <w:bCs w:val="0"/>
                      <w:color w:val="auto"/>
                      <w:spacing w:val="0"/>
                      <w:w w:val="100"/>
                      <w:kern w:val="0"/>
                      <w:sz w:val="18"/>
                      <w:szCs w:val="18"/>
                      <w:highlight w:val="none"/>
                      <w:lang w:val="en-US" w:eastAsia="zh-CN"/>
                    </w:rPr>
                    <w:t>改建</w:t>
                  </w:r>
                </w:p>
              </w:tc>
            </w:tr>
            <w:tr w14:paraId="1251ACA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0FBED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p>
              </w:tc>
              <w:tc>
                <w:tcPr>
                  <w:tcW w:w="668" w:type="pct"/>
                  <w:tcBorders>
                    <w:tl2br w:val="nil"/>
                    <w:tr2bl w:val="nil"/>
                  </w:tcBorders>
                  <w:vAlign w:val="center"/>
                </w:tcPr>
                <w:p w14:paraId="49F7A7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default" w:ascii="Times New Roman" w:hAnsi="Times New Roman" w:eastAsia="宋体" w:cs="Times New Roman"/>
                      <w:b w:val="0"/>
                      <w:bCs w:val="0"/>
                      <w:color w:val="auto"/>
                      <w:spacing w:val="0"/>
                      <w:w w:val="100"/>
                      <w:sz w:val="18"/>
                      <w:szCs w:val="18"/>
                      <w:highlight w:val="none"/>
                    </w:rPr>
                    <w:t>供热/暖</w:t>
                  </w:r>
                </w:p>
              </w:tc>
              <w:tc>
                <w:tcPr>
                  <w:tcW w:w="3084" w:type="pct"/>
                  <w:tcBorders>
                    <w:tl2br w:val="nil"/>
                    <w:tr2bl w:val="nil"/>
                  </w:tcBorders>
                  <w:vAlign w:val="center"/>
                </w:tcPr>
                <w:p w14:paraId="3081BF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lang w:val="en-US" w:eastAsia="zh-CN"/>
                    </w:rPr>
                  </w:pPr>
                  <w:r>
                    <w:rPr>
                      <w:rFonts w:hint="default" w:ascii="Times New Roman" w:hAnsi="Times New Roman" w:eastAsia="宋体" w:cs="Times New Roman"/>
                      <w:b w:val="0"/>
                      <w:bCs w:val="0"/>
                      <w:color w:val="auto"/>
                      <w:spacing w:val="0"/>
                      <w:w w:val="100"/>
                      <w:sz w:val="18"/>
                      <w:szCs w:val="18"/>
                    </w:rPr>
                    <w:t>本工程取暖为电采暖</w:t>
                  </w:r>
                </w:p>
              </w:tc>
              <w:tc>
                <w:tcPr>
                  <w:tcW w:w="857" w:type="pct"/>
                  <w:tcBorders>
                    <w:tl2br w:val="nil"/>
                    <w:tr2bl w:val="nil"/>
                  </w:tcBorders>
                  <w:vAlign w:val="center"/>
                </w:tcPr>
                <w:p w14:paraId="797C1B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lang w:val="en-US" w:eastAsia="zh-CN"/>
                    </w:rPr>
                  </w:pPr>
                  <w:r>
                    <w:rPr>
                      <w:rFonts w:hint="default" w:ascii="Times New Roman" w:hAnsi="Times New Roman" w:eastAsia="宋体" w:cs="Times New Roman"/>
                      <w:b w:val="0"/>
                      <w:bCs w:val="0"/>
                      <w:color w:val="auto"/>
                      <w:spacing w:val="0"/>
                      <w:w w:val="100"/>
                      <w:sz w:val="18"/>
                      <w:szCs w:val="18"/>
                      <w:highlight w:val="none"/>
                      <w:lang w:val="en-US" w:eastAsia="zh-CN"/>
                    </w:rPr>
                    <w:t>依托</w:t>
                  </w:r>
                </w:p>
              </w:tc>
            </w:tr>
            <w:tr w14:paraId="4207FA1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7BB4F6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p>
              </w:tc>
              <w:tc>
                <w:tcPr>
                  <w:tcW w:w="668" w:type="pct"/>
                  <w:tcBorders>
                    <w:tl2br w:val="nil"/>
                    <w:tr2bl w:val="nil"/>
                  </w:tcBorders>
                  <w:vAlign w:val="center"/>
                </w:tcPr>
                <w:p w14:paraId="7E259E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default" w:ascii="Times New Roman" w:hAnsi="Times New Roman" w:eastAsia="宋体" w:cs="Times New Roman"/>
                      <w:b w:val="0"/>
                      <w:bCs w:val="0"/>
                      <w:color w:val="auto"/>
                      <w:spacing w:val="0"/>
                      <w:w w:val="100"/>
                      <w:sz w:val="18"/>
                      <w:szCs w:val="18"/>
                      <w:highlight w:val="none"/>
                    </w:rPr>
                    <w:t>供电</w:t>
                  </w:r>
                </w:p>
              </w:tc>
              <w:tc>
                <w:tcPr>
                  <w:tcW w:w="3084" w:type="pct"/>
                  <w:tcBorders>
                    <w:tl2br w:val="nil"/>
                    <w:tr2bl w:val="nil"/>
                  </w:tcBorders>
                  <w:vAlign w:val="center"/>
                </w:tcPr>
                <w:p w14:paraId="2926BE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lang w:val="en-US" w:eastAsia="zh-CN"/>
                    </w:rPr>
                  </w:pPr>
                  <w:r>
                    <w:rPr>
                      <w:rFonts w:hint="default" w:ascii="Times New Roman" w:hAnsi="Times New Roman" w:eastAsia="宋体" w:cs="Times New Roman"/>
                      <w:b w:val="0"/>
                      <w:bCs w:val="0"/>
                      <w:color w:val="auto"/>
                      <w:spacing w:val="0"/>
                      <w:w w:val="100"/>
                      <w:sz w:val="18"/>
                      <w:szCs w:val="18"/>
                      <w:highlight w:val="none"/>
                      <w:lang w:val="en-US" w:eastAsia="zh-CN"/>
                    </w:rPr>
                    <w:t>市政供电</w:t>
                  </w:r>
                </w:p>
              </w:tc>
              <w:tc>
                <w:tcPr>
                  <w:tcW w:w="857" w:type="pct"/>
                  <w:tcBorders>
                    <w:tl2br w:val="nil"/>
                    <w:tr2bl w:val="nil"/>
                  </w:tcBorders>
                  <w:vAlign w:val="center"/>
                </w:tcPr>
                <w:p w14:paraId="2C2BAD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default" w:ascii="Times New Roman" w:hAnsi="Times New Roman" w:eastAsia="宋体" w:cs="Times New Roman"/>
                      <w:b w:val="0"/>
                      <w:bCs w:val="0"/>
                      <w:color w:val="auto"/>
                      <w:spacing w:val="0"/>
                      <w:w w:val="100"/>
                      <w:sz w:val="18"/>
                      <w:szCs w:val="18"/>
                      <w:highlight w:val="none"/>
                    </w:rPr>
                    <w:t>依托</w:t>
                  </w:r>
                </w:p>
              </w:tc>
            </w:tr>
            <w:tr w14:paraId="26BA436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restart"/>
                  <w:tcBorders>
                    <w:tl2br w:val="nil"/>
                    <w:tr2bl w:val="nil"/>
                  </w:tcBorders>
                  <w:vAlign w:val="center"/>
                </w:tcPr>
                <w:p w14:paraId="7D7E49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default" w:ascii="Times New Roman" w:hAnsi="Times New Roman" w:eastAsia="宋体" w:cs="Times New Roman"/>
                      <w:b w:val="0"/>
                      <w:bCs w:val="0"/>
                      <w:color w:val="auto"/>
                      <w:spacing w:val="0"/>
                      <w:w w:val="100"/>
                      <w:sz w:val="18"/>
                      <w:szCs w:val="18"/>
                      <w:highlight w:val="none"/>
                    </w:rPr>
                    <w:t>环保工程</w:t>
                  </w:r>
                </w:p>
              </w:tc>
              <w:tc>
                <w:tcPr>
                  <w:tcW w:w="668" w:type="pct"/>
                  <w:tcBorders>
                    <w:tl2br w:val="nil"/>
                    <w:tr2bl w:val="nil"/>
                  </w:tcBorders>
                  <w:vAlign w:val="center"/>
                </w:tcPr>
                <w:p w14:paraId="4596AB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default" w:ascii="Times New Roman" w:hAnsi="Times New Roman" w:eastAsia="宋体" w:cs="Times New Roman"/>
                      <w:b w:val="0"/>
                      <w:bCs w:val="0"/>
                      <w:color w:val="auto"/>
                      <w:spacing w:val="0"/>
                      <w:w w:val="100"/>
                      <w:sz w:val="18"/>
                      <w:szCs w:val="18"/>
                      <w:highlight w:val="none"/>
                    </w:rPr>
                    <w:t>废气</w:t>
                  </w:r>
                </w:p>
              </w:tc>
              <w:tc>
                <w:tcPr>
                  <w:tcW w:w="3084" w:type="pct"/>
                  <w:tcBorders>
                    <w:tl2br w:val="nil"/>
                    <w:tr2bl w:val="nil"/>
                  </w:tcBorders>
                  <w:vAlign w:val="center"/>
                </w:tcPr>
                <w:p w14:paraId="146DFBC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auto"/>
                      <w:spacing w:val="0"/>
                      <w:w w:val="100"/>
                      <w:sz w:val="18"/>
                      <w:szCs w:val="18"/>
                      <w:highlight w:val="none"/>
                      <w:lang w:val="en-US" w:eastAsia="zh-CN"/>
                    </w:rPr>
                  </w:pPr>
                  <w:r>
                    <w:rPr>
                      <w:rFonts w:hint="eastAsia" w:ascii="Times New Roman" w:hAnsi="Times New Roman" w:cs="Times New Roman"/>
                      <w:color w:val="auto"/>
                      <w:spacing w:val="0"/>
                      <w:sz w:val="18"/>
                      <w:szCs w:val="18"/>
                      <w:lang w:val="en-US" w:eastAsia="zh-CN"/>
                    </w:rPr>
                    <w:t>本项目不新增废气，</w:t>
                  </w:r>
                  <w:r>
                    <w:rPr>
                      <w:rFonts w:hint="default" w:ascii="Times New Roman" w:hAnsi="Times New Roman" w:eastAsia="宋体" w:cs="Times New Roman"/>
                      <w:color w:val="auto"/>
                      <w:spacing w:val="0"/>
                      <w:sz w:val="18"/>
                      <w:szCs w:val="18"/>
                      <w:lang w:val="en-US" w:eastAsia="zh-CN"/>
                    </w:rPr>
                    <w:t>净</w:t>
                  </w:r>
                  <w:r>
                    <w:rPr>
                      <w:rFonts w:hint="default" w:ascii="Times New Roman" w:hAnsi="Times New Roman" w:eastAsia="宋体" w:cs="Times New Roman"/>
                      <w:color w:val="auto"/>
                      <w:spacing w:val="0"/>
                      <w:kern w:val="0"/>
                      <w:sz w:val="18"/>
                      <w:szCs w:val="18"/>
                    </w:rPr>
                    <w:t>水厂生产过程中不会排放生产废气，加氯间仅有少量游离的Cl产生；在污泥处理区的贮泥池、浓缩池、污泥浓缩脱水间</w:t>
                  </w:r>
                  <w:r>
                    <w:rPr>
                      <w:rFonts w:hint="eastAsia" w:ascii="Times New Roman" w:hAnsi="Times New Roman" w:cs="Times New Roman"/>
                      <w:color w:val="auto"/>
                      <w:spacing w:val="0"/>
                      <w:kern w:val="0"/>
                      <w:sz w:val="18"/>
                      <w:szCs w:val="18"/>
                      <w:lang w:eastAsia="zh-CN"/>
                    </w:rPr>
                    <w:t>、</w:t>
                  </w:r>
                  <w:r>
                    <w:rPr>
                      <w:rFonts w:hint="eastAsia" w:ascii="Times New Roman" w:hAnsi="Times New Roman" w:cs="Times New Roman"/>
                      <w:color w:val="auto"/>
                      <w:spacing w:val="0"/>
                      <w:kern w:val="0"/>
                      <w:sz w:val="18"/>
                      <w:szCs w:val="18"/>
                      <w:lang w:val="en-US" w:eastAsia="zh-CN"/>
                    </w:rPr>
                    <w:t>污泥暂存库</w:t>
                  </w:r>
                  <w:r>
                    <w:rPr>
                      <w:rFonts w:hint="default" w:ascii="Times New Roman" w:hAnsi="Times New Roman" w:eastAsia="宋体" w:cs="Times New Roman"/>
                      <w:color w:val="auto"/>
                      <w:spacing w:val="0"/>
                      <w:kern w:val="0"/>
                      <w:sz w:val="18"/>
                      <w:szCs w:val="18"/>
                    </w:rPr>
                    <w:t>等会产生轻微的臭味，因比较轻微，且本工程稳压配水间通风次数为2次/h</w:t>
                  </w:r>
                  <w:r>
                    <w:rPr>
                      <w:rFonts w:hint="default" w:ascii="Times New Roman" w:hAnsi="Times New Roman" w:eastAsia="宋体" w:cs="Times New Roman"/>
                      <w:color w:val="auto"/>
                      <w:spacing w:val="0"/>
                      <w:kern w:val="0"/>
                      <w:sz w:val="18"/>
                      <w:szCs w:val="18"/>
                      <w:lang w:eastAsia="zh-CN"/>
                    </w:rPr>
                    <w:t>，</w:t>
                  </w:r>
                  <w:r>
                    <w:rPr>
                      <w:rFonts w:hint="default" w:ascii="Times New Roman" w:hAnsi="Times New Roman" w:eastAsia="宋体" w:cs="Times New Roman"/>
                      <w:color w:val="auto"/>
                      <w:spacing w:val="0"/>
                      <w:kern w:val="0"/>
                      <w:sz w:val="18"/>
                      <w:szCs w:val="18"/>
                    </w:rPr>
                    <w:t>设置1台轴流通风机。滤池间通风次数为3次/h, 设置2台轴流通风机。加氯、加药间通风次数为8次h</w:t>
                  </w:r>
                  <w:r>
                    <w:rPr>
                      <w:rFonts w:hint="default" w:ascii="Times New Roman" w:hAnsi="Times New Roman" w:eastAsia="宋体" w:cs="Times New Roman"/>
                      <w:color w:val="auto"/>
                      <w:spacing w:val="0"/>
                      <w:kern w:val="0"/>
                      <w:sz w:val="18"/>
                      <w:szCs w:val="18"/>
                      <w:lang w:eastAsia="zh-CN"/>
                    </w:rPr>
                    <w:t>，</w:t>
                  </w:r>
                  <w:r>
                    <w:rPr>
                      <w:rFonts w:hint="default" w:ascii="Times New Roman" w:hAnsi="Times New Roman" w:eastAsia="宋体" w:cs="Times New Roman"/>
                      <w:color w:val="auto"/>
                      <w:spacing w:val="0"/>
                      <w:kern w:val="0"/>
                      <w:sz w:val="18"/>
                      <w:szCs w:val="18"/>
                    </w:rPr>
                    <w:t>设置6台轴流通风机。污泥脱水间</w:t>
                  </w:r>
                  <w:r>
                    <w:rPr>
                      <w:rFonts w:hint="eastAsia" w:ascii="Times New Roman" w:hAnsi="Times New Roman" w:cs="Times New Roman"/>
                      <w:color w:val="auto"/>
                      <w:spacing w:val="0"/>
                      <w:kern w:val="0"/>
                      <w:sz w:val="18"/>
                      <w:szCs w:val="18"/>
                      <w:lang w:eastAsia="zh-CN"/>
                    </w:rPr>
                    <w:t>（</w:t>
                  </w:r>
                  <w:r>
                    <w:rPr>
                      <w:rFonts w:hint="eastAsia" w:ascii="Times New Roman" w:hAnsi="Times New Roman" w:cs="Times New Roman"/>
                      <w:color w:val="auto"/>
                      <w:spacing w:val="0"/>
                      <w:kern w:val="0"/>
                      <w:sz w:val="18"/>
                      <w:szCs w:val="18"/>
                      <w:lang w:val="en-US" w:eastAsia="zh-CN"/>
                    </w:rPr>
                    <w:t>包括污泥暂存库</w:t>
                  </w:r>
                  <w:r>
                    <w:rPr>
                      <w:rFonts w:hint="eastAsia" w:ascii="Times New Roman" w:hAnsi="Times New Roman" w:cs="Times New Roman"/>
                      <w:color w:val="auto"/>
                      <w:spacing w:val="0"/>
                      <w:kern w:val="0"/>
                      <w:sz w:val="18"/>
                      <w:szCs w:val="18"/>
                      <w:lang w:eastAsia="zh-CN"/>
                    </w:rPr>
                    <w:t>）</w:t>
                  </w:r>
                  <w:r>
                    <w:rPr>
                      <w:rFonts w:hint="default" w:ascii="Times New Roman" w:hAnsi="Times New Roman" w:eastAsia="宋体" w:cs="Times New Roman"/>
                      <w:color w:val="auto"/>
                      <w:spacing w:val="0"/>
                      <w:kern w:val="0"/>
                      <w:sz w:val="18"/>
                      <w:szCs w:val="18"/>
                    </w:rPr>
                    <w:t>通风次数为8次/h</w:t>
                  </w:r>
                  <w:r>
                    <w:rPr>
                      <w:rFonts w:hint="default" w:ascii="Times New Roman" w:hAnsi="Times New Roman" w:eastAsia="宋体" w:cs="Times New Roman"/>
                      <w:color w:val="auto"/>
                      <w:spacing w:val="0"/>
                      <w:kern w:val="0"/>
                      <w:sz w:val="18"/>
                      <w:szCs w:val="18"/>
                      <w:lang w:eastAsia="zh-CN"/>
                    </w:rPr>
                    <w:t>，</w:t>
                  </w:r>
                  <w:r>
                    <w:rPr>
                      <w:rFonts w:hint="default" w:ascii="Times New Roman" w:hAnsi="Times New Roman" w:eastAsia="宋体" w:cs="Times New Roman"/>
                      <w:color w:val="auto"/>
                      <w:spacing w:val="0"/>
                      <w:kern w:val="0"/>
                      <w:sz w:val="18"/>
                      <w:szCs w:val="18"/>
                    </w:rPr>
                    <w:t>设置5台轴流通风机。经上述措施，同时加强室内通风及厂区绿化</w:t>
                  </w:r>
                  <w:r>
                    <w:rPr>
                      <w:rFonts w:hint="default" w:ascii="Times New Roman" w:hAnsi="Times New Roman" w:eastAsia="宋体" w:cs="Times New Roman"/>
                      <w:color w:val="auto"/>
                      <w:spacing w:val="0"/>
                      <w:kern w:val="0"/>
                      <w:sz w:val="18"/>
                      <w:szCs w:val="18"/>
                      <w:lang w:val="en-US" w:eastAsia="zh-CN"/>
                    </w:rPr>
                    <w:t>隔离稀释</w:t>
                  </w:r>
                  <w:r>
                    <w:rPr>
                      <w:rFonts w:hint="default" w:ascii="Times New Roman" w:hAnsi="Times New Roman" w:eastAsia="宋体" w:cs="Times New Roman"/>
                      <w:color w:val="auto"/>
                      <w:spacing w:val="0"/>
                      <w:kern w:val="0"/>
                      <w:sz w:val="18"/>
                      <w:szCs w:val="18"/>
                    </w:rPr>
                    <w:t>，游离氯厂界浓度可满足《大气污染物综合排放标准》</w:t>
                  </w:r>
                  <w:r>
                    <w:rPr>
                      <w:rFonts w:hint="default" w:ascii="Times New Roman" w:hAnsi="Times New Roman" w:eastAsia="宋体" w:cs="Times New Roman"/>
                      <w:color w:val="auto"/>
                      <w:spacing w:val="0"/>
                      <w:kern w:val="0"/>
                      <w:sz w:val="18"/>
                      <w:szCs w:val="18"/>
                    </w:rPr>
                    <w:tab/>
                  </w:r>
                  <w:r>
                    <w:rPr>
                      <w:rFonts w:hint="default" w:ascii="Times New Roman" w:hAnsi="Times New Roman" w:eastAsia="宋体" w:cs="Times New Roman"/>
                      <w:color w:val="auto"/>
                      <w:spacing w:val="0"/>
                      <w:kern w:val="0"/>
                      <w:sz w:val="18"/>
                      <w:szCs w:val="18"/>
                    </w:rPr>
                    <w:t>(GB16297-1996</w:t>
                  </w:r>
                  <w:r>
                    <w:rPr>
                      <w:rFonts w:hint="eastAsia" w:ascii="Times New Roman" w:hAnsi="Times New Roman" w:cs="Times New Roman"/>
                      <w:color w:val="auto"/>
                      <w:spacing w:val="0"/>
                      <w:kern w:val="0"/>
                      <w:sz w:val="18"/>
                      <w:szCs w:val="18"/>
                      <w:lang w:eastAsia="zh-CN"/>
                    </w:rPr>
                    <w:t>）</w:t>
                  </w:r>
                  <w:r>
                    <w:rPr>
                      <w:rFonts w:hint="default" w:ascii="Times New Roman" w:hAnsi="Times New Roman" w:eastAsia="宋体" w:cs="Times New Roman"/>
                      <w:color w:val="auto"/>
                      <w:spacing w:val="0"/>
                      <w:kern w:val="0"/>
                      <w:sz w:val="18"/>
                      <w:szCs w:val="18"/>
                    </w:rPr>
                    <w:t>中无组织排放监控浓度限值要求</w:t>
                  </w:r>
                  <w:r>
                    <w:rPr>
                      <w:rFonts w:hint="default" w:ascii="Times New Roman" w:hAnsi="Times New Roman" w:eastAsia="宋体" w:cs="Times New Roman"/>
                      <w:color w:val="auto"/>
                      <w:spacing w:val="0"/>
                      <w:kern w:val="0"/>
                      <w:sz w:val="18"/>
                      <w:szCs w:val="18"/>
                      <w:lang w:eastAsia="zh-CN"/>
                    </w:rPr>
                    <w:t>，</w:t>
                  </w:r>
                  <w:r>
                    <w:rPr>
                      <w:rFonts w:hint="default" w:ascii="Times New Roman" w:hAnsi="Times New Roman" w:eastAsia="宋体" w:cs="Times New Roman"/>
                      <w:color w:val="auto"/>
                      <w:spacing w:val="0"/>
                      <w:kern w:val="0"/>
                      <w:sz w:val="18"/>
                      <w:szCs w:val="18"/>
                    </w:rPr>
                    <w:t>氨、硫化氢、臭气浓度满足《恶臭污染物排放标准》 (GB14554-93)  表一限值要求</w:t>
                  </w:r>
                  <w:r>
                    <w:rPr>
                      <w:rFonts w:hint="default" w:ascii="Times New Roman" w:hAnsi="Times New Roman" w:eastAsia="宋体" w:cs="Times New Roman"/>
                      <w:color w:val="auto"/>
                      <w:spacing w:val="0"/>
                      <w:kern w:val="0"/>
                      <w:sz w:val="18"/>
                      <w:szCs w:val="18"/>
                      <w:lang w:eastAsia="zh-CN"/>
                    </w:rPr>
                    <w:t>；</w:t>
                  </w:r>
                  <w:r>
                    <w:rPr>
                      <w:rFonts w:hint="default" w:ascii="Times New Roman" w:hAnsi="Times New Roman" w:eastAsia="宋体" w:cs="Times New Roman"/>
                      <w:color w:val="auto"/>
                      <w:spacing w:val="0"/>
                      <w:kern w:val="0"/>
                      <w:sz w:val="18"/>
                      <w:szCs w:val="18"/>
                      <w:lang w:val="en-US" w:eastAsia="zh-CN"/>
                    </w:rPr>
                    <w:t>食堂油烟经油烟净化器（处理效率75%）处理后</w:t>
                  </w:r>
                  <w:r>
                    <w:rPr>
                      <w:rFonts w:hint="default" w:ascii="Times New Roman" w:hAnsi="Times New Roman" w:eastAsia="宋体" w:cs="Times New Roman"/>
                      <w:color w:val="auto"/>
                      <w:spacing w:val="0"/>
                      <w:sz w:val="18"/>
                      <w:szCs w:val="18"/>
                    </w:rPr>
                    <w:t>由专用烟道高于楼顶排放</w:t>
                  </w:r>
                  <w:r>
                    <w:rPr>
                      <w:rFonts w:hint="default" w:ascii="Times New Roman" w:hAnsi="Times New Roman" w:eastAsia="宋体" w:cs="Times New Roman"/>
                      <w:color w:val="auto"/>
                      <w:spacing w:val="0"/>
                      <w:sz w:val="18"/>
                      <w:szCs w:val="18"/>
                      <w:lang w:eastAsia="zh-CN"/>
                    </w:rPr>
                    <w:t>，</w:t>
                  </w:r>
                  <w:r>
                    <w:rPr>
                      <w:rFonts w:hint="default" w:ascii="Times New Roman" w:hAnsi="Times New Roman" w:eastAsia="宋体" w:cs="Times New Roman"/>
                      <w:color w:val="auto"/>
                      <w:spacing w:val="0"/>
                      <w:sz w:val="18"/>
                      <w:szCs w:val="18"/>
                    </w:rPr>
                    <w:t>油烟排放</w:t>
                  </w:r>
                  <w:r>
                    <w:rPr>
                      <w:rFonts w:hint="default" w:ascii="Times New Roman" w:hAnsi="Times New Roman" w:eastAsia="宋体" w:cs="Times New Roman"/>
                      <w:color w:val="auto"/>
                      <w:spacing w:val="0"/>
                      <w:sz w:val="18"/>
                      <w:szCs w:val="18"/>
                      <w:lang w:val="en-US" w:eastAsia="zh-CN"/>
                    </w:rPr>
                    <w:t>满足</w:t>
                  </w:r>
                  <w:r>
                    <w:rPr>
                      <w:rFonts w:hint="default" w:ascii="Times New Roman" w:hAnsi="Times New Roman" w:eastAsia="宋体" w:cs="Times New Roman"/>
                      <w:color w:val="auto"/>
                      <w:spacing w:val="0"/>
                      <w:sz w:val="18"/>
                      <w:szCs w:val="18"/>
                    </w:rPr>
                    <w:t>《饮食业油烟排放标准》</w:t>
                  </w:r>
                  <w:r>
                    <w:rPr>
                      <w:rFonts w:hint="eastAsia" w:ascii="Times New Roman" w:hAnsi="Times New Roman" w:cs="Times New Roman"/>
                      <w:color w:val="auto"/>
                      <w:spacing w:val="0"/>
                      <w:sz w:val="18"/>
                      <w:szCs w:val="18"/>
                      <w:lang w:eastAsia="zh-CN"/>
                    </w:rPr>
                    <w:t>（</w:t>
                  </w:r>
                  <w:r>
                    <w:rPr>
                      <w:rFonts w:hint="default" w:ascii="Times New Roman" w:hAnsi="Times New Roman" w:eastAsia="宋体" w:cs="Times New Roman"/>
                      <w:color w:val="auto"/>
                      <w:spacing w:val="0"/>
                      <w:sz w:val="18"/>
                      <w:szCs w:val="18"/>
                    </w:rPr>
                    <w:t>试行GB18483-2001</w:t>
                  </w:r>
                  <w:r>
                    <w:rPr>
                      <w:rFonts w:hint="eastAsia" w:ascii="Times New Roman" w:hAnsi="Times New Roman" w:cs="Times New Roman"/>
                      <w:color w:val="auto"/>
                      <w:spacing w:val="0"/>
                      <w:sz w:val="18"/>
                      <w:szCs w:val="18"/>
                      <w:lang w:eastAsia="zh-CN"/>
                    </w:rPr>
                    <w:t>）</w:t>
                  </w:r>
                  <w:r>
                    <w:rPr>
                      <w:rFonts w:hint="default" w:ascii="Times New Roman" w:hAnsi="Times New Roman" w:eastAsia="宋体" w:cs="Times New Roman"/>
                      <w:color w:val="auto"/>
                      <w:spacing w:val="0"/>
                      <w:sz w:val="18"/>
                      <w:szCs w:val="18"/>
                    </w:rPr>
                    <w:t>中最高允许排放浓度2.0mg/m³。</w:t>
                  </w:r>
                </w:p>
              </w:tc>
              <w:tc>
                <w:tcPr>
                  <w:tcW w:w="857" w:type="pct"/>
                  <w:tcBorders>
                    <w:tl2br w:val="nil"/>
                    <w:tr2bl w:val="nil"/>
                  </w:tcBorders>
                  <w:vAlign w:val="center"/>
                </w:tcPr>
                <w:p w14:paraId="4B95B4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default" w:ascii="Times New Roman" w:hAnsi="Times New Roman" w:eastAsia="宋体" w:cs="Times New Roman"/>
                      <w:b w:val="0"/>
                      <w:bCs w:val="0"/>
                      <w:color w:val="auto"/>
                      <w:spacing w:val="0"/>
                      <w:w w:val="100"/>
                      <w:sz w:val="18"/>
                      <w:szCs w:val="18"/>
                      <w:highlight w:val="none"/>
                    </w:rPr>
                    <w:t>依托</w:t>
                  </w:r>
                </w:p>
              </w:tc>
            </w:tr>
            <w:tr w14:paraId="40132C1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77E3EF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p>
              </w:tc>
              <w:tc>
                <w:tcPr>
                  <w:tcW w:w="668" w:type="pct"/>
                  <w:vMerge w:val="restart"/>
                  <w:tcBorders>
                    <w:tl2br w:val="nil"/>
                    <w:tr2bl w:val="nil"/>
                  </w:tcBorders>
                  <w:vAlign w:val="center"/>
                </w:tcPr>
                <w:p w14:paraId="53111D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default" w:ascii="Times New Roman" w:hAnsi="Times New Roman" w:eastAsia="宋体" w:cs="Times New Roman"/>
                      <w:b w:val="0"/>
                      <w:bCs w:val="0"/>
                      <w:color w:val="auto"/>
                      <w:spacing w:val="0"/>
                      <w:w w:val="100"/>
                      <w:sz w:val="18"/>
                      <w:szCs w:val="18"/>
                      <w:highlight w:val="none"/>
                    </w:rPr>
                    <w:t>废水</w:t>
                  </w:r>
                </w:p>
              </w:tc>
              <w:tc>
                <w:tcPr>
                  <w:tcW w:w="3084" w:type="pct"/>
                  <w:tcBorders>
                    <w:tl2br w:val="nil"/>
                    <w:tr2bl w:val="nil"/>
                  </w:tcBorders>
                  <w:vAlign w:val="center"/>
                </w:tcPr>
                <w:p w14:paraId="70B9E00A">
                  <w:pPr>
                    <w:pStyle w:val="15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w w:val="100"/>
                      <w:sz w:val="18"/>
                      <w:szCs w:val="18"/>
                      <w:highlight w:val="none"/>
                      <w:lang w:val="en-US" w:eastAsia="zh-CN"/>
                    </w:rPr>
                  </w:pPr>
                  <w:r>
                    <w:rPr>
                      <w:rFonts w:hint="eastAsia" w:ascii="Times New Roman" w:hAnsi="Times New Roman" w:cs="Times New Roman"/>
                      <w:color w:val="auto"/>
                      <w:spacing w:val="0"/>
                      <w:sz w:val="18"/>
                      <w:szCs w:val="18"/>
                      <w:lang w:val="en-US" w:eastAsia="zh-CN"/>
                    </w:rPr>
                    <w:t>净水厂现有</w:t>
                  </w:r>
                  <w:r>
                    <w:rPr>
                      <w:rFonts w:hint="default" w:ascii="Times New Roman" w:hAnsi="Times New Roman" w:cs="Times New Roman"/>
                      <w:color w:val="auto"/>
                      <w:spacing w:val="0"/>
                      <w:sz w:val="18"/>
                      <w:szCs w:val="18"/>
                    </w:rPr>
                    <w:t>生活污水经厂区</w:t>
                  </w:r>
                  <w:r>
                    <w:rPr>
                      <w:rFonts w:hint="default" w:ascii="Times New Roman" w:hAnsi="Times New Roman" w:eastAsia="宋体" w:cs="Times New Roman"/>
                      <w:color w:val="auto"/>
                      <w:spacing w:val="0"/>
                      <w:sz w:val="18"/>
                      <w:szCs w:val="18"/>
                    </w:rPr>
                    <w:t>化粪池</w:t>
                  </w:r>
                  <w:r>
                    <w:rPr>
                      <w:rFonts w:hint="eastAsia" w:ascii="Times New Roman" w:hAnsi="Times New Roman" w:cs="Times New Roman"/>
                      <w:color w:val="auto"/>
                      <w:spacing w:val="0"/>
                      <w:sz w:val="18"/>
                      <w:szCs w:val="18"/>
                      <w:lang w:val="en-US" w:eastAsia="zh-CN"/>
                    </w:rPr>
                    <w:t>沉淀</w:t>
                  </w:r>
                  <w:r>
                    <w:rPr>
                      <w:rFonts w:hint="default" w:ascii="Times New Roman" w:hAnsi="Times New Roman" w:eastAsia="宋体" w:cs="Times New Roman"/>
                      <w:color w:val="auto"/>
                      <w:spacing w:val="0"/>
                      <w:sz w:val="18"/>
                      <w:szCs w:val="18"/>
                    </w:rPr>
                    <w:t>处理</w:t>
                  </w:r>
                  <w:r>
                    <w:rPr>
                      <w:rFonts w:hint="default" w:ascii="Times New Roman" w:hAnsi="Times New Roman" w:cs="Times New Roman"/>
                      <w:color w:val="auto"/>
                      <w:spacing w:val="0"/>
                      <w:sz w:val="18"/>
                      <w:szCs w:val="18"/>
                    </w:rPr>
                    <w:t>后进入市政管网，最终排至</w:t>
                  </w:r>
                  <w:r>
                    <w:rPr>
                      <w:rFonts w:hint="eastAsia" w:ascii="Times New Roman" w:hAnsi="Times New Roman" w:cs="Times New Roman"/>
                      <w:color w:val="auto"/>
                      <w:spacing w:val="0"/>
                      <w:sz w:val="18"/>
                      <w:szCs w:val="18"/>
                      <w:lang w:eastAsia="zh-CN"/>
                    </w:rPr>
                    <w:t>鸡西市鸡冠区</w:t>
                  </w:r>
                  <w:r>
                    <w:rPr>
                      <w:rFonts w:hint="default" w:ascii="Times New Roman" w:hAnsi="Times New Roman" w:cs="Times New Roman"/>
                      <w:color w:val="auto"/>
                      <w:spacing w:val="0"/>
                      <w:sz w:val="18"/>
                      <w:szCs w:val="18"/>
                    </w:rPr>
                    <w:t>污水处理厂达到《城镇污水处理厂污染物排放标准》</w:t>
                  </w:r>
                  <w:r>
                    <w:rPr>
                      <w:rFonts w:hint="eastAsia" w:ascii="Times New Roman" w:hAnsi="Times New Roman" w:cs="Times New Roman"/>
                      <w:color w:val="auto"/>
                      <w:spacing w:val="0"/>
                      <w:sz w:val="18"/>
                      <w:szCs w:val="18"/>
                      <w:lang w:eastAsia="zh-CN"/>
                    </w:rPr>
                    <w:t>（</w:t>
                  </w:r>
                  <w:r>
                    <w:rPr>
                      <w:rFonts w:hint="default" w:ascii="Times New Roman" w:hAnsi="Times New Roman" w:cs="Times New Roman"/>
                      <w:color w:val="auto"/>
                      <w:spacing w:val="0"/>
                      <w:sz w:val="18"/>
                      <w:szCs w:val="18"/>
                    </w:rPr>
                    <w:t>GB18918-2002</w:t>
                  </w:r>
                  <w:r>
                    <w:rPr>
                      <w:rFonts w:hint="eastAsia" w:ascii="Times New Roman" w:hAnsi="Times New Roman" w:cs="Times New Roman"/>
                      <w:color w:val="auto"/>
                      <w:spacing w:val="0"/>
                      <w:sz w:val="18"/>
                      <w:szCs w:val="18"/>
                      <w:lang w:eastAsia="zh-CN"/>
                    </w:rPr>
                    <w:t>）</w:t>
                  </w:r>
                  <w:r>
                    <w:rPr>
                      <w:rFonts w:hint="default" w:ascii="Times New Roman" w:hAnsi="Times New Roman" w:cs="Times New Roman"/>
                      <w:color w:val="auto"/>
                      <w:spacing w:val="0"/>
                      <w:sz w:val="18"/>
                      <w:szCs w:val="18"/>
                    </w:rPr>
                    <w:t>中一级A标准后排入穆棱河。</w:t>
                  </w:r>
                  <w:r>
                    <w:rPr>
                      <w:rFonts w:hint="eastAsia" w:ascii="Times New Roman" w:hAnsi="Times New Roman" w:cs="Times New Roman"/>
                      <w:bCs/>
                      <w:color w:val="auto"/>
                      <w:spacing w:val="0"/>
                      <w:kern w:val="0"/>
                      <w:sz w:val="18"/>
                      <w:szCs w:val="18"/>
                      <w:highlight w:val="none"/>
                      <w:lang w:val="en-US" w:eastAsia="zh-CN"/>
                    </w:rPr>
                    <w:t>本项目不新增生活污水。</w:t>
                  </w:r>
                </w:p>
              </w:tc>
              <w:tc>
                <w:tcPr>
                  <w:tcW w:w="857" w:type="pct"/>
                  <w:tcBorders>
                    <w:tl2br w:val="nil"/>
                    <w:tr2bl w:val="nil"/>
                  </w:tcBorders>
                  <w:vAlign w:val="center"/>
                </w:tcPr>
                <w:p w14:paraId="6DEA2D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w w:val="100"/>
                      <w:sz w:val="18"/>
                      <w:szCs w:val="18"/>
                      <w:highlight w:val="none"/>
                      <w:lang w:eastAsia="zh-CN"/>
                    </w:rPr>
                  </w:pPr>
                  <w:r>
                    <w:rPr>
                      <w:rFonts w:hint="default" w:ascii="Times New Roman" w:hAnsi="Times New Roman" w:eastAsia="宋体" w:cs="Times New Roman"/>
                      <w:b w:val="0"/>
                      <w:bCs w:val="0"/>
                      <w:color w:val="auto"/>
                      <w:spacing w:val="0"/>
                      <w:w w:val="100"/>
                      <w:sz w:val="18"/>
                      <w:szCs w:val="18"/>
                      <w:highlight w:val="none"/>
                    </w:rPr>
                    <w:t>依托</w:t>
                  </w:r>
                </w:p>
              </w:tc>
            </w:tr>
            <w:tr w14:paraId="6A17776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3F048F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p>
              </w:tc>
              <w:tc>
                <w:tcPr>
                  <w:tcW w:w="668" w:type="pct"/>
                  <w:vMerge w:val="continue"/>
                  <w:tcBorders>
                    <w:tl2br w:val="nil"/>
                    <w:tr2bl w:val="nil"/>
                  </w:tcBorders>
                  <w:vAlign w:val="center"/>
                </w:tcPr>
                <w:p w14:paraId="581EE9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p>
              </w:tc>
              <w:tc>
                <w:tcPr>
                  <w:tcW w:w="3084" w:type="pct"/>
                  <w:tcBorders>
                    <w:tl2br w:val="nil"/>
                    <w:tr2bl w:val="nil"/>
                  </w:tcBorders>
                  <w:vAlign w:val="center"/>
                </w:tcPr>
                <w:p w14:paraId="08D668C5">
                  <w:pPr>
                    <w:pStyle w:val="15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cs="Times New Roman"/>
                      <w:color w:val="auto"/>
                      <w:spacing w:val="0"/>
                      <w:sz w:val="18"/>
                      <w:szCs w:val="18"/>
                      <w:lang w:val="en-US" w:eastAsia="zh-CN"/>
                    </w:rPr>
                  </w:pPr>
                  <w:r>
                    <w:rPr>
                      <w:rFonts w:hint="default" w:ascii="Times New Roman" w:hAnsi="Times New Roman" w:eastAsia="宋体" w:cs="Times New Roman"/>
                      <w:bCs/>
                      <w:color w:val="auto"/>
                      <w:spacing w:val="0"/>
                      <w:kern w:val="0"/>
                      <w:sz w:val="18"/>
                      <w:szCs w:val="18"/>
                      <w:highlight w:val="none"/>
                      <w:lang w:val="en-US" w:eastAsia="zh-CN"/>
                    </w:rPr>
                    <w:t>反冲洗废水</w:t>
                  </w:r>
                  <w:r>
                    <w:rPr>
                      <w:rFonts w:hint="eastAsia" w:cs="Times New Roman"/>
                      <w:color w:val="auto"/>
                      <w:sz w:val="18"/>
                      <w:szCs w:val="18"/>
                      <w:highlight w:val="none"/>
                      <w:lang w:eastAsia="zh-CN"/>
                    </w:rPr>
                    <w:t>回收</w:t>
                  </w:r>
                  <w:r>
                    <w:rPr>
                      <w:rFonts w:hint="eastAsia" w:cs="Times New Roman"/>
                      <w:color w:val="auto"/>
                      <w:sz w:val="18"/>
                      <w:szCs w:val="18"/>
                      <w:highlight w:val="none"/>
                      <w:lang w:val="en-US" w:eastAsia="zh-CN"/>
                    </w:rPr>
                    <w:t>排入</w:t>
                  </w:r>
                  <w:r>
                    <w:rPr>
                      <w:rFonts w:hint="eastAsia" w:cs="Times New Roman"/>
                      <w:color w:val="auto"/>
                      <w:sz w:val="18"/>
                      <w:szCs w:val="18"/>
                      <w:highlight w:val="none"/>
                      <w:lang w:eastAsia="zh-CN"/>
                    </w:rPr>
                    <w:t>配水</w:t>
                  </w:r>
                  <w:r>
                    <w:rPr>
                      <w:rFonts w:hint="eastAsia" w:cs="Times New Roman"/>
                      <w:color w:val="auto"/>
                      <w:sz w:val="18"/>
                      <w:szCs w:val="18"/>
                      <w:highlight w:val="none"/>
                      <w:lang w:val="en-US" w:eastAsia="zh-CN"/>
                    </w:rPr>
                    <w:t>井</w:t>
                  </w:r>
                  <w:r>
                    <w:rPr>
                      <w:rFonts w:hint="eastAsia" w:cs="Times New Roman"/>
                      <w:color w:val="auto"/>
                      <w:sz w:val="18"/>
                      <w:szCs w:val="18"/>
                      <w:highlight w:val="none"/>
                      <w:lang w:eastAsia="zh-CN"/>
                    </w:rPr>
                    <w:t>与原水混合回用，不外排</w:t>
                  </w:r>
                </w:p>
              </w:tc>
              <w:tc>
                <w:tcPr>
                  <w:tcW w:w="857" w:type="pct"/>
                  <w:tcBorders>
                    <w:tl2br w:val="nil"/>
                    <w:tr2bl w:val="nil"/>
                  </w:tcBorders>
                  <w:vAlign w:val="center"/>
                </w:tcPr>
                <w:p w14:paraId="1BC8C9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eastAsia" w:cs="Times New Roman"/>
                      <w:b w:val="0"/>
                      <w:bCs w:val="0"/>
                      <w:color w:val="auto"/>
                      <w:spacing w:val="0"/>
                      <w:w w:val="100"/>
                      <w:sz w:val="18"/>
                      <w:szCs w:val="18"/>
                      <w:highlight w:val="none"/>
                      <w:lang w:val="en-US" w:eastAsia="zh-CN"/>
                    </w:rPr>
                    <w:t>依托</w:t>
                  </w:r>
                </w:p>
              </w:tc>
            </w:tr>
            <w:tr w14:paraId="0E97DE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7496C2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pacing w:val="0"/>
                      <w:sz w:val="18"/>
                      <w:szCs w:val="18"/>
                    </w:rPr>
                  </w:pPr>
                </w:p>
              </w:tc>
              <w:tc>
                <w:tcPr>
                  <w:tcW w:w="668" w:type="pct"/>
                  <w:vMerge w:val="continue"/>
                  <w:tcBorders>
                    <w:tl2br w:val="nil"/>
                    <w:tr2bl w:val="nil"/>
                  </w:tcBorders>
                  <w:vAlign w:val="center"/>
                </w:tcPr>
                <w:p w14:paraId="16FED1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pacing w:val="0"/>
                      <w:sz w:val="18"/>
                      <w:szCs w:val="18"/>
                    </w:rPr>
                  </w:pPr>
                </w:p>
              </w:tc>
              <w:tc>
                <w:tcPr>
                  <w:tcW w:w="3084" w:type="pct"/>
                  <w:tcBorders>
                    <w:tl2br w:val="nil"/>
                    <w:tr2bl w:val="nil"/>
                  </w:tcBorders>
                  <w:vAlign w:val="center"/>
                </w:tcPr>
                <w:p w14:paraId="6A993B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w w:val="100"/>
                      <w:kern w:val="0"/>
                      <w:sz w:val="18"/>
                      <w:szCs w:val="18"/>
                      <w:highlight w:val="none"/>
                      <w:lang w:val="en-US" w:eastAsia="zh-CN"/>
                    </w:rPr>
                  </w:pPr>
                  <w:r>
                    <w:rPr>
                      <w:rFonts w:hint="default" w:ascii="Times New Roman" w:hAnsi="Times New Roman" w:eastAsia="宋体" w:cs="Times New Roman"/>
                      <w:color w:val="auto"/>
                      <w:spacing w:val="0"/>
                      <w:sz w:val="18"/>
                      <w:szCs w:val="18"/>
                    </w:rPr>
                    <w:t>沉淀池排泥水</w:t>
                  </w:r>
                  <w:r>
                    <w:rPr>
                      <w:rFonts w:hint="default" w:ascii="Times New Roman" w:hAnsi="Times New Roman" w:eastAsia="宋体" w:cs="Times New Roman"/>
                      <w:color w:val="auto"/>
                      <w:spacing w:val="0"/>
                      <w:kern w:val="21"/>
                      <w:sz w:val="18"/>
                      <w:szCs w:val="18"/>
                      <w:highlight w:val="none"/>
                      <w:lang w:val="en-US" w:eastAsia="zh-CN"/>
                    </w:rPr>
                    <w:t>经絮凝、沉淀处理后满足</w:t>
                  </w:r>
                  <w:r>
                    <w:rPr>
                      <w:rFonts w:hint="default" w:ascii="Times New Roman" w:hAnsi="Times New Roman" w:eastAsia="宋体" w:cs="Times New Roman"/>
                      <w:color w:val="auto"/>
                      <w:spacing w:val="0"/>
                      <w:sz w:val="18"/>
                      <w:szCs w:val="18"/>
                      <w:highlight w:val="none"/>
                      <w:lang w:val="en-US" w:eastAsia="zh-CN"/>
                    </w:rPr>
                    <w:t>《地表水环境质量标准》（GB3838-2002）表1中三类标准、悬浮物满足《污水综合排放标准》（GB8978-1996）一级标准</w:t>
                  </w:r>
                  <w:r>
                    <w:rPr>
                      <w:rFonts w:hint="default" w:ascii="Times New Roman" w:hAnsi="Times New Roman" w:eastAsia="宋体" w:cs="Times New Roman"/>
                      <w:color w:val="auto"/>
                      <w:spacing w:val="0"/>
                      <w:sz w:val="18"/>
                      <w:szCs w:val="18"/>
                      <w:highlight w:val="none"/>
                      <w:lang w:eastAsia="zh-CN"/>
                    </w:rPr>
                    <w:t>，</w:t>
                  </w:r>
                  <w:r>
                    <w:rPr>
                      <w:rFonts w:hint="default" w:ascii="Times New Roman" w:hAnsi="Times New Roman" w:eastAsia="宋体" w:cs="Times New Roman"/>
                      <w:color w:val="auto"/>
                      <w:sz w:val="18"/>
                      <w:szCs w:val="18"/>
                      <w:highlight w:val="none"/>
                      <w:lang w:val="en-US" w:eastAsia="zh-CN"/>
                    </w:rPr>
                    <w:t>排入</w:t>
                  </w:r>
                  <w:r>
                    <w:rPr>
                      <w:rFonts w:hint="eastAsia" w:ascii="Times New Roman" w:hAnsi="Times New Roman" w:eastAsia="宋体" w:cs="Times New Roman"/>
                      <w:color w:val="auto"/>
                      <w:sz w:val="18"/>
                      <w:szCs w:val="18"/>
                      <w:highlight w:val="none"/>
                      <w:lang w:val="en-US" w:eastAsia="zh-CN"/>
                    </w:rPr>
                    <w:t>红光沟流入</w:t>
                  </w:r>
                  <w:r>
                    <w:rPr>
                      <w:rFonts w:hint="default" w:ascii="Times New Roman" w:hAnsi="Times New Roman" w:eastAsia="宋体" w:cs="Times New Roman"/>
                      <w:color w:val="auto"/>
                      <w:sz w:val="18"/>
                      <w:szCs w:val="18"/>
                      <w:highlight w:val="none"/>
                      <w:lang w:val="en-US" w:eastAsia="zh-CN"/>
                    </w:rPr>
                    <w:t>穆棱河</w:t>
                  </w:r>
                  <w:r>
                    <w:rPr>
                      <w:rFonts w:hint="default" w:ascii="Times New Roman" w:hAnsi="Times New Roman" w:eastAsia="宋体" w:cs="Times New Roman"/>
                      <w:color w:val="auto"/>
                      <w:spacing w:val="0"/>
                      <w:sz w:val="18"/>
                      <w:szCs w:val="18"/>
                      <w:highlight w:val="none"/>
                      <w:lang w:val="en-US" w:eastAsia="zh-CN"/>
                    </w:rPr>
                    <w:t>。</w:t>
                  </w:r>
                </w:p>
              </w:tc>
              <w:tc>
                <w:tcPr>
                  <w:tcW w:w="857" w:type="pct"/>
                  <w:tcBorders>
                    <w:tl2br w:val="nil"/>
                    <w:tr2bl w:val="nil"/>
                  </w:tcBorders>
                  <w:vAlign w:val="center"/>
                </w:tcPr>
                <w:p w14:paraId="3DE45F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w w:val="100"/>
                      <w:kern w:val="0"/>
                      <w:sz w:val="18"/>
                      <w:szCs w:val="18"/>
                      <w:highlight w:val="none"/>
                      <w:lang w:val="en-US" w:eastAsia="zh-CN"/>
                    </w:rPr>
                  </w:pPr>
                  <w:r>
                    <w:rPr>
                      <w:rFonts w:hint="default" w:ascii="Times New Roman" w:hAnsi="Times New Roman" w:eastAsia="宋体" w:cs="Times New Roman"/>
                      <w:b w:val="0"/>
                      <w:bCs w:val="0"/>
                      <w:color w:val="auto"/>
                      <w:spacing w:val="0"/>
                      <w:w w:val="100"/>
                      <w:kern w:val="0"/>
                      <w:sz w:val="18"/>
                      <w:szCs w:val="18"/>
                      <w:highlight w:val="none"/>
                      <w:lang w:val="en-US" w:eastAsia="zh-CN"/>
                    </w:rPr>
                    <w:t>改建</w:t>
                  </w:r>
                </w:p>
              </w:tc>
            </w:tr>
            <w:tr w14:paraId="2E91AD7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5E2560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p>
              </w:tc>
              <w:tc>
                <w:tcPr>
                  <w:tcW w:w="668" w:type="pct"/>
                  <w:tcBorders>
                    <w:tl2br w:val="nil"/>
                    <w:tr2bl w:val="nil"/>
                  </w:tcBorders>
                  <w:vAlign w:val="center"/>
                </w:tcPr>
                <w:p w14:paraId="30BB45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default" w:ascii="Times New Roman" w:hAnsi="Times New Roman" w:eastAsia="宋体" w:cs="Times New Roman"/>
                      <w:b w:val="0"/>
                      <w:bCs w:val="0"/>
                      <w:color w:val="auto"/>
                      <w:spacing w:val="0"/>
                      <w:w w:val="100"/>
                      <w:sz w:val="18"/>
                      <w:szCs w:val="18"/>
                      <w:highlight w:val="none"/>
                    </w:rPr>
                    <w:t>噪声</w:t>
                  </w:r>
                </w:p>
              </w:tc>
              <w:tc>
                <w:tcPr>
                  <w:tcW w:w="3084" w:type="pct"/>
                  <w:tcBorders>
                    <w:tl2br w:val="nil"/>
                    <w:tr2bl w:val="nil"/>
                  </w:tcBorders>
                  <w:vAlign w:val="center"/>
                </w:tcPr>
                <w:p w14:paraId="181AA5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default" w:ascii="Times New Roman" w:hAnsi="Times New Roman" w:eastAsia="宋体" w:cs="Times New Roman"/>
                      <w:b w:val="0"/>
                      <w:bCs w:val="0"/>
                      <w:color w:val="auto"/>
                      <w:spacing w:val="0"/>
                      <w:w w:val="100"/>
                      <w:sz w:val="18"/>
                      <w:szCs w:val="18"/>
                      <w:highlight w:val="none"/>
                    </w:rPr>
                    <w:t>本项目采用低噪声设备、厂房隔声、基础减振等措施。厂界噪声满足《工业企业厂界环境噪声排放标准》（GB12348-2008）表1中</w:t>
                  </w:r>
                  <w:r>
                    <w:rPr>
                      <w:rFonts w:hint="default" w:ascii="Times New Roman" w:hAnsi="Times New Roman" w:eastAsia="宋体" w:cs="Times New Roman"/>
                      <w:b w:val="0"/>
                      <w:bCs w:val="0"/>
                      <w:color w:val="auto"/>
                      <w:spacing w:val="0"/>
                      <w:w w:val="100"/>
                      <w:sz w:val="18"/>
                      <w:szCs w:val="18"/>
                      <w:highlight w:val="none"/>
                      <w:lang w:val="en-US" w:eastAsia="zh-CN"/>
                    </w:rPr>
                    <w:t>2</w:t>
                  </w:r>
                  <w:r>
                    <w:rPr>
                      <w:rFonts w:hint="default" w:ascii="Times New Roman" w:hAnsi="Times New Roman" w:eastAsia="宋体" w:cs="Times New Roman"/>
                      <w:b w:val="0"/>
                      <w:bCs w:val="0"/>
                      <w:color w:val="auto"/>
                      <w:spacing w:val="0"/>
                      <w:w w:val="100"/>
                      <w:sz w:val="18"/>
                      <w:szCs w:val="18"/>
                      <w:highlight w:val="none"/>
                    </w:rPr>
                    <w:t>类标准要求。</w:t>
                  </w:r>
                </w:p>
              </w:tc>
              <w:tc>
                <w:tcPr>
                  <w:tcW w:w="857" w:type="pct"/>
                  <w:tcBorders>
                    <w:tl2br w:val="nil"/>
                    <w:tr2bl w:val="nil"/>
                  </w:tcBorders>
                  <w:vAlign w:val="center"/>
                </w:tcPr>
                <w:p w14:paraId="3567D2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default" w:ascii="Times New Roman" w:hAnsi="Times New Roman" w:eastAsia="宋体" w:cs="Times New Roman"/>
                      <w:b w:val="0"/>
                      <w:bCs w:val="0"/>
                      <w:color w:val="auto"/>
                      <w:spacing w:val="0"/>
                      <w:w w:val="100"/>
                      <w:sz w:val="18"/>
                      <w:szCs w:val="18"/>
                      <w:highlight w:val="none"/>
                    </w:rPr>
                    <w:t>依托</w:t>
                  </w:r>
                </w:p>
              </w:tc>
            </w:tr>
            <w:tr w14:paraId="3C5ACB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13C6BC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p>
              </w:tc>
              <w:tc>
                <w:tcPr>
                  <w:tcW w:w="668" w:type="pct"/>
                  <w:vMerge w:val="restart"/>
                  <w:tcBorders>
                    <w:tl2br w:val="nil"/>
                    <w:tr2bl w:val="nil"/>
                  </w:tcBorders>
                  <w:vAlign w:val="center"/>
                </w:tcPr>
                <w:p w14:paraId="368309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default" w:ascii="Times New Roman" w:hAnsi="Times New Roman" w:eastAsia="宋体" w:cs="Times New Roman"/>
                      <w:b w:val="0"/>
                      <w:bCs w:val="0"/>
                      <w:color w:val="auto"/>
                      <w:spacing w:val="0"/>
                      <w:w w:val="100"/>
                      <w:sz w:val="18"/>
                      <w:szCs w:val="18"/>
                      <w:highlight w:val="none"/>
                    </w:rPr>
                    <w:t>固废</w:t>
                  </w:r>
                </w:p>
              </w:tc>
              <w:tc>
                <w:tcPr>
                  <w:tcW w:w="3084" w:type="pct"/>
                  <w:tcBorders>
                    <w:tl2br w:val="nil"/>
                    <w:tr2bl w:val="nil"/>
                  </w:tcBorders>
                  <w:vAlign w:val="center"/>
                </w:tcPr>
                <w:p w14:paraId="52C40D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val="0"/>
                      <w:color w:val="auto"/>
                      <w:spacing w:val="0"/>
                      <w:w w:val="100"/>
                      <w:sz w:val="18"/>
                      <w:szCs w:val="18"/>
                      <w:highlight w:val="none"/>
                      <w:lang w:val="en-US" w:eastAsia="zh-CN"/>
                    </w:rPr>
                  </w:pPr>
                  <w:r>
                    <w:rPr>
                      <w:rFonts w:hint="eastAsia" w:ascii="Times New Roman" w:hAnsi="Times New Roman" w:cs="Times New Roman"/>
                      <w:b w:val="0"/>
                      <w:bCs w:val="0"/>
                      <w:color w:val="auto"/>
                      <w:spacing w:val="0"/>
                      <w:w w:val="100"/>
                      <w:kern w:val="0"/>
                      <w:sz w:val="18"/>
                      <w:szCs w:val="18"/>
                      <w:highlight w:val="none"/>
                      <w:lang w:val="en-US" w:eastAsia="zh-CN"/>
                    </w:rPr>
                    <w:t>净水厂现有</w:t>
                  </w:r>
                  <w:r>
                    <w:rPr>
                      <w:rFonts w:hint="default" w:ascii="Times New Roman" w:hAnsi="Times New Roman" w:eastAsia="宋体" w:cs="Times New Roman"/>
                      <w:b w:val="0"/>
                      <w:bCs w:val="0"/>
                      <w:color w:val="auto"/>
                      <w:spacing w:val="0"/>
                      <w:w w:val="100"/>
                      <w:kern w:val="0"/>
                      <w:sz w:val="18"/>
                      <w:szCs w:val="18"/>
                      <w:highlight w:val="none"/>
                    </w:rPr>
                    <w:t>生活垃圾</w:t>
                  </w:r>
                  <w:r>
                    <w:rPr>
                      <w:rFonts w:hint="default" w:ascii="Times New Roman" w:hAnsi="Times New Roman" w:eastAsia="宋体" w:cs="Times New Roman"/>
                      <w:b w:val="0"/>
                      <w:bCs w:val="0"/>
                      <w:color w:val="auto"/>
                      <w:spacing w:val="0"/>
                      <w:w w:val="100"/>
                      <w:kern w:val="0"/>
                      <w:sz w:val="18"/>
                      <w:szCs w:val="18"/>
                      <w:highlight w:val="none"/>
                      <w:lang w:val="en-US" w:eastAsia="zh-CN"/>
                    </w:rPr>
                    <w:t>委托环卫部门统一处置</w:t>
                  </w:r>
                  <w:r>
                    <w:rPr>
                      <w:rFonts w:hint="eastAsia" w:ascii="Times New Roman" w:hAnsi="Times New Roman" w:cs="Times New Roman"/>
                      <w:color w:val="auto"/>
                      <w:spacing w:val="0"/>
                      <w:kern w:val="0"/>
                      <w:sz w:val="18"/>
                      <w:szCs w:val="18"/>
                      <w:lang w:eastAsia="zh-CN"/>
                    </w:rPr>
                    <w:t>。</w:t>
                  </w:r>
                </w:p>
              </w:tc>
              <w:tc>
                <w:tcPr>
                  <w:tcW w:w="857" w:type="pct"/>
                  <w:tcBorders>
                    <w:tl2br w:val="nil"/>
                    <w:tr2bl w:val="nil"/>
                  </w:tcBorders>
                  <w:vAlign w:val="center"/>
                </w:tcPr>
                <w:p w14:paraId="6DBA74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default" w:ascii="Times New Roman" w:hAnsi="Times New Roman" w:eastAsia="宋体" w:cs="Times New Roman"/>
                      <w:b w:val="0"/>
                      <w:bCs w:val="0"/>
                      <w:color w:val="auto"/>
                      <w:spacing w:val="0"/>
                      <w:w w:val="100"/>
                      <w:sz w:val="18"/>
                      <w:szCs w:val="18"/>
                      <w:highlight w:val="none"/>
                    </w:rPr>
                    <w:t>依托</w:t>
                  </w:r>
                </w:p>
              </w:tc>
            </w:tr>
            <w:tr w14:paraId="4AB7035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4EFD75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pacing w:val="0"/>
                      <w:sz w:val="18"/>
                      <w:szCs w:val="18"/>
                    </w:rPr>
                  </w:pPr>
                </w:p>
              </w:tc>
              <w:tc>
                <w:tcPr>
                  <w:tcW w:w="668" w:type="pct"/>
                  <w:vMerge w:val="continue"/>
                  <w:tcBorders>
                    <w:tl2br w:val="nil"/>
                    <w:tr2bl w:val="nil"/>
                  </w:tcBorders>
                  <w:vAlign w:val="center"/>
                </w:tcPr>
                <w:p w14:paraId="7B947D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pacing w:val="0"/>
                      <w:sz w:val="18"/>
                      <w:szCs w:val="18"/>
                    </w:rPr>
                  </w:pPr>
                </w:p>
              </w:tc>
              <w:tc>
                <w:tcPr>
                  <w:tcW w:w="3084" w:type="pct"/>
                  <w:tcBorders>
                    <w:tl2br w:val="nil"/>
                    <w:tr2bl w:val="nil"/>
                  </w:tcBorders>
                  <w:vAlign w:val="center"/>
                </w:tcPr>
                <w:p w14:paraId="432FF9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r>
                    <w:rPr>
                      <w:rFonts w:hint="eastAsia" w:ascii="Times New Roman" w:hAnsi="Times New Roman" w:cs="Times New Roman"/>
                      <w:b w:val="0"/>
                      <w:bCs w:val="0"/>
                      <w:color w:val="auto"/>
                      <w:spacing w:val="0"/>
                      <w:w w:val="100"/>
                      <w:sz w:val="18"/>
                      <w:szCs w:val="18"/>
                      <w:highlight w:val="none"/>
                      <w:lang w:val="en-US" w:eastAsia="zh-CN"/>
                    </w:rPr>
                    <w:t>本项目不新增生活垃圾，</w:t>
                  </w:r>
                  <w:r>
                    <w:rPr>
                      <w:rFonts w:hint="default" w:ascii="Times New Roman" w:hAnsi="Times New Roman" w:eastAsia="宋体" w:cs="Times New Roman"/>
                      <w:b w:val="0"/>
                      <w:bCs w:val="0"/>
                      <w:color w:val="auto"/>
                      <w:spacing w:val="0"/>
                      <w:w w:val="100"/>
                      <w:sz w:val="18"/>
                      <w:szCs w:val="18"/>
                      <w:highlight w:val="none"/>
                      <w:lang w:val="en-US" w:eastAsia="zh-CN"/>
                    </w:rPr>
                    <w:t>脱水污泥</w:t>
                  </w:r>
                  <w:r>
                    <w:rPr>
                      <w:rFonts w:hint="eastAsia" w:cs="Times New Roman"/>
                      <w:b w:val="0"/>
                      <w:bCs w:val="0"/>
                      <w:color w:val="auto"/>
                      <w:spacing w:val="0"/>
                      <w:w w:val="100"/>
                      <w:sz w:val="18"/>
                      <w:szCs w:val="18"/>
                      <w:highlight w:val="none"/>
                      <w:lang w:val="en-US" w:eastAsia="zh-CN"/>
                    </w:rPr>
                    <w:t>暂存污泥暂存库内，定期</w:t>
                  </w:r>
                  <w:r>
                    <w:rPr>
                      <w:rFonts w:hint="eastAsia" w:ascii="宋体" w:hAnsi="宋体" w:cs="宋体"/>
                      <w:color w:val="auto"/>
                      <w:sz w:val="18"/>
                      <w:szCs w:val="18"/>
                      <w:highlight w:val="none"/>
                      <w:lang w:val="en-US" w:eastAsia="zh-CN"/>
                    </w:rPr>
                    <w:t>外运委托有资质单位处理</w:t>
                  </w:r>
                  <w:r>
                    <w:rPr>
                      <w:rFonts w:hint="eastAsia"/>
                      <w:color w:val="auto"/>
                      <w:sz w:val="18"/>
                      <w:szCs w:val="18"/>
                      <w:highlight w:val="none"/>
                      <w:lang w:val="en-US" w:eastAsia="zh-CN"/>
                    </w:rPr>
                    <w:t>。</w:t>
                  </w:r>
                </w:p>
              </w:tc>
              <w:tc>
                <w:tcPr>
                  <w:tcW w:w="857" w:type="pct"/>
                  <w:tcBorders>
                    <w:tl2br w:val="nil"/>
                    <w:tr2bl w:val="nil"/>
                  </w:tcBorders>
                  <w:vAlign w:val="center"/>
                </w:tcPr>
                <w:p w14:paraId="5EC016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lang w:val="en-US" w:eastAsia="zh-CN"/>
                    </w:rPr>
                  </w:pPr>
                  <w:r>
                    <w:rPr>
                      <w:rFonts w:hint="default" w:ascii="Times New Roman" w:hAnsi="Times New Roman" w:eastAsia="宋体" w:cs="Times New Roman"/>
                      <w:b w:val="0"/>
                      <w:bCs w:val="0"/>
                      <w:color w:val="auto"/>
                      <w:spacing w:val="0"/>
                      <w:w w:val="100"/>
                      <w:sz w:val="18"/>
                      <w:szCs w:val="18"/>
                      <w:highlight w:val="none"/>
                      <w:lang w:val="en-US" w:eastAsia="zh-CN"/>
                    </w:rPr>
                    <w:t>改建</w:t>
                  </w:r>
                </w:p>
              </w:tc>
            </w:tr>
            <w:tr w14:paraId="01F8606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5B5A7B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rPr>
                  </w:pPr>
                </w:p>
              </w:tc>
              <w:tc>
                <w:tcPr>
                  <w:tcW w:w="668" w:type="pct"/>
                  <w:tcBorders>
                    <w:tl2br w:val="nil"/>
                    <w:tr2bl w:val="nil"/>
                  </w:tcBorders>
                  <w:vAlign w:val="center"/>
                </w:tcPr>
                <w:p w14:paraId="076E35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lang w:val="en-US" w:eastAsia="zh-CN"/>
                    </w:rPr>
                  </w:pPr>
                  <w:r>
                    <w:rPr>
                      <w:rFonts w:hint="default" w:ascii="Times New Roman" w:hAnsi="Times New Roman" w:eastAsia="宋体" w:cs="Times New Roman"/>
                      <w:b w:val="0"/>
                      <w:bCs w:val="0"/>
                      <w:color w:val="auto"/>
                      <w:spacing w:val="0"/>
                      <w:w w:val="100"/>
                      <w:sz w:val="18"/>
                      <w:szCs w:val="18"/>
                      <w:highlight w:val="none"/>
                      <w:lang w:val="en-US" w:eastAsia="zh-CN"/>
                    </w:rPr>
                    <w:t>防渗</w:t>
                  </w:r>
                </w:p>
              </w:tc>
              <w:tc>
                <w:tcPr>
                  <w:tcW w:w="3084" w:type="pct"/>
                  <w:tcBorders>
                    <w:tl2br w:val="nil"/>
                    <w:tr2bl w:val="nil"/>
                  </w:tcBorders>
                  <w:vAlign w:val="center"/>
                </w:tcPr>
                <w:p w14:paraId="7C2F7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pacing w:val="0"/>
                      <w:w w:val="100"/>
                      <w:sz w:val="18"/>
                      <w:szCs w:val="18"/>
                      <w:highlight w:val="none"/>
                      <w:lang w:val="en-US" w:eastAsia="zh-CN"/>
                    </w:rPr>
                  </w:pPr>
                  <w:r>
                    <w:rPr>
                      <w:rFonts w:hint="default" w:ascii="Times New Roman" w:hAnsi="Times New Roman" w:cs="Times New Roman"/>
                      <w:color w:val="auto"/>
                      <w:spacing w:val="0"/>
                      <w:sz w:val="18"/>
                      <w:szCs w:val="18"/>
                    </w:rPr>
                    <w:t>本项目</w:t>
                  </w:r>
                  <w:r>
                    <w:rPr>
                      <w:rFonts w:hint="default" w:ascii="Times New Roman" w:hAnsi="Times New Roman" w:cs="Times New Roman"/>
                      <w:color w:val="auto"/>
                      <w:spacing w:val="0"/>
                      <w:sz w:val="18"/>
                      <w:szCs w:val="18"/>
                      <w:lang w:val="en-US" w:eastAsia="zh-CN"/>
                    </w:rPr>
                    <w:t>依托现有工程防渗措施，</w:t>
                  </w:r>
                  <w:r>
                    <w:rPr>
                      <w:rFonts w:hint="default" w:ascii="Times New Roman" w:hAnsi="Times New Roman" w:cs="Times New Roman"/>
                      <w:color w:val="auto"/>
                      <w:spacing w:val="0"/>
                      <w:sz w:val="18"/>
                      <w:szCs w:val="18"/>
                    </w:rPr>
                    <w:t>加氯</w:t>
                  </w:r>
                  <w:r>
                    <w:rPr>
                      <w:rFonts w:hint="default" w:ascii="Times New Roman" w:hAnsi="Times New Roman" w:cs="Times New Roman"/>
                      <w:color w:val="auto"/>
                      <w:spacing w:val="0"/>
                      <w:sz w:val="18"/>
                      <w:szCs w:val="18"/>
                      <w:lang w:val="en-US" w:eastAsia="zh-CN"/>
                    </w:rPr>
                    <w:t>加药间</w:t>
                  </w:r>
                  <w:r>
                    <w:rPr>
                      <w:rFonts w:hint="default" w:ascii="Times New Roman" w:hAnsi="Times New Roman" w:cs="Times New Roman"/>
                      <w:color w:val="auto"/>
                      <w:spacing w:val="0"/>
                      <w:sz w:val="18"/>
                      <w:szCs w:val="18"/>
                    </w:rPr>
                    <w:t>地面进行重点防渗，防渗措施应满足《环境影响评价技术导则地下水环境》（HJ 610—2016）中等效黏土防渗层Mb≥</w:t>
                  </w:r>
                  <w:r>
                    <w:rPr>
                      <w:rFonts w:hint="default" w:ascii="Times New Roman" w:hAnsi="Times New Roman" w:cs="Times New Roman"/>
                      <w:color w:val="auto"/>
                      <w:spacing w:val="0"/>
                      <w:sz w:val="18"/>
                      <w:szCs w:val="18"/>
                      <w:lang w:val="en-US" w:eastAsia="zh-CN"/>
                    </w:rPr>
                    <w:t>6.0</w:t>
                  </w:r>
                  <w:r>
                    <w:rPr>
                      <w:rFonts w:hint="default" w:ascii="Times New Roman" w:hAnsi="Times New Roman" w:cs="Times New Roman"/>
                      <w:color w:val="auto"/>
                      <w:spacing w:val="0"/>
                      <w:sz w:val="18"/>
                      <w:szCs w:val="18"/>
                    </w:rPr>
                    <w:t>m，</w:t>
                  </w:r>
                  <w:r>
                    <w:rPr>
                      <w:rFonts w:hint="default" w:ascii="Times New Roman" w:hAnsi="Times New Roman" w:cs="Times New Roman"/>
                      <w:color w:val="auto"/>
                      <w:spacing w:val="0"/>
                      <w:sz w:val="18"/>
                      <w:szCs w:val="18"/>
                    </w:rPr>
                    <w:t>渗透系数K≤1×10</w:t>
                  </w:r>
                  <w:r>
                    <w:rPr>
                      <w:rFonts w:hint="default" w:ascii="Times New Roman" w:hAnsi="Times New Roman" w:cs="Times New Roman"/>
                      <w:color w:val="auto"/>
                      <w:spacing w:val="0"/>
                      <w:sz w:val="18"/>
                      <w:szCs w:val="18"/>
                      <w:vertAlign w:val="superscript"/>
                    </w:rPr>
                    <w:t>-7</w:t>
                  </w:r>
                  <w:r>
                    <w:rPr>
                      <w:rFonts w:hint="default" w:ascii="Times New Roman" w:hAnsi="Times New Roman" w:cs="Times New Roman"/>
                      <w:color w:val="auto"/>
                      <w:spacing w:val="0"/>
                      <w:sz w:val="18"/>
                      <w:szCs w:val="18"/>
                    </w:rPr>
                    <w:t>cm/s</w:t>
                  </w:r>
                  <w:r>
                    <w:rPr>
                      <w:rFonts w:hint="default" w:ascii="Times New Roman" w:hAnsi="Times New Roman" w:cs="Times New Roman"/>
                      <w:color w:val="auto"/>
                      <w:spacing w:val="0"/>
                      <w:sz w:val="18"/>
                      <w:szCs w:val="18"/>
                      <w:lang w:eastAsia="zh-CN"/>
                    </w:rPr>
                    <w:t>。</w:t>
                  </w:r>
                  <w:r>
                    <w:rPr>
                      <w:rFonts w:hint="default" w:ascii="Times New Roman" w:hAnsi="Times New Roman" w:eastAsia="宋体" w:cs="Times New Roman"/>
                      <w:color w:val="auto"/>
                      <w:spacing w:val="0"/>
                      <w:sz w:val="18"/>
                      <w:szCs w:val="18"/>
                      <w:lang w:val="en-US" w:eastAsia="zh-CN"/>
                    </w:rPr>
                    <w:t>同时采取截流措施，避免进入外环境；定期检查</w:t>
                  </w:r>
                  <w:r>
                    <w:rPr>
                      <w:rFonts w:hint="default" w:ascii="Times New Roman" w:hAnsi="Times New Roman" w:cs="Times New Roman"/>
                      <w:color w:val="auto"/>
                      <w:spacing w:val="0"/>
                      <w:sz w:val="18"/>
                      <w:szCs w:val="18"/>
                      <w:lang w:val="en-US" w:eastAsia="zh-CN"/>
                    </w:rPr>
                    <w:t>药剂及液氯瓶装</w:t>
                  </w:r>
                  <w:r>
                    <w:rPr>
                      <w:rFonts w:hint="default" w:ascii="Times New Roman" w:hAnsi="Times New Roman" w:eastAsia="宋体" w:cs="Times New Roman"/>
                      <w:color w:val="auto"/>
                      <w:spacing w:val="0"/>
                      <w:sz w:val="18"/>
                      <w:szCs w:val="18"/>
                      <w:lang w:val="en-US" w:eastAsia="zh-CN"/>
                    </w:rPr>
                    <w:t>是否完整无损</w:t>
                  </w:r>
                  <w:r>
                    <w:rPr>
                      <w:rFonts w:hint="default" w:ascii="Times New Roman" w:hAnsi="Times New Roman" w:cs="Times New Roman"/>
                      <w:color w:val="auto"/>
                      <w:spacing w:val="0"/>
                      <w:sz w:val="18"/>
                      <w:szCs w:val="18"/>
                      <w:lang w:val="en-US" w:eastAsia="zh-CN"/>
                    </w:rPr>
                    <w:t>。</w:t>
                  </w:r>
                  <w:r>
                    <w:rPr>
                      <w:rFonts w:hint="default" w:ascii="Times New Roman" w:hAnsi="Times New Roman" w:cs="Times New Roman"/>
                      <w:color w:val="auto"/>
                      <w:sz w:val="18"/>
                      <w:szCs w:val="18"/>
                    </w:rPr>
                    <w:t>防渗</w:t>
                  </w:r>
                  <w:r>
                    <w:rPr>
                      <w:rFonts w:hint="eastAsia" w:cs="Times New Roman"/>
                      <w:color w:val="auto"/>
                      <w:sz w:val="18"/>
                      <w:szCs w:val="18"/>
                      <w:lang w:val="en-US" w:eastAsia="zh-CN"/>
                    </w:rPr>
                    <w:t>化粪池</w:t>
                  </w:r>
                  <w:r>
                    <w:rPr>
                      <w:rFonts w:hint="eastAsia"/>
                      <w:bCs/>
                      <w:color w:val="auto"/>
                      <w:sz w:val="18"/>
                      <w:szCs w:val="18"/>
                    </w:rPr>
                    <w:t>采取一般防渗要求，防渗技术要求达到等效粘土防渗层</w:t>
                  </w:r>
                  <w:r>
                    <w:rPr>
                      <w:rFonts w:hint="default"/>
                      <w:bCs/>
                      <w:color w:val="auto"/>
                      <w:sz w:val="18"/>
                      <w:szCs w:val="18"/>
                    </w:rPr>
                    <w:t>Mb≥1.5m</w:t>
                  </w:r>
                  <w:r>
                    <w:rPr>
                      <w:rFonts w:hint="eastAsia"/>
                      <w:bCs/>
                      <w:color w:val="auto"/>
                      <w:sz w:val="18"/>
                      <w:szCs w:val="18"/>
                    </w:rPr>
                    <w:t>，</w:t>
                  </w:r>
                  <w:r>
                    <w:rPr>
                      <w:rFonts w:hint="default"/>
                      <w:bCs/>
                      <w:color w:val="auto"/>
                      <w:sz w:val="18"/>
                      <w:szCs w:val="18"/>
                    </w:rPr>
                    <w:t>K≤1×10</w:t>
                  </w:r>
                  <w:r>
                    <w:rPr>
                      <w:rFonts w:hint="default"/>
                      <w:bCs/>
                      <w:color w:val="auto"/>
                      <w:sz w:val="18"/>
                      <w:szCs w:val="18"/>
                      <w:vertAlign w:val="superscript"/>
                    </w:rPr>
                    <w:t>-7</w:t>
                  </w:r>
                  <w:r>
                    <w:rPr>
                      <w:rFonts w:hint="default"/>
                      <w:bCs/>
                      <w:color w:val="auto"/>
                      <w:sz w:val="18"/>
                      <w:szCs w:val="18"/>
                    </w:rPr>
                    <w:t>cm/s</w:t>
                  </w:r>
                  <w:r>
                    <w:rPr>
                      <w:rFonts w:hint="eastAsia"/>
                      <w:bCs/>
                      <w:color w:val="auto"/>
                      <w:sz w:val="18"/>
                      <w:szCs w:val="18"/>
                      <w:lang w:eastAsia="zh-CN"/>
                    </w:rPr>
                    <w:t>。</w:t>
                  </w:r>
                  <w:r>
                    <w:rPr>
                      <w:rFonts w:hint="default" w:ascii="Times New Roman" w:hAnsi="Times New Roman" w:eastAsia="宋体" w:cs="Times New Roman"/>
                      <w:color w:val="auto"/>
                      <w:spacing w:val="0"/>
                      <w:kern w:val="0"/>
                      <w:sz w:val="18"/>
                      <w:szCs w:val="18"/>
                      <w:highlight w:val="none"/>
                      <w:lang w:val="en-US" w:eastAsia="zh-CN"/>
                    </w:rPr>
                    <w:t>厂区其他区域为简单防渗，进行一般地面硬化。</w:t>
                  </w:r>
                </w:p>
              </w:tc>
              <w:tc>
                <w:tcPr>
                  <w:tcW w:w="857" w:type="pct"/>
                  <w:tcBorders>
                    <w:tl2br w:val="nil"/>
                    <w:tr2bl w:val="nil"/>
                  </w:tcBorders>
                  <w:vAlign w:val="center"/>
                </w:tcPr>
                <w:p w14:paraId="0C5191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18"/>
                      <w:szCs w:val="18"/>
                      <w:highlight w:val="none"/>
                      <w:lang w:val="en-US" w:eastAsia="zh-CN"/>
                    </w:rPr>
                  </w:pPr>
                  <w:r>
                    <w:rPr>
                      <w:rFonts w:hint="eastAsia" w:cs="Times New Roman"/>
                      <w:b w:val="0"/>
                      <w:bCs w:val="0"/>
                      <w:color w:val="auto"/>
                      <w:spacing w:val="0"/>
                      <w:w w:val="100"/>
                      <w:sz w:val="18"/>
                      <w:szCs w:val="18"/>
                      <w:highlight w:val="none"/>
                      <w:lang w:val="en-US" w:eastAsia="zh-CN"/>
                    </w:rPr>
                    <w:t>依托</w:t>
                  </w:r>
                </w:p>
              </w:tc>
            </w:tr>
          </w:tbl>
          <w:p w14:paraId="75AEF9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b/>
                <w:color w:val="auto"/>
                <w:sz w:val="21"/>
                <w:szCs w:val="21"/>
                <w:highlight w:val="none"/>
              </w:rPr>
            </w:pPr>
            <w:r>
              <w:rPr>
                <w:rFonts w:hint="default" w:ascii="Times New Roman" w:hAnsi="Times New Roman" w:cs="Times New Roman"/>
                <w:b/>
                <w:bCs/>
                <w:color w:val="auto"/>
                <w:kern w:val="0"/>
                <w:sz w:val="21"/>
                <w:szCs w:val="21"/>
                <w:highlight w:val="none"/>
              </w:rPr>
              <w:t>2、</w:t>
            </w:r>
            <w:r>
              <w:rPr>
                <w:rFonts w:hint="default"/>
                <w:b/>
                <w:color w:val="auto"/>
                <w:sz w:val="21"/>
                <w:szCs w:val="21"/>
                <w:highlight w:val="none"/>
              </w:rPr>
              <w:t>主要产品及产能</w:t>
            </w:r>
          </w:p>
          <w:p w14:paraId="48D89A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bCs/>
                <w:color w:val="auto"/>
                <w:sz w:val="21"/>
                <w:szCs w:val="21"/>
                <w:highlight w:val="none"/>
              </w:rPr>
            </w:pPr>
            <w:r>
              <w:rPr>
                <w:rFonts w:hint="eastAsia"/>
                <w:bCs/>
                <w:color w:val="auto"/>
                <w:sz w:val="21"/>
                <w:szCs w:val="21"/>
                <w:highlight w:val="none"/>
                <w:lang w:val="en-US" w:eastAsia="zh-CN"/>
              </w:rPr>
              <w:t>本项目产品及产能不变。主要</w:t>
            </w:r>
            <w:r>
              <w:rPr>
                <w:rFonts w:hint="default"/>
                <w:bCs/>
                <w:color w:val="auto"/>
                <w:sz w:val="21"/>
                <w:szCs w:val="21"/>
                <w:highlight w:val="none"/>
              </w:rPr>
              <w:t>产品方案详见表2-</w:t>
            </w:r>
            <w:r>
              <w:rPr>
                <w:rFonts w:hint="eastAsia"/>
                <w:bCs/>
                <w:color w:val="auto"/>
                <w:sz w:val="21"/>
                <w:szCs w:val="21"/>
                <w:highlight w:val="none"/>
                <w:lang w:val="en-US" w:eastAsia="zh-CN"/>
              </w:rPr>
              <w:t>2</w:t>
            </w:r>
            <w:r>
              <w:rPr>
                <w:rFonts w:hint="default"/>
                <w:bCs/>
                <w:color w:val="auto"/>
                <w:sz w:val="21"/>
                <w:szCs w:val="21"/>
                <w:highlight w:val="none"/>
              </w:rPr>
              <w:t>。</w:t>
            </w:r>
          </w:p>
          <w:p w14:paraId="30D644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eastAsia="宋体"/>
                <w:b/>
                <w:color w:val="auto"/>
                <w:szCs w:val="21"/>
                <w:highlight w:val="none"/>
                <w:lang w:eastAsia="zh-CN"/>
              </w:rPr>
            </w:pPr>
            <w:r>
              <w:rPr>
                <w:rFonts w:hint="default"/>
                <w:b/>
                <w:color w:val="auto"/>
                <w:szCs w:val="21"/>
                <w:highlight w:val="none"/>
              </w:rPr>
              <w:t>表2-</w:t>
            </w:r>
            <w:r>
              <w:rPr>
                <w:rFonts w:hint="eastAsia"/>
                <w:b/>
                <w:color w:val="auto"/>
                <w:szCs w:val="21"/>
                <w:highlight w:val="none"/>
                <w:lang w:val="en-US" w:eastAsia="zh-CN"/>
              </w:rPr>
              <w:t>2</w:t>
            </w:r>
            <w:r>
              <w:rPr>
                <w:rFonts w:hint="default"/>
                <w:b/>
                <w:color w:val="auto"/>
                <w:szCs w:val="21"/>
                <w:highlight w:val="none"/>
              </w:rPr>
              <w:t>主要产品及产能</w:t>
            </w:r>
          </w:p>
          <w:tbl>
            <w:tblPr>
              <w:tblStyle w:val="36"/>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20"/>
              <w:gridCol w:w="1040"/>
              <w:gridCol w:w="1550"/>
              <w:gridCol w:w="1630"/>
              <w:gridCol w:w="1060"/>
              <w:gridCol w:w="630"/>
              <w:gridCol w:w="1427"/>
            </w:tblGrid>
            <w:tr w14:paraId="6103D7D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0" w:type="dxa"/>
                  <w:tcBorders>
                    <w:tl2br w:val="nil"/>
                    <w:tr2bl w:val="nil"/>
                  </w:tcBorders>
                  <w:vAlign w:val="center"/>
                </w:tcPr>
                <w:p w14:paraId="140D9C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eastAsiaTheme="minorEastAsia"/>
                      <w:color w:val="auto"/>
                      <w:sz w:val="18"/>
                      <w:szCs w:val="18"/>
                      <w:highlight w:val="none"/>
                      <w:vertAlign w:val="baseline"/>
                      <w:lang w:val="en-US" w:eastAsia="zh-CN"/>
                    </w:rPr>
                  </w:pPr>
                  <w:r>
                    <w:rPr>
                      <w:rFonts w:hint="eastAsia"/>
                      <w:color w:val="auto"/>
                      <w:sz w:val="18"/>
                      <w:szCs w:val="18"/>
                      <w:highlight w:val="none"/>
                      <w:vertAlign w:val="baseline"/>
                      <w:lang w:val="en-US" w:eastAsia="zh-CN"/>
                    </w:rPr>
                    <w:t>序号</w:t>
                  </w:r>
                </w:p>
              </w:tc>
              <w:tc>
                <w:tcPr>
                  <w:tcW w:w="1040" w:type="dxa"/>
                  <w:tcBorders>
                    <w:tl2br w:val="nil"/>
                    <w:tr2bl w:val="nil"/>
                  </w:tcBorders>
                  <w:vAlign w:val="center"/>
                </w:tcPr>
                <w:p w14:paraId="1CF7F4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eastAsiaTheme="minorEastAsia"/>
                      <w:color w:val="auto"/>
                      <w:sz w:val="18"/>
                      <w:szCs w:val="18"/>
                      <w:highlight w:val="none"/>
                      <w:vertAlign w:val="baseline"/>
                      <w:lang w:val="en-US" w:eastAsia="zh-CN"/>
                    </w:rPr>
                  </w:pPr>
                  <w:r>
                    <w:rPr>
                      <w:rFonts w:hint="eastAsia"/>
                      <w:color w:val="auto"/>
                      <w:sz w:val="18"/>
                      <w:szCs w:val="18"/>
                      <w:highlight w:val="none"/>
                      <w:vertAlign w:val="baseline"/>
                      <w:lang w:val="en-US" w:eastAsia="zh-CN"/>
                    </w:rPr>
                    <w:t>产品名称</w:t>
                  </w:r>
                </w:p>
              </w:tc>
              <w:tc>
                <w:tcPr>
                  <w:tcW w:w="1550" w:type="dxa"/>
                  <w:tcBorders>
                    <w:tl2br w:val="nil"/>
                    <w:tr2bl w:val="nil"/>
                  </w:tcBorders>
                  <w:vAlign w:val="center"/>
                </w:tcPr>
                <w:p w14:paraId="618AA2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eastAsiaTheme="minorEastAsia"/>
                      <w:color w:val="auto"/>
                      <w:sz w:val="18"/>
                      <w:szCs w:val="18"/>
                      <w:highlight w:val="none"/>
                      <w:vertAlign w:val="baseline"/>
                      <w:lang w:val="en-US" w:eastAsia="zh-CN"/>
                    </w:rPr>
                  </w:pPr>
                  <w:r>
                    <w:rPr>
                      <w:rFonts w:hint="eastAsia"/>
                      <w:color w:val="auto"/>
                      <w:sz w:val="18"/>
                      <w:szCs w:val="18"/>
                      <w:highlight w:val="none"/>
                      <w:vertAlign w:val="baseline"/>
                      <w:lang w:val="en-US" w:eastAsia="zh-CN"/>
                    </w:rPr>
                    <w:t>现有工程产量</w:t>
                  </w:r>
                </w:p>
              </w:tc>
              <w:tc>
                <w:tcPr>
                  <w:tcW w:w="1630" w:type="dxa"/>
                  <w:tcBorders>
                    <w:tl2br w:val="nil"/>
                    <w:tr2bl w:val="nil"/>
                  </w:tcBorders>
                  <w:vAlign w:val="center"/>
                </w:tcPr>
                <w:p w14:paraId="35EEDB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sz w:val="18"/>
                      <w:szCs w:val="18"/>
                      <w:highlight w:val="none"/>
                      <w:vertAlign w:val="baseline"/>
                      <w:lang w:val="en-US" w:eastAsia="zh-CN"/>
                    </w:rPr>
                  </w:pPr>
                  <w:r>
                    <w:rPr>
                      <w:rFonts w:hint="eastAsia"/>
                      <w:color w:val="auto"/>
                      <w:sz w:val="18"/>
                      <w:szCs w:val="18"/>
                      <w:highlight w:val="none"/>
                      <w:vertAlign w:val="baseline"/>
                      <w:lang w:val="en-US" w:eastAsia="zh-CN"/>
                    </w:rPr>
                    <w:t>本项目产量</w:t>
                  </w:r>
                </w:p>
              </w:tc>
              <w:tc>
                <w:tcPr>
                  <w:tcW w:w="1060" w:type="dxa"/>
                  <w:tcBorders>
                    <w:tl2br w:val="nil"/>
                    <w:tr2bl w:val="nil"/>
                  </w:tcBorders>
                  <w:vAlign w:val="center"/>
                </w:tcPr>
                <w:p w14:paraId="151477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sz w:val="18"/>
                      <w:szCs w:val="18"/>
                      <w:highlight w:val="none"/>
                      <w:vertAlign w:val="baseline"/>
                      <w:lang w:val="en-US" w:eastAsia="zh-CN"/>
                    </w:rPr>
                  </w:pPr>
                  <w:r>
                    <w:rPr>
                      <w:rFonts w:hint="eastAsia"/>
                      <w:color w:val="auto"/>
                      <w:sz w:val="18"/>
                      <w:szCs w:val="18"/>
                      <w:highlight w:val="none"/>
                      <w:vertAlign w:val="baseline"/>
                      <w:lang w:val="en-US" w:eastAsia="zh-CN"/>
                    </w:rPr>
                    <w:t>全厂产量</w:t>
                  </w:r>
                </w:p>
              </w:tc>
              <w:tc>
                <w:tcPr>
                  <w:tcW w:w="630" w:type="dxa"/>
                  <w:tcBorders>
                    <w:tl2br w:val="nil"/>
                    <w:tr2bl w:val="nil"/>
                  </w:tcBorders>
                  <w:vAlign w:val="center"/>
                </w:tcPr>
                <w:p w14:paraId="630484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eastAsiaTheme="minorEastAsia"/>
                      <w:color w:val="auto"/>
                      <w:sz w:val="18"/>
                      <w:szCs w:val="18"/>
                      <w:highlight w:val="none"/>
                      <w:vertAlign w:val="baseline"/>
                      <w:lang w:val="en-US" w:eastAsia="zh-CN"/>
                    </w:rPr>
                  </w:pPr>
                  <w:r>
                    <w:rPr>
                      <w:rFonts w:hint="eastAsia"/>
                      <w:color w:val="auto"/>
                      <w:sz w:val="18"/>
                      <w:szCs w:val="18"/>
                      <w:highlight w:val="none"/>
                      <w:vertAlign w:val="baseline"/>
                      <w:lang w:val="en-US" w:eastAsia="zh-CN"/>
                    </w:rPr>
                    <w:t>单位</w:t>
                  </w:r>
                </w:p>
              </w:tc>
              <w:tc>
                <w:tcPr>
                  <w:tcW w:w="1427" w:type="dxa"/>
                  <w:tcBorders>
                    <w:tl2br w:val="nil"/>
                    <w:tr2bl w:val="nil"/>
                  </w:tcBorders>
                  <w:vAlign w:val="center"/>
                </w:tcPr>
                <w:p w14:paraId="6CCC6D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sz w:val="18"/>
                      <w:szCs w:val="18"/>
                      <w:highlight w:val="none"/>
                      <w:vertAlign w:val="baseline"/>
                      <w:lang w:val="en-US" w:eastAsia="zh-CN"/>
                    </w:rPr>
                  </w:pPr>
                  <w:r>
                    <w:rPr>
                      <w:rFonts w:hint="eastAsia"/>
                      <w:color w:val="auto"/>
                      <w:sz w:val="18"/>
                      <w:szCs w:val="18"/>
                      <w:highlight w:val="none"/>
                      <w:vertAlign w:val="baseline"/>
                      <w:lang w:val="en-US" w:eastAsia="zh-CN"/>
                    </w:rPr>
                    <w:t>备注</w:t>
                  </w:r>
                </w:p>
              </w:tc>
            </w:tr>
            <w:tr w14:paraId="2AEFC0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0" w:type="dxa"/>
                  <w:tcBorders>
                    <w:tl2br w:val="nil"/>
                    <w:tr2bl w:val="nil"/>
                  </w:tcBorders>
                  <w:vAlign w:val="center"/>
                </w:tcPr>
                <w:p w14:paraId="6F3183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eastAsiaTheme="minorEastAsia"/>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1</w:t>
                  </w:r>
                </w:p>
              </w:tc>
              <w:tc>
                <w:tcPr>
                  <w:tcW w:w="1040" w:type="dxa"/>
                  <w:tcBorders>
                    <w:tl2br w:val="nil"/>
                    <w:tr2bl w:val="nil"/>
                  </w:tcBorders>
                  <w:vAlign w:val="center"/>
                </w:tcPr>
                <w:p w14:paraId="075FF0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eastAsiaTheme="minorEastAsia"/>
                      <w:color w:val="auto"/>
                      <w:sz w:val="18"/>
                      <w:szCs w:val="18"/>
                      <w:highlight w:val="none"/>
                      <w:vertAlign w:val="baseline"/>
                      <w:lang w:val="en-US" w:eastAsia="zh-CN"/>
                    </w:rPr>
                  </w:pPr>
                  <w:r>
                    <w:rPr>
                      <w:rFonts w:hint="eastAsia" w:eastAsiaTheme="minorEastAsia"/>
                      <w:color w:val="auto"/>
                      <w:sz w:val="18"/>
                      <w:szCs w:val="18"/>
                      <w:highlight w:val="none"/>
                      <w:vertAlign w:val="baseline"/>
                      <w:lang w:val="en-US" w:eastAsia="zh-CN"/>
                    </w:rPr>
                    <w:t>自来水</w:t>
                  </w:r>
                </w:p>
              </w:tc>
              <w:tc>
                <w:tcPr>
                  <w:tcW w:w="1550" w:type="dxa"/>
                  <w:tcBorders>
                    <w:tl2br w:val="nil"/>
                    <w:tr2bl w:val="nil"/>
                  </w:tcBorders>
                  <w:vAlign w:val="center"/>
                </w:tcPr>
                <w:p w14:paraId="7A14CA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eastAsiaTheme="minorEastAsia"/>
                      <w:color w:val="auto"/>
                      <w:sz w:val="18"/>
                      <w:szCs w:val="18"/>
                      <w:highlight w:val="none"/>
                      <w:vertAlign w:val="baseline"/>
                      <w:lang w:val="en-US" w:eastAsia="zh-CN"/>
                    </w:rPr>
                  </w:pPr>
                  <w:r>
                    <w:rPr>
                      <w:rFonts w:hint="eastAsia" w:cs="Times New Roman" w:eastAsiaTheme="minorEastAsia"/>
                      <w:color w:val="auto"/>
                      <w:sz w:val="18"/>
                      <w:szCs w:val="18"/>
                      <w:highlight w:val="none"/>
                      <w:vertAlign w:val="baseline"/>
                      <w:lang w:val="en-US" w:eastAsia="zh-CN"/>
                    </w:rPr>
                    <w:t>150000</w:t>
                  </w:r>
                </w:p>
              </w:tc>
              <w:tc>
                <w:tcPr>
                  <w:tcW w:w="1630" w:type="dxa"/>
                  <w:tcBorders>
                    <w:tl2br w:val="nil"/>
                    <w:tr2bl w:val="nil"/>
                  </w:tcBorders>
                  <w:vAlign w:val="center"/>
                </w:tcPr>
                <w:p w14:paraId="72CA12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cs="Times New Roman" w:eastAsiaTheme="minorEastAsia"/>
                      <w:color w:val="auto"/>
                      <w:sz w:val="18"/>
                      <w:szCs w:val="18"/>
                      <w:highlight w:val="none"/>
                      <w:vertAlign w:val="baseline"/>
                      <w:lang w:val="en-US" w:eastAsia="zh-CN"/>
                    </w:rPr>
                  </w:pPr>
                  <w:r>
                    <w:rPr>
                      <w:rFonts w:hint="eastAsia" w:cs="Times New Roman" w:eastAsiaTheme="minorEastAsia"/>
                      <w:color w:val="auto"/>
                      <w:sz w:val="18"/>
                      <w:szCs w:val="18"/>
                      <w:highlight w:val="none"/>
                      <w:vertAlign w:val="baseline"/>
                      <w:lang w:val="en-US" w:eastAsia="zh-CN"/>
                    </w:rPr>
                    <w:t>0</w:t>
                  </w:r>
                </w:p>
              </w:tc>
              <w:tc>
                <w:tcPr>
                  <w:tcW w:w="1060" w:type="dxa"/>
                  <w:tcBorders>
                    <w:tl2br w:val="nil"/>
                    <w:tr2bl w:val="nil"/>
                  </w:tcBorders>
                  <w:vAlign w:val="center"/>
                </w:tcPr>
                <w:p w14:paraId="117937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cs="Times New Roman" w:eastAsiaTheme="minorEastAsia"/>
                      <w:color w:val="auto"/>
                      <w:sz w:val="18"/>
                      <w:szCs w:val="18"/>
                      <w:highlight w:val="none"/>
                      <w:vertAlign w:val="baseline"/>
                      <w:lang w:val="en-US" w:eastAsia="zh-CN"/>
                    </w:rPr>
                  </w:pPr>
                  <w:r>
                    <w:rPr>
                      <w:rFonts w:hint="eastAsia" w:cs="Times New Roman" w:eastAsiaTheme="minorEastAsia"/>
                      <w:color w:val="auto"/>
                      <w:sz w:val="18"/>
                      <w:szCs w:val="18"/>
                      <w:highlight w:val="none"/>
                      <w:vertAlign w:val="baseline"/>
                      <w:lang w:val="en-US" w:eastAsia="zh-CN"/>
                    </w:rPr>
                    <w:t>150000</w:t>
                  </w:r>
                </w:p>
              </w:tc>
              <w:tc>
                <w:tcPr>
                  <w:tcW w:w="630" w:type="dxa"/>
                  <w:tcBorders>
                    <w:tl2br w:val="nil"/>
                    <w:tr2bl w:val="nil"/>
                  </w:tcBorders>
                  <w:vAlign w:val="center"/>
                </w:tcPr>
                <w:p w14:paraId="186D55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sz w:val="18"/>
                      <w:szCs w:val="18"/>
                      <w:highlight w:val="none"/>
                      <w:lang w:val="en-US" w:eastAsia="zh-CN"/>
                    </w:rPr>
                  </w:pPr>
                  <w:r>
                    <w:rPr>
                      <w:rFonts w:hint="eastAsia" w:cs="Times New Roman"/>
                      <w:color w:val="auto"/>
                      <w:sz w:val="18"/>
                      <w:szCs w:val="18"/>
                      <w:highlight w:val="none"/>
                      <w:vertAlign w:val="baseline"/>
                      <w:lang w:val="en-US" w:eastAsia="zh-CN"/>
                    </w:rPr>
                    <w:t>t/d</w:t>
                  </w:r>
                </w:p>
              </w:tc>
              <w:tc>
                <w:tcPr>
                  <w:tcW w:w="1427" w:type="dxa"/>
                  <w:tcBorders>
                    <w:tl2br w:val="nil"/>
                    <w:tr2bl w:val="nil"/>
                  </w:tcBorders>
                  <w:vAlign w:val="center"/>
                </w:tcPr>
                <w:p w14:paraId="17CD33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s="Times New Roman"/>
                      <w:color w:val="auto"/>
                      <w:sz w:val="18"/>
                      <w:szCs w:val="18"/>
                      <w:highlight w:val="none"/>
                      <w:vertAlign w:val="baseline"/>
                      <w:lang w:val="en-US" w:eastAsia="zh-CN"/>
                    </w:rPr>
                  </w:pPr>
                  <w:r>
                    <w:rPr>
                      <w:rFonts w:hint="eastAsia" w:cs="Times New Roman"/>
                      <w:color w:val="auto"/>
                      <w:sz w:val="18"/>
                      <w:szCs w:val="18"/>
                      <w:highlight w:val="none"/>
                      <w:vertAlign w:val="baseline"/>
                      <w:lang w:val="en-US" w:eastAsia="zh-CN"/>
                    </w:rPr>
                    <w:t>/</w:t>
                  </w:r>
                </w:p>
              </w:tc>
            </w:tr>
          </w:tbl>
          <w:p w14:paraId="7F8AA7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Times New Roman" w:hAnsi="Times New Roman" w:cs="Times New Roman"/>
                <w:b/>
                <w:bCs/>
                <w:color w:val="auto"/>
                <w:kern w:val="0"/>
                <w:sz w:val="21"/>
                <w:szCs w:val="21"/>
                <w:highlight w:val="none"/>
              </w:rPr>
            </w:pPr>
            <w:r>
              <w:rPr>
                <w:rFonts w:hint="eastAsia" w:cs="Times New Roman"/>
                <w:b/>
                <w:bCs/>
                <w:color w:val="auto"/>
                <w:kern w:val="0"/>
                <w:sz w:val="21"/>
                <w:szCs w:val="21"/>
                <w:highlight w:val="none"/>
                <w:lang w:val="en-US" w:eastAsia="zh-CN"/>
              </w:rPr>
              <w:t>3、</w:t>
            </w:r>
            <w:r>
              <w:rPr>
                <w:rFonts w:hint="default" w:ascii="Times New Roman" w:hAnsi="Times New Roman" w:cs="Times New Roman"/>
                <w:b/>
                <w:bCs/>
                <w:color w:val="auto"/>
                <w:kern w:val="0"/>
                <w:sz w:val="21"/>
                <w:szCs w:val="21"/>
                <w:highlight w:val="none"/>
              </w:rPr>
              <w:t>主要设备</w:t>
            </w:r>
          </w:p>
          <w:p w14:paraId="043720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b/>
                <w:bCs/>
                <w:color w:val="auto"/>
                <w:kern w:val="0"/>
                <w:sz w:val="21"/>
                <w:szCs w:val="21"/>
                <w:highlight w:val="none"/>
              </w:rPr>
            </w:pPr>
            <w:r>
              <w:rPr>
                <w:rFonts w:hint="eastAsia"/>
                <w:bCs/>
                <w:color w:val="auto"/>
                <w:sz w:val="21"/>
                <w:szCs w:val="21"/>
                <w:highlight w:val="none"/>
                <w:lang w:val="en-US" w:eastAsia="zh-CN"/>
              </w:rPr>
              <w:t>本项目</w:t>
            </w:r>
            <w:r>
              <w:rPr>
                <w:rFonts w:hint="default" w:ascii="Times New Roman" w:hAnsi="Times New Roman" w:cs="Times New Roman"/>
                <w:color w:val="auto"/>
                <w:kern w:val="0"/>
                <w:sz w:val="21"/>
                <w:szCs w:val="21"/>
                <w:highlight w:val="none"/>
              </w:rPr>
              <w:t>主要设备见表2-</w:t>
            </w:r>
            <w:r>
              <w:rPr>
                <w:rFonts w:hint="eastAsia" w:cs="Times New Roman"/>
                <w:color w:val="auto"/>
                <w:kern w:val="0"/>
                <w:sz w:val="21"/>
                <w:szCs w:val="21"/>
                <w:highlight w:val="none"/>
                <w:lang w:val="en-US" w:eastAsia="zh-CN"/>
              </w:rPr>
              <w:t>3</w:t>
            </w:r>
            <w:r>
              <w:rPr>
                <w:rFonts w:hint="default" w:ascii="Times New Roman" w:hAnsi="Times New Roman" w:cs="Times New Roman"/>
                <w:color w:val="auto"/>
                <w:kern w:val="0"/>
                <w:sz w:val="21"/>
                <w:szCs w:val="21"/>
                <w:highlight w:val="none"/>
              </w:rPr>
              <w:t>。</w:t>
            </w:r>
          </w:p>
          <w:p w14:paraId="024439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b/>
                <w:bCs/>
                <w:snapToGrid w:val="0"/>
                <w:color w:val="auto"/>
                <w:sz w:val="21"/>
                <w:szCs w:val="21"/>
                <w:highlight w:val="none"/>
              </w:rPr>
              <w:t>表2-</w:t>
            </w:r>
            <w:r>
              <w:rPr>
                <w:rFonts w:hint="eastAsia" w:cs="Times New Roman"/>
                <w:b/>
                <w:bCs/>
                <w:snapToGrid w:val="0"/>
                <w:color w:val="auto"/>
                <w:sz w:val="21"/>
                <w:szCs w:val="21"/>
                <w:highlight w:val="none"/>
                <w:lang w:val="en-US" w:eastAsia="zh-CN"/>
              </w:rPr>
              <w:t>3</w:t>
            </w:r>
            <w:r>
              <w:rPr>
                <w:rFonts w:hint="default" w:ascii="Times New Roman" w:hAnsi="Times New Roman" w:eastAsia="宋体" w:cs="Times New Roman"/>
                <w:b/>
                <w:bCs/>
                <w:snapToGrid w:val="0"/>
                <w:color w:val="auto"/>
                <w:sz w:val="21"/>
                <w:szCs w:val="21"/>
                <w:highlight w:val="none"/>
              </w:rPr>
              <w:t>主要设备一览表</w:t>
            </w:r>
          </w:p>
          <w:tbl>
            <w:tblPr>
              <w:tblStyle w:val="36"/>
              <w:tblW w:w="5000" w:type="pct"/>
              <w:tblInd w:w="-1"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26"/>
              <w:gridCol w:w="2320"/>
              <w:gridCol w:w="3196"/>
              <w:gridCol w:w="679"/>
              <w:gridCol w:w="668"/>
              <w:gridCol w:w="668"/>
            </w:tblGrid>
            <w:tr w14:paraId="7F809FF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vAlign w:val="center"/>
                </w:tcPr>
                <w:p w14:paraId="742F42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序号</w:t>
                  </w:r>
                </w:p>
              </w:tc>
              <w:tc>
                <w:tcPr>
                  <w:tcW w:w="2320" w:type="dxa"/>
                  <w:vAlign w:val="center"/>
                </w:tcPr>
                <w:p w14:paraId="591F13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设备名称</w:t>
                  </w:r>
                </w:p>
              </w:tc>
              <w:tc>
                <w:tcPr>
                  <w:tcW w:w="3196" w:type="dxa"/>
                  <w:vAlign w:val="center"/>
                </w:tcPr>
                <w:p w14:paraId="29F625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规格/型号</w:t>
                  </w:r>
                </w:p>
              </w:tc>
              <w:tc>
                <w:tcPr>
                  <w:tcW w:w="679" w:type="dxa"/>
                  <w:vAlign w:val="center"/>
                </w:tcPr>
                <w:p w14:paraId="0E2752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数量</w:t>
                  </w:r>
                </w:p>
              </w:tc>
              <w:tc>
                <w:tcPr>
                  <w:tcW w:w="668" w:type="dxa"/>
                  <w:vAlign w:val="center"/>
                </w:tcPr>
                <w:p w14:paraId="4F5A2C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单位</w:t>
                  </w:r>
                </w:p>
              </w:tc>
              <w:tc>
                <w:tcPr>
                  <w:tcW w:w="668" w:type="dxa"/>
                  <w:vAlign w:val="center"/>
                </w:tcPr>
                <w:p w14:paraId="1BEBDB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备注</w:t>
                  </w:r>
                </w:p>
              </w:tc>
            </w:tr>
            <w:tr w14:paraId="3816774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04F2FE4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rPr>
                    <w:t>1</w:t>
                  </w:r>
                </w:p>
              </w:tc>
              <w:tc>
                <w:tcPr>
                  <w:tcW w:w="2320" w:type="dxa"/>
                  <w:shd w:val="clear" w:color="auto" w:fill="auto"/>
                  <w:vAlign w:val="center"/>
                </w:tcPr>
                <w:p w14:paraId="7EEAAF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en-US"/>
                    </w:rPr>
                  </w:pPr>
                  <w:r>
                    <w:rPr>
                      <w:rFonts w:hint="default" w:ascii="Times New Roman" w:hAnsi="Times New Roman" w:eastAsia="宋体" w:cs="Times New Roman"/>
                      <w:i w:val="0"/>
                      <w:iCs w:val="0"/>
                      <w:color w:val="auto"/>
                      <w:kern w:val="0"/>
                      <w:sz w:val="18"/>
                      <w:szCs w:val="18"/>
                      <w:u w:val="none"/>
                      <w:lang w:val="en-US" w:eastAsia="zh-CN" w:bidi="ar"/>
                    </w:rPr>
                    <w:t>叠螺污泥浓缩机</w:t>
                  </w:r>
                </w:p>
              </w:tc>
              <w:tc>
                <w:tcPr>
                  <w:tcW w:w="3196" w:type="dxa"/>
                  <w:shd w:val="clear" w:color="auto" w:fill="auto"/>
                  <w:vAlign w:val="center"/>
                </w:tcPr>
                <w:p w14:paraId="624986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en-US"/>
                    </w:rPr>
                  </w:pPr>
                  <w:r>
                    <w:rPr>
                      <w:rFonts w:hint="default" w:ascii="Times New Roman" w:hAnsi="Times New Roman" w:eastAsia="宋体" w:cs="Times New Roman"/>
                      <w:i w:val="0"/>
                      <w:iCs w:val="0"/>
                      <w:color w:val="auto"/>
                      <w:kern w:val="0"/>
                      <w:sz w:val="18"/>
                      <w:szCs w:val="18"/>
                      <w:u w:val="none"/>
                      <w:lang w:val="en-US" w:eastAsia="zh-CN" w:bidi="ar"/>
                    </w:rPr>
                    <w:t>N=14.2kw</w:t>
                  </w:r>
                </w:p>
              </w:tc>
              <w:tc>
                <w:tcPr>
                  <w:tcW w:w="679" w:type="dxa"/>
                  <w:vAlign w:val="center"/>
                </w:tcPr>
                <w:p w14:paraId="67860A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2</w:t>
                  </w:r>
                </w:p>
              </w:tc>
              <w:tc>
                <w:tcPr>
                  <w:tcW w:w="668" w:type="dxa"/>
                  <w:vAlign w:val="center"/>
                </w:tcPr>
                <w:p w14:paraId="1155E0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台</w:t>
                  </w:r>
                </w:p>
              </w:tc>
              <w:tc>
                <w:tcPr>
                  <w:tcW w:w="668" w:type="dxa"/>
                  <w:vAlign w:val="center"/>
                </w:tcPr>
                <w:p w14:paraId="7E783D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新建</w:t>
                  </w:r>
                </w:p>
              </w:tc>
            </w:tr>
            <w:tr w14:paraId="479E1D4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61BAB0F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rPr>
                    <w:t>2</w:t>
                  </w:r>
                </w:p>
              </w:tc>
              <w:tc>
                <w:tcPr>
                  <w:tcW w:w="2320" w:type="dxa"/>
                  <w:shd w:val="clear" w:color="auto" w:fill="auto"/>
                  <w:vAlign w:val="center"/>
                </w:tcPr>
                <w:p w14:paraId="4AECF2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en-US"/>
                    </w:rPr>
                  </w:pPr>
                  <w:r>
                    <w:rPr>
                      <w:rFonts w:hint="default" w:ascii="Times New Roman" w:hAnsi="Times New Roman" w:eastAsia="宋体" w:cs="Times New Roman"/>
                      <w:i w:val="0"/>
                      <w:iCs w:val="0"/>
                      <w:color w:val="auto"/>
                      <w:kern w:val="0"/>
                      <w:sz w:val="18"/>
                      <w:szCs w:val="18"/>
                      <w:u w:val="none"/>
                      <w:lang w:val="en-US" w:eastAsia="zh-CN" w:bidi="ar"/>
                    </w:rPr>
                    <w:t>污泥调理罐搅拌器</w:t>
                  </w:r>
                </w:p>
              </w:tc>
              <w:tc>
                <w:tcPr>
                  <w:tcW w:w="3196" w:type="dxa"/>
                  <w:shd w:val="clear" w:color="auto" w:fill="auto"/>
                  <w:vAlign w:val="center"/>
                </w:tcPr>
                <w:p w14:paraId="658241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en-US"/>
                    </w:rPr>
                  </w:pPr>
                  <w:r>
                    <w:rPr>
                      <w:rFonts w:hint="default" w:ascii="Times New Roman" w:hAnsi="Times New Roman" w:eastAsia="宋体" w:cs="Times New Roman"/>
                      <w:i w:val="0"/>
                      <w:iCs w:val="0"/>
                      <w:color w:val="auto"/>
                      <w:kern w:val="0"/>
                      <w:sz w:val="18"/>
                      <w:szCs w:val="18"/>
                      <w:u w:val="none"/>
                      <w:lang w:val="en-US" w:eastAsia="zh-CN" w:bidi="ar"/>
                    </w:rPr>
                    <w:t>N=5.5kw</w:t>
                  </w:r>
                </w:p>
              </w:tc>
              <w:tc>
                <w:tcPr>
                  <w:tcW w:w="679" w:type="dxa"/>
                  <w:vAlign w:val="center"/>
                </w:tcPr>
                <w:p w14:paraId="4A5F55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4</w:t>
                  </w:r>
                </w:p>
              </w:tc>
              <w:tc>
                <w:tcPr>
                  <w:tcW w:w="668" w:type="dxa"/>
                  <w:vAlign w:val="center"/>
                </w:tcPr>
                <w:p w14:paraId="340D0C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套</w:t>
                  </w:r>
                </w:p>
              </w:tc>
              <w:tc>
                <w:tcPr>
                  <w:tcW w:w="668" w:type="dxa"/>
                  <w:vAlign w:val="center"/>
                </w:tcPr>
                <w:p w14:paraId="5062C6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lang w:val="en-US" w:eastAsia="zh-CN"/>
                    </w:rPr>
                    <w:t>新建</w:t>
                  </w:r>
                </w:p>
              </w:tc>
            </w:tr>
            <w:tr w14:paraId="36E7799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03ECD35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rPr>
                    <w:t>3</w:t>
                  </w:r>
                </w:p>
              </w:tc>
              <w:tc>
                <w:tcPr>
                  <w:tcW w:w="2320" w:type="dxa"/>
                  <w:shd w:val="clear" w:color="auto" w:fill="auto"/>
                  <w:vAlign w:val="center"/>
                </w:tcPr>
                <w:p w14:paraId="759CDD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en-US"/>
                    </w:rPr>
                  </w:pPr>
                  <w:r>
                    <w:rPr>
                      <w:rFonts w:hint="default" w:ascii="Times New Roman" w:hAnsi="Times New Roman" w:eastAsia="宋体" w:cs="Times New Roman"/>
                      <w:i w:val="0"/>
                      <w:iCs w:val="0"/>
                      <w:color w:val="auto"/>
                      <w:kern w:val="0"/>
                      <w:sz w:val="18"/>
                      <w:szCs w:val="18"/>
                      <w:u w:val="none"/>
                      <w:lang w:val="en-US" w:eastAsia="zh-CN" w:bidi="ar"/>
                    </w:rPr>
                    <w:t>浓缩机进泥泵</w:t>
                  </w:r>
                </w:p>
              </w:tc>
              <w:tc>
                <w:tcPr>
                  <w:tcW w:w="3196" w:type="dxa"/>
                  <w:shd w:val="clear" w:color="auto" w:fill="auto"/>
                  <w:vAlign w:val="center"/>
                </w:tcPr>
                <w:p w14:paraId="10D100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en-US"/>
                    </w:rPr>
                  </w:pPr>
                  <w:r>
                    <w:rPr>
                      <w:rFonts w:hint="default" w:ascii="Times New Roman" w:hAnsi="Times New Roman" w:eastAsia="宋体" w:cs="Times New Roman"/>
                      <w:i w:val="0"/>
                      <w:iCs w:val="0"/>
                      <w:color w:val="auto"/>
                      <w:kern w:val="0"/>
                      <w:sz w:val="18"/>
                      <w:szCs w:val="18"/>
                      <w:u w:val="none"/>
                      <w:lang w:val="en-US" w:eastAsia="zh-CN" w:bidi="ar"/>
                    </w:rPr>
                    <w:t>120-240m3/h，H=22-27m，N=37kw</w:t>
                  </w:r>
                </w:p>
              </w:tc>
              <w:tc>
                <w:tcPr>
                  <w:tcW w:w="679" w:type="dxa"/>
                  <w:vAlign w:val="center"/>
                </w:tcPr>
                <w:p w14:paraId="731689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2</w:t>
                  </w:r>
                </w:p>
              </w:tc>
              <w:tc>
                <w:tcPr>
                  <w:tcW w:w="668" w:type="dxa"/>
                  <w:vAlign w:val="center"/>
                </w:tcPr>
                <w:p w14:paraId="15121A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套</w:t>
                  </w:r>
                </w:p>
              </w:tc>
              <w:tc>
                <w:tcPr>
                  <w:tcW w:w="668" w:type="dxa"/>
                  <w:vAlign w:val="center"/>
                </w:tcPr>
                <w:p w14:paraId="6356C4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lang w:val="en-US" w:eastAsia="zh-CN"/>
                    </w:rPr>
                    <w:t>新建</w:t>
                  </w:r>
                </w:p>
              </w:tc>
            </w:tr>
            <w:tr w14:paraId="0C87FD3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19CB676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rPr>
                    <w:t>4</w:t>
                  </w:r>
                </w:p>
              </w:tc>
              <w:tc>
                <w:tcPr>
                  <w:tcW w:w="2320" w:type="dxa"/>
                  <w:shd w:val="clear" w:color="auto" w:fill="auto"/>
                  <w:vAlign w:val="center"/>
                </w:tcPr>
                <w:p w14:paraId="500CE7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en-US"/>
                    </w:rPr>
                  </w:pPr>
                  <w:r>
                    <w:rPr>
                      <w:rFonts w:hint="default" w:ascii="Times New Roman" w:hAnsi="Times New Roman" w:eastAsia="宋体" w:cs="Times New Roman"/>
                      <w:i w:val="0"/>
                      <w:iCs w:val="0"/>
                      <w:color w:val="auto"/>
                      <w:kern w:val="0"/>
                      <w:sz w:val="18"/>
                      <w:szCs w:val="18"/>
                      <w:u w:val="none"/>
                      <w:lang w:val="en-US" w:eastAsia="zh-CN" w:bidi="ar"/>
                    </w:rPr>
                    <w:t>高压隔膜压滤机</w:t>
                  </w:r>
                </w:p>
              </w:tc>
              <w:tc>
                <w:tcPr>
                  <w:tcW w:w="3196" w:type="dxa"/>
                  <w:shd w:val="clear" w:color="auto" w:fill="auto"/>
                  <w:vAlign w:val="center"/>
                </w:tcPr>
                <w:p w14:paraId="2B4F88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en-US"/>
                    </w:rPr>
                  </w:pPr>
                  <w:r>
                    <w:rPr>
                      <w:rFonts w:hint="default" w:ascii="Times New Roman" w:hAnsi="Times New Roman" w:eastAsia="宋体" w:cs="Times New Roman"/>
                      <w:i w:val="0"/>
                      <w:iCs w:val="0"/>
                      <w:color w:val="auto"/>
                      <w:kern w:val="0"/>
                      <w:sz w:val="18"/>
                      <w:szCs w:val="18"/>
                      <w:u w:val="none"/>
                      <w:lang w:val="en-US" w:eastAsia="zh-CN" w:bidi="ar"/>
                    </w:rPr>
                    <w:t>XMAZGS600/2000-UF，N=23.35kw</w:t>
                  </w:r>
                </w:p>
              </w:tc>
              <w:tc>
                <w:tcPr>
                  <w:tcW w:w="679" w:type="dxa"/>
                  <w:vAlign w:val="center"/>
                </w:tcPr>
                <w:p w14:paraId="43ECC2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3</w:t>
                  </w:r>
                </w:p>
              </w:tc>
              <w:tc>
                <w:tcPr>
                  <w:tcW w:w="668" w:type="dxa"/>
                  <w:vAlign w:val="center"/>
                </w:tcPr>
                <w:p w14:paraId="5F94F1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台</w:t>
                  </w:r>
                </w:p>
              </w:tc>
              <w:tc>
                <w:tcPr>
                  <w:tcW w:w="668" w:type="dxa"/>
                  <w:vAlign w:val="center"/>
                </w:tcPr>
                <w:p w14:paraId="6BF246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lang w:val="en-US" w:eastAsia="zh-CN"/>
                    </w:rPr>
                    <w:t>新建</w:t>
                  </w:r>
                </w:p>
              </w:tc>
            </w:tr>
            <w:tr w14:paraId="1E5FD1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6FD43EA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rPr>
                    <w:t>5</w:t>
                  </w:r>
                </w:p>
              </w:tc>
              <w:tc>
                <w:tcPr>
                  <w:tcW w:w="2320" w:type="dxa"/>
                  <w:shd w:val="clear" w:color="auto" w:fill="auto"/>
                  <w:vAlign w:val="center"/>
                </w:tcPr>
                <w:p w14:paraId="2946E1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en-US"/>
                    </w:rPr>
                  </w:pPr>
                  <w:r>
                    <w:rPr>
                      <w:rFonts w:hint="default" w:ascii="Times New Roman" w:hAnsi="Times New Roman" w:eastAsia="宋体" w:cs="Times New Roman"/>
                      <w:i w:val="0"/>
                      <w:iCs w:val="0"/>
                      <w:color w:val="auto"/>
                      <w:kern w:val="0"/>
                      <w:sz w:val="18"/>
                      <w:szCs w:val="18"/>
                      <w:u w:val="none"/>
                      <w:lang w:val="en-US" w:eastAsia="zh-CN" w:bidi="ar"/>
                    </w:rPr>
                    <w:t>机下皮带输送机</w:t>
                  </w:r>
                </w:p>
              </w:tc>
              <w:tc>
                <w:tcPr>
                  <w:tcW w:w="3196" w:type="dxa"/>
                  <w:shd w:val="clear" w:color="auto" w:fill="auto"/>
                  <w:vAlign w:val="center"/>
                </w:tcPr>
                <w:p w14:paraId="5E49AD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en-US"/>
                    </w:rPr>
                  </w:pPr>
                  <w:r>
                    <w:rPr>
                      <w:rFonts w:hint="default" w:ascii="Times New Roman" w:hAnsi="Times New Roman" w:eastAsia="宋体" w:cs="Times New Roman"/>
                      <w:i w:val="0"/>
                      <w:iCs w:val="0"/>
                      <w:color w:val="auto"/>
                      <w:kern w:val="0"/>
                      <w:sz w:val="18"/>
                      <w:szCs w:val="18"/>
                      <w:u w:val="none"/>
                      <w:lang w:val="en-US" w:eastAsia="zh-CN" w:bidi="ar"/>
                    </w:rPr>
                    <w:t>N=5.5kw</w:t>
                  </w:r>
                </w:p>
              </w:tc>
              <w:tc>
                <w:tcPr>
                  <w:tcW w:w="679" w:type="dxa"/>
                  <w:vAlign w:val="center"/>
                </w:tcPr>
                <w:p w14:paraId="14D4B7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3</w:t>
                  </w:r>
                </w:p>
              </w:tc>
              <w:tc>
                <w:tcPr>
                  <w:tcW w:w="668" w:type="dxa"/>
                  <w:vAlign w:val="center"/>
                </w:tcPr>
                <w:p w14:paraId="043C8C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套</w:t>
                  </w:r>
                </w:p>
              </w:tc>
              <w:tc>
                <w:tcPr>
                  <w:tcW w:w="668" w:type="dxa"/>
                  <w:vAlign w:val="center"/>
                </w:tcPr>
                <w:p w14:paraId="1B9E95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lang w:val="en-US" w:eastAsia="zh-CN"/>
                    </w:rPr>
                    <w:t>新建</w:t>
                  </w:r>
                </w:p>
              </w:tc>
            </w:tr>
            <w:tr w14:paraId="6DBF99C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05AD82F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rPr>
                    <w:t>6</w:t>
                  </w:r>
                </w:p>
              </w:tc>
              <w:tc>
                <w:tcPr>
                  <w:tcW w:w="2320" w:type="dxa"/>
                  <w:shd w:val="clear" w:color="auto" w:fill="auto"/>
                  <w:vAlign w:val="center"/>
                </w:tcPr>
                <w:p w14:paraId="784165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en-US"/>
                    </w:rPr>
                  </w:pPr>
                  <w:r>
                    <w:rPr>
                      <w:rFonts w:hint="default" w:ascii="Times New Roman" w:hAnsi="Times New Roman" w:eastAsia="宋体" w:cs="Times New Roman"/>
                      <w:i w:val="0"/>
                      <w:iCs w:val="0"/>
                      <w:color w:val="auto"/>
                      <w:kern w:val="0"/>
                      <w:sz w:val="18"/>
                      <w:szCs w:val="18"/>
                      <w:u w:val="none"/>
                      <w:lang w:val="en-US" w:eastAsia="zh-CN" w:bidi="ar"/>
                    </w:rPr>
                    <w:t>汇总输送机+倾斜</w:t>
                  </w:r>
                </w:p>
              </w:tc>
              <w:tc>
                <w:tcPr>
                  <w:tcW w:w="3196" w:type="dxa"/>
                  <w:shd w:val="clear" w:color="auto" w:fill="auto"/>
                  <w:vAlign w:val="center"/>
                </w:tcPr>
                <w:p w14:paraId="2FD50C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en-US"/>
                    </w:rPr>
                  </w:pPr>
                  <w:r>
                    <w:rPr>
                      <w:rFonts w:hint="default" w:ascii="Times New Roman" w:hAnsi="Times New Roman" w:eastAsia="宋体" w:cs="Times New Roman"/>
                      <w:i w:val="0"/>
                      <w:iCs w:val="0"/>
                      <w:color w:val="auto"/>
                      <w:kern w:val="0"/>
                      <w:sz w:val="18"/>
                      <w:szCs w:val="18"/>
                      <w:u w:val="none"/>
                      <w:lang w:val="en-US" w:eastAsia="zh-CN" w:bidi="ar"/>
                    </w:rPr>
                    <w:t>N=7.5kw</w:t>
                  </w:r>
                </w:p>
              </w:tc>
              <w:tc>
                <w:tcPr>
                  <w:tcW w:w="679" w:type="dxa"/>
                  <w:vAlign w:val="center"/>
                </w:tcPr>
                <w:p w14:paraId="50CCB7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1</w:t>
                  </w:r>
                </w:p>
              </w:tc>
              <w:tc>
                <w:tcPr>
                  <w:tcW w:w="668" w:type="dxa"/>
                  <w:vAlign w:val="center"/>
                </w:tcPr>
                <w:p w14:paraId="0DD554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台</w:t>
                  </w:r>
                </w:p>
              </w:tc>
              <w:tc>
                <w:tcPr>
                  <w:tcW w:w="668" w:type="dxa"/>
                  <w:vAlign w:val="center"/>
                </w:tcPr>
                <w:p w14:paraId="170BF8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lang w:val="en-US" w:eastAsia="zh-CN"/>
                    </w:rPr>
                    <w:t>新建</w:t>
                  </w:r>
                </w:p>
              </w:tc>
            </w:tr>
            <w:tr w14:paraId="676C6C1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2B69450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rPr>
                    <w:t>7</w:t>
                  </w:r>
                </w:p>
              </w:tc>
              <w:tc>
                <w:tcPr>
                  <w:tcW w:w="2320" w:type="dxa"/>
                  <w:shd w:val="clear" w:color="auto" w:fill="auto"/>
                  <w:vAlign w:val="center"/>
                </w:tcPr>
                <w:p w14:paraId="329C46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大倾角皮带机</w:t>
                  </w:r>
                </w:p>
              </w:tc>
              <w:tc>
                <w:tcPr>
                  <w:tcW w:w="3196" w:type="dxa"/>
                  <w:shd w:val="clear" w:color="auto" w:fill="auto"/>
                  <w:vAlign w:val="center"/>
                </w:tcPr>
                <w:p w14:paraId="5071AE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N=5.5kw</w:t>
                  </w:r>
                </w:p>
              </w:tc>
              <w:tc>
                <w:tcPr>
                  <w:tcW w:w="679" w:type="dxa"/>
                  <w:vAlign w:val="center"/>
                </w:tcPr>
                <w:p w14:paraId="1A57EB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1</w:t>
                  </w:r>
                </w:p>
              </w:tc>
              <w:tc>
                <w:tcPr>
                  <w:tcW w:w="668" w:type="dxa"/>
                  <w:vAlign w:val="center"/>
                </w:tcPr>
                <w:p w14:paraId="39EB1C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台</w:t>
                  </w:r>
                </w:p>
              </w:tc>
              <w:tc>
                <w:tcPr>
                  <w:tcW w:w="668" w:type="dxa"/>
                  <w:vAlign w:val="center"/>
                </w:tcPr>
                <w:p w14:paraId="69A94C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lang w:val="en-US" w:eastAsia="zh-CN"/>
                    </w:rPr>
                    <w:t>新建</w:t>
                  </w:r>
                </w:p>
              </w:tc>
            </w:tr>
            <w:tr w14:paraId="259E3E9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22EB277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rPr>
                    <w:t>8</w:t>
                  </w:r>
                </w:p>
              </w:tc>
              <w:tc>
                <w:tcPr>
                  <w:tcW w:w="2320" w:type="dxa"/>
                  <w:shd w:val="clear" w:color="auto" w:fill="auto"/>
                  <w:vAlign w:val="center"/>
                </w:tcPr>
                <w:p w14:paraId="127F06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压滤机进泥柱塞泵</w:t>
                  </w:r>
                </w:p>
              </w:tc>
              <w:tc>
                <w:tcPr>
                  <w:tcW w:w="3196" w:type="dxa"/>
                  <w:shd w:val="clear" w:color="auto" w:fill="auto"/>
                  <w:vAlign w:val="center"/>
                </w:tcPr>
                <w:p w14:paraId="37CFE6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Q=80m³/h，P=1.6Mpa，N=37kw</w:t>
                  </w:r>
                </w:p>
              </w:tc>
              <w:tc>
                <w:tcPr>
                  <w:tcW w:w="679" w:type="dxa"/>
                  <w:vAlign w:val="center"/>
                </w:tcPr>
                <w:p w14:paraId="3FE562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3</w:t>
                  </w:r>
                </w:p>
              </w:tc>
              <w:tc>
                <w:tcPr>
                  <w:tcW w:w="668" w:type="dxa"/>
                  <w:vAlign w:val="center"/>
                </w:tcPr>
                <w:p w14:paraId="18458F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台</w:t>
                  </w:r>
                </w:p>
              </w:tc>
              <w:tc>
                <w:tcPr>
                  <w:tcW w:w="668" w:type="dxa"/>
                  <w:vAlign w:val="center"/>
                </w:tcPr>
                <w:p w14:paraId="725BCC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lang w:val="en-US" w:eastAsia="zh-CN"/>
                    </w:rPr>
                    <w:t>新建</w:t>
                  </w:r>
                </w:p>
              </w:tc>
            </w:tr>
            <w:tr w14:paraId="149D17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231C615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rPr>
                    <w:t>9</w:t>
                  </w:r>
                </w:p>
              </w:tc>
              <w:tc>
                <w:tcPr>
                  <w:tcW w:w="2320" w:type="dxa"/>
                  <w:shd w:val="clear" w:color="auto" w:fill="auto"/>
                  <w:vAlign w:val="center"/>
                </w:tcPr>
                <w:p w14:paraId="4733B4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压榨泵</w:t>
                  </w:r>
                </w:p>
              </w:tc>
              <w:tc>
                <w:tcPr>
                  <w:tcW w:w="3196" w:type="dxa"/>
                  <w:shd w:val="clear" w:color="auto" w:fill="auto"/>
                  <w:vAlign w:val="center"/>
                </w:tcPr>
                <w:p w14:paraId="18E255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Q=20m³/h，H=160m，N=15kw</w:t>
                  </w:r>
                </w:p>
              </w:tc>
              <w:tc>
                <w:tcPr>
                  <w:tcW w:w="679" w:type="dxa"/>
                  <w:vAlign w:val="center"/>
                </w:tcPr>
                <w:p w14:paraId="17D5AB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3</w:t>
                  </w:r>
                </w:p>
              </w:tc>
              <w:tc>
                <w:tcPr>
                  <w:tcW w:w="668" w:type="dxa"/>
                  <w:vAlign w:val="center"/>
                </w:tcPr>
                <w:p w14:paraId="459C88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台</w:t>
                  </w:r>
                </w:p>
              </w:tc>
              <w:tc>
                <w:tcPr>
                  <w:tcW w:w="668" w:type="dxa"/>
                  <w:vAlign w:val="center"/>
                </w:tcPr>
                <w:p w14:paraId="5AC32D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lang w:val="en-US" w:eastAsia="zh-CN"/>
                    </w:rPr>
                    <w:t>新建</w:t>
                  </w:r>
                </w:p>
              </w:tc>
            </w:tr>
            <w:tr w14:paraId="62E4A4B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526FA04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rPr>
                    <w:t>10</w:t>
                  </w:r>
                </w:p>
              </w:tc>
              <w:tc>
                <w:tcPr>
                  <w:tcW w:w="2320" w:type="dxa"/>
                  <w:shd w:val="clear" w:color="auto" w:fill="auto"/>
                  <w:vAlign w:val="center"/>
                </w:tcPr>
                <w:p w14:paraId="07C691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吹风用空压机</w:t>
                  </w:r>
                </w:p>
              </w:tc>
              <w:tc>
                <w:tcPr>
                  <w:tcW w:w="3196" w:type="dxa"/>
                  <w:shd w:val="clear" w:color="auto" w:fill="auto"/>
                  <w:vAlign w:val="center"/>
                </w:tcPr>
                <w:p w14:paraId="0A0AAB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Q=7.8m³/分钟，P=0.8Mpa，N=45kw</w:t>
                  </w:r>
                </w:p>
              </w:tc>
              <w:tc>
                <w:tcPr>
                  <w:tcW w:w="679" w:type="dxa"/>
                  <w:vAlign w:val="center"/>
                </w:tcPr>
                <w:p w14:paraId="3704AF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1</w:t>
                  </w:r>
                </w:p>
              </w:tc>
              <w:tc>
                <w:tcPr>
                  <w:tcW w:w="668" w:type="dxa"/>
                  <w:vAlign w:val="center"/>
                </w:tcPr>
                <w:p w14:paraId="56786C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台</w:t>
                  </w:r>
                </w:p>
              </w:tc>
              <w:tc>
                <w:tcPr>
                  <w:tcW w:w="668" w:type="dxa"/>
                  <w:vAlign w:val="center"/>
                </w:tcPr>
                <w:p w14:paraId="4C78BE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lang w:val="en-US" w:eastAsia="zh-CN"/>
                    </w:rPr>
                    <w:t>新建</w:t>
                  </w:r>
                </w:p>
              </w:tc>
            </w:tr>
            <w:tr w14:paraId="4058720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50D06E6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rPr>
                    <w:t>11</w:t>
                  </w:r>
                </w:p>
              </w:tc>
              <w:tc>
                <w:tcPr>
                  <w:tcW w:w="2320" w:type="dxa"/>
                  <w:shd w:val="clear" w:color="auto" w:fill="auto"/>
                  <w:vAlign w:val="center"/>
                </w:tcPr>
                <w:p w14:paraId="4E9536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微热再生吸干机</w:t>
                  </w:r>
                </w:p>
              </w:tc>
              <w:tc>
                <w:tcPr>
                  <w:tcW w:w="3196" w:type="dxa"/>
                  <w:shd w:val="clear" w:color="auto" w:fill="auto"/>
                  <w:vAlign w:val="center"/>
                </w:tcPr>
                <w:p w14:paraId="550719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Q=1.2m³/分钟，P=0.8Mpa，N=0.44kw</w:t>
                  </w:r>
                </w:p>
              </w:tc>
              <w:tc>
                <w:tcPr>
                  <w:tcW w:w="679" w:type="dxa"/>
                  <w:vAlign w:val="center"/>
                </w:tcPr>
                <w:p w14:paraId="368BF3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1</w:t>
                  </w:r>
                </w:p>
              </w:tc>
              <w:tc>
                <w:tcPr>
                  <w:tcW w:w="668" w:type="dxa"/>
                  <w:vAlign w:val="center"/>
                </w:tcPr>
                <w:p w14:paraId="06F59D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台</w:t>
                  </w:r>
                </w:p>
              </w:tc>
              <w:tc>
                <w:tcPr>
                  <w:tcW w:w="668" w:type="dxa"/>
                  <w:vAlign w:val="center"/>
                </w:tcPr>
                <w:p w14:paraId="569ED9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lang w:val="en-US" w:eastAsia="zh-CN"/>
                    </w:rPr>
                    <w:t>新建</w:t>
                  </w:r>
                </w:p>
              </w:tc>
            </w:tr>
            <w:tr w14:paraId="16D312B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0AC8CB9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rPr>
                    <w:t>12</w:t>
                  </w:r>
                </w:p>
              </w:tc>
              <w:tc>
                <w:tcPr>
                  <w:tcW w:w="2320" w:type="dxa"/>
                  <w:shd w:val="clear" w:color="auto" w:fill="auto"/>
                  <w:vAlign w:val="center"/>
                </w:tcPr>
                <w:p w14:paraId="7C2130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铁盐加药泵</w:t>
                  </w:r>
                </w:p>
              </w:tc>
              <w:tc>
                <w:tcPr>
                  <w:tcW w:w="3196" w:type="dxa"/>
                  <w:shd w:val="clear" w:color="auto" w:fill="auto"/>
                  <w:vAlign w:val="center"/>
                </w:tcPr>
                <w:p w14:paraId="799F55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Q=6m³/h，H=15m，N=1.5kw</w:t>
                  </w:r>
                </w:p>
              </w:tc>
              <w:tc>
                <w:tcPr>
                  <w:tcW w:w="679" w:type="dxa"/>
                  <w:vAlign w:val="center"/>
                </w:tcPr>
                <w:p w14:paraId="528EA6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2</w:t>
                  </w:r>
                </w:p>
              </w:tc>
              <w:tc>
                <w:tcPr>
                  <w:tcW w:w="668" w:type="dxa"/>
                  <w:vAlign w:val="center"/>
                </w:tcPr>
                <w:p w14:paraId="4824B7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台</w:t>
                  </w:r>
                </w:p>
              </w:tc>
              <w:tc>
                <w:tcPr>
                  <w:tcW w:w="668" w:type="dxa"/>
                  <w:vAlign w:val="center"/>
                </w:tcPr>
                <w:p w14:paraId="2FAD25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lang w:val="en-US" w:eastAsia="zh-CN"/>
                    </w:rPr>
                    <w:t>新建</w:t>
                  </w:r>
                </w:p>
              </w:tc>
            </w:tr>
            <w:tr w14:paraId="7554A63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42B3ED6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rPr>
                    <w:t>13</w:t>
                  </w:r>
                </w:p>
              </w:tc>
              <w:tc>
                <w:tcPr>
                  <w:tcW w:w="2320" w:type="dxa"/>
                  <w:shd w:val="clear" w:color="auto" w:fill="auto"/>
                  <w:vAlign w:val="center"/>
                </w:tcPr>
                <w:p w14:paraId="5D82DC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铁盐卸药泵</w:t>
                  </w:r>
                </w:p>
              </w:tc>
              <w:tc>
                <w:tcPr>
                  <w:tcW w:w="3196" w:type="dxa"/>
                  <w:shd w:val="clear" w:color="auto" w:fill="auto"/>
                  <w:vAlign w:val="center"/>
                </w:tcPr>
                <w:p w14:paraId="209C8B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Q=30m³/h，P=0.2Mpa，N=5.5kw</w:t>
                  </w:r>
                </w:p>
              </w:tc>
              <w:tc>
                <w:tcPr>
                  <w:tcW w:w="679" w:type="dxa"/>
                  <w:vAlign w:val="center"/>
                </w:tcPr>
                <w:p w14:paraId="1C7F34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1</w:t>
                  </w:r>
                </w:p>
              </w:tc>
              <w:tc>
                <w:tcPr>
                  <w:tcW w:w="668" w:type="dxa"/>
                  <w:vAlign w:val="center"/>
                </w:tcPr>
                <w:p w14:paraId="58FA73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台</w:t>
                  </w:r>
                </w:p>
              </w:tc>
              <w:tc>
                <w:tcPr>
                  <w:tcW w:w="668" w:type="dxa"/>
                  <w:vAlign w:val="center"/>
                </w:tcPr>
                <w:p w14:paraId="3656DF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lang w:val="en-US" w:eastAsia="zh-CN"/>
                    </w:rPr>
                    <w:t>新建</w:t>
                  </w:r>
                </w:p>
              </w:tc>
            </w:tr>
            <w:tr w14:paraId="6502EC0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7CF8485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rPr>
                    <w:t>14</w:t>
                  </w:r>
                </w:p>
              </w:tc>
              <w:tc>
                <w:tcPr>
                  <w:tcW w:w="2320" w:type="dxa"/>
                  <w:shd w:val="clear" w:color="auto" w:fill="auto"/>
                  <w:vAlign w:val="center"/>
                </w:tcPr>
                <w:p w14:paraId="6A266B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PAM加药泵</w:t>
                  </w:r>
                </w:p>
              </w:tc>
              <w:tc>
                <w:tcPr>
                  <w:tcW w:w="3196" w:type="dxa"/>
                  <w:shd w:val="clear" w:color="auto" w:fill="auto"/>
                  <w:vAlign w:val="center"/>
                </w:tcPr>
                <w:p w14:paraId="0EBE6D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Q=6m3/h，H=30m，N=2.2kw</w:t>
                  </w:r>
                </w:p>
              </w:tc>
              <w:tc>
                <w:tcPr>
                  <w:tcW w:w="679" w:type="dxa"/>
                  <w:vAlign w:val="center"/>
                </w:tcPr>
                <w:p w14:paraId="70B688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2</w:t>
                  </w:r>
                </w:p>
              </w:tc>
              <w:tc>
                <w:tcPr>
                  <w:tcW w:w="668" w:type="dxa"/>
                  <w:vAlign w:val="center"/>
                </w:tcPr>
                <w:p w14:paraId="5DEBC1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台</w:t>
                  </w:r>
                </w:p>
              </w:tc>
              <w:tc>
                <w:tcPr>
                  <w:tcW w:w="668" w:type="dxa"/>
                  <w:vAlign w:val="center"/>
                </w:tcPr>
                <w:p w14:paraId="75948B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lang w:val="en-US" w:eastAsia="zh-CN"/>
                    </w:rPr>
                    <w:t>新建</w:t>
                  </w:r>
                </w:p>
              </w:tc>
            </w:tr>
            <w:tr w14:paraId="24497BB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6399D62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rPr>
                    <w:t>15</w:t>
                  </w:r>
                </w:p>
              </w:tc>
              <w:tc>
                <w:tcPr>
                  <w:tcW w:w="2320" w:type="dxa"/>
                  <w:shd w:val="clear" w:color="auto" w:fill="auto"/>
                  <w:vAlign w:val="center"/>
                </w:tcPr>
                <w:p w14:paraId="44802D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洗布泵</w:t>
                  </w:r>
                </w:p>
              </w:tc>
              <w:tc>
                <w:tcPr>
                  <w:tcW w:w="3196" w:type="dxa"/>
                  <w:shd w:val="clear" w:color="auto" w:fill="auto"/>
                  <w:vAlign w:val="center"/>
                </w:tcPr>
                <w:p w14:paraId="543D57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Q=20m³/h，H=400m，N=18.5+18.5kw</w:t>
                  </w:r>
                </w:p>
              </w:tc>
              <w:tc>
                <w:tcPr>
                  <w:tcW w:w="679" w:type="dxa"/>
                  <w:vAlign w:val="center"/>
                </w:tcPr>
                <w:p w14:paraId="2E76C3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2</w:t>
                  </w:r>
                </w:p>
              </w:tc>
              <w:tc>
                <w:tcPr>
                  <w:tcW w:w="668" w:type="dxa"/>
                  <w:vAlign w:val="center"/>
                </w:tcPr>
                <w:p w14:paraId="6CFE24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组</w:t>
                  </w:r>
                </w:p>
              </w:tc>
              <w:tc>
                <w:tcPr>
                  <w:tcW w:w="668" w:type="dxa"/>
                  <w:vAlign w:val="center"/>
                </w:tcPr>
                <w:p w14:paraId="6C2299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lang w:val="en-US" w:eastAsia="zh-CN"/>
                    </w:rPr>
                    <w:t>新建</w:t>
                  </w:r>
                </w:p>
              </w:tc>
            </w:tr>
            <w:tr w14:paraId="6F72D6A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25F90F1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16</w:t>
                  </w:r>
                </w:p>
              </w:tc>
              <w:tc>
                <w:tcPr>
                  <w:tcW w:w="2320" w:type="dxa"/>
                  <w:shd w:val="clear" w:color="auto" w:fill="auto"/>
                  <w:vAlign w:val="center"/>
                </w:tcPr>
                <w:p w14:paraId="11121D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PAM制备</w:t>
                  </w:r>
                </w:p>
              </w:tc>
              <w:tc>
                <w:tcPr>
                  <w:tcW w:w="3196" w:type="dxa"/>
                  <w:shd w:val="clear" w:color="auto" w:fill="auto"/>
                  <w:vAlign w:val="center"/>
                </w:tcPr>
                <w:p w14:paraId="752167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Q=4m³/h，N=2.7kw</w:t>
                  </w:r>
                </w:p>
              </w:tc>
              <w:tc>
                <w:tcPr>
                  <w:tcW w:w="679" w:type="dxa"/>
                  <w:vAlign w:val="center"/>
                </w:tcPr>
                <w:p w14:paraId="7F47A0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1</w:t>
                  </w:r>
                </w:p>
              </w:tc>
              <w:tc>
                <w:tcPr>
                  <w:tcW w:w="668" w:type="dxa"/>
                  <w:vAlign w:val="center"/>
                </w:tcPr>
                <w:p w14:paraId="7D70AF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台</w:t>
                  </w:r>
                </w:p>
              </w:tc>
              <w:tc>
                <w:tcPr>
                  <w:tcW w:w="668" w:type="dxa"/>
                  <w:vAlign w:val="center"/>
                </w:tcPr>
                <w:p w14:paraId="31287AA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利旧</w:t>
                  </w:r>
                </w:p>
              </w:tc>
            </w:tr>
            <w:tr w14:paraId="05ED08A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7190A03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17</w:t>
                  </w:r>
                </w:p>
              </w:tc>
              <w:tc>
                <w:tcPr>
                  <w:tcW w:w="2320" w:type="dxa"/>
                  <w:shd w:val="clear" w:color="auto" w:fill="auto"/>
                  <w:vAlign w:val="center"/>
                </w:tcPr>
                <w:p w14:paraId="1E06FF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PAM制备</w:t>
                  </w:r>
                </w:p>
              </w:tc>
              <w:tc>
                <w:tcPr>
                  <w:tcW w:w="3196" w:type="dxa"/>
                  <w:shd w:val="clear" w:color="auto" w:fill="auto"/>
                  <w:vAlign w:val="center"/>
                </w:tcPr>
                <w:p w14:paraId="025058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Q=8m³/h，N=5.2kw</w:t>
                  </w:r>
                </w:p>
              </w:tc>
              <w:tc>
                <w:tcPr>
                  <w:tcW w:w="679" w:type="dxa"/>
                  <w:vAlign w:val="center"/>
                </w:tcPr>
                <w:p w14:paraId="3FFCB9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1</w:t>
                  </w:r>
                </w:p>
              </w:tc>
              <w:tc>
                <w:tcPr>
                  <w:tcW w:w="668" w:type="dxa"/>
                  <w:vAlign w:val="center"/>
                </w:tcPr>
                <w:p w14:paraId="264D9C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台</w:t>
                  </w:r>
                </w:p>
              </w:tc>
              <w:tc>
                <w:tcPr>
                  <w:tcW w:w="668" w:type="dxa"/>
                  <w:vAlign w:val="center"/>
                </w:tcPr>
                <w:p w14:paraId="059B62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lang w:val="en-US" w:eastAsia="zh-CN"/>
                    </w:rPr>
                    <w:t>利旧</w:t>
                  </w:r>
                </w:p>
              </w:tc>
            </w:tr>
            <w:tr w14:paraId="35F8B5B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62B2980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18</w:t>
                  </w:r>
                </w:p>
              </w:tc>
              <w:tc>
                <w:tcPr>
                  <w:tcW w:w="2320" w:type="dxa"/>
                  <w:shd w:val="clear" w:color="auto" w:fill="auto"/>
                  <w:vAlign w:val="center"/>
                </w:tcPr>
                <w:p w14:paraId="1C0A2E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一体式高压带式脱水机</w:t>
                  </w:r>
                </w:p>
              </w:tc>
              <w:tc>
                <w:tcPr>
                  <w:tcW w:w="3196" w:type="dxa"/>
                  <w:shd w:val="clear" w:color="auto" w:fill="auto"/>
                  <w:vAlign w:val="center"/>
                </w:tcPr>
                <w:p w14:paraId="3EC2FE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处理能力400~600kg·Ds/h</w:t>
                  </w:r>
                </w:p>
              </w:tc>
              <w:tc>
                <w:tcPr>
                  <w:tcW w:w="679" w:type="dxa"/>
                  <w:vAlign w:val="center"/>
                </w:tcPr>
                <w:p w14:paraId="6436E3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1</w:t>
                  </w:r>
                </w:p>
              </w:tc>
              <w:tc>
                <w:tcPr>
                  <w:tcW w:w="668" w:type="dxa"/>
                  <w:vAlign w:val="center"/>
                </w:tcPr>
                <w:p w14:paraId="202ACC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台</w:t>
                  </w:r>
                </w:p>
              </w:tc>
              <w:tc>
                <w:tcPr>
                  <w:tcW w:w="668" w:type="dxa"/>
                  <w:vAlign w:val="center"/>
                </w:tcPr>
                <w:p w14:paraId="3AA687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lang w:val="en-US" w:eastAsia="zh-CN"/>
                    </w:rPr>
                    <w:t>利旧</w:t>
                  </w:r>
                </w:p>
              </w:tc>
            </w:tr>
            <w:tr w14:paraId="2B33C26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507F161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19</w:t>
                  </w:r>
                </w:p>
              </w:tc>
              <w:tc>
                <w:tcPr>
                  <w:tcW w:w="2320" w:type="dxa"/>
                  <w:shd w:val="clear" w:color="auto" w:fill="auto"/>
                  <w:vAlign w:val="center"/>
                </w:tcPr>
                <w:p w14:paraId="4CD2E6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冲洗水泵</w:t>
                  </w:r>
                </w:p>
              </w:tc>
              <w:tc>
                <w:tcPr>
                  <w:tcW w:w="3196" w:type="dxa"/>
                  <w:shd w:val="clear" w:color="auto" w:fill="auto"/>
                  <w:vAlign w:val="center"/>
                </w:tcPr>
                <w:p w14:paraId="54FCF2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Q=34m³/h，H=57m</w:t>
                  </w:r>
                </w:p>
              </w:tc>
              <w:tc>
                <w:tcPr>
                  <w:tcW w:w="679" w:type="dxa"/>
                  <w:vAlign w:val="center"/>
                </w:tcPr>
                <w:p w14:paraId="44774E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1</w:t>
                  </w:r>
                </w:p>
              </w:tc>
              <w:tc>
                <w:tcPr>
                  <w:tcW w:w="668" w:type="dxa"/>
                  <w:vAlign w:val="center"/>
                </w:tcPr>
                <w:p w14:paraId="770966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台</w:t>
                  </w:r>
                </w:p>
              </w:tc>
              <w:tc>
                <w:tcPr>
                  <w:tcW w:w="668" w:type="dxa"/>
                  <w:vAlign w:val="center"/>
                </w:tcPr>
                <w:p w14:paraId="50C835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lang w:val="en-US" w:eastAsia="zh-CN"/>
                    </w:rPr>
                    <w:t>利旧</w:t>
                  </w:r>
                </w:p>
              </w:tc>
            </w:tr>
            <w:tr w14:paraId="592490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3A6FCF3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20</w:t>
                  </w:r>
                </w:p>
              </w:tc>
              <w:tc>
                <w:tcPr>
                  <w:tcW w:w="2320" w:type="dxa"/>
                  <w:shd w:val="clear" w:color="auto" w:fill="auto"/>
                  <w:vAlign w:val="center"/>
                </w:tcPr>
                <w:p w14:paraId="3EF760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1#出泥螺旋输送机</w:t>
                  </w:r>
                </w:p>
              </w:tc>
              <w:tc>
                <w:tcPr>
                  <w:tcW w:w="3196" w:type="dxa"/>
                  <w:shd w:val="clear" w:color="auto" w:fill="auto"/>
                  <w:vAlign w:val="center"/>
                </w:tcPr>
                <w:p w14:paraId="320BB2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输送能力5t/h，L=9m</w:t>
                  </w:r>
                </w:p>
              </w:tc>
              <w:tc>
                <w:tcPr>
                  <w:tcW w:w="679" w:type="dxa"/>
                  <w:vAlign w:val="center"/>
                </w:tcPr>
                <w:p w14:paraId="1934F8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1</w:t>
                  </w:r>
                </w:p>
              </w:tc>
              <w:tc>
                <w:tcPr>
                  <w:tcW w:w="668" w:type="dxa"/>
                  <w:vAlign w:val="center"/>
                </w:tcPr>
                <w:p w14:paraId="4C0F45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台</w:t>
                  </w:r>
                </w:p>
              </w:tc>
              <w:tc>
                <w:tcPr>
                  <w:tcW w:w="668" w:type="dxa"/>
                  <w:vAlign w:val="center"/>
                </w:tcPr>
                <w:p w14:paraId="0BB56C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lang w:val="en-US" w:eastAsia="zh-CN"/>
                    </w:rPr>
                    <w:t>利旧</w:t>
                  </w:r>
                </w:p>
              </w:tc>
            </w:tr>
            <w:tr w14:paraId="6EB7338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4759C93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21</w:t>
                  </w:r>
                </w:p>
              </w:tc>
              <w:tc>
                <w:tcPr>
                  <w:tcW w:w="2320" w:type="dxa"/>
                  <w:shd w:val="clear" w:color="auto" w:fill="auto"/>
                  <w:vAlign w:val="center"/>
                </w:tcPr>
                <w:p w14:paraId="5603BE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2#出泥螺旋输送机</w:t>
                  </w:r>
                </w:p>
              </w:tc>
              <w:tc>
                <w:tcPr>
                  <w:tcW w:w="3196" w:type="dxa"/>
                  <w:shd w:val="clear" w:color="auto" w:fill="auto"/>
                  <w:vAlign w:val="center"/>
                </w:tcPr>
                <w:p w14:paraId="7C0DFF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输送能力5t/h，L=4m</w:t>
                  </w:r>
                </w:p>
              </w:tc>
              <w:tc>
                <w:tcPr>
                  <w:tcW w:w="679" w:type="dxa"/>
                  <w:vAlign w:val="center"/>
                </w:tcPr>
                <w:p w14:paraId="14540E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1</w:t>
                  </w:r>
                </w:p>
              </w:tc>
              <w:tc>
                <w:tcPr>
                  <w:tcW w:w="668" w:type="dxa"/>
                  <w:vAlign w:val="center"/>
                </w:tcPr>
                <w:p w14:paraId="79EFB2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i w:val="0"/>
                      <w:iCs w:val="0"/>
                      <w:color w:val="auto"/>
                      <w:kern w:val="0"/>
                      <w:sz w:val="18"/>
                      <w:szCs w:val="18"/>
                      <w:u w:val="none"/>
                      <w:lang w:val="en-US" w:eastAsia="zh-CN" w:bidi="ar"/>
                    </w:rPr>
                    <w:t>台</w:t>
                  </w:r>
                </w:p>
              </w:tc>
              <w:tc>
                <w:tcPr>
                  <w:tcW w:w="668" w:type="dxa"/>
                  <w:vAlign w:val="center"/>
                </w:tcPr>
                <w:p w14:paraId="1C3E97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rPr>
                  </w:pPr>
                  <w:r>
                    <w:rPr>
                      <w:rFonts w:hint="default" w:ascii="Times New Roman" w:hAnsi="Times New Roman" w:eastAsia="宋体" w:cs="Times New Roman"/>
                      <w:color w:val="auto"/>
                      <w:spacing w:val="0"/>
                      <w:position w:val="0"/>
                      <w:sz w:val="18"/>
                      <w:szCs w:val="18"/>
                      <w:lang w:val="en-US" w:eastAsia="zh-CN"/>
                    </w:rPr>
                    <w:t>利旧</w:t>
                  </w:r>
                </w:p>
              </w:tc>
            </w:tr>
            <w:tr w14:paraId="685BB17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19D9111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22</w:t>
                  </w:r>
                </w:p>
              </w:tc>
              <w:tc>
                <w:tcPr>
                  <w:tcW w:w="2320" w:type="dxa"/>
                  <w:shd w:val="clear" w:color="auto" w:fill="auto"/>
                  <w:vAlign w:val="center"/>
                </w:tcPr>
                <w:p w14:paraId="47C1CD8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入河排污口</w:t>
                  </w:r>
                </w:p>
              </w:tc>
              <w:tc>
                <w:tcPr>
                  <w:tcW w:w="3196" w:type="dxa"/>
                  <w:shd w:val="clear" w:color="auto" w:fill="auto"/>
                  <w:vAlign w:val="center"/>
                </w:tcPr>
                <w:p w14:paraId="0E6E356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sz w:val="18"/>
                      <w:szCs w:val="18"/>
                    </w:rPr>
                  </w:pPr>
                  <w:r>
                    <w:rPr>
                      <w:rFonts w:hint="default" w:ascii="Times New Roman" w:hAnsi="Times New Roman" w:eastAsia="宋体" w:cs="Times New Roman"/>
                      <w:color w:val="auto"/>
                      <w:spacing w:val="0"/>
                      <w:sz w:val="18"/>
                      <w:szCs w:val="18"/>
                    </w:rPr>
                    <w:t>管径为DN1500</w:t>
                  </w:r>
                </w:p>
              </w:tc>
              <w:tc>
                <w:tcPr>
                  <w:tcW w:w="679" w:type="dxa"/>
                  <w:vAlign w:val="center"/>
                </w:tcPr>
                <w:p w14:paraId="5E32D39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0</w:t>
                  </w:r>
                </w:p>
              </w:tc>
              <w:tc>
                <w:tcPr>
                  <w:tcW w:w="668" w:type="dxa"/>
                  <w:vAlign w:val="center"/>
                </w:tcPr>
                <w:p w14:paraId="2B35219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座</w:t>
                  </w:r>
                </w:p>
              </w:tc>
              <w:tc>
                <w:tcPr>
                  <w:tcW w:w="668" w:type="dxa"/>
                  <w:vAlign w:val="center"/>
                </w:tcPr>
                <w:p w14:paraId="7D8C4D9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利旧</w:t>
                  </w:r>
                </w:p>
              </w:tc>
            </w:tr>
            <w:tr w14:paraId="5D4DD6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6" w:type="dxa"/>
                  <w:shd w:val="clear" w:color="auto" w:fill="auto"/>
                  <w:vAlign w:val="center"/>
                </w:tcPr>
                <w:p w14:paraId="23868AE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23</w:t>
                  </w:r>
                </w:p>
              </w:tc>
              <w:tc>
                <w:tcPr>
                  <w:tcW w:w="2320" w:type="dxa"/>
                  <w:shd w:val="clear" w:color="auto" w:fill="auto"/>
                  <w:vAlign w:val="center"/>
                </w:tcPr>
                <w:p w14:paraId="7EEE75B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排污水管道</w:t>
                  </w:r>
                </w:p>
              </w:tc>
              <w:tc>
                <w:tcPr>
                  <w:tcW w:w="3196" w:type="dxa"/>
                  <w:shd w:val="clear" w:color="auto" w:fill="auto"/>
                  <w:vAlign w:val="center"/>
                </w:tcPr>
                <w:p w14:paraId="2EEF414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520m</w:t>
                  </w:r>
                </w:p>
              </w:tc>
              <w:tc>
                <w:tcPr>
                  <w:tcW w:w="679" w:type="dxa"/>
                  <w:vAlign w:val="center"/>
                </w:tcPr>
                <w:p w14:paraId="4FEB652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0</w:t>
                  </w:r>
                </w:p>
              </w:tc>
              <w:tc>
                <w:tcPr>
                  <w:tcW w:w="668" w:type="dxa"/>
                  <w:vAlign w:val="center"/>
                </w:tcPr>
                <w:p w14:paraId="265B15C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条</w:t>
                  </w:r>
                </w:p>
              </w:tc>
              <w:tc>
                <w:tcPr>
                  <w:tcW w:w="668" w:type="dxa"/>
                  <w:vAlign w:val="center"/>
                </w:tcPr>
                <w:p w14:paraId="75C8C33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pacing w:val="0"/>
                      <w:position w:val="0"/>
                      <w:sz w:val="18"/>
                      <w:szCs w:val="18"/>
                      <w:lang w:val="en-US" w:eastAsia="zh-CN"/>
                    </w:rPr>
                  </w:pPr>
                  <w:r>
                    <w:rPr>
                      <w:rFonts w:hint="default" w:ascii="Times New Roman" w:hAnsi="Times New Roman" w:eastAsia="宋体" w:cs="Times New Roman"/>
                      <w:color w:val="auto"/>
                      <w:spacing w:val="0"/>
                      <w:position w:val="0"/>
                      <w:sz w:val="18"/>
                      <w:szCs w:val="18"/>
                      <w:lang w:val="en-US" w:eastAsia="zh-CN"/>
                    </w:rPr>
                    <w:t>利旧</w:t>
                  </w:r>
                </w:p>
              </w:tc>
            </w:tr>
          </w:tbl>
          <w:p w14:paraId="1808DF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Times New Roman" w:hAnsi="Times New Roman" w:cs="Times New Roman"/>
                <w:b/>
                <w:bCs/>
                <w:color w:val="auto"/>
                <w:kern w:val="0"/>
                <w:sz w:val="21"/>
                <w:szCs w:val="21"/>
                <w:highlight w:val="none"/>
              </w:rPr>
            </w:pPr>
            <w:r>
              <w:rPr>
                <w:rFonts w:hint="eastAsia" w:cs="Times New Roman"/>
                <w:b/>
                <w:bCs/>
                <w:color w:val="auto"/>
                <w:kern w:val="0"/>
                <w:sz w:val="21"/>
                <w:szCs w:val="21"/>
                <w:highlight w:val="none"/>
                <w:lang w:val="en-US" w:eastAsia="zh-CN"/>
              </w:rPr>
              <w:t>4</w:t>
            </w:r>
            <w:r>
              <w:rPr>
                <w:rFonts w:hint="default" w:ascii="Times New Roman" w:hAnsi="Times New Roman" w:cs="Times New Roman"/>
                <w:b/>
                <w:bCs/>
                <w:color w:val="auto"/>
                <w:kern w:val="0"/>
                <w:sz w:val="21"/>
                <w:szCs w:val="21"/>
                <w:highlight w:val="none"/>
              </w:rPr>
              <w:t>、原辅材料</w:t>
            </w:r>
          </w:p>
          <w:p w14:paraId="50A7F0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b/>
                <w:bCs/>
                <w:color w:val="auto"/>
                <w:kern w:val="0"/>
                <w:sz w:val="21"/>
                <w:szCs w:val="21"/>
                <w:highlight w:val="none"/>
              </w:rPr>
            </w:pPr>
            <w:r>
              <w:rPr>
                <w:rFonts w:hint="eastAsia"/>
                <w:bCs/>
                <w:color w:val="auto"/>
                <w:sz w:val="21"/>
                <w:szCs w:val="21"/>
                <w:highlight w:val="none"/>
                <w:lang w:val="en-US" w:eastAsia="zh-CN"/>
              </w:rPr>
              <w:t>本项目主要原辅材料不变。</w:t>
            </w:r>
          </w:p>
          <w:p w14:paraId="42836F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黑体" w:cs="Times New Roman"/>
                <w:snapToGrid w:val="0"/>
                <w:color w:val="auto"/>
                <w:sz w:val="24"/>
                <w:highlight w:val="none"/>
              </w:rPr>
            </w:pPr>
            <w:r>
              <w:rPr>
                <w:rFonts w:hint="default" w:ascii="Times New Roman" w:hAnsi="Times New Roman" w:eastAsia="宋体" w:cs="Times New Roman"/>
                <w:b/>
                <w:bCs/>
                <w:snapToGrid w:val="0"/>
                <w:color w:val="auto"/>
                <w:kern w:val="0"/>
                <w:sz w:val="21"/>
                <w:szCs w:val="21"/>
                <w:highlight w:val="none"/>
              </w:rPr>
              <w:t>表2-</w:t>
            </w:r>
            <w:r>
              <w:rPr>
                <w:rFonts w:hint="eastAsia" w:cs="Times New Roman"/>
                <w:b/>
                <w:bCs/>
                <w:snapToGrid w:val="0"/>
                <w:color w:val="auto"/>
                <w:kern w:val="0"/>
                <w:sz w:val="21"/>
                <w:szCs w:val="21"/>
                <w:highlight w:val="none"/>
                <w:lang w:val="en-US" w:eastAsia="zh-CN"/>
              </w:rPr>
              <w:t>4</w:t>
            </w:r>
            <w:r>
              <w:rPr>
                <w:rFonts w:hint="default" w:ascii="Times New Roman" w:hAnsi="Times New Roman" w:eastAsia="宋体" w:cs="Times New Roman"/>
                <w:b/>
                <w:bCs/>
                <w:snapToGrid w:val="0"/>
                <w:color w:val="auto"/>
                <w:kern w:val="0"/>
                <w:sz w:val="21"/>
                <w:szCs w:val="21"/>
                <w:highlight w:val="none"/>
              </w:rPr>
              <w:t>原辅材料消耗一览表</w:t>
            </w:r>
          </w:p>
          <w:tbl>
            <w:tblPr>
              <w:tblStyle w:val="36"/>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89"/>
              <w:gridCol w:w="2467"/>
              <w:gridCol w:w="2227"/>
              <w:gridCol w:w="1177"/>
              <w:gridCol w:w="739"/>
              <w:gridCol w:w="1058"/>
            </w:tblGrid>
            <w:tr w14:paraId="6EAFB0C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9" w:type="dxa"/>
                  <w:vAlign w:val="center"/>
                </w:tcPr>
                <w:p w14:paraId="0F738C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pacing w:val="0"/>
                      <w:sz w:val="18"/>
                      <w:szCs w:val="18"/>
                      <w:highlight w:val="none"/>
                      <w:vertAlign w:val="baseline"/>
                      <w:lang w:val="en-US" w:eastAsia="zh-CN"/>
                    </w:rPr>
                  </w:pPr>
                  <w:r>
                    <w:rPr>
                      <w:rFonts w:hint="default" w:ascii="Times New Roman" w:hAnsi="Times New Roman" w:cs="Times New Roman"/>
                      <w:color w:val="auto"/>
                      <w:spacing w:val="0"/>
                      <w:sz w:val="18"/>
                      <w:szCs w:val="18"/>
                      <w:highlight w:val="none"/>
                      <w:vertAlign w:val="baseline"/>
                      <w:lang w:val="en-US" w:eastAsia="zh-CN"/>
                    </w:rPr>
                    <w:t>序号</w:t>
                  </w:r>
                </w:p>
              </w:tc>
              <w:tc>
                <w:tcPr>
                  <w:tcW w:w="2467" w:type="dxa"/>
                  <w:vAlign w:val="center"/>
                </w:tcPr>
                <w:p w14:paraId="5FAFB3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pacing w:val="0"/>
                      <w:sz w:val="18"/>
                      <w:szCs w:val="18"/>
                      <w:highlight w:val="none"/>
                      <w:vertAlign w:val="baseline"/>
                      <w:lang w:val="en-US" w:eastAsia="zh-CN"/>
                    </w:rPr>
                  </w:pPr>
                  <w:r>
                    <w:rPr>
                      <w:rFonts w:hint="default" w:ascii="Times New Roman" w:hAnsi="Times New Roman" w:cs="Times New Roman"/>
                      <w:color w:val="auto"/>
                      <w:spacing w:val="0"/>
                      <w:sz w:val="18"/>
                      <w:szCs w:val="18"/>
                      <w:highlight w:val="none"/>
                      <w:vertAlign w:val="baseline"/>
                      <w:lang w:val="en-US" w:eastAsia="zh-CN"/>
                    </w:rPr>
                    <w:t>原辅材料名称</w:t>
                  </w:r>
                </w:p>
              </w:tc>
              <w:tc>
                <w:tcPr>
                  <w:tcW w:w="2227" w:type="dxa"/>
                  <w:vAlign w:val="center"/>
                </w:tcPr>
                <w:p w14:paraId="1D510D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pacing w:val="0"/>
                      <w:sz w:val="18"/>
                      <w:szCs w:val="18"/>
                      <w:highlight w:val="none"/>
                      <w:vertAlign w:val="baseline"/>
                      <w:lang w:val="en-US" w:eastAsia="zh-CN"/>
                    </w:rPr>
                  </w:pPr>
                  <w:r>
                    <w:rPr>
                      <w:rFonts w:hint="default" w:ascii="Times New Roman" w:hAnsi="Times New Roman" w:cs="Times New Roman"/>
                      <w:color w:val="auto"/>
                      <w:spacing w:val="0"/>
                      <w:sz w:val="18"/>
                      <w:szCs w:val="18"/>
                      <w:highlight w:val="none"/>
                      <w:vertAlign w:val="baseline"/>
                      <w:lang w:val="en-US" w:eastAsia="zh-CN"/>
                    </w:rPr>
                    <w:t>用量</w:t>
                  </w:r>
                </w:p>
              </w:tc>
              <w:tc>
                <w:tcPr>
                  <w:tcW w:w="1177" w:type="dxa"/>
                  <w:vAlign w:val="center"/>
                </w:tcPr>
                <w:p w14:paraId="0A10BE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pacing w:val="0"/>
                      <w:sz w:val="18"/>
                      <w:szCs w:val="18"/>
                      <w:highlight w:val="none"/>
                      <w:vertAlign w:val="baseline"/>
                      <w:lang w:val="en-US" w:eastAsia="zh-CN"/>
                    </w:rPr>
                  </w:pPr>
                  <w:r>
                    <w:rPr>
                      <w:rFonts w:hint="default" w:ascii="Times New Roman" w:hAnsi="Times New Roman" w:cs="Times New Roman"/>
                      <w:color w:val="auto"/>
                      <w:spacing w:val="0"/>
                      <w:sz w:val="18"/>
                      <w:szCs w:val="18"/>
                      <w:highlight w:val="none"/>
                      <w:vertAlign w:val="baseline"/>
                      <w:lang w:val="en-US" w:eastAsia="zh-CN"/>
                    </w:rPr>
                    <w:t>贮存能力</w:t>
                  </w:r>
                </w:p>
              </w:tc>
              <w:tc>
                <w:tcPr>
                  <w:tcW w:w="739" w:type="dxa"/>
                  <w:vAlign w:val="center"/>
                </w:tcPr>
                <w:p w14:paraId="25346F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pacing w:val="0"/>
                      <w:sz w:val="18"/>
                      <w:szCs w:val="18"/>
                      <w:highlight w:val="none"/>
                      <w:vertAlign w:val="baseline"/>
                      <w:lang w:val="en-US" w:eastAsia="zh-CN"/>
                    </w:rPr>
                  </w:pPr>
                  <w:r>
                    <w:rPr>
                      <w:rFonts w:hint="default" w:ascii="Times New Roman" w:hAnsi="Times New Roman" w:cs="Times New Roman"/>
                      <w:color w:val="auto"/>
                      <w:spacing w:val="0"/>
                      <w:sz w:val="18"/>
                      <w:szCs w:val="18"/>
                      <w:highlight w:val="none"/>
                      <w:vertAlign w:val="baseline"/>
                      <w:lang w:val="en-US" w:eastAsia="zh-CN"/>
                    </w:rPr>
                    <w:t>单位</w:t>
                  </w:r>
                </w:p>
              </w:tc>
              <w:tc>
                <w:tcPr>
                  <w:tcW w:w="1058" w:type="dxa"/>
                  <w:vAlign w:val="center"/>
                </w:tcPr>
                <w:p w14:paraId="3B3F1B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pacing w:val="0"/>
                      <w:sz w:val="18"/>
                      <w:szCs w:val="18"/>
                      <w:highlight w:val="none"/>
                      <w:vertAlign w:val="baseline"/>
                      <w:lang w:val="en-US" w:eastAsia="zh-CN"/>
                    </w:rPr>
                  </w:pPr>
                  <w:r>
                    <w:rPr>
                      <w:rFonts w:hint="default" w:ascii="Times New Roman" w:hAnsi="Times New Roman" w:cs="Times New Roman"/>
                      <w:color w:val="auto"/>
                      <w:spacing w:val="0"/>
                      <w:sz w:val="18"/>
                      <w:szCs w:val="18"/>
                      <w:highlight w:val="none"/>
                      <w:vertAlign w:val="baseline"/>
                      <w:lang w:val="en-US" w:eastAsia="zh-CN"/>
                    </w:rPr>
                    <w:t>备注</w:t>
                  </w:r>
                </w:p>
              </w:tc>
            </w:tr>
            <w:tr w14:paraId="512025F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9" w:type="dxa"/>
                  <w:vAlign w:val="center"/>
                </w:tcPr>
                <w:p w14:paraId="4068C7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pacing w:val="0"/>
                      <w:sz w:val="18"/>
                      <w:szCs w:val="18"/>
                      <w:highlight w:val="none"/>
                      <w:vertAlign w:val="baseline"/>
                      <w:lang w:val="en-US" w:eastAsia="zh-CN"/>
                    </w:rPr>
                  </w:pPr>
                  <w:r>
                    <w:rPr>
                      <w:rFonts w:hint="default" w:ascii="Times New Roman" w:hAnsi="Times New Roman" w:cs="Times New Roman"/>
                      <w:color w:val="auto"/>
                      <w:spacing w:val="0"/>
                      <w:sz w:val="18"/>
                      <w:szCs w:val="18"/>
                      <w:highlight w:val="none"/>
                      <w:vertAlign w:val="baseline"/>
                      <w:lang w:val="en-US" w:eastAsia="zh-CN"/>
                    </w:rPr>
                    <w:t>1</w:t>
                  </w:r>
                </w:p>
              </w:tc>
              <w:tc>
                <w:tcPr>
                  <w:tcW w:w="2467" w:type="dxa"/>
                  <w:vAlign w:val="center"/>
                </w:tcPr>
                <w:p w14:paraId="260976E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pacing w:val="0"/>
                      <w:sz w:val="18"/>
                      <w:szCs w:val="18"/>
                      <w:highlight w:val="none"/>
                      <w:vertAlign w:val="baseline"/>
                      <w:lang w:val="en-US" w:eastAsia="zh-CN"/>
                    </w:rPr>
                  </w:pPr>
                  <w:r>
                    <w:rPr>
                      <w:rFonts w:hint="default" w:ascii="Times New Roman" w:hAnsi="Times New Roman" w:cs="Times New Roman"/>
                      <w:color w:val="auto"/>
                      <w:spacing w:val="0"/>
                      <w:sz w:val="18"/>
                      <w:szCs w:val="18"/>
                    </w:rPr>
                    <w:t>活化硅酸</w:t>
                  </w:r>
                </w:p>
              </w:tc>
              <w:tc>
                <w:tcPr>
                  <w:tcW w:w="2227" w:type="dxa"/>
                  <w:vAlign w:val="center"/>
                </w:tcPr>
                <w:p w14:paraId="67776C5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cs="Times New Roman" w:eastAsiaTheme="minorEastAsia"/>
                      <w:color w:val="auto"/>
                      <w:spacing w:val="0"/>
                      <w:sz w:val="18"/>
                      <w:szCs w:val="18"/>
                      <w:highlight w:val="none"/>
                      <w:vertAlign w:val="baseline"/>
                      <w:lang w:val="en-US" w:eastAsia="zh-CN"/>
                    </w:rPr>
                  </w:pPr>
                  <w:r>
                    <w:rPr>
                      <w:rFonts w:hint="eastAsia" w:ascii="Times New Roman" w:hAnsi="Times New Roman" w:cs="Times New Roman" w:eastAsiaTheme="minorEastAsia"/>
                      <w:color w:val="auto"/>
                      <w:spacing w:val="0"/>
                      <w:sz w:val="18"/>
                      <w:szCs w:val="18"/>
                      <w:lang w:val="en-US" w:eastAsia="zh-CN"/>
                    </w:rPr>
                    <w:t>10（硅酸钠）</w:t>
                  </w:r>
                </w:p>
              </w:tc>
              <w:tc>
                <w:tcPr>
                  <w:tcW w:w="1177" w:type="dxa"/>
                  <w:vAlign w:val="center"/>
                </w:tcPr>
                <w:p w14:paraId="4E59153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cs="Times New Roman"/>
                      <w:color w:val="auto"/>
                      <w:spacing w:val="0"/>
                      <w:sz w:val="18"/>
                      <w:szCs w:val="18"/>
                      <w:highlight w:val="none"/>
                      <w:lang w:val="en-US" w:eastAsia="zh-CN"/>
                    </w:rPr>
                  </w:pPr>
                  <w:r>
                    <w:rPr>
                      <w:rFonts w:hint="eastAsia" w:ascii="Times New Roman" w:hAnsi="Times New Roman" w:cs="Times New Roman"/>
                      <w:color w:val="auto"/>
                      <w:spacing w:val="0"/>
                      <w:sz w:val="18"/>
                      <w:szCs w:val="18"/>
                      <w:highlight w:val="none"/>
                      <w:lang w:val="en-US" w:eastAsia="zh-CN"/>
                    </w:rPr>
                    <w:t>2</w:t>
                  </w:r>
                </w:p>
              </w:tc>
              <w:tc>
                <w:tcPr>
                  <w:tcW w:w="739" w:type="dxa"/>
                  <w:vAlign w:val="center"/>
                </w:tcPr>
                <w:p w14:paraId="109237D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sz w:val="18"/>
                      <w:szCs w:val="18"/>
                      <w:highlight w:val="none"/>
                      <w:vertAlign w:val="baseline"/>
                      <w:lang w:val="en-US" w:eastAsia="zh-CN"/>
                    </w:rPr>
                  </w:pPr>
                  <w:r>
                    <w:rPr>
                      <w:rFonts w:hint="default" w:ascii="Times New Roman" w:hAnsi="Times New Roman" w:cs="Times New Roman"/>
                      <w:color w:val="auto"/>
                      <w:spacing w:val="0"/>
                      <w:sz w:val="18"/>
                      <w:szCs w:val="18"/>
                      <w:highlight w:val="none"/>
                      <w:lang w:val="en-US" w:eastAsia="zh-CN"/>
                    </w:rPr>
                    <w:t>t/a</w:t>
                  </w:r>
                </w:p>
              </w:tc>
              <w:tc>
                <w:tcPr>
                  <w:tcW w:w="1058" w:type="dxa"/>
                  <w:vAlign w:val="center"/>
                </w:tcPr>
                <w:p w14:paraId="46F756C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default" w:ascii="Times New Roman" w:hAnsi="Times New Roman" w:cs="Times New Roman"/>
                      <w:color w:val="auto"/>
                      <w:spacing w:val="0"/>
                      <w:sz w:val="18"/>
                      <w:szCs w:val="18"/>
                      <w:lang w:val="en-US" w:eastAsia="zh-CN"/>
                    </w:rPr>
                    <w:t>外购</w:t>
                  </w:r>
                </w:p>
              </w:tc>
            </w:tr>
            <w:tr w14:paraId="517037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9" w:type="dxa"/>
                  <w:vAlign w:val="center"/>
                </w:tcPr>
                <w:p w14:paraId="0C595F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pacing w:val="0"/>
                      <w:sz w:val="18"/>
                      <w:szCs w:val="18"/>
                      <w:highlight w:val="none"/>
                      <w:vertAlign w:val="baseline"/>
                      <w:lang w:val="en-US" w:eastAsia="zh-CN"/>
                    </w:rPr>
                  </w:pPr>
                  <w:r>
                    <w:rPr>
                      <w:rFonts w:hint="default" w:ascii="Times New Roman" w:hAnsi="Times New Roman" w:cs="Times New Roman"/>
                      <w:color w:val="auto"/>
                      <w:spacing w:val="0"/>
                      <w:sz w:val="18"/>
                      <w:szCs w:val="18"/>
                      <w:highlight w:val="none"/>
                      <w:vertAlign w:val="baseline"/>
                      <w:lang w:val="en-US" w:eastAsia="zh-CN"/>
                    </w:rPr>
                    <w:t>2</w:t>
                  </w:r>
                </w:p>
              </w:tc>
              <w:tc>
                <w:tcPr>
                  <w:tcW w:w="2467" w:type="dxa"/>
                  <w:vAlign w:val="center"/>
                </w:tcPr>
                <w:p w14:paraId="289D6E2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pacing w:val="0"/>
                      <w:sz w:val="18"/>
                      <w:szCs w:val="18"/>
                      <w:highlight w:val="none"/>
                      <w:lang w:val="en-US" w:eastAsia="zh-CN"/>
                    </w:rPr>
                  </w:pPr>
                  <w:r>
                    <w:rPr>
                      <w:rFonts w:hint="default" w:ascii="Times New Roman" w:hAnsi="Times New Roman" w:cs="Times New Roman"/>
                      <w:color w:val="auto"/>
                      <w:spacing w:val="0"/>
                      <w:sz w:val="18"/>
                      <w:szCs w:val="18"/>
                    </w:rPr>
                    <w:t>PAC</w:t>
                  </w:r>
                  <w:r>
                    <w:rPr>
                      <w:rFonts w:hint="default" w:ascii="Times New Roman" w:hAnsi="Times New Roman" w:cs="Times New Roman"/>
                      <w:color w:val="auto"/>
                      <w:spacing w:val="0"/>
                      <w:sz w:val="18"/>
                      <w:szCs w:val="18"/>
                      <w:lang w:eastAsia="zh-CN"/>
                    </w:rPr>
                    <w:t>（</w:t>
                  </w:r>
                  <w:r>
                    <w:rPr>
                      <w:rFonts w:hint="default" w:ascii="Times New Roman" w:hAnsi="Times New Roman" w:cs="Times New Roman"/>
                      <w:color w:val="auto"/>
                      <w:spacing w:val="0"/>
                      <w:sz w:val="18"/>
                      <w:szCs w:val="18"/>
                    </w:rPr>
                    <w:t>聚</w:t>
                  </w:r>
                  <w:r>
                    <w:rPr>
                      <w:rFonts w:hint="default" w:ascii="Times New Roman" w:hAnsi="Times New Roman" w:cs="Times New Roman"/>
                      <w:color w:val="auto"/>
                      <w:spacing w:val="0"/>
                      <w:sz w:val="18"/>
                      <w:szCs w:val="18"/>
                      <w:lang w:val="en-US" w:eastAsia="zh-CN"/>
                    </w:rPr>
                    <w:t>合</w:t>
                  </w:r>
                  <w:r>
                    <w:rPr>
                      <w:rFonts w:hint="default" w:ascii="Times New Roman" w:hAnsi="Times New Roman" w:cs="Times New Roman"/>
                      <w:color w:val="auto"/>
                      <w:spacing w:val="0"/>
                      <w:sz w:val="18"/>
                      <w:szCs w:val="18"/>
                    </w:rPr>
                    <w:t>氯化铝</w:t>
                  </w:r>
                  <w:r>
                    <w:rPr>
                      <w:rFonts w:hint="default" w:ascii="Times New Roman" w:hAnsi="Times New Roman" w:cs="Times New Roman"/>
                      <w:color w:val="auto"/>
                      <w:spacing w:val="0"/>
                      <w:sz w:val="18"/>
                      <w:szCs w:val="18"/>
                      <w:lang w:eastAsia="zh-CN"/>
                    </w:rPr>
                    <w:t>）</w:t>
                  </w:r>
                </w:p>
              </w:tc>
              <w:tc>
                <w:tcPr>
                  <w:tcW w:w="2227" w:type="dxa"/>
                  <w:vAlign w:val="center"/>
                </w:tcPr>
                <w:p w14:paraId="4E08BF7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default" w:ascii="Times New Roman" w:hAnsi="Times New Roman" w:cs="Times New Roman"/>
                      <w:color w:val="auto"/>
                      <w:spacing w:val="0"/>
                      <w:sz w:val="18"/>
                      <w:szCs w:val="18"/>
                    </w:rPr>
                    <w:t>1</w:t>
                  </w:r>
                  <w:r>
                    <w:rPr>
                      <w:rFonts w:hint="eastAsia" w:ascii="Times New Roman" w:hAnsi="Times New Roman" w:cs="Times New Roman"/>
                      <w:color w:val="auto"/>
                      <w:spacing w:val="0"/>
                      <w:sz w:val="18"/>
                      <w:szCs w:val="18"/>
                      <w:lang w:val="en-US" w:eastAsia="zh-CN"/>
                    </w:rPr>
                    <w:t>15</w:t>
                  </w:r>
                </w:p>
              </w:tc>
              <w:tc>
                <w:tcPr>
                  <w:tcW w:w="1177" w:type="dxa"/>
                  <w:vAlign w:val="center"/>
                </w:tcPr>
                <w:p w14:paraId="2C261C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cs="Times New Roman"/>
                      <w:color w:val="auto"/>
                      <w:spacing w:val="0"/>
                      <w:sz w:val="18"/>
                      <w:szCs w:val="18"/>
                      <w:highlight w:val="none"/>
                      <w:lang w:val="en-US" w:eastAsia="zh-CN"/>
                    </w:rPr>
                  </w:pPr>
                  <w:r>
                    <w:rPr>
                      <w:rFonts w:hint="eastAsia" w:ascii="Times New Roman" w:hAnsi="Times New Roman" w:cs="Times New Roman"/>
                      <w:color w:val="auto"/>
                      <w:spacing w:val="0"/>
                      <w:sz w:val="18"/>
                      <w:szCs w:val="18"/>
                      <w:highlight w:val="none"/>
                      <w:lang w:val="en-US" w:eastAsia="zh-CN"/>
                    </w:rPr>
                    <w:t>5</w:t>
                  </w:r>
                </w:p>
              </w:tc>
              <w:tc>
                <w:tcPr>
                  <w:tcW w:w="739" w:type="dxa"/>
                  <w:vAlign w:val="center"/>
                </w:tcPr>
                <w:p w14:paraId="3A0F58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cs="Times New Roman"/>
                      <w:color w:val="auto"/>
                      <w:spacing w:val="0"/>
                      <w:sz w:val="18"/>
                      <w:szCs w:val="18"/>
                      <w:highlight w:val="none"/>
                      <w:lang w:val="en-US" w:eastAsia="zh-CN"/>
                    </w:rPr>
                  </w:pPr>
                  <w:r>
                    <w:rPr>
                      <w:rFonts w:hint="default" w:ascii="Times New Roman" w:hAnsi="Times New Roman" w:cs="Times New Roman"/>
                      <w:color w:val="auto"/>
                      <w:spacing w:val="0"/>
                      <w:sz w:val="18"/>
                      <w:szCs w:val="18"/>
                      <w:highlight w:val="none"/>
                      <w:lang w:val="en-US" w:eastAsia="zh-CN"/>
                    </w:rPr>
                    <w:t>t/a</w:t>
                  </w:r>
                </w:p>
              </w:tc>
              <w:tc>
                <w:tcPr>
                  <w:tcW w:w="1058" w:type="dxa"/>
                  <w:vAlign w:val="center"/>
                </w:tcPr>
                <w:p w14:paraId="09904F3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cs="Times New Roman"/>
                      <w:color w:val="auto"/>
                      <w:spacing w:val="0"/>
                      <w:sz w:val="18"/>
                      <w:szCs w:val="18"/>
                      <w:highlight w:val="none"/>
                      <w:lang w:val="en-US" w:eastAsia="zh-CN"/>
                    </w:rPr>
                  </w:pPr>
                  <w:r>
                    <w:rPr>
                      <w:rFonts w:hint="default" w:ascii="Times New Roman" w:hAnsi="Times New Roman" w:cs="Times New Roman"/>
                      <w:color w:val="auto"/>
                      <w:spacing w:val="0"/>
                      <w:sz w:val="18"/>
                      <w:szCs w:val="18"/>
                    </w:rPr>
                    <w:t>外购</w:t>
                  </w:r>
                </w:p>
              </w:tc>
            </w:tr>
            <w:tr w14:paraId="61FD8A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9" w:type="dxa"/>
                  <w:vAlign w:val="center"/>
                </w:tcPr>
                <w:p w14:paraId="5D858E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pacing w:val="0"/>
                      <w:sz w:val="18"/>
                      <w:szCs w:val="18"/>
                      <w:highlight w:val="none"/>
                      <w:vertAlign w:val="baseline"/>
                      <w:lang w:val="en-US" w:eastAsia="zh-CN"/>
                    </w:rPr>
                  </w:pPr>
                  <w:r>
                    <w:rPr>
                      <w:rFonts w:hint="default" w:ascii="Times New Roman" w:hAnsi="Times New Roman" w:cs="Times New Roman"/>
                      <w:color w:val="auto"/>
                      <w:spacing w:val="0"/>
                      <w:sz w:val="18"/>
                      <w:szCs w:val="18"/>
                      <w:highlight w:val="none"/>
                      <w:vertAlign w:val="baseline"/>
                      <w:lang w:val="en-US" w:eastAsia="zh-CN"/>
                    </w:rPr>
                    <w:t>3</w:t>
                  </w:r>
                </w:p>
              </w:tc>
              <w:tc>
                <w:tcPr>
                  <w:tcW w:w="2467" w:type="dxa"/>
                  <w:vAlign w:val="center"/>
                </w:tcPr>
                <w:p w14:paraId="3EB95C6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pacing w:val="0"/>
                      <w:sz w:val="18"/>
                      <w:szCs w:val="18"/>
                      <w:highlight w:val="none"/>
                      <w:lang w:val="en-US" w:eastAsia="zh-CN"/>
                    </w:rPr>
                  </w:pPr>
                  <w:r>
                    <w:rPr>
                      <w:rFonts w:hint="default" w:ascii="Times New Roman" w:hAnsi="Times New Roman" w:cs="Times New Roman"/>
                      <w:color w:val="auto"/>
                      <w:spacing w:val="0"/>
                      <w:sz w:val="18"/>
                      <w:szCs w:val="18"/>
                    </w:rPr>
                    <w:t>液氯</w:t>
                  </w:r>
                </w:p>
              </w:tc>
              <w:tc>
                <w:tcPr>
                  <w:tcW w:w="2227" w:type="dxa"/>
                  <w:vAlign w:val="center"/>
                </w:tcPr>
                <w:p w14:paraId="1879BFB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ascii="Times New Roman" w:hAnsi="Times New Roman" w:cs="Times New Roman"/>
                      <w:color w:val="auto"/>
                      <w:spacing w:val="0"/>
                      <w:sz w:val="18"/>
                      <w:szCs w:val="18"/>
                      <w:lang w:val="en-US" w:eastAsia="zh-CN"/>
                    </w:rPr>
                    <w:t>13</w:t>
                  </w:r>
                </w:p>
              </w:tc>
              <w:tc>
                <w:tcPr>
                  <w:tcW w:w="1177" w:type="dxa"/>
                  <w:vAlign w:val="center"/>
                </w:tcPr>
                <w:p w14:paraId="7D58DB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pacing w:val="0"/>
                      <w:sz w:val="18"/>
                      <w:szCs w:val="18"/>
                      <w:highlight w:val="none"/>
                      <w:lang w:val="en-US" w:eastAsia="zh-CN"/>
                    </w:rPr>
                  </w:pPr>
                  <w:r>
                    <w:rPr>
                      <w:rFonts w:hint="eastAsia" w:ascii="Times New Roman" w:hAnsi="Times New Roman" w:cs="Times New Roman"/>
                      <w:color w:val="auto"/>
                      <w:spacing w:val="0"/>
                      <w:sz w:val="18"/>
                      <w:szCs w:val="18"/>
                      <w:highlight w:val="none"/>
                      <w:lang w:val="en-US" w:eastAsia="zh-CN"/>
                    </w:rPr>
                    <w:t>2</w:t>
                  </w:r>
                </w:p>
              </w:tc>
              <w:tc>
                <w:tcPr>
                  <w:tcW w:w="739" w:type="dxa"/>
                  <w:vAlign w:val="center"/>
                </w:tcPr>
                <w:p w14:paraId="7B4CDA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pacing w:val="0"/>
                      <w:sz w:val="18"/>
                      <w:szCs w:val="18"/>
                      <w:highlight w:val="none"/>
                      <w:lang w:val="en-US" w:eastAsia="zh-CN"/>
                    </w:rPr>
                  </w:pPr>
                  <w:r>
                    <w:rPr>
                      <w:rFonts w:hint="default" w:ascii="Times New Roman" w:hAnsi="Times New Roman" w:cs="Times New Roman"/>
                      <w:color w:val="auto"/>
                      <w:spacing w:val="0"/>
                      <w:sz w:val="18"/>
                      <w:szCs w:val="18"/>
                      <w:highlight w:val="none"/>
                      <w:lang w:val="en-US" w:eastAsia="zh-CN"/>
                    </w:rPr>
                    <w:t>t/a</w:t>
                  </w:r>
                </w:p>
              </w:tc>
              <w:tc>
                <w:tcPr>
                  <w:tcW w:w="1058" w:type="dxa"/>
                  <w:vAlign w:val="center"/>
                </w:tcPr>
                <w:p w14:paraId="070121E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cs="Times New Roman"/>
                      <w:color w:val="auto"/>
                      <w:spacing w:val="0"/>
                      <w:sz w:val="18"/>
                      <w:szCs w:val="18"/>
                      <w:highlight w:val="none"/>
                      <w:lang w:val="en-US" w:eastAsia="zh-CN"/>
                    </w:rPr>
                  </w:pPr>
                  <w:r>
                    <w:rPr>
                      <w:rFonts w:hint="default" w:ascii="Times New Roman" w:hAnsi="Times New Roman" w:cs="Times New Roman"/>
                      <w:color w:val="auto"/>
                      <w:spacing w:val="0"/>
                      <w:sz w:val="18"/>
                      <w:szCs w:val="18"/>
                    </w:rPr>
                    <w:t>外购</w:t>
                  </w:r>
                </w:p>
              </w:tc>
            </w:tr>
            <w:tr w14:paraId="756E964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9" w:type="dxa"/>
                  <w:vAlign w:val="center"/>
                </w:tcPr>
                <w:p w14:paraId="1285A8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pacing w:val="0"/>
                      <w:sz w:val="18"/>
                      <w:szCs w:val="18"/>
                      <w:highlight w:val="none"/>
                      <w:vertAlign w:val="baseline"/>
                      <w:lang w:val="en-US" w:eastAsia="zh-CN"/>
                    </w:rPr>
                  </w:pPr>
                  <w:r>
                    <w:rPr>
                      <w:rFonts w:hint="default" w:ascii="Times New Roman" w:hAnsi="Times New Roman" w:cs="Times New Roman"/>
                      <w:color w:val="auto"/>
                      <w:spacing w:val="0"/>
                      <w:sz w:val="18"/>
                      <w:szCs w:val="18"/>
                      <w:highlight w:val="none"/>
                      <w:vertAlign w:val="baseline"/>
                      <w:lang w:val="en-US" w:eastAsia="zh-CN"/>
                    </w:rPr>
                    <w:t>4</w:t>
                  </w:r>
                </w:p>
              </w:tc>
              <w:tc>
                <w:tcPr>
                  <w:tcW w:w="2467" w:type="dxa"/>
                  <w:vAlign w:val="center"/>
                </w:tcPr>
                <w:p w14:paraId="776CCE7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pacing w:val="0"/>
                      <w:sz w:val="18"/>
                      <w:szCs w:val="18"/>
                      <w:highlight w:val="none"/>
                      <w:lang w:val="en-US" w:eastAsia="zh-CN"/>
                    </w:rPr>
                  </w:pPr>
                  <w:r>
                    <w:rPr>
                      <w:rFonts w:hint="default" w:ascii="Times New Roman" w:hAnsi="Times New Roman" w:cs="Times New Roman"/>
                      <w:color w:val="auto"/>
                      <w:spacing w:val="0"/>
                      <w:sz w:val="18"/>
                      <w:szCs w:val="18"/>
                    </w:rPr>
                    <w:t>PAM</w:t>
                  </w:r>
                </w:p>
              </w:tc>
              <w:tc>
                <w:tcPr>
                  <w:tcW w:w="2227" w:type="dxa"/>
                  <w:vAlign w:val="center"/>
                </w:tcPr>
                <w:p w14:paraId="76A4324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eastAsia" w:ascii="Times New Roman" w:hAnsi="Times New Roman" w:eastAsia="宋体" w:cs="Times New Roman"/>
                      <w:color w:val="auto"/>
                      <w:spacing w:val="0"/>
                      <w:sz w:val="18"/>
                      <w:szCs w:val="18"/>
                      <w:highlight w:val="none"/>
                      <w:lang w:val="en-US" w:eastAsia="zh-CN"/>
                    </w:rPr>
                  </w:pPr>
                  <w:r>
                    <w:rPr>
                      <w:rFonts w:hint="eastAsia" w:ascii="Times New Roman" w:hAnsi="Times New Roman" w:cs="Times New Roman"/>
                      <w:color w:val="auto"/>
                      <w:spacing w:val="0"/>
                      <w:sz w:val="18"/>
                      <w:szCs w:val="18"/>
                      <w:lang w:val="en-US" w:eastAsia="zh-CN"/>
                    </w:rPr>
                    <w:t>3</w:t>
                  </w:r>
                </w:p>
              </w:tc>
              <w:tc>
                <w:tcPr>
                  <w:tcW w:w="1177" w:type="dxa"/>
                  <w:vAlign w:val="center"/>
                </w:tcPr>
                <w:p w14:paraId="44E247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cs="Times New Roman"/>
                      <w:color w:val="auto"/>
                      <w:spacing w:val="0"/>
                      <w:sz w:val="18"/>
                      <w:szCs w:val="18"/>
                      <w:highlight w:val="none"/>
                      <w:lang w:val="en-US" w:eastAsia="zh-CN"/>
                    </w:rPr>
                  </w:pPr>
                  <w:r>
                    <w:rPr>
                      <w:rFonts w:hint="eastAsia" w:ascii="Times New Roman" w:hAnsi="Times New Roman" w:cs="Times New Roman"/>
                      <w:color w:val="auto"/>
                      <w:spacing w:val="0"/>
                      <w:sz w:val="18"/>
                      <w:szCs w:val="18"/>
                      <w:highlight w:val="none"/>
                      <w:lang w:val="en-US" w:eastAsia="zh-CN"/>
                    </w:rPr>
                    <w:t>2</w:t>
                  </w:r>
                </w:p>
              </w:tc>
              <w:tc>
                <w:tcPr>
                  <w:tcW w:w="739" w:type="dxa"/>
                  <w:vAlign w:val="center"/>
                </w:tcPr>
                <w:p w14:paraId="0BD497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cs="Times New Roman"/>
                      <w:color w:val="auto"/>
                      <w:spacing w:val="0"/>
                      <w:sz w:val="18"/>
                      <w:szCs w:val="18"/>
                      <w:highlight w:val="none"/>
                      <w:lang w:val="en-US" w:eastAsia="zh-CN"/>
                    </w:rPr>
                  </w:pPr>
                  <w:r>
                    <w:rPr>
                      <w:rFonts w:hint="default" w:ascii="Times New Roman" w:hAnsi="Times New Roman" w:cs="Times New Roman"/>
                      <w:color w:val="auto"/>
                      <w:spacing w:val="0"/>
                      <w:sz w:val="18"/>
                      <w:szCs w:val="18"/>
                      <w:highlight w:val="none"/>
                      <w:lang w:val="en-US" w:eastAsia="zh-CN"/>
                    </w:rPr>
                    <w:t>t/a</w:t>
                  </w:r>
                </w:p>
              </w:tc>
              <w:tc>
                <w:tcPr>
                  <w:tcW w:w="1058" w:type="dxa"/>
                  <w:vAlign w:val="center"/>
                </w:tcPr>
                <w:p w14:paraId="73E3B8D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cs="Times New Roman"/>
                      <w:color w:val="auto"/>
                      <w:spacing w:val="0"/>
                      <w:sz w:val="18"/>
                      <w:szCs w:val="18"/>
                      <w:highlight w:val="none"/>
                      <w:lang w:val="en-US" w:eastAsia="zh-CN"/>
                    </w:rPr>
                  </w:pPr>
                  <w:r>
                    <w:rPr>
                      <w:rFonts w:hint="default" w:ascii="Times New Roman" w:hAnsi="Times New Roman" w:cs="Times New Roman"/>
                      <w:color w:val="auto"/>
                      <w:spacing w:val="0"/>
                      <w:sz w:val="18"/>
                      <w:szCs w:val="18"/>
                    </w:rPr>
                    <w:t>外购</w:t>
                  </w:r>
                </w:p>
              </w:tc>
            </w:tr>
            <w:tr w14:paraId="5CB533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9" w:type="dxa"/>
                  <w:vAlign w:val="center"/>
                </w:tcPr>
                <w:p w14:paraId="5BD3A2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pacing w:val="0"/>
                      <w:sz w:val="18"/>
                      <w:szCs w:val="18"/>
                      <w:highlight w:val="none"/>
                      <w:vertAlign w:val="baseline"/>
                      <w:lang w:val="en-US" w:eastAsia="zh-CN"/>
                    </w:rPr>
                  </w:pPr>
                  <w:r>
                    <w:rPr>
                      <w:rFonts w:hint="default" w:ascii="Times New Roman" w:hAnsi="Times New Roman" w:cs="Times New Roman"/>
                      <w:color w:val="auto"/>
                      <w:spacing w:val="0"/>
                      <w:sz w:val="18"/>
                      <w:szCs w:val="18"/>
                      <w:highlight w:val="none"/>
                      <w:vertAlign w:val="baseline"/>
                      <w:lang w:val="en-US" w:eastAsia="zh-CN"/>
                    </w:rPr>
                    <w:t>5</w:t>
                  </w:r>
                </w:p>
              </w:tc>
              <w:tc>
                <w:tcPr>
                  <w:tcW w:w="2467" w:type="dxa"/>
                  <w:vAlign w:val="center"/>
                </w:tcPr>
                <w:p w14:paraId="2B59B46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pacing w:val="0"/>
                      <w:sz w:val="18"/>
                      <w:szCs w:val="18"/>
                    </w:rPr>
                  </w:pPr>
                  <w:r>
                    <w:rPr>
                      <w:rFonts w:hint="default" w:ascii="Times New Roman" w:hAnsi="Times New Roman" w:cs="Times New Roman"/>
                      <w:color w:val="auto"/>
                      <w:spacing w:val="0"/>
                      <w:sz w:val="18"/>
                      <w:szCs w:val="18"/>
                    </w:rPr>
                    <w:t>38%三氯化铁溶液</w:t>
                  </w:r>
                </w:p>
              </w:tc>
              <w:tc>
                <w:tcPr>
                  <w:tcW w:w="2227" w:type="dxa"/>
                  <w:vAlign w:val="center"/>
                </w:tcPr>
                <w:p w14:paraId="56B2718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sz w:val="18"/>
                      <w:szCs w:val="18"/>
                      <w:lang w:val="en-US" w:eastAsia="zh-CN"/>
                    </w:rPr>
                  </w:pPr>
                  <w:r>
                    <w:rPr>
                      <w:rFonts w:hint="default" w:ascii="Times New Roman" w:hAnsi="Times New Roman" w:cs="Times New Roman"/>
                      <w:color w:val="auto"/>
                      <w:spacing w:val="0"/>
                      <w:sz w:val="18"/>
                      <w:szCs w:val="18"/>
                      <w:lang w:val="en-US" w:eastAsia="zh-CN"/>
                    </w:rPr>
                    <w:t>2</w:t>
                  </w:r>
                </w:p>
              </w:tc>
              <w:tc>
                <w:tcPr>
                  <w:tcW w:w="1177" w:type="dxa"/>
                  <w:vAlign w:val="center"/>
                </w:tcPr>
                <w:p w14:paraId="29413F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pacing w:val="0"/>
                      <w:sz w:val="18"/>
                      <w:szCs w:val="18"/>
                      <w:highlight w:val="none"/>
                      <w:lang w:val="en-US" w:eastAsia="zh-CN"/>
                    </w:rPr>
                  </w:pPr>
                  <w:r>
                    <w:rPr>
                      <w:rFonts w:hint="default" w:ascii="Times New Roman" w:hAnsi="Times New Roman" w:cs="Times New Roman"/>
                      <w:color w:val="auto"/>
                      <w:spacing w:val="0"/>
                      <w:sz w:val="18"/>
                      <w:szCs w:val="18"/>
                      <w:highlight w:val="none"/>
                      <w:lang w:val="en-US" w:eastAsia="zh-CN"/>
                    </w:rPr>
                    <w:t>1</w:t>
                  </w:r>
                </w:p>
              </w:tc>
              <w:tc>
                <w:tcPr>
                  <w:tcW w:w="739" w:type="dxa"/>
                  <w:vAlign w:val="center"/>
                </w:tcPr>
                <w:p w14:paraId="6F392D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pacing w:val="0"/>
                      <w:sz w:val="18"/>
                      <w:szCs w:val="18"/>
                      <w:highlight w:val="none"/>
                      <w:lang w:val="en-US" w:eastAsia="zh-CN"/>
                    </w:rPr>
                  </w:pPr>
                  <w:r>
                    <w:rPr>
                      <w:rFonts w:hint="default" w:ascii="Times New Roman" w:hAnsi="Times New Roman" w:cs="Times New Roman"/>
                      <w:color w:val="auto"/>
                      <w:spacing w:val="0"/>
                      <w:sz w:val="18"/>
                      <w:szCs w:val="18"/>
                      <w:highlight w:val="none"/>
                      <w:lang w:val="en-US" w:eastAsia="zh-CN"/>
                    </w:rPr>
                    <w:t>t/a</w:t>
                  </w:r>
                </w:p>
              </w:tc>
              <w:tc>
                <w:tcPr>
                  <w:tcW w:w="1058" w:type="dxa"/>
                  <w:vAlign w:val="center"/>
                </w:tcPr>
                <w:p w14:paraId="4B506BC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pacing w:val="0"/>
                      <w:sz w:val="18"/>
                      <w:szCs w:val="18"/>
                    </w:rPr>
                  </w:pPr>
                  <w:r>
                    <w:rPr>
                      <w:rFonts w:hint="default" w:ascii="Times New Roman" w:hAnsi="Times New Roman" w:cs="Times New Roman"/>
                      <w:color w:val="auto"/>
                      <w:spacing w:val="0"/>
                      <w:sz w:val="18"/>
                      <w:szCs w:val="18"/>
                    </w:rPr>
                    <w:t>外购</w:t>
                  </w:r>
                </w:p>
              </w:tc>
            </w:tr>
          </w:tbl>
          <w:p w14:paraId="257A05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color w:val="auto"/>
                <w:highlight w:val="none"/>
              </w:rPr>
            </w:pPr>
            <w:r>
              <w:rPr>
                <w:rFonts w:hint="default"/>
                <w:b/>
                <w:bCs/>
                <w:color w:val="auto"/>
                <w:highlight w:val="none"/>
              </w:rPr>
              <w:t>PAC</w:t>
            </w:r>
            <w:r>
              <w:rPr>
                <w:rFonts w:hint="eastAsia"/>
                <w:b/>
                <w:bCs/>
                <w:color w:val="auto"/>
                <w:highlight w:val="none"/>
                <w:lang w:val="en-US" w:eastAsia="zh-CN"/>
              </w:rPr>
              <w:t>理化性质</w:t>
            </w:r>
            <w:r>
              <w:rPr>
                <w:rFonts w:hint="default"/>
                <w:b/>
                <w:bCs/>
                <w:color w:val="auto"/>
                <w:highlight w:val="none"/>
              </w:rPr>
              <w:t>：</w:t>
            </w:r>
            <w:r>
              <w:rPr>
                <w:rFonts w:hint="default"/>
                <w:color w:val="auto"/>
                <w:highlight w:val="none"/>
              </w:rPr>
              <w:t>聚合氯化铝，是一种水溶性无机高分子聚合物，英文缩写为PAC。通常也称作</w:t>
            </w:r>
            <w:r>
              <w:rPr>
                <w:rFonts w:hint="default"/>
                <w:color w:val="auto"/>
                <w:highlight w:val="none"/>
              </w:rPr>
              <w:fldChar w:fldCharType="begin"/>
            </w:r>
            <w:r>
              <w:rPr>
                <w:rFonts w:hint="default"/>
                <w:color w:val="auto"/>
                <w:highlight w:val="none"/>
              </w:rPr>
              <w:instrText xml:space="preserve"> HYPERLINK "https://baike.sogou.com/lemma/ShowInnerLink.htm?lemmaId=7781131&amp;ss_c=ssc.citiao.link" \t "https://baike.sogou.com/_blank" </w:instrText>
            </w:r>
            <w:r>
              <w:rPr>
                <w:rFonts w:hint="default"/>
                <w:color w:val="auto"/>
                <w:highlight w:val="none"/>
              </w:rPr>
              <w:fldChar w:fldCharType="separate"/>
            </w:r>
            <w:r>
              <w:rPr>
                <w:rFonts w:hint="default"/>
                <w:color w:val="auto"/>
                <w:highlight w:val="none"/>
              </w:rPr>
              <w:t>净水剂</w:t>
            </w:r>
            <w:r>
              <w:rPr>
                <w:rFonts w:hint="default"/>
                <w:color w:val="auto"/>
                <w:highlight w:val="none"/>
              </w:rPr>
              <w:fldChar w:fldCharType="end"/>
            </w:r>
            <w:r>
              <w:rPr>
                <w:rFonts w:hint="default"/>
                <w:color w:val="auto"/>
                <w:highlight w:val="none"/>
              </w:rPr>
              <w:t>或</w:t>
            </w:r>
            <w:r>
              <w:rPr>
                <w:rFonts w:hint="default"/>
                <w:color w:val="auto"/>
                <w:highlight w:val="none"/>
              </w:rPr>
              <w:fldChar w:fldCharType="begin"/>
            </w:r>
            <w:r>
              <w:rPr>
                <w:rFonts w:hint="default"/>
                <w:color w:val="auto"/>
                <w:highlight w:val="none"/>
              </w:rPr>
              <w:instrText xml:space="preserve"> HYPERLINK "https://baike.sogou.com/lemma/ShowInnerLink.htm?lemmaId=7860219&amp;ss_c=ssc.citiao.link" \t "https://baike.sogou.com/_blank" </w:instrText>
            </w:r>
            <w:r>
              <w:rPr>
                <w:rFonts w:hint="default"/>
                <w:color w:val="auto"/>
                <w:highlight w:val="none"/>
              </w:rPr>
              <w:fldChar w:fldCharType="separate"/>
            </w:r>
            <w:r>
              <w:rPr>
                <w:rFonts w:hint="default"/>
                <w:color w:val="auto"/>
                <w:highlight w:val="none"/>
              </w:rPr>
              <w:t>混凝剂</w:t>
            </w:r>
            <w:r>
              <w:rPr>
                <w:rFonts w:hint="default"/>
                <w:color w:val="auto"/>
                <w:highlight w:val="none"/>
              </w:rPr>
              <w:fldChar w:fldCharType="end"/>
            </w:r>
            <w:r>
              <w:rPr>
                <w:rFonts w:hint="default"/>
                <w:color w:val="auto"/>
                <w:highlight w:val="none"/>
              </w:rPr>
              <w:t>，它是介于</w:t>
            </w:r>
            <w:r>
              <w:rPr>
                <w:rFonts w:hint="default"/>
                <w:color w:val="auto"/>
                <w:highlight w:val="none"/>
              </w:rPr>
              <w:fldChar w:fldCharType="begin"/>
            </w:r>
            <w:r>
              <w:rPr>
                <w:rFonts w:hint="default"/>
                <w:color w:val="auto"/>
                <w:highlight w:val="none"/>
              </w:rPr>
              <w:instrText xml:space="preserve"> HYPERLINK "https://baike.sogou.com/lemma/ShowInnerLink.htm?lemmaId=330717&amp;ss_c=ssc.citiao.link" \t "https://baike.sogou.com/_blank" </w:instrText>
            </w:r>
            <w:r>
              <w:rPr>
                <w:rFonts w:hint="default"/>
                <w:color w:val="auto"/>
                <w:highlight w:val="none"/>
              </w:rPr>
              <w:fldChar w:fldCharType="separate"/>
            </w:r>
            <w:r>
              <w:rPr>
                <w:rFonts w:hint="default"/>
                <w:color w:val="auto"/>
                <w:highlight w:val="none"/>
              </w:rPr>
              <w:t>AlCl</w:t>
            </w:r>
            <w:r>
              <w:rPr>
                <w:rFonts w:hint="default"/>
                <w:color w:val="auto"/>
                <w:highlight w:val="none"/>
                <w:vertAlign w:val="subscript"/>
              </w:rPr>
              <w:t>3</w:t>
            </w:r>
            <w:r>
              <w:rPr>
                <w:rFonts w:hint="default"/>
                <w:color w:val="auto"/>
                <w:highlight w:val="none"/>
              </w:rPr>
              <w:fldChar w:fldCharType="end"/>
            </w:r>
            <w:r>
              <w:rPr>
                <w:rFonts w:hint="default"/>
                <w:color w:val="auto"/>
                <w:highlight w:val="none"/>
              </w:rPr>
              <w:t>和Al(OH)</w:t>
            </w:r>
            <w:r>
              <w:rPr>
                <w:rFonts w:hint="default"/>
                <w:color w:val="auto"/>
                <w:highlight w:val="none"/>
                <w:vertAlign w:val="subscript"/>
              </w:rPr>
              <w:t>3</w:t>
            </w:r>
            <w:r>
              <w:rPr>
                <w:rFonts w:hint="default"/>
                <w:color w:val="auto"/>
                <w:highlight w:val="none"/>
              </w:rPr>
              <w:t>之间的一种水溶性无机</w:t>
            </w:r>
            <w:r>
              <w:rPr>
                <w:rFonts w:hint="default"/>
                <w:color w:val="auto"/>
                <w:highlight w:val="none"/>
              </w:rPr>
              <w:fldChar w:fldCharType="begin"/>
            </w:r>
            <w:r>
              <w:rPr>
                <w:rFonts w:hint="default"/>
                <w:color w:val="auto"/>
                <w:highlight w:val="none"/>
              </w:rPr>
              <w:instrText xml:space="preserve"> HYPERLINK "https://baike.sogou.com/lemma/ShowInnerLink.htm?lemmaId=362715&amp;ss_c=ssc.citiao.link" \t "https://baike.sogou.com/_blank" </w:instrText>
            </w:r>
            <w:r>
              <w:rPr>
                <w:rFonts w:hint="default"/>
                <w:color w:val="auto"/>
                <w:highlight w:val="none"/>
              </w:rPr>
              <w:fldChar w:fldCharType="separate"/>
            </w:r>
            <w:r>
              <w:rPr>
                <w:rFonts w:hint="default"/>
                <w:color w:val="auto"/>
                <w:highlight w:val="none"/>
              </w:rPr>
              <w:t>高分子聚合物</w:t>
            </w:r>
            <w:r>
              <w:rPr>
                <w:rFonts w:hint="default"/>
                <w:color w:val="auto"/>
                <w:highlight w:val="none"/>
              </w:rPr>
              <w:fldChar w:fldCharType="end"/>
            </w:r>
            <w:r>
              <w:rPr>
                <w:rFonts w:hint="default"/>
                <w:color w:val="auto"/>
                <w:highlight w:val="none"/>
              </w:rPr>
              <w:t>，化学通式为[Al</w:t>
            </w:r>
            <w:r>
              <w:rPr>
                <w:rFonts w:hint="default"/>
                <w:color w:val="auto"/>
                <w:highlight w:val="none"/>
                <w:vertAlign w:val="subscript"/>
              </w:rPr>
              <w:t>2</w:t>
            </w:r>
            <w:r>
              <w:rPr>
                <w:rFonts w:hint="default"/>
                <w:color w:val="auto"/>
                <w:highlight w:val="none"/>
              </w:rPr>
              <w:t>(OH)nCl6-nlm]其中m代表聚合程度，n表示PAC产品的中性程度。具有喷雾干燥稳定性好，适应水域宽，水解速度快，吸附能力强等特点。</w:t>
            </w:r>
          </w:p>
          <w:p w14:paraId="2A6C388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20" w:firstLineChars="200"/>
              <w:textAlignment w:val="auto"/>
              <w:rPr>
                <w:rFonts w:hint="default"/>
                <w:snapToGrid w:val="0"/>
                <w:color w:val="auto"/>
                <w:highlight w:val="none"/>
              </w:rPr>
            </w:pPr>
            <w:r>
              <w:rPr>
                <w:rFonts w:hint="default" w:eastAsia="Times New Roman"/>
                <w:b/>
                <w:bCs/>
                <w:color w:val="auto"/>
                <w:highlight w:val="none"/>
              </w:rPr>
              <w:t>PAM</w:t>
            </w:r>
            <w:r>
              <w:rPr>
                <w:rFonts w:hint="eastAsia" w:eastAsia="宋体"/>
                <w:b/>
                <w:bCs/>
                <w:color w:val="auto"/>
                <w:highlight w:val="none"/>
                <w:lang w:val="en-US" w:eastAsia="zh-CN"/>
              </w:rPr>
              <w:t>理化性质</w:t>
            </w:r>
            <w:r>
              <w:rPr>
                <w:rFonts w:hint="default"/>
                <w:b/>
                <w:bCs/>
                <w:color w:val="auto"/>
                <w:highlight w:val="none"/>
              </w:rPr>
              <w:t>：</w:t>
            </w:r>
            <w:r>
              <w:rPr>
                <w:rFonts w:hint="default"/>
                <w:color w:val="auto"/>
                <w:highlight w:val="none"/>
              </w:rPr>
              <w:t>聚丙烯酰胺，</w:t>
            </w:r>
            <w:r>
              <w:rPr>
                <w:rFonts w:hint="default"/>
                <w:snapToGrid w:val="0"/>
                <w:color w:val="auto"/>
                <w:highlight w:val="none"/>
              </w:rPr>
              <w:t>该物质的分子能与分散于溶液中的悬浮粒子架桥吸附，有着极强的絮凝作用。密度为1.3g/cm</w:t>
            </w:r>
            <w:r>
              <w:rPr>
                <w:rFonts w:hint="default"/>
                <w:snapToGrid w:val="0"/>
                <w:color w:val="auto"/>
                <w:highlight w:val="none"/>
                <w:vertAlign w:val="superscript"/>
              </w:rPr>
              <w:t>3</w:t>
            </w:r>
            <w:r>
              <w:rPr>
                <w:rFonts w:hint="default"/>
                <w:snapToGrid w:val="0"/>
                <w:color w:val="auto"/>
                <w:highlight w:val="none"/>
              </w:rPr>
              <w:t>。PAM在50-60°C下溶于水，水解度为5%-35%，也溶于乙酸、丙酸、氯代乙酸、乙二醇、甘油和胺等有机溶剂。</w:t>
            </w:r>
          </w:p>
          <w:p w14:paraId="0A569425">
            <w:pPr>
              <w:pStyle w:val="3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pacing w:val="0"/>
                <w:sz w:val="21"/>
                <w:szCs w:val="21"/>
              </w:rPr>
              <w:t>活化硅酸</w:t>
            </w:r>
            <w:r>
              <w:rPr>
                <w:rFonts w:hint="default" w:ascii="Times New Roman" w:hAnsi="Times New Roman" w:eastAsia="宋体" w:cs="Times New Roman"/>
                <w:b/>
                <w:bCs/>
                <w:color w:val="auto"/>
                <w:spacing w:val="0"/>
                <w:sz w:val="21"/>
                <w:szCs w:val="21"/>
                <w:lang w:val="en-US" w:eastAsia="zh-CN"/>
              </w:rPr>
              <w:t>理化性质：</w:t>
            </w:r>
            <w:r>
              <w:rPr>
                <w:rFonts w:hint="default" w:ascii="Times New Roman" w:hAnsi="Times New Roman" w:eastAsia="宋体" w:cs="Times New Roman"/>
                <w:i w:val="0"/>
                <w:iCs w:val="0"/>
                <w:caps w:val="0"/>
                <w:color w:val="auto"/>
                <w:spacing w:val="0"/>
                <w:sz w:val="21"/>
                <w:szCs w:val="21"/>
                <w:shd w:val="clear" w:fill="FFFFFF"/>
              </w:rPr>
              <w:t>通常为无色或微乳白色、半透明的</w:t>
            </w:r>
            <w:r>
              <w:rPr>
                <w:rFonts w:hint="eastAsia" w:ascii="Times New Roman" w:eastAsia="宋体" w:cs="Times New Roman"/>
                <w:i w:val="0"/>
                <w:iCs w:val="0"/>
                <w:caps w:val="0"/>
                <w:color w:val="auto"/>
                <w:spacing w:val="0"/>
                <w:sz w:val="21"/>
                <w:szCs w:val="21"/>
                <w:shd w:val="clear" w:fill="FFFFFF"/>
                <w:lang w:eastAsia="zh-CN"/>
              </w:rPr>
              <w:t>黏稠</w:t>
            </w:r>
            <w:r>
              <w:rPr>
                <w:rFonts w:hint="default" w:ascii="Times New Roman" w:hAnsi="Times New Roman" w:eastAsia="宋体" w:cs="Times New Roman"/>
                <w:i w:val="0"/>
                <w:iCs w:val="0"/>
                <w:caps w:val="0"/>
                <w:color w:val="auto"/>
                <w:spacing w:val="0"/>
                <w:sz w:val="21"/>
                <w:szCs w:val="21"/>
                <w:shd w:val="clear" w:fill="FFFFFF"/>
              </w:rPr>
              <w:t>液体。属于亚稳态体系。其活性会随时间而变化（聚合度持续增加），最终会不可逆地凝胶化成冻状的硅胶。因此必须现配现用，储存期通常很短（几小时到几天），受温度、浓度和pH影响极大。组成复杂性：是单硅酸（H₄SiO₄）、低聚硅酸、胶体二氧化硅颗粒的混合物。其有效成分主要是带有活性硅羟基（-Si-OH）的聚合体。表面带有负电荷。这是由于硅羟基在水溶液中电离（Si-OH → Si-O⁻ + H⁺）所致。聚合反应：在活化后，溶液中的硅酸分子会持续发生缩聚反应（-Si-OH + HO-Si- → -Si-O-Si- + H₂O），分子量和聚合度不断增加，粘度也随之上升，直至凝胶。其活性硅羟基能与水中的重金属离子（如Al³⁺、Fe³⁺）氢氧化物胶体、以及带正电的有机胶体发生吸附、架桥和电中和作用。</w:t>
            </w:r>
          </w:p>
          <w:p w14:paraId="5865E49C">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Times New Roman" w:hAnsi="Times New Roman" w:eastAsia="宋体" w:cs="Times New Roman"/>
                <w:i w:val="0"/>
                <w:iCs w:val="0"/>
                <w:caps w:val="0"/>
                <w:color w:val="auto"/>
                <w:spacing w:val="0"/>
                <w:sz w:val="21"/>
                <w:szCs w:val="21"/>
                <w:shd w:val="clear" w:fill="FFFFFF"/>
                <w:lang w:eastAsia="zh-CN"/>
              </w:rPr>
            </w:pPr>
            <w:r>
              <w:rPr>
                <w:rFonts w:hint="default" w:ascii="Times New Roman" w:hAnsi="Times New Roman" w:eastAsia="宋体" w:cs="Times New Roman"/>
                <w:b/>
                <w:bCs/>
                <w:color w:val="auto"/>
                <w:sz w:val="21"/>
                <w:szCs w:val="21"/>
                <w:lang w:val="en-US" w:eastAsia="zh-CN"/>
              </w:rPr>
              <w:t>液氯理化性质：</w:t>
            </w:r>
            <w:r>
              <w:rPr>
                <w:rFonts w:hint="default" w:ascii="Times New Roman" w:hAnsi="Times New Roman" w:eastAsia="宋体" w:cs="Times New Roman"/>
                <w:i w:val="0"/>
                <w:iCs w:val="0"/>
                <w:caps w:val="0"/>
                <w:color w:val="auto"/>
                <w:spacing w:val="0"/>
                <w:sz w:val="21"/>
                <w:szCs w:val="21"/>
                <w:shd w:val="clear" w:fill="FFFFFF"/>
              </w:rPr>
              <w:t>沸点-34.05℃（在常压下）。这意味着在常温下，一旦从容器中释放，液氯会迅速气化为氯气，体积急剧膨胀（约膨胀460倍）。熔点-100.98℃。液态密度（在0℃）约 1.468 g/cm³，比水重。气体密度（空气=1）约 2.48，比空气重得多。这意味着泄漏的氯气会积聚在低洼处、地面、沟渠、地下室，不易扩散，大大增加了吸入风险。溶解性：可溶于水，在常温常压下，1体积水约能溶解2体积氯气，形成“氯水”。氯水是淡黄绿色溶液，其中部分氯气与水反应生成盐酸和次氯酸。临界温度144℃，在此温度以上，无论加多大压力都无法使氯气液化。氯是一种强氧化剂，能与许多金属和非金属直接反应。与金属：如与钠、铁、铜等反应生成氯化物（干燥氯气与铁反应缓慢，但潮湿氯气因生成酸而腐蚀性极强）。与非金属：如与磷、硫等反应。与水的反应：Cl₂ + H₂O ⇌ HCl + HClO（次氯酸）。次氯酸不稳定，易分解释放出氧气，因此氯水具有漂白和杀菌消毒作用。与碱的反应：生成氯化物和次氯酸盐（冷却条件下）或氯酸盐（加热条件下），这是工业上吸收和处理氯气的基础。与有机物反应：能与许多有机物发生取代反应或加成反应。危险性：与某些有机物（如烃类、醇类、醚类）接触可能发生剧烈反应，甚至引起火灾爆炸</w:t>
            </w:r>
            <w:r>
              <w:rPr>
                <w:rFonts w:hint="default" w:ascii="Times New Roman" w:hAnsi="Times New Roman" w:eastAsia="宋体" w:cs="Times New Roman"/>
                <w:i w:val="0"/>
                <w:iCs w:val="0"/>
                <w:caps w:val="0"/>
                <w:color w:val="auto"/>
                <w:spacing w:val="0"/>
                <w:sz w:val="21"/>
                <w:szCs w:val="21"/>
                <w:shd w:val="clear" w:fill="FFFFFF"/>
                <w:lang w:eastAsia="zh-CN"/>
              </w:rPr>
              <w:t>。</w:t>
            </w:r>
          </w:p>
          <w:p w14:paraId="1CD864C0">
            <w:pPr>
              <w:pStyle w:val="4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pacing w:val="0"/>
                <w:sz w:val="21"/>
                <w:szCs w:val="21"/>
              </w:rPr>
              <w:t>38%三氯化铁溶液</w:t>
            </w:r>
            <w:r>
              <w:rPr>
                <w:rFonts w:hint="default" w:ascii="Times New Roman" w:hAnsi="Times New Roman" w:eastAsia="宋体" w:cs="Times New Roman"/>
                <w:b/>
                <w:bCs/>
                <w:color w:val="auto"/>
                <w:spacing w:val="0"/>
                <w:sz w:val="21"/>
                <w:szCs w:val="21"/>
                <w:lang w:val="en-US" w:eastAsia="zh-CN"/>
              </w:rPr>
              <w:t>理化性质：</w:t>
            </w:r>
            <w:r>
              <w:rPr>
                <w:rFonts w:hint="default" w:ascii="Times New Roman" w:hAnsi="Times New Roman" w:eastAsia="宋体" w:cs="Times New Roman"/>
                <w:i w:val="0"/>
                <w:iCs w:val="0"/>
                <w:caps w:val="0"/>
                <w:color w:val="auto"/>
                <w:spacing w:val="0"/>
                <w:sz w:val="21"/>
                <w:szCs w:val="21"/>
                <w:shd w:val="clear" w:fill="FFFFFF"/>
              </w:rPr>
              <w:t>通常为深红棕色至黑褐色、</w:t>
            </w:r>
            <w:r>
              <w:rPr>
                <w:rFonts w:hint="eastAsia" w:ascii="Times New Roman" w:cs="Times New Roman"/>
                <w:i w:val="0"/>
                <w:iCs w:val="0"/>
                <w:caps w:val="0"/>
                <w:color w:val="auto"/>
                <w:spacing w:val="0"/>
                <w:sz w:val="21"/>
                <w:szCs w:val="21"/>
                <w:shd w:val="clear" w:fill="FFFFFF"/>
                <w:lang w:eastAsia="zh-CN"/>
              </w:rPr>
              <w:t>黏稠</w:t>
            </w:r>
            <w:r>
              <w:rPr>
                <w:rFonts w:hint="default" w:ascii="Times New Roman" w:hAnsi="Times New Roman" w:eastAsia="宋体" w:cs="Times New Roman"/>
                <w:i w:val="0"/>
                <w:iCs w:val="0"/>
                <w:caps w:val="0"/>
                <w:color w:val="auto"/>
                <w:spacing w:val="0"/>
                <w:sz w:val="21"/>
                <w:szCs w:val="21"/>
                <w:shd w:val="clear" w:fill="FFFFFF"/>
              </w:rPr>
              <w:t>的透明或微浊液体。有轻微的刺激性盐酸气味。密度约 1.42 - 1.45 g/cm³（在20°C时）。具体数值随浓度和纯度略有变化。因浓度高，其冰点较低，通常在 -20°C 以下，不易冻结。沸点约为 108 - 110°C（因浓度高，接近共沸组成）。加热会分解并释放氯化氢气体。强酸性，1%水溶液的pH值约为0.5-1.0。38%原液的pH值极低，腐蚀性极强。三氯化铁在水中极易溶解，38%是其高浓度水溶液形式，能与水以任意比例互溶，稀释时放热。溶液中Fe³⁺会强烈水解，生成氢氧化铁胶体和盐酸，使溶液呈强酸性。因此，长期放置或稀释时，会产生沉淀或浑浊。三价铁离子（Fe³⁺）是中等强度的氧化剂，可以氧化许多金属（如铜、铁）、碘化物（KI）、亚硫酸盐等。稀释或加热会加速水解，产生碱式氯化铁或氢氧化铁沉淀。由于其强酸性和氧化性，对大多数金属（尤其是钢铁、铝、铜）有极强的腐蚀性。但对某些耐腐蚀材料如玻璃、陶瓷、聚四氟乙烯（PTFE）、聚乙烯（PE）和某些特种合金（如哈氏合金）腐蚀性较弱。</w:t>
            </w:r>
          </w:p>
          <w:p w14:paraId="573A18B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22" w:firstLineChars="200"/>
              <w:textAlignment w:val="auto"/>
              <w:rPr>
                <w:rFonts w:hint="default" w:ascii="Times New Roman" w:hAnsi="Times New Roman" w:eastAsia="宋体" w:cs="Times New Roman"/>
                <w:b/>
                <w:bCs/>
                <w:color w:val="auto"/>
                <w:kern w:val="21"/>
                <w:sz w:val="21"/>
                <w:szCs w:val="21"/>
                <w:highlight w:val="none"/>
                <w:lang w:val="en-US" w:eastAsia="zh-CN"/>
              </w:rPr>
            </w:pPr>
            <w:r>
              <w:rPr>
                <w:rFonts w:hint="default" w:ascii="Times New Roman" w:hAnsi="Times New Roman" w:eastAsia="宋体" w:cs="Times New Roman"/>
                <w:b/>
                <w:bCs/>
                <w:color w:val="auto"/>
                <w:kern w:val="21"/>
                <w:sz w:val="21"/>
                <w:szCs w:val="21"/>
                <w:highlight w:val="none"/>
                <w:lang w:val="en-US" w:eastAsia="zh-CN"/>
              </w:rPr>
              <w:t>5、劳动定员及工作制度</w:t>
            </w:r>
          </w:p>
          <w:p w14:paraId="7BB4B3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b/>
                <w:bCs/>
                <w:color w:val="auto"/>
                <w:kern w:val="0"/>
                <w:sz w:val="21"/>
                <w:szCs w:val="21"/>
                <w:highlight w:val="none"/>
                <w:lang w:val="en-US" w:eastAsia="zh-CN"/>
              </w:rPr>
            </w:pPr>
            <w:r>
              <w:rPr>
                <w:rFonts w:hint="eastAsia" w:cs="Times New Roman"/>
                <w:color w:val="auto"/>
                <w:kern w:val="21"/>
                <w:sz w:val="21"/>
                <w:szCs w:val="21"/>
                <w:highlight w:val="none"/>
                <w:lang w:eastAsia="zh-CN"/>
              </w:rPr>
              <w:t>本项目</w:t>
            </w:r>
            <w:r>
              <w:rPr>
                <w:rFonts w:hint="eastAsia" w:cs="Times New Roman"/>
                <w:color w:val="auto"/>
                <w:kern w:val="21"/>
                <w:sz w:val="21"/>
                <w:szCs w:val="21"/>
                <w:highlight w:val="none"/>
                <w:lang w:val="en-US" w:eastAsia="zh-CN"/>
              </w:rPr>
              <w:t>无新增劳动定员，全厂劳动定员共54人，</w:t>
            </w:r>
            <w:r>
              <w:rPr>
                <w:rFonts w:hint="default" w:ascii="Times New Roman" w:hAnsi="Times New Roman" w:eastAsia="宋体" w:cs="Times New Roman"/>
                <w:color w:val="auto"/>
                <w:kern w:val="21"/>
                <w:sz w:val="21"/>
                <w:szCs w:val="21"/>
                <w:highlight w:val="none"/>
              </w:rPr>
              <w:t>年工作天数为</w:t>
            </w:r>
            <w:r>
              <w:rPr>
                <w:rFonts w:hint="eastAsia" w:cs="Times New Roman"/>
                <w:color w:val="auto"/>
                <w:kern w:val="21"/>
                <w:sz w:val="21"/>
                <w:szCs w:val="21"/>
                <w:highlight w:val="none"/>
                <w:lang w:val="en-US" w:eastAsia="zh-CN"/>
              </w:rPr>
              <w:t>365</w:t>
            </w:r>
            <w:r>
              <w:rPr>
                <w:rFonts w:hint="default" w:ascii="Times New Roman" w:hAnsi="Times New Roman" w:eastAsia="宋体" w:cs="Times New Roman"/>
                <w:color w:val="auto"/>
                <w:kern w:val="21"/>
                <w:sz w:val="21"/>
                <w:szCs w:val="21"/>
                <w:highlight w:val="none"/>
              </w:rPr>
              <w:t>天</w:t>
            </w:r>
            <w:r>
              <w:rPr>
                <w:rFonts w:hint="eastAsia" w:cs="Times New Roman"/>
                <w:color w:val="auto"/>
                <w:kern w:val="21"/>
                <w:sz w:val="21"/>
                <w:szCs w:val="21"/>
                <w:highlight w:val="none"/>
                <w:lang w:eastAsia="zh-CN"/>
              </w:rPr>
              <w:t>，工作</w:t>
            </w:r>
            <w:r>
              <w:rPr>
                <w:rFonts w:hint="eastAsia" w:cs="Times New Roman"/>
                <w:color w:val="auto"/>
                <w:kern w:val="21"/>
                <w:sz w:val="21"/>
                <w:szCs w:val="21"/>
                <w:highlight w:val="none"/>
                <w:lang w:val="en-US" w:eastAsia="zh-CN"/>
              </w:rPr>
              <w:t>时间</w:t>
            </w:r>
            <w:r>
              <w:rPr>
                <w:rFonts w:hint="eastAsia" w:cs="Times New Roman"/>
                <w:color w:val="auto"/>
                <w:kern w:val="21"/>
                <w:sz w:val="21"/>
                <w:szCs w:val="21"/>
                <w:highlight w:val="none"/>
                <w:lang w:eastAsia="zh-CN"/>
              </w:rPr>
              <w:t>为</w:t>
            </w:r>
            <w:r>
              <w:rPr>
                <w:rFonts w:hint="eastAsia" w:cs="Times New Roman"/>
                <w:color w:val="auto"/>
                <w:kern w:val="21"/>
                <w:sz w:val="21"/>
                <w:szCs w:val="21"/>
                <w:highlight w:val="none"/>
                <w:lang w:val="en-US" w:eastAsia="zh-CN"/>
              </w:rPr>
              <w:t>24小时，2班制，每班12小时。</w:t>
            </w:r>
          </w:p>
          <w:p w14:paraId="04AA62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ascii="Times New Roman" w:hAnsi="Times New Roman" w:eastAsia="宋体" w:cs="Times New Roman"/>
                <w:b/>
                <w:bCs/>
                <w:color w:val="auto"/>
                <w:kern w:val="0"/>
                <w:sz w:val="21"/>
                <w:szCs w:val="21"/>
                <w:highlight w:val="none"/>
                <w:lang w:eastAsia="zh-CN"/>
              </w:rPr>
            </w:pPr>
            <w:r>
              <w:rPr>
                <w:rFonts w:hint="default" w:ascii="Times New Roman" w:hAnsi="Times New Roman" w:eastAsia="宋体" w:cs="Times New Roman"/>
                <w:b/>
                <w:bCs/>
                <w:color w:val="auto"/>
                <w:kern w:val="0"/>
                <w:sz w:val="21"/>
                <w:szCs w:val="21"/>
                <w:highlight w:val="none"/>
                <w:lang w:val="en-US" w:eastAsia="zh-CN"/>
              </w:rPr>
              <w:t>6</w:t>
            </w:r>
            <w:r>
              <w:rPr>
                <w:rFonts w:hint="default" w:ascii="Times New Roman" w:hAnsi="Times New Roman" w:eastAsia="宋体" w:cs="Times New Roman"/>
                <w:b/>
                <w:bCs/>
                <w:color w:val="auto"/>
                <w:kern w:val="0"/>
                <w:sz w:val="21"/>
                <w:szCs w:val="21"/>
                <w:highlight w:val="none"/>
              </w:rPr>
              <w:t>、公</w:t>
            </w:r>
            <w:r>
              <w:rPr>
                <w:rFonts w:hint="eastAsia" w:cs="Times New Roman"/>
                <w:b/>
                <w:bCs/>
                <w:color w:val="auto"/>
                <w:kern w:val="0"/>
                <w:sz w:val="21"/>
                <w:szCs w:val="21"/>
                <w:highlight w:val="none"/>
                <w:lang w:val="en-US" w:eastAsia="zh-CN"/>
              </w:rPr>
              <w:t>用</w:t>
            </w:r>
            <w:r>
              <w:rPr>
                <w:rFonts w:hint="default" w:ascii="Times New Roman" w:hAnsi="Times New Roman" w:eastAsia="宋体" w:cs="Times New Roman"/>
                <w:b/>
                <w:bCs/>
                <w:color w:val="auto"/>
                <w:kern w:val="0"/>
                <w:sz w:val="21"/>
                <w:szCs w:val="21"/>
                <w:highlight w:val="none"/>
              </w:rPr>
              <w:t>工程</w:t>
            </w:r>
          </w:p>
          <w:p w14:paraId="746A4C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（1）给水</w:t>
            </w:r>
          </w:p>
          <w:p w14:paraId="3EA8BD90">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①生活用水</w:t>
            </w:r>
          </w:p>
          <w:p w14:paraId="61187831">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本项目无新增劳动定员，故无新增生活用水</w:t>
            </w:r>
            <w:r>
              <w:rPr>
                <w:rFonts w:hint="default" w:ascii="Times New Roman" w:hAnsi="Times New Roman" w:cs="Times New Roman"/>
                <w:color w:val="auto"/>
                <w:sz w:val="21"/>
                <w:szCs w:val="21"/>
                <w:highlight w:val="none"/>
                <w:lang w:eastAsia="zh-CN"/>
              </w:rPr>
              <w:t>。</w:t>
            </w:r>
          </w:p>
          <w:p w14:paraId="1EE6BF72">
            <w:pPr>
              <w:pStyle w:val="4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②滤池反冲洗废水</w:t>
            </w:r>
          </w:p>
          <w:p w14:paraId="284A3066">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lang w:val="en-US"/>
              </w:rPr>
              <w:t>根据《排放源统计调查产排污核算方法和系数手册》“4610自来水生产和供应行业系数手册”中采用混凝沉淀过滤消毒工艺，日生产规模</w:t>
            </w:r>
            <w:r>
              <w:rPr>
                <w:rFonts w:hint="eastAsia" w:cs="Times New Roman"/>
                <w:color w:val="auto"/>
                <w:sz w:val="21"/>
                <w:szCs w:val="21"/>
                <w:lang w:val="en-US" w:eastAsia="zh-CN"/>
              </w:rPr>
              <w:t>5万-30万</w:t>
            </w:r>
            <w:r>
              <w:rPr>
                <w:rFonts w:hint="default" w:ascii="Times New Roman" w:hAnsi="Times New Roman" w:eastAsia="宋体" w:cs="Times New Roman"/>
                <w:color w:val="auto"/>
                <w:sz w:val="21"/>
                <w:szCs w:val="21"/>
                <w:lang w:val="en-US"/>
              </w:rPr>
              <w:t>吨自来水厂的工业废水量为4.36×10</w:t>
            </w:r>
            <w:r>
              <w:rPr>
                <w:rFonts w:hint="default" w:ascii="Times New Roman" w:hAnsi="Times New Roman" w:eastAsia="宋体" w:cs="Times New Roman"/>
                <w:color w:val="auto"/>
                <w:sz w:val="21"/>
                <w:szCs w:val="21"/>
                <w:vertAlign w:val="superscript"/>
                <w:lang w:val="en-US"/>
              </w:rPr>
              <w:t>-2</w:t>
            </w:r>
            <w:r>
              <w:rPr>
                <w:rFonts w:hint="default" w:ascii="Times New Roman" w:hAnsi="Times New Roman" w:eastAsia="宋体" w:cs="Times New Roman"/>
                <w:color w:val="auto"/>
                <w:sz w:val="21"/>
                <w:szCs w:val="21"/>
                <w:lang w:val="en-US"/>
              </w:rPr>
              <w:t>吨/吨</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rPr>
              <w:t>产品，本项目水厂工程制水能力为15万m³/d，则废水产生量为</w:t>
            </w:r>
            <w:bookmarkStart w:id="5" w:name="OLE_LINK45"/>
            <w:bookmarkStart w:id="6" w:name="OLE_LINK46"/>
            <w:r>
              <w:rPr>
                <w:rFonts w:hint="default" w:ascii="Times New Roman" w:hAnsi="Times New Roman" w:eastAsia="宋体" w:cs="Times New Roman"/>
                <w:color w:val="auto"/>
                <w:sz w:val="21"/>
                <w:szCs w:val="21"/>
                <w:lang w:val="en-US"/>
              </w:rPr>
              <w:t>6540m³/d（</w:t>
            </w:r>
            <w:bookmarkStart w:id="7" w:name="OLE_LINK94"/>
            <w:bookmarkStart w:id="8" w:name="OLE_LINK93"/>
            <w:r>
              <w:rPr>
                <w:rFonts w:hint="default" w:ascii="Times New Roman" w:hAnsi="Times New Roman" w:eastAsia="宋体" w:cs="Times New Roman"/>
                <w:color w:val="auto"/>
                <w:sz w:val="21"/>
                <w:szCs w:val="21"/>
                <w:lang w:val="en-US"/>
              </w:rPr>
              <w:t>2387100</w:t>
            </w:r>
            <w:bookmarkEnd w:id="7"/>
            <w:bookmarkEnd w:id="8"/>
            <w:r>
              <w:rPr>
                <w:rFonts w:hint="default" w:ascii="Times New Roman" w:hAnsi="Times New Roman" w:eastAsia="宋体" w:cs="Times New Roman"/>
                <w:color w:val="auto"/>
                <w:sz w:val="21"/>
                <w:szCs w:val="21"/>
                <w:lang w:val="en-US"/>
              </w:rPr>
              <w:t>m³/a）</w:t>
            </w:r>
            <w:bookmarkEnd w:id="5"/>
            <w:bookmarkEnd w:id="6"/>
            <w:r>
              <w:rPr>
                <w:rFonts w:hint="default" w:ascii="Times New Roman" w:hAnsi="Times New Roman" w:eastAsia="宋体" w:cs="Times New Roman"/>
                <w:color w:val="auto"/>
                <w:sz w:val="21"/>
                <w:szCs w:val="21"/>
                <w:lang w:val="en-US"/>
              </w:rPr>
              <w:t>。根据论文《自来水厂滤池反冲洗水的回用》，滤池反冲洗水一般为沉淀池排泥水的5～10倍，</w:t>
            </w:r>
            <w:r>
              <w:rPr>
                <w:rFonts w:hint="default" w:ascii="Times New Roman" w:hAnsi="Times New Roman" w:eastAsia="宋体" w:cs="Times New Roman"/>
                <w:color w:val="auto"/>
                <w:sz w:val="21"/>
                <w:szCs w:val="21"/>
                <w:lang w:val="en-US"/>
              </w:rPr>
              <w:t>本项目取8倍，排泥水的产生量为</w:t>
            </w:r>
            <w:bookmarkStart w:id="9" w:name="OLE_LINK90"/>
            <w:bookmarkStart w:id="10" w:name="OLE_LINK89"/>
            <w:bookmarkStart w:id="11" w:name="OLE_LINK41"/>
            <w:bookmarkStart w:id="12" w:name="OLE_LINK42"/>
            <w:r>
              <w:rPr>
                <w:rFonts w:hint="default" w:ascii="Times New Roman" w:hAnsi="Times New Roman" w:eastAsia="宋体" w:cs="Times New Roman"/>
                <w:color w:val="auto"/>
                <w:sz w:val="21"/>
                <w:szCs w:val="21"/>
                <w:lang w:val="en-US"/>
              </w:rPr>
              <w:t>726.6</w:t>
            </w:r>
            <w:bookmarkEnd w:id="9"/>
            <w:bookmarkEnd w:id="10"/>
            <w:r>
              <w:rPr>
                <w:rFonts w:hint="default" w:ascii="Times New Roman" w:hAnsi="Times New Roman" w:eastAsia="宋体" w:cs="Times New Roman"/>
                <w:color w:val="auto"/>
                <w:sz w:val="21"/>
                <w:szCs w:val="21"/>
                <w:lang w:val="en-US"/>
              </w:rPr>
              <w:t>m³</w:t>
            </w:r>
            <w:bookmarkEnd w:id="11"/>
            <w:bookmarkEnd w:id="12"/>
            <w:r>
              <w:rPr>
                <w:rFonts w:hint="default" w:ascii="Times New Roman" w:hAnsi="Times New Roman" w:eastAsia="宋体" w:cs="Times New Roman"/>
                <w:color w:val="auto"/>
                <w:sz w:val="21"/>
                <w:szCs w:val="21"/>
                <w:lang w:val="en-US"/>
              </w:rPr>
              <w:t>/d，滤池反冲洗废水量为</w:t>
            </w:r>
            <w:bookmarkStart w:id="13" w:name="OLE_LINK88"/>
            <w:bookmarkStart w:id="14" w:name="OLE_LINK87"/>
            <w:r>
              <w:rPr>
                <w:rFonts w:hint="default" w:ascii="Times New Roman" w:hAnsi="Times New Roman" w:eastAsia="宋体" w:cs="Times New Roman"/>
                <w:color w:val="auto"/>
                <w:sz w:val="21"/>
                <w:szCs w:val="21"/>
                <w:lang w:val="en-US"/>
              </w:rPr>
              <w:t>5813.4</w:t>
            </w:r>
            <w:bookmarkEnd w:id="13"/>
            <w:bookmarkEnd w:id="14"/>
            <w:r>
              <w:rPr>
                <w:rFonts w:hint="default" w:ascii="Times New Roman" w:hAnsi="Times New Roman" w:eastAsia="宋体" w:cs="Times New Roman"/>
                <w:color w:val="auto"/>
                <w:sz w:val="21"/>
                <w:szCs w:val="21"/>
                <w:lang w:val="en-US"/>
              </w:rPr>
              <w:t>m³/d。</w:t>
            </w:r>
          </w:p>
          <w:p w14:paraId="77603E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（2）排水</w:t>
            </w:r>
          </w:p>
          <w:p w14:paraId="2233E1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s="Times New Roman"/>
                <w:color w:val="auto"/>
                <w:sz w:val="21"/>
                <w:szCs w:val="21"/>
                <w:highlight w:val="none"/>
                <w:lang w:eastAsia="zh-CN"/>
              </w:rPr>
            </w:pPr>
            <w:r>
              <w:rPr>
                <w:rFonts w:hint="eastAsia" w:cs="Times New Roman"/>
                <w:color w:val="auto"/>
                <w:sz w:val="21"/>
                <w:szCs w:val="21"/>
                <w:highlight w:val="none"/>
                <w:lang w:eastAsia="zh-CN"/>
              </w:rPr>
              <w:t>①生活污水</w:t>
            </w:r>
          </w:p>
          <w:p w14:paraId="7D7D12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s="Times New Roman"/>
                <w:color w:val="auto"/>
                <w:sz w:val="21"/>
                <w:szCs w:val="21"/>
                <w:highlight w:val="none"/>
                <w:lang w:eastAsia="zh-CN"/>
              </w:rPr>
            </w:pPr>
            <w:r>
              <w:rPr>
                <w:rFonts w:hint="eastAsia" w:cs="Times New Roman"/>
                <w:bCs/>
                <w:color w:val="auto"/>
                <w:sz w:val="21"/>
                <w:szCs w:val="21"/>
                <w:highlight w:val="none"/>
                <w:lang w:val="en-US" w:eastAsia="zh-CN"/>
              </w:rPr>
              <w:t>本项目无新增劳动定员，故无新增生活污水</w:t>
            </w:r>
            <w:r>
              <w:rPr>
                <w:rFonts w:hint="eastAsia" w:cs="Times New Roman"/>
                <w:color w:val="auto"/>
                <w:sz w:val="21"/>
                <w:szCs w:val="21"/>
                <w:highlight w:val="none"/>
                <w:lang w:eastAsia="zh-CN"/>
              </w:rPr>
              <w:t>。</w:t>
            </w:r>
          </w:p>
          <w:p w14:paraId="6DA961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s="Times New Roman"/>
                <w:color w:val="auto"/>
                <w:sz w:val="21"/>
                <w:szCs w:val="21"/>
                <w:highlight w:val="none"/>
                <w:lang w:eastAsia="zh-CN"/>
              </w:rPr>
            </w:pPr>
            <w:r>
              <w:rPr>
                <w:rFonts w:hint="eastAsia" w:cs="Times New Roman"/>
                <w:color w:val="auto"/>
                <w:sz w:val="21"/>
                <w:szCs w:val="21"/>
                <w:highlight w:val="none"/>
                <w:lang w:eastAsia="zh-CN"/>
              </w:rPr>
              <w:t>②滤池反冲洗废水</w:t>
            </w:r>
          </w:p>
          <w:p w14:paraId="607902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s="Times New Roman"/>
                <w:color w:val="auto"/>
                <w:sz w:val="21"/>
                <w:szCs w:val="21"/>
                <w:highlight w:val="none"/>
                <w:lang w:eastAsia="zh-CN"/>
              </w:rPr>
            </w:pPr>
            <w:r>
              <w:rPr>
                <w:rFonts w:hint="default" w:ascii="Times New Roman" w:hAnsi="Times New Roman" w:eastAsia="宋体" w:cs="Times New Roman"/>
                <w:bCs/>
                <w:color w:val="auto"/>
                <w:spacing w:val="0"/>
                <w:kern w:val="0"/>
                <w:sz w:val="21"/>
                <w:szCs w:val="21"/>
                <w:highlight w:val="none"/>
                <w:lang w:val="en-US" w:eastAsia="zh-CN"/>
              </w:rPr>
              <w:t>反冲洗废水</w:t>
            </w:r>
            <w:r>
              <w:rPr>
                <w:rFonts w:hint="eastAsia" w:cs="Times New Roman"/>
                <w:color w:val="auto"/>
                <w:sz w:val="21"/>
                <w:szCs w:val="21"/>
                <w:highlight w:val="none"/>
                <w:lang w:eastAsia="zh-CN"/>
              </w:rPr>
              <w:t>回收</w:t>
            </w:r>
            <w:r>
              <w:rPr>
                <w:rFonts w:hint="eastAsia" w:cs="Times New Roman"/>
                <w:color w:val="auto"/>
                <w:sz w:val="21"/>
                <w:szCs w:val="21"/>
                <w:highlight w:val="none"/>
                <w:lang w:val="en-US" w:eastAsia="zh-CN"/>
              </w:rPr>
              <w:t>排入</w:t>
            </w:r>
            <w:r>
              <w:rPr>
                <w:rFonts w:hint="eastAsia" w:cs="Times New Roman"/>
                <w:color w:val="auto"/>
                <w:sz w:val="21"/>
                <w:szCs w:val="21"/>
                <w:highlight w:val="none"/>
                <w:lang w:eastAsia="zh-CN"/>
              </w:rPr>
              <w:t>配水</w:t>
            </w:r>
            <w:r>
              <w:rPr>
                <w:rFonts w:hint="eastAsia" w:cs="Times New Roman"/>
                <w:color w:val="auto"/>
                <w:sz w:val="21"/>
                <w:szCs w:val="21"/>
                <w:highlight w:val="none"/>
                <w:lang w:val="en-US" w:eastAsia="zh-CN"/>
              </w:rPr>
              <w:t>井</w:t>
            </w:r>
            <w:r>
              <w:rPr>
                <w:rFonts w:hint="eastAsia" w:cs="Times New Roman"/>
                <w:color w:val="auto"/>
                <w:sz w:val="21"/>
                <w:szCs w:val="21"/>
                <w:highlight w:val="none"/>
                <w:lang w:eastAsia="zh-CN"/>
              </w:rPr>
              <w:t>与原水混合回用，不外排。</w:t>
            </w:r>
          </w:p>
          <w:p w14:paraId="5A694E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s="Times New Roman"/>
                <w:color w:val="auto"/>
                <w:sz w:val="21"/>
                <w:szCs w:val="21"/>
                <w:highlight w:val="none"/>
                <w:lang w:eastAsia="zh-CN"/>
              </w:rPr>
            </w:pPr>
            <w:r>
              <w:rPr>
                <w:rFonts w:hint="eastAsia" w:cs="Times New Roman"/>
                <w:color w:val="auto"/>
                <w:sz w:val="21"/>
                <w:szCs w:val="21"/>
                <w:highlight w:val="none"/>
                <w:lang w:eastAsia="zh-CN"/>
              </w:rPr>
              <w:t>③排泥水上清液</w:t>
            </w:r>
          </w:p>
          <w:p w14:paraId="644746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s="Times New Roman"/>
                <w:color w:val="auto"/>
                <w:kern w:val="0"/>
                <w:sz w:val="21"/>
                <w:szCs w:val="21"/>
                <w:lang w:eastAsia="zh-CN"/>
              </w:rPr>
            </w:pPr>
            <w:r>
              <w:rPr>
                <w:rFonts w:hint="default" w:ascii="Times New Roman" w:hAnsi="Times New Roman" w:eastAsia="宋体" w:cs="Times New Roman"/>
                <w:color w:val="auto"/>
                <w:kern w:val="0"/>
                <w:sz w:val="21"/>
                <w:szCs w:val="21"/>
              </w:rPr>
              <w:t>根据《排放源统计调查产排污核算方法和系数手册》“4610自来水生产和供应行业系数手册”中采用混凝沉淀过滤消毒工艺，日生产规模</w:t>
            </w:r>
            <w:r>
              <w:rPr>
                <w:rFonts w:hint="eastAsia" w:cs="Times New Roman"/>
                <w:color w:val="auto"/>
                <w:kern w:val="0"/>
                <w:sz w:val="21"/>
                <w:szCs w:val="21"/>
                <w:lang w:eastAsia="zh-CN"/>
              </w:rPr>
              <w:t>5万-30万</w:t>
            </w:r>
            <w:r>
              <w:rPr>
                <w:rFonts w:hint="default" w:ascii="Times New Roman" w:hAnsi="Times New Roman" w:eastAsia="宋体" w:cs="Times New Roman"/>
                <w:color w:val="auto"/>
                <w:kern w:val="0"/>
                <w:sz w:val="21"/>
                <w:szCs w:val="21"/>
              </w:rPr>
              <w:t>吨自来水厂的工业废水量为4.36×10</w:t>
            </w:r>
            <w:r>
              <w:rPr>
                <w:rFonts w:hint="default" w:ascii="Times New Roman" w:hAnsi="Times New Roman" w:eastAsia="宋体" w:cs="Times New Roman"/>
                <w:color w:val="auto"/>
                <w:kern w:val="0"/>
                <w:sz w:val="21"/>
                <w:szCs w:val="21"/>
                <w:vertAlign w:val="superscript"/>
              </w:rPr>
              <w:t>-2</w:t>
            </w:r>
            <w:r>
              <w:rPr>
                <w:rFonts w:hint="default" w:ascii="Times New Roman" w:hAnsi="Times New Roman" w:eastAsia="宋体" w:cs="Times New Roman"/>
                <w:color w:val="auto"/>
                <w:kern w:val="0"/>
                <w:sz w:val="21"/>
                <w:szCs w:val="21"/>
              </w:rPr>
              <w:t>吨/吨</w:t>
            </w:r>
            <w:r>
              <w:rPr>
                <w:rFonts w:hint="eastAsia" w:cs="Times New Roman"/>
                <w:color w:val="auto"/>
                <w:kern w:val="0"/>
                <w:sz w:val="21"/>
                <w:szCs w:val="21"/>
                <w:lang w:eastAsia="zh-CN"/>
              </w:rPr>
              <w:t>－</w:t>
            </w:r>
            <w:r>
              <w:rPr>
                <w:rFonts w:hint="default" w:ascii="Times New Roman" w:hAnsi="Times New Roman" w:eastAsia="宋体" w:cs="Times New Roman"/>
                <w:color w:val="auto"/>
                <w:kern w:val="0"/>
                <w:sz w:val="21"/>
                <w:szCs w:val="21"/>
              </w:rPr>
              <w:t>产品，本项目水厂工程制水能力为15万t/d，则废水产生量为6540m³/d（2387100m³/a）。根据论文《自来水厂滤池反冲洗水的回用》，滤池反冲洗水一般为沉淀池排泥水的5～10倍，本项目取8倍，则排泥水的产生量为726.6m³/d</w:t>
            </w:r>
            <w:r>
              <w:rPr>
                <w:rFonts w:hint="eastAsia" w:cs="Times New Roman"/>
                <w:color w:val="auto"/>
                <w:kern w:val="0"/>
                <w:sz w:val="21"/>
                <w:szCs w:val="21"/>
                <w:lang w:eastAsia="zh-CN"/>
              </w:rPr>
              <w:t>。</w:t>
            </w:r>
          </w:p>
          <w:p w14:paraId="374700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rPr>
              <w:t>排泥水经污泥处理间絮凝、压滤处理后满足</w:t>
            </w:r>
            <w:r>
              <w:rPr>
                <w:rFonts w:hint="default" w:ascii="Times New Roman" w:hAnsi="Times New Roman" w:eastAsia="宋体" w:cs="Times New Roman"/>
                <w:color w:val="auto"/>
                <w:spacing w:val="0"/>
                <w:sz w:val="21"/>
                <w:szCs w:val="21"/>
                <w:highlight w:val="none"/>
                <w:lang w:val="en-US" w:eastAsia="zh-CN"/>
              </w:rPr>
              <w:t>《地表水环境质量标准》（GB3838-2002）表1中三类标准、悬浮物满足《污水综合排放标准》（GB8978-1996）一级标准</w:t>
            </w:r>
            <w:r>
              <w:rPr>
                <w:rFonts w:hint="default" w:ascii="Times New Roman" w:hAnsi="Times New Roman" w:eastAsia="宋体" w:cs="Times New Roman"/>
                <w:color w:val="auto"/>
                <w:kern w:val="0"/>
                <w:sz w:val="21"/>
                <w:szCs w:val="21"/>
              </w:rPr>
              <w:t>，</w:t>
            </w:r>
            <w:r>
              <w:rPr>
                <w:rFonts w:hint="default" w:ascii="Times New Roman" w:hAnsi="Times New Roman" w:eastAsia="宋体" w:cs="Times New Roman"/>
                <w:color w:val="auto"/>
                <w:sz w:val="21"/>
                <w:szCs w:val="21"/>
                <w:highlight w:val="none"/>
                <w:lang w:val="en-US" w:eastAsia="zh-CN"/>
              </w:rPr>
              <w:t>排入</w:t>
            </w:r>
            <w:r>
              <w:rPr>
                <w:rFonts w:hint="eastAsia" w:ascii="Times New Roman" w:hAnsi="Times New Roman" w:eastAsia="宋体" w:cs="Times New Roman"/>
                <w:color w:val="auto"/>
                <w:sz w:val="21"/>
                <w:szCs w:val="21"/>
                <w:highlight w:val="none"/>
                <w:lang w:val="en-US" w:eastAsia="zh-CN"/>
              </w:rPr>
              <w:t>红光沟流入</w:t>
            </w:r>
            <w:r>
              <w:rPr>
                <w:rFonts w:hint="default" w:ascii="Times New Roman" w:hAnsi="Times New Roman" w:eastAsia="宋体" w:cs="Times New Roman"/>
                <w:color w:val="auto"/>
                <w:sz w:val="21"/>
                <w:szCs w:val="21"/>
                <w:highlight w:val="none"/>
                <w:lang w:val="en-US" w:eastAsia="zh-CN"/>
              </w:rPr>
              <w:t>穆棱河</w:t>
            </w:r>
            <w:r>
              <w:rPr>
                <w:rFonts w:hint="default" w:ascii="Times New Roman" w:hAnsi="Times New Roman" w:eastAsia="宋体" w:cs="Times New Roman"/>
                <w:color w:val="auto"/>
                <w:kern w:val="0"/>
                <w:sz w:val="21"/>
                <w:szCs w:val="21"/>
              </w:rPr>
              <w:t>，</w:t>
            </w:r>
            <w:r>
              <w:rPr>
                <w:rFonts w:hint="default" w:ascii="Times New Roman" w:hAnsi="Times New Roman" w:eastAsia="宋体" w:cs="Times New Roman"/>
                <w:color w:val="auto"/>
                <w:kern w:val="0"/>
                <w:sz w:val="21"/>
                <w:szCs w:val="21"/>
              </w:rPr>
              <w:t>根据建设单位提供信息，</w:t>
            </w:r>
            <w:r>
              <w:rPr>
                <w:rFonts w:hint="default" w:ascii="Times New Roman" w:hAnsi="Times New Roman" w:eastAsia="宋体" w:cs="Times New Roman"/>
                <w:color w:val="auto"/>
                <w:kern w:val="0"/>
                <w:sz w:val="21"/>
                <w:szCs w:val="21"/>
                <w:lang w:val="en-US" w:eastAsia="zh-CN"/>
              </w:rPr>
              <w:t>原泥含水率为99%，压滤后的污泥含水率为60%，污</w:t>
            </w:r>
            <w:r>
              <w:rPr>
                <w:rFonts w:hint="default" w:ascii="Times New Roman" w:hAnsi="Times New Roman" w:eastAsia="宋体" w:cs="Times New Roman"/>
                <w:i w:val="0"/>
                <w:iCs w:val="0"/>
                <w:caps w:val="0"/>
                <w:color w:val="auto"/>
                <w:spacing w:val="0"/>
                <w:sz w:val="21"/>
                <w:szCs w:val="21"/>
                <w:shd w:val="clear" w:fill="FFFFFF"/>
              </w:rPr>
              <w:t>泥密度近似按水密度1000kg/m</w:t>
            </w:r>
            <w:r>
              <w:rPr>
                <w:rFonts w:hint="default" w:ascii="Times New Roman" w:hAnsi="Times New Roman" w:eastAsia="宋体" w:cs="Times New Roman"/>
                <w:i w:val="0"/>
                <w:iCs w:val="0"/>
                <w:caps w:val="0"/>
                <w:color w:val="auto"/>
                <w:spacing w:val="0"/>
                <w:sz w:val="21"/>
                <w:szCs w:val="21"/>
                <w:shd w:val="clear" w:fill="FFFFFF"/>
                <w:vertAlign w:val="superscript"/>
              </w:rPr>
              <w:t>3</w:t>
            </w:r>
            <w:r>
              <w:rPr>
                <w:rFonts w:hint="default" w:ascii="Times New Roman" w:hAnsi="Times New Roman" w:eastAsia="宋体" w:cs="Times New Roman"/>
                <w:i w:val="0"/>
                <w:iCs w:val="0"/>
                <w:caps w:val="0"/>
                <w:color w:val="auto"/>
                <w:spacing w:val="0"/>
                <w:sz w:val="21"/>
                <w:szCs w:val="21"/>
                <w:shd w:val="clear" w:fill="FFFFFF"/>
                <w:lang w:val="en-US" w:eastAsia="zh-CN"/>
              </w:rPr>
              <w:t>核</w:t>
            </w:r>
            <w:r>
              <w:rPr>
                <w:rFonts w:hint="default" w:ascii="Times New Roman" w:hAnsi="Times New Roman" w:eastAsia="宋体" w:cs="Times New Roman"/>
                <w:i w:val="0"/>
                <w:iCs w:val="0"/>
                <w:caps w:val="0"/>
                <w:color w:val="auto"/>
                <w:spacing w:val="0"/>
                <w:sz w:val="21"/>
                <w:szCs w:val="21"/>
                <w:shd w:val="clear" w:fill="FFFFFF"/>
              </w:rPr>
              <w:t>算</w:t>
            </w:r>
            <w:r>
              <w:rPr>
                <w:rFonts w:hint="default" w:ascii="Times New Roman" w:hAnsi="Times New Roman" w:eastAsia="宋体" w:cs="Times New Roman"/>
                <w:i w:val="0"/>
                <w:iCs w:val="0"/>
                <w:caps w:val="0"/>
                <w:color w:val="auto"/>
                <w:spacing w:val="0"/>
                <w:sz w:val="21"/>
                <w:szCs w:val="21"/>
                <w:shd w:val="clear" w:fill="FFFFFF"/>
                <w:lang w:eastAsia="zh-CN"/>
              </w:rPr>
              <w:t>，</w:t>
            </w:r>
            <w:r>
              <w:rPr>
                <w:rFonts w:hint="default" w:ascii="Times New Roman" w:hAnsi="Times New Roman" w:eastAsia="宋体" w:cs="Times New Roman"/>
                <w:color w:val="auto"/>
                <w:kern w:val="0"/>
                <w:sz w:val="21"/>
                <w:szCs w:val="21"/>
                <w:lang w:val="en-US" w:eastAsia="zh-CN"/>
              </w:rPr>
              <w:t>则</w:t>
            </w:r>
            <w:r>
              <w:rPr>
                <w:rFonts w:hint="default" w:ascii="Times New Roman" w:hAnsi="Times New Roman" w:eastAsia="宋体" w:cs="Times New Roman"/>
                <w:color w:val="auto"/>
                <w:kern w:val="0"/>
                <w:sz w:val="21"/>
                <w:szCs w:val="21"/>
              </w:rPr>
              <w:t>污泥量约为</w:t>
            </w:r>
            <w:r>
              <w:rPr>
                <w:rFonts w:hint="default" w:ascii="Times New Roman" w:hAnsi="Times New Roman" w:eastAsia="宋体" w:cs="Times New Roman"/>
                <w:color w:val="auto"/>
                <w:kern w:val="0"/>
                <w:sz w:val="21"/>
                <w:szCs w:val="21"/>
                <w:lang w:val="en-US" w:eastAsia="zh-CN"/>
              </w:rPr>
              <w:t>18.161</w:t>
            </w:r>
            <w:r>
              <w:rPr>
                <w:rFonts w:hint="default" w:ascii="Times New Roman" w:hAnsi="Times New Roman" w:eastAsia="宋体" w:cs="Times New Roman"/>
                <w:color w:val="auto"/>
                <w:kern w:val="0"/>
                <w:sz w:val="21"/>
                <w:szCs w:val="21"/>
              </w:rPr>
              <w:t>t/d，则排泥水上清液为7</w:t>
            </w:r>
            <w:r>
              <w:rPr>
                <w:rFonts w:hint="default" w:ascii="Times New Roman" w:hAnsi="Times New Roman" w:eastAsia="宋体" w:cs="Times New Roman"/>
                <w:color w:val="auto"/>
                <w:kern w:val="0"/>
                <w:sz w:val="21"/>
                <w:szCs w:val="21"/>
                <w:lang w:val="en-US" w:eastAsia="zh-CN"/>
              </w:rPr>
              <w:t>08.435</w:t>
            </w:r>
            <w:r>
              <w:rPr>
                <w:rFonts w:hint="default" w:ascii="Times New Roman" w:hAnsi="Times New Roman" w:eastAsia="宋体" w:cs="Times New Roman"/>
                <w:color w:val="auto"/>
                <w:kern w:val="0"/>
                <w:sz w:val="21"/>
                <w:szCs w:val="21"/>
              </w:rPr>
              <w:t>t/d。</w:t>
            </w:r>
          </w:p>
          <w:p w14:paraId="5FF73CD3">
            <w:pPr>
              <w:pStyle w:val="44"/>
              <w:keepNext w:val="0"/>
              <w:keepLines w:val="0"/>
              <w:suppressLineNumbers w:val="0"/>
              <w:spacing w:before="0" w:beforeAutospacing="0" w:after="0" w:afterAutospacing="0"/>
              <w:ind w:left="0" w:right="0"/>
              <w:jc w:val="center"/>
              <w:rPr>
                <w:rFonts w:hint="default"/>
                <w:color w:val="auto"/>
                <w:highlight w:val="none"/>
              </w:rPr>
            </w:pPr>
            <w:r>
              <w:rPr>
                <w:rFonts w:hint="default"/>
                <w:color w:val="auto"/>
                <w:highlight w:val="none"/>
              </w:rPr>
              <w:object>
                <v:shape id="_x0000_i1025" o:spt="75" type="#_x0000_t75" style="height:220.05pt;width:412.35pt;" o:ole="t" filled="f" o:preferrelative="t" stroked="f" coordsize="21600,21600">
                  <v:path/>
                  <v:fill on="f" focussize="0,0"/>
                  <v:stroke on="f"/>
                  <v:imagedata r:id="rId17" o:title=""/>
                  <o:lock v:ext="edit" aspectratio="f"/>
                  <w10:wrap type="none"/>
                  <w10:anchorlock/>
                </v:shape>
                <o:OLEObject Type="Embed" ProgID="Visio.Drawing.11" ShapeID="_x0000_i1025" DrawAspect="Content" ObjectID="_1468075725" r:id="rId16">
                  <o:LockedField>false</o:LockedField>
                </o:OLEObject>
              </w:object>
            </w:r>
          </w:p>
          <w:p w14:paraId="408BE90A">
            <w:pPr>
              <w:pStyle w:val="33"/>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Times New Roman" w:hAnsi="Times New Roman" w:eastAsia="宋体" w:cs="Times New Roman"/>
                <w:b/>
                <w:bCs/>
                <w:snapToGrid w:val="0"/>
                <w:color w:val="auto"/>
                <w:sz w:val="21"/>
                <w:szCs w:val="21"/>
                <w:highlight w:val="none"/>
              </w:rPr>
            </w:pPr>
            <w:r>
              <w:rPr>
                <w:rFonts w:hint="default" w:ascii="Times New Roman" w:hAnsi="Times New Roman" w:eastAsia="宋体" w:cs="Times New Roman"/>
                <w:b/>
                <w:bCs/>
                <w:snapToGrid w:val="0"/>
                <w:color w:val="auto"/>
                <w:sz w:val="21"/>
                <w:szCs w:val="21"/>
                <w:highlight w:val="none"/>
              </w:rPr>
              <w:t>图2-</w:t>
            </w:r>
            <w:r>
              <w:rPr>
                <w:rFonts w:hint="eastAsia" w:cs="Times New Roman"/>
                <w:b/>
                <w:bCs/>
                <w:snapToGrid w:val="0"/>
                <w:color w:val="auto"/>
                <w:sz w:val="21"/>
                <w:szCs w:val="21"/>
                <w:highlight w:val="none"/>
                <w:lang w:val="en-US" w:eastAsia="zh-CN"/>
              </w:rPr>
              <w:t>1</w:t>
            </w:r>
            <w:r>
              <w:rPr>
                <w:rFonts w:hint="default" w:ascii="Times New Roman" w:hAnsi="Times New Roman" w:eastAsia="宋体" w:cs="Times New Roman"/>
                <w:b/>
                <w:bCs/>
                <w:snapToGrid w:val="0"/>
                <w:color w:val="auto"/>
                <w:sz w:val="21"/>
                <w:szCs w:val="21"/>
                <w:highlight w:val="none"/>
              </w:rPr>
              <w:t>本项目</w:t>
            </w:r>
            <w:r>
              <w:rPr>
                <w:rFonts w:hint="eastAsia" w:cs="Times New Roman"/>
                <w:b/>
                <w:bCs/>
                <w:snapToGrid w:val="0"/>
                <w:color w:val="auto"/>
                <w:sz w:val="21"/>
                <w:szCs w:val="21"/>
                <w:highlight w:val="none"/>
                <w:lang w:val="en-US" w:eastAsia="zh-CN"/>
              </w:rPr>
              <w:t>建成后全厂</w:t>
            </w:r>
            <w:r>
              <w:rPr>
                <w:rFonts w:hint="default" w:ascii="Times New Roman" w:hAnsi="Times New Roman" w:eastAsia="宋体" w:cs="Times New Roman"/>
                <w:b/>
                <w:bCs/>
                <w:snapToGrid w:val="0"/>
                <w:color w:val="auto"/>
                <w:sz w:val="21"/>
                <w:szCs w:val="21"/>
                <w:highlight w:val="none"/>
              </w:rPr>
              <w:t>水平衡图（单位：</w:t>
            </w:r>
            <w:r>
              <w:rPr>
                <w:rFonts w:hint="default" w:ascii="Times New Roman" w:hAnsi="Times New Roman" w:eastAsia="宋体" w:cs="Times New Roman"/>
                <w:b/>
                <w:bCs/>
                <w:snapToGrid w:val="0"/>
                <w:color w:val="auto"/>
                <w:sz w:val="21"/>
                <w:szCs w:val="21"/>
                <w:highlight w:val="none"/>
                <w:lang w:val="en-US" w:eastAsia="zh-CN"/>
              </w:rPr>
              <w:t>t</w:t>
            </w:r>
            <w:r>
              <w:rPr>
                <w:rFonts w:hint="default" w:ascii="Times New Roman" w:hAnsi="Times New Roman" w:eastAsia="宋体" w:cs="Times New Roman"/>
                <w:b/>
                <w:bCs/>
                <w:snapToGrid w:val="0"/>
                <w:color w:val="auto"/>
                <w:sz w:val="21"/>
                <w:szCs w:val="21"/>
                <w:highlight w:val="none"/>
              </w:rPr>
              <w:t>/</w:t>
            </w:r>
            <w:r>
              <w:rPr>
                <w:rFonts w:hint="eastAsia" w:cs="Times New Roman"/>
                <w:b/>
                <w:bCs/>
                <w:snapToGrid w:val="0"/>
                <w:color w:val="auto"/>
                <w:sz w:val="21"/>
                <w:szCs w:val="21"/>
                <w:highlight w:val="none"/>
                <w:lang w:val="en-US" w:eastAsia="zh-CN"/>
              </w:rPr>
              <w:t>d</w:t>
            </w:r>
            <w:r>
              <w:rPr>
                <w:rFonts w:hint="default" w:ascii="Times New Roman" w:hAnsi="Times New Roman" w:eastAsia="宋体" w:cs="Times New Roman"/>
                <w:b/>
                <w:bCs/>
                <w:snapToGrid w:val="0"/>
                <w:color w:val="auto"/>
                <w:sz w:val="21"/>
                <w:szCs w:val="21"/>
                <w:highlight w:val="none"/>
              </w:rPr>
              <w:t>）</w:t>
            </w:r>
          </w:p>
          <w:p w14:paraId="1EC9B2C3">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cs="Times New Roman"/>
                <w:color w:val="auto"/>
                <w:kern w:val="0"/>
                <w:sz w:val="21"/>
                <w:szCs w:val="21"/>
                <w:highlight w:val="none"/>
                <w:lang w:eastAsia="zh-CN"/>
              </w:rPr>
              <w:t>（</w:t>
            </w:r>
            <w:r>
              <w:rPr>
                <w:rFonts w:hint="default" w:ascii="Times New Roman" w:hAnsi="Times New Roman" w:cs="Times New Roman"/>
                <w:color w:val="auto"/>
                <w:kern w:val="0"/>
                <w:sz w:val="21"/>
                <w:szCs w:val="21"/>
                <w:highlight w:val="none"/>
                <w:lang w:val="en-US" w:eastAsia="zh-CN"/>
              </w:rPr>
              <w:t>3）</w:t>
            </w:r>
            <w:r>
              <w:rPr>
                <w:rFonts w:hint="default" w:ascii="Times New Roman" w:hAnsi="Times New Roman" w:cs="Times New Roman"/>
                <w:color w:val="auto"/>
                <w:kern w:val="0"/>
                <w:sz w:val="21"/>
                <w:szCs w:val="21"/>
                <w:highlight w:val="none"/>
              </w:rPr>
              <w:t>供热</w:t>
            </w:r>
            <w:r>
              <w:rPr>
                <w:rFonts w:hint="default" w:ascii="Times New Roman" w:hAnsi="Times New Roman" w:cs="Times New Roman"/>
                <w:color w:val="auto"/>
                <w:kern w:val="0"/>
                <w:sz w:val="21"/>
                <w:szCs w:val="21"/>
                <w:highlight w:val="none"/>
                <w:lang w:val="en-US" w:eastAsia="zh-CN"/>
              </w:rPr>
              <w:t>供暖</w:t>
            </w:r>
            <w:r>
              <w:rPr>
                <w:rFonts w:hint="default" w:ascii="Times New Roman" w:hAnsi="Times New Roman" w:cs="Times New Roman"/>
                <w:color w:val="auto"/>
                <w:kern w:val="0"/>
                <w:sz w:val="21"/>
                <w:szCs w:val="21"/>
                <w:highlight w:val="none"/>
              </w:rPr>
              <w:t>：</w:t>
            </w:r>
          </w:p>
          <w:p w14:paraId="0EFCC66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Times New Roman" w:hAnsi="Times New Roman" w:eastAsia="宋体" w:cs="Times New Roman"/>
                <w:color w:val="auto"/>
                <w:kern w:val="2"/>
                <w:sz w:val="21"/>
                <w:szCs w:val="21"/>
                <w:highlight w:val="none"/>
                <w:lang w:val="en-US" w:eastAsia="zh-CN"/>
              </w:rPr>
            </w:pPr>
            <w:r>
              <w:rPr>
                <w:rFonts w:hint="default" w:ascii="Times New Roman" w:hAnsi="Times New Roman" w:cs="Times New Roman"/>
                <w:color w:val="auto"/>
                <w:kern w:val="0"/>
                <w:sz w:val="21"/>
                <w:szCs w:val="21"/>
                <w:highlight w:val="none"/>
              </w:rPr>
              <w:t>本项目</w:t>
            </w:r>
            <w:r>
              <w:rPr>
                <w:rFonts w:hint="default" w:ascii="Times New Roman" w:hAnsi="Times New Roman" w:cs="Times New Roman"/>
                <w:color w:val="auto"/>
                <w:kern w:val="0"/>
                <w:sz w:val="21"/>
                <w:szCs w:val="21"/>
                <w:highlight w:val="none"/>
                <w:lang w:val="en-US" w:eastAsia="zh-CN"/>
              </w:rPr>
              <w:t>生产不用热，厂区供暖采用电采暖</w:t>
            </w:r>
            <w:r>
              <w:rPr>
                <w:rFonts w:hint="default" w:ascii="Times New Roman" w:hAnsi="Times New Roman" w:cs="Times New Roman"/>
                <w:bCs w:val="0"/>
                <w:color w:val="auto"/>
                <w:kern w:val="0"/>
                <w:sz w:val="21"/>
                <w:szCs w:val="21"/>
                <w:highlight w:val="none"/>
              </w:rPr>
              <w:t>。</w:t>
            </w:r>
            <w:r>
              <w:rPr>
                <w:rFonts w:hint="eastAsia" w:cs="Times New Roman"/>
                <w:bCs w:val="0"/>
                <w:color w:val="auto"/>
                <w:sz w:val="21"/>
                <w:szCs w:val="21"/>
                <w:highlight w:val="none"/>
                <w:lang w:val="en-US" w:eastAsia="zh-CN"/>
              </w:rPr>
              <w:t xml:space="preserve"> </w:t>
            </w:r>
          </w:p>
          <w:p w14:paraId="154A03A5">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rFonts w:hint="default" w:ascii="Times New Roman" w:hAnsi="Times New Roman" w:cs="Times New Roman"/>
                <w:b/>
                <w:bCs/>
                <w:color w:val="auto"/>
                <w:kern w:val="21"/>
                <w:sz w:val="21"/>
                <w:szCs w:val="21"/>
                <w:highlight w:val="none"/>
              </w:rPr>
            </w:pPr>
            <w:r>
              <w:rPr>
                <w:rFonts w:hint="default" w:ascii="Times New Roman" w:hAnsi="Times New Roman" w:cs="Times New Roman"/>
                <w:b/>
                <w:bCs/>
                <w:color w:val="auto"/>
                <w:kern w:val="21"/>
                <w:sz w:val="21"/>
                <w:szCs w:val="21"/>
                <w:highlight w:val="none"/>
                <w:lang w:val="en-US" w:eastAsia="zh-CN"/>
              </w:rPr>
              <w:t>7</w:t>
            </w:r>
            <w:r>
              <w:rPr>
                <w:rFonts w:hint="default" w:ascii="Times New Roman" w:hAnsi="Times New Roman" w:cs="Times New Roman"/>
                <w:b/>
                <w:bCs/>
                <w:color w:val="auto"/>
                <w:kern w:val="21"/>
                <w:sz w:val="21"/>
                <w:szCs w:val="21"/>
                <w:highlight w:val="none"/>
              </w:rPr>
              <w:t>、本项目平面布置</w:t>
            </w:r>
          </w:p>
          <w:p w14:paraId="7C9E7F9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采用工艺流程就近原则合理布置。厂区出入口满足消防及运输车辆的通行，出入口处有供人员集散用的空地。同时按照建筑环境关系的原则，对建筑布局、道路、绿化进行了综合性的场地设计，出入口位于厂区北侧，出入口道路连接006乡道，厂区内西侧由北向南依次为办公楼、净水间、加氯加药间及配水井间，厂区内中部北侧为污泥脱水间，厂区内东侧由北向南依次为食堂车库仓库、换热站、送水泵房及变电所。</w:t>
            </w:r>
          </w:p>
          <w:p w14:paraId="33BE18C9">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default" w:ascii="Times New Roman" w:hAnsi="Times New Roman" w:cs="Times New Roman"/>
                <w:color w:val="auto"/>
                <w:sz w:val="21"/>
                <w:lang w:val="en-US" w:eastAsia="zh-CN"/>
              </w:rPr>
            </w:pPr>
            <w:r>
              <w:rPr>
                <w:rFonts w:hint="default" w:ascii="Times New Roman" w:hAnsi="Times New Roman" w:cs="Times New Roman"/>
                <w:color w:val="auto"/>
                <w:sz w:val="21"/>
                <w:szCs w:val="21"/>
                <w:highlight w:val="none"/>
                <w:lang w:val="en-US" w:eastAsia="zh-CN"/>
              </w:rPr>
              <w:t>厂区布置力求实用、便捷、规整、美观，充分满足本项目的实际需求。本项目综合考虑厂区供电等基础设施的建设，生产流程顺畅，物流运输路线合理，满足消防安全等要求。厂区平面布置功能区明确，交通便利，建筑构筑物布置规范，本项目平面布置合理。</w:t>
            </w:r>
          </w:p>
          <w:p w14:paraId="167F97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Times New Roman" w:hAnsi="Times New Roman" w:cs="Times New Roman"/>
                <w:color w:val="auto"/>
                <w:sz w:val="21"/>
                <w:szCs w:val="21"/>
                <w:highlight w:val="none"/>
              </w:rPr>
            </w:pPr>
            <w:r>
              <w:rPr>
                <w:rFonts w:hint="eastAsia" w:cs="Times New Roman"/>
                <w:b/>
                <w:color w:val="auto"/>
                <w:kern w:val="0"/>
                <w:sz w:val="21"/>
                <w:szCs w:val="21"/>
                <w:highlight w:val="none"/>
                <w:lang w:val="en-US" w:eastAsia="zh-CN" w:bidi="ar"/>
              </w:rPr>
              <w:t>8</w:t>
            </w:r>
            <w:r>
              <w:rPr>
                <w:rFonts w:hint="default" w:ascii="Times New Roman" w:hAnsi="Times New Roman" w:cs="Times New Roman"/>
                <w:b/>
                <w:color w:val="auto"/>
                <w:kern w:val="0"/>
                <w:sz w:val="21"/>
                <w:szCs w:val="21"/>
                <w:highlight w:val="none"/>
                <w:lang w:bidi="ar"/>
              </w:rPr>
              <w:t>、环保投资</w:t>
            </w:r>
          </w:p>
          <w:p w14:paraId="2A4889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b/>
                <w:color w:val="auto"/>
                <w:sz w:val="21"/>
                <w:szCs w:val="21"/>
                <w:highlight w:val="none"/>
              </w:rPr>
            </w:pPr>
            <w:r>
              <w:rPr>
                <w:rFonts w:hint="eastAsia"/>
                <w:color w:val="auto"/>
                <w:sz w:val="21"/>
                <w:szCs w:val="21"/>
                <w:highlight w:val="none"/>
                <w:lang w:val="en-US" w:eastAsia="zh-CN"/>
              </w:rPr>
              <w:t>根据企业企业提供</w:t>
            </w:r>
            <w:r>
              <w:rPr>
                <w:rFonts w:hint="default"/>
                <w:color w:val="auto"/>
                <w:sz w:val="21"/>
                <w:szCs w:val="21"/>
                <w:highlight w:val="none"/>
              </w:rPr>
              <w:t>本项目总投资</w:t>
            </w:r>
            <w:r>
              <w:rPr>
                <w:rFonts w:hint="default" w:ascii="Times New Roman" w:hAnsi="Times New Roman" w:eastAsia="宋体" w:cs="Times New Roman"/>
                <w:b w:val="0"/>
                <w:bCs w:val="0"/>
                <w:i w:val="0"/>
                <w:iCs w:val="0"/>
                <w:color w:val="auto"/>
                <w:kern w:val="0"/>
                <w:sz w:val="21"/>
                <w:szCs w:val="21"/>
                <w:highlight w:val="none"/>
                <w:u w:val="none"/>
                <w:lang w:val="en-US" w:eastAsia="zh-CN" w:bidi="ar"/>
              </w:rPr>
              <w:t>868.1</w:t>
            </w:r>
            <w:r>
              <w:rPr>
                <w:rFonts w:hint="default"/>
                <w:color w:val="auto"/>
                <w:sz w:val="21"/>
                <w:szCs w:val="21"/>
                <w:highlight w:val="none"/>
              </w:rPr>
              <w:t>万元，其中环保投资</w:t>
            </w:r>
            <w:r>
              <w:rPr>
                <w:rFonts w:hint="eastAsia"/>
                <w:color w:val="auto"/>
                <w:sz w:val="21"/>
                <w:szCs w:val="21"/>
                <w:highlight w:val="none"/>
                <w:lang w:val="en-US" w:eastAsia="zh-CN"/>
              </w:rPr>
              <w:t>25</w:t>
            </w:r>
            <w:r>
              <w:rPr>
                <w:rFonts w:hint="default"/>
                <w:color w:val="auto"/>
                <w:sz w:val="21"/>
                <w:szCs w:val="21"/>
                <w:highlight w:val="none"/>
              </w:rPr>
              <w:t>万元，占总投资的</w:t>
            </w:r>
            <w:r>
              <w:rPr>
                <w:rFonts w:hint="eastAsia"/>
                <w:color w:val="auto"/>
                <w:sz w:val="21"/>
                <w:szCs w:val="21"/>
                <w:highlight w:val="none"/>
                <w:lang w:val="en-US" w:eastAsia="zh-CN"/>
              </w:rPr>
              <w:t>3%</w:t>
            </w:r>
            <w:r>
              <w:rPr>
                <w:rFonts w:hint="default"/>
                <w:color w:val="auto"/>
                <w:sz w:val="21"/>
                <w:szCs w:val="21"/>
                <w:highlight w:val="none"/>
              </w:rPr>
              <w:t>，详见表2-</w:t>
            </w:r>
            <w:r>
              <w:rPr>
                <w:rFonts w:hint="eastAsia"/>
                <w:color w:val="auto"/>
                <w:sz w:val="21"/>
                <w:szCs w:val="21"/>
                <w:highlight w:val="none"/>
                <w:lang w:val="en-US" w:eastAsia="zh-CN"/>
              </w:rPr>
              <w:t>5</w:t>
            </w:r>
            <w:r>
              <w:rPr>
                <w:rFonts w:hint="default"/>
                <w:color w:val="auto"/>
                <w:sz w:val="21"/>
                <w:szCs w:val="21"/>
                <w:highlight w:val="none"/>
              </w:rPr>
              <w:t>。</w:t>
            </w:r>
          </w:p>
          <w:p w14:paraId="37DDC33E">
            <w:pPr>
              <w:keepNext w:val="0"/>
              <w:keepLines w:val="0"/>
              <w:widowControl/>
              <w:suppressLineNumbers w:val="0"/>
              <w:spacing w:before="0" w:beforeAutospacing="0" w:after="0" w:afterAutospacing="0"/>
              <w:ind w:left="0" w:right="0" w:firstLine="422" w:firstLineChars="200"/>
              <w:jc w:val="center"/>
              <w:rPr>
                <w:rFonts w:hint="default"/>
                <w:b/>
                <w:color w:val="auto"/>
                <w:sz w:val="24"/>
                <w:szCs w:val="28"/>
                <w:highlight w:val="none"/>
              </w:rPr>
            </w:pPr>
            <w:r>
              <w:rPr>
                <w:rFonts w:hint="default"/>
                <w:b/>
                <w:color w:val="auto"/>
                <w:szCs w:val="21"/>
                <w:highlight w:val="none"/>
              </w:rPr>
              <w:t>表2-</w:t>
            </w:r>
            <w:r>
              <w:rPr>
                <w:rFonts w:hint="eastAsia"/>
                <w:b/>
                <w:color w:val="auto"/>
                <w:szCs w:val="21"/>
                <w:highlight w:val="none"/>
                <w:lang w:val="en-US" w:eastAsia="zh-CN"/>
              </w:rPr>
              <w:t>5</w:t>
            </w:r>
            <w:r>
              <w:rPr>
                <w:rFonts w:hint="default"/>
                <w:b/>
                <w:color w:val="auto"/>
                <w:szCs w:val="21"/>
                <w:highlight w:val="none"/>
              </w:rPr>
              <w:t>环保投资一览表</w:t>
            </w:r>
          </w:p>
          <w:tbl>
            <w:tblPr>
              <w:tblStyle w:val="35"/>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1626"/>
              <w:gridCol w:w="4105"/>
              <w:gridCol w:w="1306"/>
            </w:tblGrid>
            <w:tr w14:paraId="7B29418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0" w:type="dxa"/>
                  <w:tcBorders>
                    <w:tl2br w:val="nil"/>
                    <w:tr2bl w:val="nil"/>
                  </w:tcBorders>
                  <w:noWrap w:val="0"/>
                  <w:vAlign w:val="center"/>
                </w:tcPr>
                <w:p w14:paraId="7C069441">
                  <w:pPr>
                    <w:pStyle w:val="10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eastAsia="zh-CN"/>
                    </w:rPr>
                    <w:t>序号</w:t>
                  </w:r>
                </w:p>
              </w:tc>
              <w:tc>
                <w:tcPr>
                  <w:tcW w:w="1626" w:type="dxa"/>
                  <w:tcBorders>
                    <w:tl2br w:val="nil"/>
                    <w:tr2bl w:val="nil"/>
                  </w:tcBorders>
                  <w:noWrap w:val="0"/>
                  <w:vAlign w:val="center"/>
                </w:tcPr>
                <w:p w14:paraId="2734D2EF">
                  <w:pPr>
                    <w:pStyle w:val="10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处理项目</w:t>
                  </w:r>
                </w:p>
              </w:tc>
              <w:tc>
                <w:tcPr>
                  <w:tcW w:w="4105" w:type="dxa"/>
                  <w:tcBorders>
                    <w:tl2br w:val="nil"/>
                    <w:tr2bl w:val="nil"/>
                  </w:tcBorders>
                  <w:noWrap w:val="0"/>
                  <w:vAlign w:val="center"/>
                </w:tcPr>
                <w:p w14:paraId="5EF7E7AF">
                  <w:pPr>
                    <w:pStyle w:val="10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处理措施</w:t>
                  </w:r>
                </w:p>
              </w:tc>
              <w:tc>
                <w:tcPr>
                  <w:tcW w:w="1306" w:type="dxa"/>
                  <w:tcBorders>
                    <w:tl2br w:val="nil"/>
                    <w:tr2bl w:val="nil"/>
                  </w:tcBorders>
                  <w:noWrap w:val="0"/>
                  <w:vAlign w:val="center"/>
                </w:tcPr>
                <w:p w14:paraId="536A5DDA">
                  <w:pPr>
                    <w:pStyle w:val="10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投资（万元）</w:t>
                  </w:r>
                </w:p>
              </w:tc>
            </w:tr>
            <w:tr w14:paraId="606B9D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0" w:type="dxa"/>
                  <w:tcBorders>
                    <w:tl2br w:val="nil"/>
                    <w:tr2bl w:val="nil"/>
                  </w:tcBorders>
                  <w:noWrap w:val="0"/>
                  <w:vAlign w:val="center"/>
                </w:tcPr>
                <w:p w14:paraId="3C882F7D">
                  <w:pPr>
                    <w:pStyle w:val="10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w:t>
                  </w:r>
                </w:p>
              </w:tc>
              <w:tc>
                <w:tcPr>
                  <w:tcW w:w="1626" w:type="dxa"/>
                  <w:tcBorders>
                    <w:tl2br w:val="nil"/>
                    <w:tr2bl w:val="nil"/>
                  </w:tcBorders>
                  <w:noWrap w:val="0"/>
                  <w:vAlign w:val="center"/>
                </w:tcPr>
                <w:p w14:paraId="4D6A6E35">
                  <w:pPr>
                    <w:pStyle w:val="10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噪声</w:t>
                  </w:r>
                </w:p>
              </w:tc>
              <w:tc>
                <w:tcPr>
                  <w:tcW w:w="4105" w:type="dxa"/>
                  <w:tcBorders>
                    <w:tl2br w:val="nil"/>
                    <w:tr2bl w:val="nil"/>
                  </w:tcBorders>
                  <w:noWrap w:val="0"/>
                  <w:vAlign w:val="center"/>
                </w:tcPr>
                <w:p w14:paraId="721C39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eastAsia="宋体"/>
                      <w:color w:val="auto"/>
                      <w:sz w:val="18"/>
                      <w:szCs w:val="18"/>
                      <w:highlight w:val="none"/>
                      <w:lang w:val="en-US" w:eastAsia="zh-CN"/>
                    </w:rPr>
                  </w:pPr>
                  <w:r>
                    <w:rPr>
                      <w:rFonts w:hint="default" w:ascii="Times New Roman" w:hAnsi="Times New Roman" w:eastAsia="宋体" w:cs="Times New Roman"/>
                      <w:color w:val="auto"/>
                      <w:sz w:val="18"/>
                      <w:szCs w:val="18"/>
                      <w:highlight w:val="none"/>
                    </w:rPr>
                    <w:t>选用低噪声设备、基础减振</w:t>
                  </w:r>
                  <w:r>
                    <w:rPr>
                      <w:rFonts w:hint="default" w:ascii="Times New Roman" w:hAnsi="Times New Roman" w:cs="Times New Roman"/>
                      <w:color w:val="auto"/>
                      <w:sz w:val="18"/>
                      <w:szCs w:val="18"/>
                      <w:highlight w:val="none"/>
                    </w:rPr>
                    <w:t>措施</w:t>
                  </w:r>
                </w:p>
              </w:tc>
              <w:tc>
                <w:tcPr>
                  <w:tcW w:w="1306" w:type="dxa"/>
                  <w:tcBorders>
                    <w:tl2br w:val="nil"/>
                    <w:tr2bl w:val="nil"/>
                  </w:tcBorders>
                  <w:noWrap w:val="0"/>
                  <w:vAlign w:val="center"/>
                </w:tcPr>
                <w:p w14:paraId="25CA92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olor w:val="auto"/>
                      <w:sz w:val="18"/>
                      <w:szCs w:val="18"/>
                      <w:highlight w:val="none"/>
                      <w:lang w:val="en-US" w:eastAsia="zh-CN"/>
                    </w:rPr>
                  </w:pPr>
                  <w:r>
                    <w:rPr>
                      <w:rFonts w:hint="eastAsia" w:cs="Times New Roman"/>
                      <w:color w:val="auto"/>
                      <w:kern w:val="2"/>
                      <w:sz w:val="18"/>
                      <w:szCs w:val="18"/>
                      <w:highlight w:val="none"/>
                      <w:lang w:val="en-US" w:eastAsia="zh-CN" w:bidi="ar-SA"/>
                    </w:rPr>
                    <w:t>5</w:t>
                  </w:r>
                </w:p>
              </w:tc>
            </w:tr>
            <w:tr w14:paraId="127D641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0" w:type="dxa"/>
                  <w:tcBorders>
                    <w:tl2br w:val="nil"/>
                    <w:tr2bl w:val="nil"/>
                  </w:tcBorders>
                  <w:noWrap w:val="0"/>
                  <w:vAlign w:val="center"/>
                </w:tcPr>
                <w:p w14:paraId="06636489">
                  <w:pPr>
                    <w:pStyle w:val="10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2</w:t>
                  </w:r>
                </w:p>
              </w:tc>
              <w:tc>
                <w:tcPr>
                  <w:tcW w:w="1626" w:type="dxa"/>
                  <w:tcBorders>
                    <w:tl2br w:val="nil"/>
                    <w:tr2bl w:val="nil"/>
                  </w:tcBorders>
                  <w:noWrap w:val="0"/>
                  <w:vAlign w:val="center"/>
                </w:tcPr>
                <w:p w14:paraId="380940DB">
                  <w:pPr>
                    <w:pStyle w:val="10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cs="Times New Roman"/>
                      <w:color w:val="auto"/>
                      <w:sz w:val="18"/>
                      <w:szCs w:val="18"/>
                      <w:highlight w:val="none"/>
                      <w:lang w:val="en-US" w:eastAsia="zh-CN"/>
                    </w:rPr>
                  </w:pPr>
                  <w:r>
                    <w:rPr>
                      <w:rFonts w:hint="eastAsia" w:cs="Times New Roman"/>
                      <w:color w:val="auto"/>
                      <w:sz w:val="18"/>
                      <w:szCs w:val="18"/>
                      <w:highlight w:val="none"/>
                      <w:lang w:val="en-US" w:eastAsia="zh-CN"/>
                    </w:rPr>
                    <w:t>固废</w:t>
                  </w:r>
                </w:p>
              </w:tc>
              <w:tc>
                <w:tcPr>
                  <w:tcW w:w="4105" w:type="dxa"/>
                  <w:tcBorders>
                    <w:tl2br w:val="nil"/>
                    <w:tr2bl w:val="nil"/>
                  </w:tcBorders>
                  <w:noWrap w:val="0"/>
                  <w:vAlign w:val="center"/>
                </w:tcPr>
                <w:p w14:paraId="2C17CF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cs="Times New Roman"/>
                      <w:color w:val="auto"/>
                      <w:sz w:val="18"/>
                      <w:szCs w:val="18"/>
                      <w:highlight w:val="none"/>
                      <w:lang w:val="en-US" w:eastAsia="zh-CN"/>
                    </w:rPr>
                  </w:pPr>
                  <w:r>
                    <w:rPr>
                      <w:rFonts w:hint="eastAsia" w:cs="Times New Roman"/>
                      <w:b w:val="0"/>
                      <w:bCs w:val="0"/>
                      <w:color w:val="auto"/>
                      <w:spacing w:val="0"/>
                      <w:w w:val="100"/>
                      <w:sz w:val="18"/>
                      <w:szCs w:val="18"/>
                      <w:highlight w:val="none"/>
                      <w:lang w:val="en-US" w:eastAsia="zh-CN"/>
                    </w:rPr>
                    <w:t>污泥暂存库</w:t>
                  </w:r>
                </w:p>
              </w:tc>
              <w:tc>
                <w:tcPr>
                  <w:tcW w:w="1306" w:type="dxa"/>
                  <w:tcBorders>
                    <w:tl2br w:val="nil"/>
                    <w:tr2bl w:val="nil"/>
                  </w:tcBorders>
                  <w:noWrap w:val="0"/>
                  <w:vAlign w:val="center"/>
                </w:tcPr>
                <w:p w14:paraId="2AAEC8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aseline"/>
                    <w:rPr>
                      <w:rFonts w:hint="default" w:cs="Times New Roman"/>
                      <w:color w:val="auto"/>
                      <w:kern w:val="2"/>
                      <w:sz w:val="18"/>
                      <w:szCs w:val="18"/>
                      <w:highlight w:val="none"/>
                      <w:lang w:val="en-US" w:eastAsia="zh-CN" w:bidi="ar-SA"/>
                    </w:rPr>
                  </w:pPr>
                  <w:r>
                    <w:rPr>
                      <w:rFonts w:hint="eastAsia" w:cs="Times New Roman"/>
                      <w:color w:val="auto"/>
                      <w:kern w:val="2"/>
                      <w:sz w:val="18"/>
                      <w:szCs w:val="18"/>
                      <w:highlight w:val="none"/>
                      <w:lang w:val="en-US" w:eastAsia="zh-CN" w:bidi="ar-SA"/>
                    </w:rPr>
                    <w:t>5</w:t>
                  </w:r>
                </w:p>
              </w:tc>
            </w:tr>
            <w:tr w14:paraId="17C52FD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0" w:type="dxa"/>
                  <w:tcBorders>
                    <w:tl2br w:val="nil"/>
                    <w:tr2bl w:val="nil"/>
                  </w:tcBorders>
                  <w:noWrap w:val="0"/>
                  <w:vAlign w:val="center"/>
                </w:tcPr>
                <w:p w14:paraId="33D1A497">
                  <w:pPr>
                    <w:pStyle w:val="10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3</w:t>
                  </w:r>
                </w:p>
              </w:tc>
              <w:tc>
                <w:tcPr>
                  <w:tcW w:w="1626" w:type="dxa"/>
                  <w:tcBorders>
                    <w:tl2br w:val="nil"/>
                    <w:tr2bl w:val="nil"/>
                  </w:tcBorders>
                  <w:noWrap w:val="0"/>
                  <w:vAlign w:val="center"/>
                </w:tcPr>
                <w:p w14:paraId="1BB89DC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18"/>
                      <w:szCs w:val="18"/>
                      <w:highlight w:val="none"/>
                      <w:lang w:val="en-US"/>
                    </w:rPr>
                  </w:pPr>
                  <w:r>
                    <w:rPr>
                      <w:rFonts w:hint="default" w:ascii="Times New Roman" w:hAnsi="Times New Roman" w:cs="Times New Roman"/>
                      <w:color w:val="auto"/>
                      <w:sz w:val="18"/>
                      <w:szCs w:val="18"/>
                      <w:highlight w:val="none"/>
                      <w:lang w:val="en-US" w:eastAsia="zh-CN"/>
                    </w:rPr>
                    <w:t>环境管理</w:t>
                  </w:r>
                </w:p>
              </w:tc>
              <w:tc>
                <w:tcPr>
                  <w:tcW w:w="4105" w:type="dxa"/>
                  <w:tcBorders>
                    <w:tl2br w:val="nil"/>
                    <w:tr2bl w:val="nil"/>
                  </w:tcBorders>
                  <w:noWrap w:val="0"/>
                  <w:vAlign w:val="center"/>
                </w:tcPr>
                <w:p w14:paraId="018AA7F0">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厂区环境管理</w:t>
                  </w:r>
                </w:p>
              </w:tc>
              <w:tc>
                <w:tcPr>
                  <w:tcW w:w="1306" w:type="dxa"/>
                  <w:tcBorders>
                    <w:tl2br w:val="nil"/>
                    <w:tr2bl w:val="nil"/>
                  </w:tcBorders>
                  <w:noWrap w:val="0"/>
                  <w:vAlign w:val="center"/>
                </w:tcPr>
                <w:p w14:paraId="0D167FE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4</w:t>
                  </w:r>
                </w:p>
              </w:tc>
            </w:tr>
            <w:tr w14:paraId="3F785D5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0" w:type="dxa"/>
                  <w:tcBorders>
                    <w:tl2br w:val="nil"/>
                    <w:tr2bl w:val="nil"/>
                  </w:tcBorders>
                  <w:noWrap w:val="0"/>
                  <w:vAlign w:val="center"/>
                </w:tcPr>
                <w:p w14:paraId="6FFDD815">
                  <w:pPr>
                    <w:pStyle w:val="10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4</w:t>
                  </w:r>
                </w:p>
              </w:tc>
              <w:tc>
                <w:tcPr>
                  <w:tcW w:w="1626" w:type="dxa"/>
                  <w:tcBorders>
                    <w:tl2br w:val="nil"/>
                    <w:tr2bl w:val="nil"/>
                  </w:tcBorders>
                  <w:noWrap w:val="0"/>
                  <w:vAlign w:val="center"/>
                </w:tcPr>
                <w:p w14:paraId="6BA3F1F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监测费用</w:t>
                  </w:r>
                </w:p>
              </w:tc>
              <w:tc>
                <w:tcPr>
                  <w:tcW w:w="4105" w:type="dxa"/>
                  <w:tcBorders>
                    <w:tl2br w:val="nil"/>
                    <w:tr2bl w:val="nil"/>
                  </w:tcBorders>
                  <w:noWrap w:val="0"/>
                  <w:vAlign w:val="center"/>
                </w:tcPr>
                <w:p w14:paraId="76A44A50">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废水监测</w:t>
                  </w:r>
                </w:p>
              </w:tc>
              <w:tc>
                <w:tcPr>
                  <w:tcW w:w="1306" w:type="dxa"/>
                  <w:tcBorders>
                    <w:tl2br w:val="nil"/>
                    <w:tr2bl w:val="nil"/>
                  </w:tcBorders>
                  <w:noWrap w:val="0"/>
                  <w:vAlign w:val="center"/>
                </w:tcPr>
                <w:p w14:paraId="6FD84AC5">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6</w:t>
                  </w:r>
                </w:p>
              </w:tc>
            </w:tr>
            <w:tr w14:paraId="42126F0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0" w:type="dxa"/>
                  <w:tcBorders>
                    <w:tl2br w:val="nil"/>
                    <w:tr2bl w:val="nil"/>
                  </w:tcBorders>
                  <w:noWrap w:val="0"/>
                  <w:vAlign w:val="center"/>
                </w:tcPr>
                <w:p w14:paraId="663EA264">
                  <w:pPr>
                    <w:pStyle w:val="10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color w:val="auto"/>
                      <w:sz w:val="18"/>
                      <w:szCs w:val="18"/>
                      <w:highlight w:val="none"/>
                      <w:lang w:val="en-US" w:eastAsia="zh-CN"/>
                    </w:rPr>
                  </w:pPr>
                  <w:r>
                    <w:rPr>
                      <w:rFonts w:hint="eastAsia" w:cs="Times New Roman"/>
                      <w:color w:val="auto"/>
                      <w:sz w:val="18"/>
                      <w:szCs w:val="18"/>
                      <w:highlight w:val="none"/>
                      <w:lang w:val="en-US" w:eastAsia="zh-CN"/>
                    </w:rPr>
                    <w:t>5</w:t>
                  </w:r>
                </w:p>
              </w:tc>
              <w:tc>
                <w:tcPr>
                  <w:tcW w:w="5731" w:type="dxa"/>
                  <w:gridSpan w:val="2"/>
                  <w:tcBorders>
                    <w:tl2br w:val="nil"/>
                    <w:tr2bl w:val="nil"/>
                  </w:tcBorders>
                  <w:noWrap w:val="0"/>
                  <w:vAlign w:val="center"/>
                </w:tcPr>
                <w:p w14:paraId="7AED026B">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firstLine="0" w:firstLineChars="0"/>
                    <w:jc w:val="center"/>
                    <w:textAlignment w:val="auto"/>
                    <w:rPr>
                      <w:rFonts w:hint="default" w:ascii="Times New Roman" w:hAnsi="Times New Roman"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环保设施运营及维护</w:t>
                  </w:r>
                </w:p>
              </w:tc>
              <w:tc>
                <w:tcPr>
                  <w:tcW w:w="1306" w:type="dxa"/>
                  <w:tcBorders>
                    <w:tl2br w:val="nil"/>
                    <w:tr2bl w:val="nil"/>
                  </w:tcBorders>
                  <w:noWrap w:val="0"/>
                  <w:vAlign w:val="center"/>
                </w:tcPr>
                <w:p w14:paraId="55DE36B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5</w:t>
                  </w:r>
                </w:p>
              </w:tc>
            </w:tr>
            <w:tr w14:paraId="2A6DBF5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51" w:type="dxa"/>
                  <w:gridSpan w:val="3"/>
                  <w:tcBorders>
                    <w:tl2br w:val="nil"/>
                    <w:tr2bl w:val="nil"/>
                  </w:tcBorders>
                  <w:noWrap w:val="0"/>
                  <w:vAlign w:val="center"/>
                </w:tcPr>
                <w:p w14:paraId="3EB27F3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firstLine="0" w:firstLineChars="0"/>
                    <w:jc w:val="center"/>
                    <w:textAlignment w:val="auto"/>
                    <w:rPr>
                      <w:rFonts w:hint="default" w:ascii="Times New Roman" w:hAnsi="Times New Roman" w:eastAsia="宋体" w:cs="Times New Roman"/>
                      <w:color w:val="auto"/>
                      <w:sz w:val="18"/>
                      <w:szCs w:val="18"/>
                      <w:highlight w:val="none"/>
                      <w:lang w:val="en-US"/>
                    </w:rPr>
                  </w:pPr>
                  <w:r>
                    <w:rPr>
                      <w:rFonts w:hint="default" w:ascii="Times New Roman" w:hAnsi="Times New Roman" w:eastAsia="宋体" w:cs="Times New Roman"/>
                      <w:color w:val="auto"/>
                      <w:sz w:val="18"/>
                      <w:szCs w:val="18"/>
                      <w:highlight w:val="none"/>
                      <w:lang w:val="en-US" w:eastAsia="zh-CN"/>
                    </w:rPr>
                    <w:t>环保投资（万元）</w:t>
                  </w:r>
                </w:p>
              </w:tc>
              <w:tc>
                <w:tcPr>
                  <w:tcW w:w="1306" w:type="dxa"/>
                  <w:tcBorders>
                    <w:tl2br w:val="nil"/>
                    <w:tr2bl w:val="nil"/>
                  </w:tcBorders>
                  <w:noWrap w:val="0"/>
                  <w:vAlign w:val="center"/>
                </w:tcPr>
                <w:p w14:paraId="21AA9811">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25</w:t>
                  </w:r>
                </w:p>
              </w:tc>
            </w:tr>
            <w:tr w14:paraId="7F070B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51" w:type="dxa"/>
                  <w:gridSpan w:val="3"/>
                  <w:tcBorders>
                    <w:tl2br w:val="nil"/>
                    <w:tr2bl w:val="nil"/>
                  </w:tcBorders>
                  <w:noWrap w:val="0"/>
                  <w:vAlign w:val="center"/>
                </w:tcPr>
                <w:p w14:paraId="14F59308">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总投资（万元）</w:t>
                  </w:r>
                </w:p>
              </w:tc>
              <w:tc>
                <w:tcPr>
                  <w:tcW w:w="1306" w:type="dxa"/>
                  <w:tcBorders>
                    <w:tl2br w:val="nil"/>
                    <w:tr2bl w:val="nil"/>
                  </w:tcBorders>
                  <w:noWrap w:val="0"/>
                  <w:vAlign w:val="center"/>
                </w:tcPr>
                <w:p w14:paraId="4C9DED81">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b w:val="0"/>
                      <w:bCs w:val="0"/>
                      <w:i w:val="0"/>
                      <w:iCs w:val="0"/>
                      <w:color w:val="auto"/>
                      <w:kern w:val="0"/>
                      <w:sz w:val="18"/>
                      <w:szCs w:val="18"/>
                      <w:highlight w:val="none"/>
                      <w:u w:val="none"/>
                      <w:lang w:val="en-US" w:eastAsia="zh-CN" w:bidi="ar"/>
                    </w:rPr>
                    <w:t>868.1</w:t>
                  </w:r>
                </w:p>
              </w:tc>
            </w:tr>
            <w:tr w14:paraId="310161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51" w:type="dxa"/>
                  <w:gridSpan w:val="3"/>
                  <w:tcBorders>
                    <w:tl2br w:val="nil"/>
                    <w:tr2bl w:val="nil"/>
                  </w:tcBorders>
                  <w:noWrap w:val="0"/>
                  <w:vAlign w:val="center"/>
                </w:tcPr>
                <w:p w14:paraId="19905FEC">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firstLine="0" w:firstLineChars="0"/>
                    <w:jc w:val="center"/>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sz w:val="18"/>
                      <w:szCs w:val="18"/>
                      <w:highlight w:val="none"/>
                      <w:lang w:val="en-US" w:eastAsia="zh-CN"/>
                    </w:rPr>
                    <w:t>占总投资比例（%）</w:t>
                  </w:r>
                </w:p>
              </w:tc>
              <w:tc>
                <w:tcPr>
                  <w:tcW w:w="1306" w:type="dxa"/>
                  <w:tcBorders>
                    <w:tl2br w:val="nil"/>
                    <w:tr2bl w:val="nil"/>
                  </w:tcBorders>
                  <w:noWrap w:val="0"/>
                  <w:vAlign w:val="center"/>
                </w:tcPr>
                <w:p w14:paraId="63420388">
                  <w:pPr>
                    <w:pStyle w:val="10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kern w:val="2"/>
                      <w:sz w:val="18"/>
                      <w:szCs w:val="18"/>
                      <w:highlight w:val="none"/>
                      <w:lang w:val="en-US" w:eastAsia="zh-CN" w:bidi="ar-SA"/>
                    </w:rPr>
                    <w:t>3</w:t>
                  </w:r>
                  <w:r>
                    <w:rPr>
                      <w:rFonts w:hint="eastAsia" w:ascii="Times New Roman" w:hAnsi="Times New Roman" w:eastAsia="宋体" w:cs="Times New Roman"/>
                      <w:color w:val="auto"/>
                      <w:kern w:val="2"/>
                      <w:sz w:val="18"/>
                      <w:szCs w:val="18"/>
                      <w:highlight w:val="none"/>
                      <w:lang w:val="en-US" w:eastAsia="zh-CN" w:bidi="ar-SA"/>
                    </w:rPr>
                    <w:t>%</w:t>
                  </w:r>
                </w:p>
              </w:tc>
            </w:tr>
          </w:tbl>
          <w:p w14:paraId="43BC95BA">
            <w:pPr>
              <w:pStyle w:val="13"/>
              <w:keepNext w:val="0"/>
              <w:keepLines w:val="0"/>
              <w:widowControl w:val="0"/>
              <w:suppressLineNumbers w:val="0"/>
              <w:snapToGrid/>
              <w:spacing w:before="0" w:beforeAutospacing="0" w:after="0" w:afterAutospacing="0" w:line="360" w:lineRule="auto"/>
              <w:ind w:left="0" w:right="0"/>
              <w:rPr>
                <w:rFonts w:hint="default" w:ascii="Times New Roman" w:hAnsi="Times New Roman" w:eastAsia="宋体" w:cs="Times New Roman"/>
                <w:color w:val="auto"/>
                <w:kern w:val="21"/>
                <w:sz w:val="24"/>
                <w:szCs w:val="21"/>
                <w:highlight w:val="none"/>
                <w:lang w:val="en-US" w:eastAsia="zh-CN"/>
              </w:rPr>
            </w:pPr>
          </w:p>
        </w:tc>
      </w:tr>
      <w:tr w14:paraId="5357DF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748" w:type="dxa"/>
            <w:vAlign w:val="center"/>
          </w:tcPr>
          <w:p w14:paraId="4A84EFC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1"/>
                <w:szCs w:val="21"/>
                <w:highlight w:val="none"/>
              </w:rPr>
            </w:pPr>
          </w:p>
          <w:p w14:paraId="3A851A6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t>工艺流程和产排污环节</w:t>
            </w:r>
          </w:p>
        </w:tc>
        <w:tc>
          <w:tcPr>
            <w:tcW w:w="8473" w:type="dxa"/>
            <w:vAlign w:val="center"/>
          </w:tcPr>
          <w:p w14:paraId="15EDC2C0">
            <w:pPr>
              <w:keepNext w:val="0"/>
              <w:keepLines w:val="0"/>
              <w:widowControl/>
              <w:numPr>
                <w:ilvl w:val="0"/>
                <w:numId w:val="4"/>
              </w:numPr>
              <w:suppressLineNumbers w:val="0"/>
              <w:spacing w:before="0" w:beforeAutospacing="0" w:after="0" w:afterAutospacing="0" w:line="360" w:lineRule="auto"/>
              <w:ind w:right="0"/>
              <w:rPr>
                <w:rFonts w:hint="default"/>
                <w:b/>
                <w:bCs/>
                <w:color w:val="auto"/>
                <w:szCs w:val="21"/>
                <w:highlight w:val="none"/>
              </w:rPr>
            </w:pPr>
            <w:r>
              <w:rPr>
                <w:rFonts w:hint="default"/>
                <w:b/>
                <w:bCs/>
                <w:color w:val="auto"/>
                <w:szCs w:val="21"/>
                <w:highlight w:val="none"/>
              </w:rPr>
              <w:t>施工期工艺流程分析</w:t>
            </w:r>
          </w:p>
          <w:p w14:paraId="51329793">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default"/>
                <w:b/>
                <w:bCs/>
                <w:color w:val="auto"/>
                <w:szCs w:val="21"/>
                <w:highlight w:val="none"/>
              </w:rPr>
            </w:pPr>
            <w:r>
              <w:rPr>
                <w:rFonts w:hint="eastAsia" w:cs="Times New Roman"/>
                <w:bCs/>
                <w:color w:val="auto"/>
                <w:spacing w:val="0"/>
                <w:kern w:val="0"/>
                <w:sz w:val="21"/>
                <w:szCs w:val="21"/>
                <w:highlight w:val="none"/>
                <w:lang w:val="en-US" w:eastAsia="zh-CN"/>
              </w:rPr>
              <w:t>本项目无新增占地面积，本次</w:t>
            </w:r>
            <w:r>
              <w:rPr>
                <w:rFonts w:hint="eastAsia" w:cs="Times New Roman"/>
                <w:color w:val="auto"/>
                <w:spacing w:val="0"/>
                <w:sz w:val="21"/>
                <w:szCs w:val="21"/>
                <w:highlight w:val="none"/>
                <w:lang w:val="en-US" w:eastAsia="zh-CN"/>
              </w:rPr>
              <w:t>利用原有</w:t>
            </w:r>
            <w:r>
              <w:rPr>
                <w:rFonts w:hint="eastAsia" w:cs="Times New Roman"/>
                <w:bCs/>
                <w:color w:val="auto"/>
                <w:spacing w:val="0"/>
                <w:kern w:val="0"/>
                <w:sz w:val="21"/>
                <w:szCs w:val="21"/>
                <w:highlight w:val="none"/>
                <w:lang w:val="en-US" w:eastAsia="zh-CN"/>
              </w:rPr>
              <w:t>1座入河排污口及原有</w:t>
            </w:r>
            <w:r>
              <w:rPr>
                <w:rFonts w:hint="default" w:ascii="Times New Roman" w:hAnsi="Times New Roman" w:eastAsia="宋体" w:cs="Times New Roman"/>
                <w:bCs/>
                <w:color w:val="auto"/>
                <w:spacing w:val="0"/>
                <w:kern w:val="0"/>
                <w:sz w:val="21"/>
                <w:szCs w:val="21"/>
                <w:highlight w:val="none"/>
                <w:lang w:val="en-US" w:eastAsia="zh-CN"/>
              </w:rPr>
              <w:t>排污管线</w:t>
            </w:r>
            <w:r>
              <w:rPr>
                <w:rFonts w:hint="eastAsia" w:cs="Times New Roman"/>
                <w:bCs/>
                <w:color w:val="auto"/>
                <w:spacing w:val="0"/>
                <w:kern w:val="0"/>
                <w:sz w:val="21"/>
                <w:szCs w:val="21"/>
                <w:highlight w:val="none"/>
                <w:lang w:val="en-US" w:eastAsia="zh-CN"/>
              </w:rPr>
              <w:t>；</w:t>
            </w:r>
            <w:r>
              <w:rPr>
                <w:rFonts w:hint="eastAsia" w:cs="Times New Roman"/>
                <w:color w:val="auto"/>
                <w:spacing w:val="0"/>
                <w:sz w:val="21"/>
                <w:szCs w:val="21"/>
                <w:lang w:val="en-US" w:eastAsia="zh-CN"/>
              </w:rPr>
              <w:t>更换污泥脱水间设备，更换下来的老旧设备外售；</w:t>
            </w:r>
            <w:r>
              <w:rPr>
                <w:rFonts w:hint="default" w:ascii="Segoe UI" w:hAnsi="Segoe UI" w:eastAsia="Segoe UI" w:cs="Segoe UI"/>
                <w:i w:val="0"/>
                <w:iCs w:val="0"/>
                <w:caps w:val="0"/>
                <w:color w:val="auto"/>
                <w:spacing w:val="0"/>
                <w:sz w:val="21"/>
                <w:szCs w:val="21"/>
                <w:shd w:val="clear" w:fill="FFFFFF"/>
              </w:rPr>
              <w:t>在现有污泥脱水间内新建一座污泥暂存库，施工活动全部在既有构筑物内部进行，不新增占地</w:t>
            </w:r>
            <w:r>
              <w:rPr>
                <w:rFonts w:hint="eastAsia"/>
                <w:color w:val="auto"/>
                <w:sz w:val="21"/>
                <w:szCs w:val="21"/>
                <w:highlight w:val="none"/>
                <w:lang w:val="en-US" w:eastAsia="zh-CN"/>
              </w:rPr>
              <w:t>。</w:t>
            </w:r>
            <w:r>
              <w:rPr>
                <w:rFonts w:hint="eastAsia"/>
                <w:bCs/>
                <w:color w:val="auto"/>
                <w:spacing w:val="0"/>
                <w:sz w:val="21"/>
                <w:szCs w:val="21"/>
                <w:highlight w:val="none"/>
              </w:rPr>
              <w:t>项目建设周期较短，对周围环境影响较小</w:t>
            </w:r>
            <w:r>
              <w:rPr>
                <w:rFonts w:hint="eastAsia"/>
                <w:bCs/>
                <w:color w:val="auto"/>
                <w:szCs w:val="21"/>
                <w:highlight w:val="none"/>
              </w:rPr>
              <w:t>，施工期影响在施工结束后自然消除。</w:t>
            </w:r>
          </w:p>
          <w:p w14:paraId="7BD845D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object>
                <v:shape id="_x0000_i1026" o:spt="75" type="#_x0000_t75" style="height:79.4pt;width:412.65pt;" o:ole="t" filled="f" o:preferrelative="t" stroked="f" coordsize="21600,21600">
                  <v:path/>
                  <v:fill on="f" focussize="0,0"/>
                  <v:stroke on="f"/>
                  <v:imagedata r:id="rId19" o:title=""/>
                  <o:lock v:ext="edit" aspectratio="f"/>
                  <w10:wrap type="none"/>
                  <w10:anchorlock/>
                </v:shape>
                <o:OLEObject Type="Embed" ProgID="Visio.Drawing.11" ShapeID="_x0000_i1026" DrawAspect="Content" ObjectID="_1468075726" r:id="rId18">
                  <o:LockedField>false</o:LockedField>
                </o:OLEObject>
              </w:object>
            </w:r>
          </w:p>
          <w:p w14:paraId="33BE24EF">
            <w:pPr>
              <w:pStyle w:val="33"/>
              <w:keepNext w:val="0"/>
              <w:keepLines w:val="0"/>
              <w:suppressLineNumbers w:val="0"/>
              <w:spacing w:before="0" w:beforeAutospacing="0" w:after="0" w:afterAutospacing="0" w:line="360" w:lineRule="auto"/>
              <w:ind w:left="0" w:right="0" w:firstLine="0" w:firstLineChars="0"/>
              <w:jc w:val="center"/>
              <w:rPr>
                <w:rFonts w:hint="default"/>
                <w:b/>
                <w:color w:val="auto"/>
                <w:kern w:val="0"/>
                <w:sz w:val="21"/>
                <w:szCs w:val="21"/>
              </w:rPr>
            </w:pPr>
            <w:r>
              <w:rPr>
                <w:rFonts w:hint="default"/>
                <w:b/>
                <w:color w:val="auto"/>
                <w:szCs w:val="21"/>
                <w:highlight w:val="none"/>
              </w:rPr>
              <w:t>图2-</w:t>
            </w:r>
            <w:r>
              <w:rPr>
                <w:rFonts w:hint="eastAsia"/>
                <w:b/>
                <w:color w:val="auto"/>
                <w:szCs w:val="21"/>
                <w:highlight w:val="none"/>
                <w:lang w:val="en-US" w:eastAsia="zh-CN"/>
              </w:rPr>
              <w:t>2</w:t>
            </w:r>
            <w:r>
              <w:rPr>
                <w:rFonts w:hint="default"/>
                <w:b/>
                <w:color w:val="auto"/>
                <w:szCs w:val="21"/>
                <w:highlight w:val="none"/>
              </w:rPr>
              <w:t>施工期工艺流程和排污节点示意图</w:t>
            </w:r>
          </w:p>
          <w:p w14:paraId="2152AF9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b w:val="0"/>
                <w:bCs/>
                <w:color w:val="auto"/>
                <w:sz w:val="21"/>
                <w:szCs w:val="21"/>
                <w:highlight w:val="none"/>
                <w:lang w:eastAsia="zh-CN"/>
              </w:rPr>
              <w:t>二、</w:t>
            </w:r>
            <w:r>
              <w:rPr>
                <w:rFonts w:hint="default" w:ascii="Times New Roman" w:hAnsi="Times New Roman" w:eastAsia="宋体" w:cs="Times New Roman"/>
                <w:b/>
                <w:color w:val="auto"/>
                <w:kern w:val="21"/>
                <w:sz w:val="21"/>
                <w:szCs w:val="21"/>
                <w:highlight w:val="none"/>
              </w:rPr>
              <w:t>运营期工艺流程</w:t>
            </w:r>
            <w:r>
              <w:rPr>
                <w:rFonts w:hint="eastAsia" w:cs="Times New Roman"/>
                <w:b/>
                <w:color w:val="auto"/>
                <w:kern w:val="21"/>
                <w:sz w:val="21"/>
                <w:szCs w:val="21"/>
                <w:highlight w:val="none"/>
                <w:lang w:val="en-US" w:eastAsia="zh-CN"/>
              </w:rPr>
              <w:t>分析</w:t>
            </w:r>
          </w:p>
          <w:p w14:paraId="425F8D3C">
            <w:pPr>
              <w:keepNext w:val="0"/>
              <w:keepLines w:val="0"/>
              <w:suppressLineNumbers w:val="0"/>
              <w:spacing w:before="0" w:beforeAutospacing="0" w:after="0" w:afterAutospacing="0" w:line="360" w:lineRule="auto"/>
              <w:ind w:left="0" w:right="0"/>
              <w:jc w:val="center"/>
              <w:rPr>
                <w:rFonts w:hint="default" w:ascii="Times New Roman" w:hAnsi="Times New Roman" w:cs="Times New Roman"/>
                <w:color w:val="auto"/>
                <w:kern w:val="21"/>
                <w:szCs w:val="21"/>
                <w:highlight w:val="none"/>
              </w:rPr>
            </w:pPr>
            <w:r>
              <w:rPr>
                <w:rFonts w:hint="default"/>
                <w:color w:val="auto"/>
              </w:rPr>
              <w:object>
                <v:shape id="_x0000_i1027" o:spt="75" type="#_x0000_t75" style="height:138.65pt;width:412.75pt;" o:ole="t" filled="f" o:preferrelative="t" stroked="f" coordsize="21600,21600">
                  <v:path/>
                  <v:fill on="f" focussize="0,0"/>
                  <v:stroke on="f"/>
                  <v:imagedata r:id="rId21" o:title=""/>
                  <o:lock v:ext="edit" aspectratio="f"/>
                  <w10:wrap type="none"/>
                  <w10:anchorlock/>
                </v:shape>
                <o:OLEObject Type="Embed" ProgID="Visio.Drawing.11" ShapeID="_x0000_i1027" DrawAspect="Content" ObjectID="_1468075727" r:id="rId20">
                  <o:LockedField>false</o:LockedField>
                </o:OLEObject>
              </w:object>
            </w:r>
          </w:p>
          <w:p w14:paraId="16A7C6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黑体" w:cs="Times New Roman"/>
                <w:snapToGrid w:val="0"/>
                <w:color w:val="auto"/>
                <w:kern w:val="0"/>
                <w:sz w:val="21"/>
                <w:szCs w:val="21"/>
                <w:highlight w:val="none"/>
              </w:rPr>
            </w:pPr>
            <w:r>
              <w:rPr>
                <w:rFonts w:hint="default" w:ascii="Times New Roman" w:hAnsi="Times New Roman" w:eastAsia="宋体" w:cs="Times New Roman"/>
                <w:b/>
                <w:bCs/>
                <w:snapToGrid w:val="0"/>
                <w:color w:val="auto"/>
                <w:kern w:val="0"/>
                <w:sz w:val="21"/>
                <w:szCs w:val="21"/>
                <w:highlight w:val="none"/>
              </w:rPr>
              <w:t>图2</w:t>
            </w:r>
            <w:r>
              <w:rPr>
                <w:rFonts w:hint="eastAsia" w:cs="Times New Roman"/>
                <w:b/>
                <w:bCs/>
                <w:snapToGrid w:val="0"/>
                <w:color w:val="auto"/>
                <w:kern w:val="0"/>
                <w:sz w:val="21"/>
                <w:szCs w:val="21"/>
                <w:highlight w:val="none"/>
                <w:lang w:val="en-US" w:eastAsia="zh-CN"/>
              </w:rPr>
              <w:t>-3净水工艺及污泥处理工艺</w:t>
            </w:r>
            <w:r>
              <w:rPr>
                <w:rFonts w:hint="default" w:ascii="Times New Roman" w:hAnsi="Times New Roman" w:eastAsia="宋体" w:cs="Times New Roman"/>
                <w:b/>
                <w:bCs/>
                <w:snapToGrid w:val="0"/>
                <w:color w:val="auto"/>
                <w:kern w:val="0"/>
                <w:sz w:val="21"/>
                <w:szCs w:val="21"/>
                <w:highlight w:val="none"/>
              </w:rPr>
              <w:t>流程及产污环节图</w:t>
            </w:r>
          </w:p>
          <w:p w14:paraId="38258F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rFonts w:hint="default" w:ascii="Times New Roman" w:hAnsi="Times New Roman" w:eastAsia="宋体" w:cs="Times New Roman"/>
                <w:b/>
                <w:bCs/>
                <w:color w:val="auto"/>
                <w:spacing w:val="0"/>
                <w:w w:val="100"/>
                <w:kern w:val="21"/>
                <w:sz w:val="21"/>
                <w:szCs w:val="21"/>
                <w:highlight w:val="none"/>
                <w:lang w:eastAsia="zh-CN"/>
              </w:rPr>
            </w:pPr>
            <w:r>
              <w:rPr>
                <w:rFonts w:hint="default" w:ascii="Times New Roman" w:hAnsi="Times New Roman" w:eastAsia="宋体" w:cs="Times New Roman"/>
                <w:b/>
                <w:bCs/>
                <w:color w:val="auto"/>
                <w:spacing w:val="0"/>
                <w:w w:val="100"/>
                <w:kern w:val="21"/>
                <w:sz w:val="21"/>
                <w:szCs w:val="21"/>
                <w:highlight w:val="none"/>
                <w:lang w:eastAsia="zh-CN"/>
              </w:rPr>
              <w:t>工艺流程简述：</w:t>
            </w:r>
          </w:p>
          <w:p w14:paraId="5FE2B1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highlight w:val="none"/>
                <w:lang w:val="en-US" w:eastAsia="zh-CN"/>
              </w:rPr>
              <w:t>净水厂</w:t>
            </w:r>
            <w:r>
              <w:rPr>
                <w:rFonts w:hint="default" w:ascii="Times New Roman" w:hAnsi="Times New Roman" w:eastAsia="宋体" w:cs="Times New Roman"/>
                <w:color w:val="auto"/>
                <w:spacing w:val="0"/>
                <w:sz w:val="21"/>
                <w:szCs w:val="21"/>
              </w:rPr>
              <w:t>原水经取水泵房提升后送至厂区内的配水井稳压，经加碱式氯化铝和活化硅酸 后进入折板絮凝池，斜板沉淀池和V型滤池净化后加氯消毒进入清水池泵入市政给水管网。</w:t>
            </w:r>
            <w:r>
              <w:rPr>
                <w:rFonts w:hint="eastAsia" w:ascii="Times New Roman" w:hAnsi="Times New Roman" w:eastAsia="宋体" w:cs="Times New Roman"/>
                <w:color w:val="auto"/>
                <w:spacing w:val="0"/>
                <w:sz w:val="21"/>
                <w:szCs w:val="21"/>
                <w:lang w:val="en-US" w:eastAsia="zh-CN"/>
              </w:rPr>
              <w:t xml:space="preserve"> </w:t>
            </w:r>
          </w:p>
          <w:p w14:paraId="25666C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b w:val="0"/>
                <w:bCs w:val="0"/>
                <w:color w:val="auto"/>
                <w:spacing w:val="0"/>
                <w:w w:val="100"/>
                <w:kern w:val="21"/>
                <w:sz w:val="21"/>
                <w:szCs w:val="21"/>
                <w:highlight w:val="none"/>
                <w:lang w:val="en-US" w:eastAsia="zh-CN"/>
              </w:rPr>
            </w:pPr>
            <w:r>
              <w:rPr>
                <w:rFonts w:hint="default" w:ascii="Times New Roman" w:hAnsi="Times New Roman" w:eastAsia="宋体" w:cs="Times New Roman"/>
                <w:color w:val="auto"/>
                <w:spacing w:val="0"/>
                <w:sz w:val="21"/>
                <w:szCs w:val="21"/>
              </w:rPr>
              <w:t>本项目采用容压一体化污泥深度脱水技术，</w:t>
            </w:r>
            <w:r>
              <w:rPr>
                <w:rFonts w:hint="default" w:ascii="Times New Roman" w:hAnsi="Times New Roman" w:eastAsia="宋体" w:cs="Times New Roman"/>
                <w:color w:val="auto"/>
                <w:spacing w:val="0"/>
                <w:sz w:val="21"/>
                <w:szCs w:val="21"/>
                <w:highlight w:val="none"/>
                <w:lang w:val="en-US" w:eastAsia="zh-CN"/>
              </w:rPr>
              <w:t>沉淀过程中产生的排泥水进入排泥池，</w:t>
            </w:r>
            <w:r>
              <w:rPr>
                <w:rFonts w:hint="default" w:ascii="Times New Roman" w:hAnsi="Times New Roman" w:eastAsia="宋体" w:cs="Times New Roman"/>
                <w:color w:val="auto"/>
                <w:spacing w:val="0"/>
                <w:sz w:val="21"/>
                <w:szCs w:val="21"/>
              </w:rPr>
              <w:t>将原生污泥</w:t>
            </w: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lang w:val="en-US" w:eastAsia="zh-CN"/>
              </w:rPr>
              <w:t>含水率为99%</w:t>
            </w: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经叠螺式污泥浓缩系统浓缩后，在污泥反应罐中与三氯化铁调理剂、固化剂快速有效地混合均匀，使出料污泥达到改性要求，改性后的污泥再用高压泵送至</w:t>
            </w:r>
            <w:r>
              <w:rPr>
                <w:rFonts w:hint="default" w:ascii="Times New Roman" w:hAnsi="Times New Roman" w:eastAsia="宋体" w:cs="Times New Roman"/>
                <w:color w:val="auto"/>
                <w:spacing w:val="0"/>
                <w:sz w:val="21"/>
                <w:szCs w:val="21"/>
                <w:highlight w:val="none"/>
                <w:lang w:val="en-US" w:eastAsia="zh-CN"/>
              </w:rPr>
              <w:t>高压隔膜压滤机</w:t>
            </w:r>
            <w:r>
              <w:rPr>
                <w:rFonts w:hint="default" w:ascii="Times New Roman" w:hAnsi="Times New Roman" w:eastAsia="宋体" w:cs="Times New Roman"/>
                <w:color w:val="auto"/>
                <w:spacing w:val="0"/>
                <w:sz w:val="21"/>
                <w:szCs w:val="21"/>
              </w:rPr>
              <w:t>，由高压油泵提供强压压缩滤板之间空隙内的污泥，使滤板之间空隙内的污泥再次压滤，得到含水率为60%以下的块状泥饼。</w:t>
            </w:r>
            <w:r>
              <w:rPr>
                <w:rFonts w:hint="default" w:ascii="Times New Roman" w:hAnsi="Times New Roman" w:eastAsia="宋体" w:cs="Times New Roman"/>
                <w:color w:val="auto"/>
                <w:spacing w:val="0"/>
                <w:sz w:val="21"/>
                <w:szCs w:val="21"/>
                <w:lang w:val="en-US" w:eastAsia="zh-CN"/>
              </w:rPr>
              <w:t>污泥</w:t>
            </w:r>
            <w:r>
              <w:rPr>
                <w:rFonts w:hint="default" w:ascii="Times New Roman" w:hAnsi="Times New Roman" w:eastAsia="宋体" w:cs="Times New Roman"/>
                <w:b w:val="0"/>
                <w:bCs w:val="0"/>
                <w:color w:val="auto"/>
                <w:spacing w:val="0"/>
                <w:w w:val="100"/>
                <w:sz w:val="21"/>
                <w:szCs w:val="21"/>
                <w:highlight w:val="none"/>
                <w:lang w:val="en-US" w:eastAsia="zh-CN"/>
              </w:rPr>
              <w:t>暂存污泥暂存库内，定期</w:t>
            </w:r>
            <w:r>
              <w:rPr>
                <w:rFonts w:hint="default" w:ascii="Times New Roman" w:hAnsi="Times New Roman" w:eastAsia="宋体" w:cs="Times New Roman"/>
                <w:color w:val="auto"/>
                <w:spacing w:val="0"/>
                <w:sz w:val="21"/>
                <w:szCs w:val="21"/>
                <w:highlight w:val="none"/>
                <w:lang w:val="en-US" w:eastAsia="zh-CN"/>
              </w:rPr>
              <w:t>外运委托有资质单位处理</w:t>
            </w:r>
            <w:r>
              <w:rPr>
                <w:rFonts w:hint="default" w:ascii="Times New Roman" w:hAnsi="Times New Roman" w:eastAsia="宋体" w:cs="Times New Roman"/>
                <w:color w:val="auto"/>
                <w:spacing w:val="0"/>
                <w:sz w:val="21"/>
                <w:szCs w:val="21"/>
                <w:highlight w:val="none"/>
                <w:lang w:val="en-US" w:eastAsia="zh-CN"/>
              </w:rPr>
              <w:t>。</w:t>
            </w:r>
            <w:r>
              <w:rPr>
                <w:rFonts w:hint="default" w:ascii="Times New Roman" w:hAnsi="Times New Roman" w:eastAsia="宋体" w:cs="Times New Roman"/>
                <w:bCs/>
                <w:color w:val="auto"/>
                <w:spacing w:val="0"/>
                <w:kern w:val="0"/>
                <w:sz w:val="21"/>
                <w:szCs w:val="21"/>
                <w:highlight w:val="none"/>
                <w:lang w:val="en-US" w:eastAsia="zh-CN"/>
              </w:rPr>
              <w:t>反冲洗废水</w:t>
            </w:r>
            <w:r>
              <w:rPr>
                <w:rFonts w:hint="default" w:ascii="Times New Roman" w:hAnsi="Times New Roman" w:eastAsia="宋体" w:cs="Times New Roman"/>
                <w:color w:val="auto"/>
                <w:spacing w:val="0"/>
                <w:sz w:val="21"/>
                <w:szCs w:val="21"/>
                <w:highlight w:val="none"/>
                <w:lang w:eastAsia="zh-CN"/>
              </w:rPr>
              <w:t>回收</w:t>
            </w:r>
            <w:r>
              <w:rPr>
                <w:rFonts w:hint="default" w:ascii="Times New Roman" w:hAnsi="Times New Roman" w:eastAsia="宋体" w:cs="Times New Roman"/>
                <w:color w:val="auto"/>
                <w:spacing w:val="0"/>
                <w:sz w:val="21"/>
                <w:szCs w:val="21"/>
                <w:highlight w:val="none"/>
                <w:lang w:val="en-US" w:eastAsia="zh-CN"/>
              </w:rPr>
              <w:t>排入</w:t>
            </w:r>
            <w:r>
              <w:rPr>
                <w:rFonts w:hint="default" w:ascii="Times New Roman" w:hAnsi="Times New Roman" w:eastAsia="宋体" w:cs="Times New Roman"/>
                <w:color w:val="auto"/>
                <w:spacing w:val="0"/>
                <w:sz w:val="21"/>
                <w:szCs w:val="21"/>
                <w:highlight w:val="none"/>
                <w:lang w:eastAsia="zh-CN"/>
              </w:rPr>
              <w:t>配水</w:t>
            </w:r>
            <w:r>
              <w:rPr>
                <w:rFonts w:hint="default" w:ascii="Times New Roman" w:hAnsi="Times New Roman" w:eastAsia="宋体" w:cs="Times New Roman"/>
                <w:color w:val="auto"/>
                <w:spacing w:val="0"/>
                <w:sz w:val="21"/>
                <w:szCs w:val="21"/>
                <w:highlight w:val="none"/>
                <w:lang w:val="en-US" w:eastAsia="zh-CN"/>
              </w:rPr>
              <w:t>井</w:t>
            </w:r>
            <w:r>
              <w:rPr>
                <w:rFonts w:hint="default" w:ascii="Times New Roman" w:hAnsi="Times New Roman" w:eastAsia="宋体" w:cs="Times New Roman"/>
                <w:color w:val="auto"/>
                <w:spacing w:val="0"/>
                <w:sz w:val="21"/>
                <w:szCs w:val="21"/>
                <w:highlight w:val="none"/>
                <w:lang w:eastAsia="zh-CN"/>
              </w:rPr>
              <w:t>与原水混合回用，不外排，</w:t>
            </w:r>
            <w:r>
              <w:rPr>
                <w:rFonts w:hint="default" w:ascii="Times New Roman" w:hAnsi="Times New Roman" w:eastAsia="宋体" w:cs="Times New Roman"/>
                <w:color w:val="auto"/>
                <w:spacing w:val="0"/>
                <w:sz w:val="21"/>
                <w:szCs w:val="21"/>
                <w:highlight w:val="none"/>
                <w:lang w:val="en-US" w:eastAsia="zh-CN"/>
              </w:rPr>
              <w:t>排泥水上清液</w:t>
            </w:r>
            <w:r>
              <w:rPr>
                <w:rFonts w:hint="default" w:ascii="Times New Roman" w:hAnsi="Times New Roman" w:eastAsia="宋体" w:cs="Times New Roman"/>
                <w:color w:val="auto"/>
                <w:spacing w:val="0"/>
                <w:kern w:val="21"/>
                <w:sz w:val="21"/>
                <w:szCs w:val="21"/>
                <w:highlight w:val="none"/>
                <w:lang w:val="en-US" w:eastAsia="zh-CN"/>
              </w:rPr>
              <w:t>满足</w:t>
            </w:r>
            <w:r>
              <w:rPr>
                <w:rFonts w:hint="default" w:ascii="Times New Roman" w:hAnsi="Times New Roman" w:eastAsia="宋体" w:cs="Times New Roman"/>
                <w:color w:val="auto"/>
                <w:spacing w:val="0"/>
                <w:sz w:val="21"/>
                <w:szCs w:val="21"/>
                <w:highlight w:val="none"/>
                <w:lang w:val="en-US" w:eastAsia="zh-CN"/>
              </w:rPr>
              <w:t>《地表水环境质量标准》（GB3838-2002）表1中三类标准、悬浮物满足《污水综合排放标准》（GB8978-1996）一级标准后，排入红光沟流入穆棱河。</w:t>
            </w:r>
          </w:p>
          <w:p w14:paraId="039C38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b/>
                <w:bCs/>
                <w:color w:val="auto"/>
                <w:kern w:val="0"/>
                <w:sz w:val="21"/>
                <w:highlight w:val="none"/>
                <w:lang w:val="en-US" w:eastAsia="zh-CN"/>
              </w:rPr>
            </w:pPr>
            <w:r>
              <w:rPr>
                <w:rFonts w:hint="default"/>
                <w:b/>
                <w:bCs/>
                <w:color w:val="auto"/>
                <w:kern w:val="0"/>
                <w:sz w:val="21"/>
                <w:highlight w:val="none"/>
                <w:lang w:val="en-US" w:eastAsia="zh-CN"/>
              </w:rPr>
              <w:t>生产过程中产污如下：</w:t>
            </w:r>
          </w:p>
          <w:p w14:paraId="63B1A3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eastAsia="宋体" w:cs="宋体"/>
                <w:bCs/>
                <w:color w:val="auto"/>
                <w:kern w:val="0"/>
                <w:sz w:val="21"/>
                <w:szCs w:val="21"/>
                <w:highlight w:val="none"/>
                <w:lang w:val="en-US" w:eastAsia="zh-CN"/>
              </w:rPr>
            </w:pPr>
            <w:r>
              <w:rPr>
                <w:rFonts w:hint="default"/>
                <w:color w:val="auto"/>
                <w:kern w:val="0"/>
                <w:sz w:val="21"/>
                <w:highlight w:val="none"/>
              </w:rPr>
              <w:t>废气：</w:t>
            </w:r>
            <w:r>
              <w:rPr>
                <w:rFonts w:hint="eastAsia"/>
                <w:color w:val="auto"/>
                <w:kern w:val="0"/>
                <w:sz w:val="21"/>
                <w:highlight w:val="none"/>
                <w:lang w:val="en-US" w:eastAsia="zh-CN"/>
              </w:rPr>
              <w:t>净水厂</w:t>
            </w:r>
            <w:r>
              <w:rPr>
                <w:rFonts w:hint="default"/>
                <w:color w:val="auto"/>
                <w:kern w:val="0"/>
                <w:sz w:val="21"/>
                <w:highlight w:val="none"/>
              </w:rPr>
              <w:t>废气</w:t>
            </w:r>
            <w:r>
              <w:rPr>
                <w:rFonts w:hint="eastAsia"/>
                <w:color w:val="auto"/>
                <w:kern w:val="0"/>
                <w:sz w:val="21"/>
                <w:highlight w:val="none"/>
                <w:lang w:val="en-US" w:eastAsia="zh-CN"/>
              </w:rPr>
              <w:t>主要为污泥脱水间产生的少量恶臭气体、加氯间产生少量氯气、食堂油烟。</w:t>
            </w:r>
          </w:p>
          <w:p w14:paraId="1F1A75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bCs/>
                <w:color w:val="auto"/>
                <w:kern w:val="0"/>
                <w:sz w:val="21"/>
                <w:szCs w:val="21"/>
                <w:highlight w:val="none"/>
                <w:lang w:val="en-US" w:eastAsia="zh-CN"/>
              </w:rPr>
            </w:pPr>
            <w:r>
              <w:rPr>
                <w:rFonts w:hint="default"/>
                <w:color w:val="auto"/>
                <w:kern w:val="0"/>
                <w:sz w:val="21"/>
                <w:highlight w:val="none"/>
                <w:lang w:val="en-US" w:eastAsia="zh-CN"/>
              </w:rPr>
              <w:t>废水：</w:t>
            </w:r>
            <w:r>
              <w:rPr>
                <w:rFonts w:hint="eastAsia"/>
                <w:color w:val="auto"/>
                <w:kern w:val="0"/>
                <w:sz w:val="21"/>
                <w:highlight w:val="none"/>
                <w:lang w:val="en-US" w:eastAsia="zh-CN"/>
              </w:rPr>
              <w:t>净水厂</w:t>
            </w:r>
            <w:r>
              <w:rPr>
                <w:rFonts w:hint="default"/>
                <w:color w:val="auto"/>
                <w:kern w:val="0"/>
                <w:sz w:val="21"/>
                <w:highlight w:val="none"/>
                <w:lang w:val="en-US" w:eastAsia="zh-CN"/>
              </w:rPr>
              <w:t>废水为</w:t>
            </w:r>
            <w:r>
              <w:rPr>
                <w:rFonts w:hint="eastAsia"/>
                <w:color w:val="auto"/>
                <w:kern w:val="0"/>
                <w:sz w:val="21"/>
                <w:highlight w:val="none"/>
                <w:lang w:val="en-US" w:eastAsia="zh-CN"/>
              </w:rPr>
              <w:t>生活污水、</w:t>
            </w:r>
            <w:r>
              <w:rPr>
                <w:rFonts w:hint="eastAsia" w:cs="Times New Roman"/>
                <w:color w:val="auto"/>
                <w:spacing w:val="0"/>
                <w:kern w:val="0"/>
                <w:sz w:val="21"/>
                <w:szCs w:val="21"/>
                <w:highlight w:val="none"/>
                <w:lang w:val="en-US" w:eastAsia="zh-CN"/>
              </w:rPr>
              <w:t>滤池反冲洗废水、排泥水。</w:t>
            </w:r>
          </w:p>
          <w:p w14:paraId="3B7CEB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eastAsia="宋体"/>
                <w:color w:val="auto"/>
                <w:kern w:val="0"/>
                <w:sz w:val="21"/>
                <w:highlight w:val="none"/>
                <w:lang w:eastAsia="zh-CN"/>
              </w:rPr>
            </w:pPr>
            <w:r>
              <w:rPr>
                <w:rFonts w:hint="default"/>
                <w:color w:val="auto"/>
                <w:kern w:val="0"/>
                <w:sz w:val="21"/>
                <w:highlight w:val="none"/>
              </w:rPr>
              <w:t>噪声：</w:t>
            </w:r>
            <w:r>
              <w:rPr>
                <w:rFonts w:hint="eastAsia"/>
                <w:color w:val="auto"/>
                <w:kern w:val="0"/>
                <w:sz w:val="21"/>
                <w:highlight w:val="none"/>
                <w:lang w:val="en-US" w:eastAsia="zh-CN"/>
              </w:rPr>
              <w:t>净水厂</w:t>
            </w:r>
            <w:r>
              <w:rPr>
                <w:rFonts w:hint="default"/>
                <w:color w:val="auto"/>
                <w:kern w:val="0"/>
                <w:sz w:val="21"/>
                <w:highlight w:val="none"/>
              </w:rPr>
              <w:t>噪声主要来自生产设备运行时产生的噪声</w:t>
            </w:r>
            <w:r>
              <w:rPr>
                <w:rFonts w:hint="eastAsia"/>
                <w:color w:val="auto"/>
                <w:kern w:val="0"/>
                <w:sz w:val="21"/>
                <w:highlight w:val="none"/>
                <w:lang w:eastAsia="zh-CN"/>
              </w:rPr>
              <w:t>。</w:t>
            </w:r>
          </w:p>
          <w:p w14:paraId="683D6F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kern w:val="0"/>
                <w:sz w:val="21"/>
                <w:szCs w:val="21"/>
                <w:highlight w:val="none"/>
                <w:lang w:val="en-US"/>
              </w:rPr>
            </w:pPr>
            <w:r>
              <w:rPr>
                <w:rFonts w:hint="default"/>
                <w:color w:val="auto"/>
                <w:kern w:val="0"/>
                <w:sz w:val="21"/>
                <w:highlight w:val="none"/>
              </w:rPr>
              <w:t>固废：</w:t>
            </w:r>
            <w:r>
              <w:rPr>
                <w:rFonts w:hint="eastAsia"/>
                <w:color w:val="auto"/>
                <w:kern w:val="0"/>
                <w:sz w:val="21"/>
                <w:highlight w:val="none"/>
                <w:lang w:val="en-US" w:eastAsia="zh-CN"/>
              </w:rPr>
              <w:t>净水厂</w:t>
            </w:r>
            <w:r>
              <w:rPr>
                <w:rFonts w:hint="default"/>
                <w:color w:val="auto"/>
                <w:kern w:val="0"/>
                <w:sz w:val="21"/>
                <w:highlight w:val="none"/>
              </w:rPr>
              <w:t>固废主</w:t>
            </w:r>
            <w:r>
              <w:rPr>
                <w:rFonts w:hint="default"/>
                <w:color w:val="auto"/>
                <w:kern w:val="0"/>
                <w:sz w:val="21"/>
                <w:szCs w:val="21"/>
                <w:highlight w:val="none"/>
              </w:rPr>
              <w:t>要为</w:t>
            </w:r>
            <w:r>
              <w:rPr>
                <w:rFonts w:hint="eastAsia" w:ascii="宋体" w:hAnsi="宋体" w:cs="宋体"/>
                <w:color w:val="auto"/>
                <w:kern w:val="0"/>
                <w:sz w:val="21"/>
                <w:szCs w:val="21"/>
                <w:highlight w:val="none"/>
              </w:rPr>
              <w:t>生活垃圾</w:t>
            </w:r>
            <w:r>
              <w:rPr>
                <w:rFonts w:hint="eastAsia" w:ascii="宋体" w:hAnsi="宋体" w:cs="宋体"/>
                <w:color w:val="auto"/>
                <w:kern w:val="0"/>
                <w:sz w:val="21"/>
                <w:szCs w:val="21"/>
                <w:highlight w:val="none"/>
                <w:lang w:val="en-US" w:eastAsia="zh-CN"/>
              </w:rPr>
              <w:t>、污泥。</w:t>
            </w:r>
          </w:p>
          <w:p w14:paraId="6915C0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spacing w:val="0"/>
                <w:kern w:val="0"/>
                <w:sz w:val="21"/>
                <w:szCs w:val="21"/>
                <w:highlight w:val="none"/>
                <w:lang w:val="en-US" w:eastAsia="zh-CN"/>
              </w:rPr>
            </w:pPr>
            <w:r>
              <w:rPr>
                <w:rFonts w:hint="default" w:ascii="Times New Roman" w:hAnsi="Times New Roman" w:eastAsia="宋体" w:cs="Times New Roman"/>
                <w:color w:val="auto"/>
                <w:spacing w:val="0"/>
                <w:kern w:val="0"/>
                <w:sz w:val="21"/>
                <w:szCs w:val="21"/>
                <w:highlight w:val="none"/>
                <w:lang w:val="en-US" w:eastAsia="zh-CN"/>
              </w:rPr>
              <w:t>本项目运营期工程主要排污节点见表</w:t>
            </w:r>
            <w:r>
              <w:rPr>
                <w:rFonts w:hint="eastAsia" w:ascii="Times New Roman" w:hAnsi="Times New Roman" w:eastAsia="宋体" w:cs="Times New Roman"/>
                <w:color w:val="auto"/>
                <w:spacing w:val="0"/>
                <w:kern w:val="0"/>
                <w:sz w:val="21"/>
                <w:szCs w:val="21"/>
                <w:highlight w:val="none"/>
                <w:lang w:val="en-US" w:eastAsia="zh-CN"/>
              </w:rPr>
              <w:t>2</w:t>
            </w:r>
            <w:r>
              <w:rPr>
                <w:rFonts w:hint="default" w:ascii="Times New Roman" w:hAnsi="Times New Roman" w:eastAsia="宋体" w:cs="Times New Roman"/>
                <w:color w:val="auto"/>
                <w:spacing w:val="0"/>
                <w:kern w:val="0"/>
                <w:sz w:val="21"/>
                <w:szCs w:val="21"/>
                <w:highlight w:val="none"/>
                <w:lang w:val="en-US" w:eastAsia="zh-CN"/>
              </w:rPr>
              <w:t>-</w:t>
            </w:r>
            <w:r>
              <w:rPr>
                <w:rFonts w:hint="eastAsia" w:cs="Times New Roman"/>
                <w:color w:val="auto"/>
                <w:spacing w:val="0"/>
                <w:kern w:val="0"/>
                <w:sz w:val="21"/>
                <w:szCs w:val="21"/>
                <w:highlight w:val="none"/>
                <w:lang w:val="en-US" w:eastAsia="zh-CN"/>
              </w:rPr>
              <w:t>6</w:t>
            </w:r>
            <w:r>
              <w:rPr>
                <w:rFonts w:hint="default" w:ascii="Times New Roman" w:hAnsi="Times New Roman" w:eastAsia="宋体" w:cs="Times New Roman"/>
                <w:color w:val="auto"/>
                <w:spacing w:val="0"/>
                <w:kern w:val="0"/>
                <w:sz w:val="21"/>
                <w:szCs w:val="21"/>
                <w:highlight w:val="none"/>
                <w:lang w:val="en-US" w:eastAsia="zh-CN"/>
              </w:rPr>
              <w:t>。</w:t>
            </w:r>
          </w:p>
          <w:p w14:paraId="1328D1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0"/>
                <w:sz w:val="21"/>
                <w:szCs w:val="21"/>
                <w:highlight w:val="none"/>
                <w:lang w:val="en-US" w:eastAsia="zh-CN" w:bidi="ar-SA"/>
              </w:rPr>
            </w:pPr>
            <w:r>
              <w:rPr>
                <w:rFonts w:hint="default" w:ascii="Times New Roman" w:hAnsi="Times New Roman" w:eastAsia="宋体" w:cs="Times New Roman"/>
                <w:b/>
                <w:bCs/>
                <w:color w:val="auto"/>
                <w:spacing w:val="0"/>
                <w:kern w:val="0"/>
                <w:sz w:val="21"/>
                <w:szCs w:val="21"/>
                <w:highlight w:val="none"/>
                <w:lang w:val="en-US" w:eastAsia="zh-CN" w:bidi="ar-SA"/>
              </w:rPr>
              <w:t>表</w:t>
            </w:r>
            <w:r>
              <w:rPr>
                <w:rFonts w:hint="eastAsia" w:ascii="Times New Roman" w:hAnsi="Times New Roman" w:eastAsia="宋体" w:cs="Times New Roman"/>
                <w:b/>
                <w:bCs/>
                <w:color w:val="auto"/>
                <w:spacing w:val="0"/>
                <w:kern w:val="0"/>
                <w:sz w:val="21"/>
                <w:szCs w:val="21"/>
                <w:highlight w:val="none"/>
                <w:lang w:val="en-US" w:eastAsia="zh-CN" w:bidi="ar-SA"/>
              </w:rPr>
              <w:t>2</w:t>
            </w:r>
            <w:r>
              <w:rPr>
                <w:rFonts w:hint="default" w:ascii="Times New Roman" w:hAnsi="Times New Roman" w:eastAsia="宋体" w:cs="Times New Roman"/>
                <w:b/>
                <w:bCs/>
                <w:color w:val="auto"/>
                <w:spacing w:val="0"/>
                <w:kern w:val="0"/>
                <w:sz w:val="21"/>
                <w:szCs w:val="21"/>
                <w:highlight w:val="none"/>
                <w:lang w:val="en-US" w:eastAsia="zh-CN" w:bidi="ar-SA"/>
              </w:rPr>
              <w:t>-</w:t>
            </w:r>
            <w:r>
              <w:rPr>
                <w:rFonts w:hint="eastAsia" w:cs="Times New Roman"/>
                <w:b/>
                <w:bCs/>
                <w:color w:val="auto"/>
                <w:spacing w:val="0"/>
                <w:kern w:val="0"/>
                <w:sz w:val="21"/>
                <w:szCs w:val="21"/>
                <w:highlight w:val="none"/>
                <w:lang w:val="en-US" w:eastAsia="zh-CN" w:bidi="ar-SA"/>
              </w:rPr>
              <w:t>6</w:t>
            </w:r>
            <w:r>
              <w:rPr>
                <w:rFonts w:hint="default" w:ascii="Times New Roman" w:hAnsi="Times New Roman" w:eastAsia="宋体" w:cs="Times New Roman"/>
                <w:b/>
                <w:bCs/>
                <w:color w:val="auto"/>
                <w:spacing w:val="0"/>
                <w:kern w:val="0"/>
                <w:sz w:val="21"/>
                <w:szCs w:val="21"/>
                <w:highlight w:val="none"/>
                <w:lang w:val="en-US" w:eastAsia="zh-CN" w:bidi="ar-SA"/>
              </w:rPr>
              <w:t>本项目</w:t>
            </w:r>
            <w:r>
              <w:rPr>
                <w:rFonts w:hint="eastAsia" w:cs="Times New Roman"/>
                <w:b/>
                <w:bCs/>
                <w:color w:val="auto"/>
                <w:spacing w:val="0"/>
                <w:kern w:val="0"/>
                <w:sz w:val="21"/>
                <w:szCs w:val="21"/>
                <w:highlight w:val="none"/>
                <w:lang w:val="en-US" w:eastAsia="zh-CN" w:bidi="ar-SA"/>
              </w:rPr>
              <w:t>建成后全厂</w:t>
            </w:r>
            <w:r>
              <w:rPr>
                <w:rFonts w:hint="default" w:ascii="Times New Roman" w:hAnsi="Times New Roman" w:eastAsia="宋体" w:cs="Times New Roman"/>
                <w:b/>
                <w:bCs/>
                <w:color w:val="auto"/>
                <w:spacing w:val="0"/>
                <w:kern w:val="0"/>
                <w:sz w:val="21"/>
                <w:szCs w:val="21"/>
                <w:highlight w:val="none"/>
                <w:lang w:val="en-US" w:eastAsia="zh-CN" w:bidi="ar-SA"/>
              </w:rPr>
              <w:t>运营期工程主要排污节点一览表</w:t>
            </w:r>
          </w:p>
          <w:tbl>
            <w:tblPr>
              <w:tblStyle w:val="35"/>
              <w:tblW w:w="4998"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070"/>
              <w:gridCol w:w="1290"/>
              <w:gridCol w:w="1000"/>
              <w:gridCol w:w="4244"/>
            </w:tblGrid>
            <w:tr w14:paraId="780A46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dxa"/>
                  <w:tcBorders>
                    <w:tl2br w:val="nil"/>
                    <w:tr2bl w:val="nil"/>
                  </w:tcBorders>
                  <w:noWrap w:val="0"/>
                  <w:vAlign w:val="center"/>
                </w:tcPr>
                <w:p w14:paraId="04F7F3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r>
                    <w:rPr>
                      <w:rFonts w:hint="default" w:ascii="Times New Roman" w:hAnsi="Times New Roman" w:eastAsia="宋体" w:cs="Times New Roman"/>
                      <w:color w:val="auto"/>
                      <w:spacing w:val="0"/>
                      <w:sz w:val="18"/>
                      <w:szCs w:val="18"/>
                      <w:highlight w:val="none"/>
                    </w:rPr>
                    <w:t>项目</w:t>
                  </w:r>
                </w:p>
              </w:tc>
              <w:tc>
                <w:tcPr>
                  <w:tcW w:w="1070" w:type="dxa"/>
                  <w:tcBorders>
                    <w:tl2br w:val="nil"/>
                    <w:tr2bl w:val="nil"/>
                  </w:tcBorders>
                  <w:noWrap w:val="0"/>
                  <w:vAlign w:val="center"/>
                </w:tcPr>
                <w:p w14:paraId="075854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r>
                    <w:rPr>
                      <w:rFonts w:hint="default" w:ascii="Times New Roman" w:hAnsi="Times New Roman" w:eastAsia="宋体" w:cs="Times New Roman"/>
                      <w:color w:val="auto"/>
                      <w:spacing w:val="0"/>
                      <w:sz w:val="18"/>
                      <w:szCs w:val="18"/>
                      <w:highlight w:val="none"/>
                    </w:rPr>
                    <w:t>污染源</w:t>
                  </w:r>
                </w:p>
              </w:tc>
              <w:tc>
                <w:tcPr>
                  <w:tcW w:w="1290" w:type="dxa"/>
                  <w:tcBorders>
                    <w:tl2br w:val="nil"/>
                    <w:tr2bl w:val="nil"/>
                  </w:tcBorders>
                  <w:noWrap w:val="0"/>
                  <w:vAlign w:val="center"/>
                </w:tcPr>
                <w:p w14:paraId="765DAD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r>
                    <w:rPr>
                      <w:rFonts w:hint="default" w:ascii="Times New Roman" w:hAnsi="Times New Roman" w:eastAsia="宋体" w:cs="Times New Roman"/>
                      <w:color w:val="auto"/>
                      <w:spacing w:val="0"/>
                      <w:sz w:val="18"/>
                      <w:szCs w:val="18"/>
                      <w:highlight w:val="none"/>
                    </w:rPr>
                    <w:t>污染物</w:t>
                  </w:r>
                </w:p>
              </w:tc>
              <w:tc>
                <w:tcPr>
                  <w:tcW w:w="1000" w:type="dxa"/>
                  <w:tcBorders>
                    <w:tl2br w:val="nil"/>
                    <w:tr2bl w:val="nil"/>
                  </w:tcBorders>
                  <w:noWrap w:val="0"/>
                  <w:vAlign w:val="center"/>
                </w:tcPr>
                <w:p w14:paraId="377AD8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r>
                    <w:rPr>
                      <w:rFonts w:hint="default" w:ascii="Times New Roman" w:hAnsi="Times New Roman" w:eastAsia="宋体" w:cs="Times New Roman"/>
                      <w:color w:val="auto"/>
                      <w:spacing w:val="0"/>
                      <w:sz w:val="18"/>
                      <w:szCs w:val="18"/>
                      <w:highlight w:val="none"/>
                    </w:rPr>
                    <w:t>排放特点</w:t>
                  </w:r>
                </w:p>
              </w:tc>
              <w:tc>
                <w:tcPr>
                  <w:tcW w:w="4244" w:type="dxa"/>
                  <w:tcBorders>
                    <w:tl2br w:val="nil"/>
                    <w:tr2bl w:val="nil"/>
                  </w:tcBorders>
                  <w:noWrap w:val="0"/>
                  <w:vAlign w:val="center"/>
                </w:tcPr>
                <w:p w14:paraId="6D7E8A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r>
                    <w:rPr>
                      <w:rFonts w:hint="default" w:ascii="Times New Roman" w:hAnsi="Times New Roman" w:eastAsia="宋体" w:cs="Times New Roman"/>
                      <w:color w:val="auto"/>
                      <w:spacing w:val="0"/>
                      <w:sz w:val="18"/>
                      <w:szCs w:val="18"/>
                      <w:highlight w:val="none"/>
                    </w:rPr>
                    <w:t>治理措施</w:t>
                  </w:r>
                </w:p>
              </w:tc>
            </w:tr>
            <w:tr w14:paraId="2E53198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dxa"/>
                  <w:vMerge w:val="restart"/>
                  <w:tcBorders>
                    <w:tl2br w:val="nil"/>
                    <w:tr2bl w:val="nil"/>
                  </w:tcBorders>
                  <w:noWrap w:val="0"/>
                  <w:vAlign w:val="center"/>
                </w:tcPr>
                <w:p w14:paraId="079170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r>
                    <w:rPr>
                      <w:rFonts w:hint="default" w:ascii="Times New Roman" w:hAnsi="Times New Roman" w:eastAsia="宋体" w:cs="Times New Roman"/>
                      <w:color w:val="auto"/>
                      <w:spacing w:val="0"/>
                      <w:sz w:val="18"/>
                      <w:szCs w:val="18"/>
                      <w:highlight w:val="none"/>
                    </w:rPr>
                    <w:t>废气</w:t>
                  </w:r>
                </w:p>
              </w:tc>
              <w:tc>
                <w:tcPr>
                  <w:tcW w:w="1070" w:type="dxa"/>
                  <w:tcBorders>
                    <w:tl2br w:val="nil"/>
                    <w:tr2bl w:val="nil"/>
                  </w:tcBorders>
                  <w:noWrap w:val="0"/>
                  <w:vAlign w:val="center"/>
                </w:tcPr>
                <w:p w14:paraId="5EDCD3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kern w:val="2"/>
                      <w:sz w:val="18"/>
                      <w:szCs w:val="18"/>
                      <w:highlight w:val="none"/>
                      <w:lang w:val="en-US" w:eastAsia="zh-CN" w:bidi="ar-SA"/>
                    </w:rPr>
                  </w:pPr>
                  <w:r>
                    <w:rPr>
                      <w:rFonts w:hint="eastAsia" w:ascii="宋体" w:hAnsi="宋体" w:cs="宋体"/>
                      <w:color w:val="auto"/>
                      <w:spacing w:val="0"/>
                      <w:sz w:val="18"/>
                      <w:szCs w:val="18"/>
                      <w:highlight w:val="none"/>
                      <w:lang w:val="en-US" w:eastAsia="zh-CN"/>
                    </w:rPr>
                    <w:t>生产废气</w:t>
                  </w:r>
                </w:p>
              </w:tc>
              <w:tc>
                <w:tcPr>
                  <w:tcW w:w="1290" w:type="dxa"/>
                  <w:tcBorders>
                    <w:tl2br w:val="nil"/>
                    <w:tr2bl w:val="nil"/>
                  </w:tcBorders>
                  <w:noWrap w:val="0"/>
                  <w:vAlign w:val="center"/>
                </w:tcPr>
                <w:p w14:paraId="58890C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氨、硫化氢、臭气浓度、氯气</w:t>
                  </w:r>
                </w:p>
              </w:tc>
              <w:tc>
                <w:tcPr>
                  <w:tcW w:w="1000" w:type="dxa"/>
                  <w:vMerge w:val="restart"/>
                  <w:tcBorders>
                    <w:tl2br w:val="nil"/>
                    <w:tr2bl w:val="nil"/>
                  </w:tcBorders>
                  <w:noWrap w:val="0"/>
                  <w:vAlign w:val="center"/>
                </w:tcPr>
                <w:p w14:paraId="52D05A27">
                  <w:pPr>
                    <w:keepNext w:val="0"/>
                    <w:keepLines w:val="0"/>
                    <w:pageBreakBefore w:val="0"/>
                    <w:widowControl/>
                    <w:suppressLineNumbers w:val="0"/>
                    <w:tabs>
                      <w:tab w:val="left" w:pos="5760"/>
                    </w:tabs>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lang w:val="en-US"/>
                    </w:rPr>
                  </w:pPr>
                  <w:r>
                    <w:rPr>
                      <w:rFonts w:hint="eastAsia" w:cs="Times New Roman"/>
                      <w:color w:val="auto"/>
                      <w:spacing w:val="0"/>
                      <w:sz w:val="18"/>
                      <w:szCs w:val="18"/>
                      <w:highlight w:val="none"/>
                      <w:lang w:val="en-US" w:eastAsia="zh-CN"/>
                    </w:rPr>
                    <w:t>连续</w:t>
                  </w:r>
                </w:p>
              </w:tc>
              <w:tc>
                <w:tcPr>
                  <w:tcW w:w="4244" w:type="dxa"/>
                  <w:tcBorders>
                    <w:tl2br w:val="nil"/>
                    <w:tr2bl w:val="nil"/>
                  </w:tcBorders>
                  <w:noWrap w:val="0"/>
                  <w:vAlign w:val="center"/>
                </w:tcPr>
                <w:p w14:paraId="7035EA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spacing w:val="0"/>
                      <w:kern w:val="0"/>
                      <w:sz w:val="18"/>
                      <w:szCs w:val="18"/>
                      <w:highlight w:val="none"/>
                      <w:lang w:val="en-US" w:eastAsia="zh-CN"/>
                    </w:rPr>
                  </w:pPr>
                  <w:r>
                    <w:rPr>
                      <w:rFonts w:hint="default" w:ascii="Times New Roman" w:hAnsi="Times New Roman" w:eastAsia="宋体" w:cs="Times New Roman"/>
                      <w:color w:val="auto"/>
                      <w:spacing w:val="0"/>
                      <w:sz w:val="18"/>
                      <w:szCs w:val="18"/>
                      <w:lang w:val="en-US" w:eastAsia="zh-CN"/>
                    </w:rPr>
                    <w:t>净</w:t>
                  </w:r>
                  <w:r>
                    <w:rPr>
                      <w:rFonts w:hint="default" w:ascii="Times New Roman" w:hAnsi="Times New Roman" w:eastAsia="宋体" w:cs="Times New Roman"/>
                      <w:color w:val="auto"/>
                      <w:spacing w:val="0"/>
                      <w:kern w:val="0"/>
                      <w:sz w:val="18"/>
                      <w:szCs w:val="18"/>
                    </w:rPr>
                    <w:t>水厂生产过程中不会排放生产废气，加氯间仅有少量游离的Cl产生；在污泥处理区的贮泥池、浓缩池、污泥浓缩脱水间</w:t>
                  </w:r>
                  <w:r>
                    <w:rPr>
                      <w:rFonts w:hint="eastAsia" w:cs="Times New Roman"/>
                      <w:color w:val="auto"/>
                      <w:spacing w:val="0"/>
                      <w:kern w:val="0"/>
                      <w:sz w:val="18"/>
                      <w:szCs w:val="18"/>
                      <w:lang w:eastAsia="zh-CN"/>
                    </w:rPr>
                    <w:t>、</w:t>
                  </w:r>
                  <w:r>
                    <w:rPr>
                      <w:rFonts w:hint="eastAsia" w:cs="Times New Roman"/>
                      <w:color w:val="auto"/>
                      <w:spacing w:val="0"/>
                      <w:kern w:val="0"/>
                      <w:sz w:val="18"/>
                      <w:szCs w:val="18"/>
                      <w:lang w:val="en-US" w:eastAsia="zh-CN"/>
                    </w:rPr>
                    <w:t>污泥暂存库</w:t>
                  </w:r>
                  <w:r>
                    <w:rPr>
                      <w:rFonts w:hint="default" w:ascii="Times New Roman" w:hAnsi="Times New Roman" w:eastAsia="宋体" w:cs="Times New Roman"/>
                      <w:color w:val="auto"/>
                      <w:spacing w:val="0"/>
                      <w:kern w:val="0"/>
                      <w:sz w:val="18"/>
                      <w:szCs w:val="18"/>
                    </w:rPr>
                    <w:t>等会产生轻微的臭味，因比较轻微，且本工程稳压配水间通风次数为2次/h</w:t>
                  </w:r>
                  <w:r>
                    <w:rPr>
                      <w:rFonts w:hint="default" w:ascii="Times New Roman" w:hAnsi="Times New Roman" w:eastAsia="宋体" w:cs="Times New Roman"/>
                      <w:color w:val="auto"/>
                      <w:spacing w:val="0"/>
                      <w:kern w:val="0"/>
                      <w:sz w:val="18"/>
                      <w:szCs w:val="18"/>
                      <w:lang w:eastAsia="zh-CN"/>
                    </w:rPr>
                    <w:t>，</w:t>
                  </w:r>
                  <w:r>
                    <w:rPr>
                      <w:rFonts w:hint="default" w:ascii="Times New Roman" w:hAnsi="Times New Roman" w:eastAsia="宋体" w:cs="Times New Roman"/>
                      <w:color w:val="auto"/>
                      <w:spacing w:val="0"/>
                      <w:kern w:val="0"/>
                      <w:sz w:val="18"/>
                      <w:szCs w:val="18"/>
                    </w:rPr>
                    <w:t>设置1台轴流通风机。滤池间通风次数为3次/h, 设置2台轴流通风机。加氯、加药间通风次数为8次h</w:t>
                  </w:r>
                  <w:r>
                    <w:rPr>
                      <w:rFonts w:hint="default" w:ascii="Times New Roman" w:hAnsi="Times New Roman" w:eastAsia="宋体" w:cs="Times New Roman"/>
                      <w:color w:val="auto"/>
                      <w:spacing w:val="0"/>
                      <w:kern w:val="0"/>
                      <w:sz w:val="18"/>
                      <w:szCs w:val="18"/>
                      <w:lang w:eastAsia="zh-CN"/>
                    </w:rPr>
                    <w:t>，</w:t>
                  </w:r>
                  <w:r>
                    <w:rPr>
                      <w:rFonts w:hint="default" w:ascii="Times New Roman" w:hAnsi="Times New Roman" w:eastAsia="宋体" w:cs="Times New Roman"/>
                      <w:color w:val="auto"/>
                      <w:spacing w:val="0"/>
                      <w:kern w:val="0"/>
                      <w:sz w:val="18"/>
                      <w:szCs w:val="18"/>
                    </w:rPr>
                    <w:t>设置6台轴流通风机。污泥脱水间</w:t>
                  </w:r>
                  <w:r>
                    <w:rPr>
                      <w:rFonts w:hint="eastAsia" w:cs="Times New Roman"/>
                      <w:color w:val="auto"/>
                      <w:spacing w:val="0"/>
                      <w:kern w:val="0"/>
                      <w:sz w:val="18"/>
                      <w:szCs w:val="18"/>
                      <w:lang w:eastAsia="zh-CN"/>
                    </w:rPr>
                    <w:t>（</w:t>
                  </w:r>
                  <w:r>
                    <w:rPr>
                      <w:rFonts w:hint="eastAsia" w:cs="Times New Roman"/>
                      <w:color w:val="auto"/>
                      <w:spacing w:val="0"/>
                      <w:kern w:val="0"/>
                      <w:sz w:val="18"/>
                      <w:szCs w:val="18"/>
                      <w:lang w:val="en-US" w:eastAsia="zh-CN"/>
                    </w:rPr>
                    <w:t>包括污泥暂存库</w:t>
                  </w:r>
                  <w:r>
                    <w:rPr>
                      <w:rFonts w:hint="eastAsia" w:cs="Times New Roman"/>
                      <w:color w:val="auto"/>
                      <w:spacing w:val="0"/>
                      <w:kern w:val="0"/>
                      <w:sz w:val="18"/>
                      <w:szCs w:val="18"/>
                      <w:lang w:eastAsia="zh-CN"/>
                    </w:rPr>
                    <w:t>）</w:t>
                  </w:r>
                  <w:r>
                    <w:rPr>
                      <w:rFonts w:hint="eastAsia" w:cs="Times New Roman"/>
                      <w:color w:val="auto"/>
                      <w:spacing w:val="0"/>
                      <w:kern w:val="0"/>
                      <w:sz w:val="18"/>
                      <w:szCs w:val="18"/>
                      <w:lang w:val="en-US" w:eastAsia="zh-CN"/>
                    </w:rPr>
                    <w:t>污泥暂存库</w:t>
                  </w:r>
                  <w:r>
                    <w:rPr>
                      <w:rFonts w:hint="default" w:ascii="Times New Roman" w:hAnsi="Times New Roman" w:eastAsia="宋体" w:cs="Times New Roman"/>
                      <w:color w:val="auto"/>
                      <w:spacing w:val="0"/>
                      <w:kern w:val="0"/>
                      <w:sz w:val="18"/>
                      <w:szCs w:val="18"/>
                    </w:rPr>
                    <w:t>通风次数为8次/h</w:t>
                  </w:r>
                  <w:r>
                    <w:rPr>
                      <w:rFonts w:hint="default" w:ascii="Times New Roman" w:hAnsi="Times New Roman" w:eastAsia="宋体" w:cs="Times New Roman"/>
                      <w:color w:val="auto"/>
                      <w:spacing w:val="0"/>
                      <w:kern w:val="0"/>
                      <w:sz w:val="18"/>
                      <w:szCs w:val="18"/>
                      <w:lang w:eastAsia="zh-CN"/>
                    </w:rPr>
                    <w:t>，</w:t>
                  </w:r>
                  <w:r>
                    <w:rPr>
                      <w:rFonts w:hint="default" w:ascii="Times New Roman" w:hAnsi="Times New Roman" w:eastAsia="宋体" w:cs="Times New Roman"/>
                      <w:color w:val="auto"/>
                      <w:spacing w:val="0"/>
                      <w:kern w:val="0"/>
                      <w:sz w:val="18"/>
                      <w:szCs w:val="18"/>
                    </w:rPr>
                    <w:t>设置5台轴流通风机。经上述措施，同时加强室内通风及厂区绿化</w:t>
                  </w:r>
                  <w:r>
                    <w:rPr>
                      <w:rFonts w:hint="default" w:ascii="Times New Roman" w:hAnsi="Times New Roman" w:eastAsia="宋体" w:cs="Times New Roman"/>
                      <w:color w:val="auto"/>
                      <w:spacing w:val="0"/>
                      <w:kern w:val="0"/>
                      <w:sz w:val="18"/>
                      <w:szCs w:val="18"/>
                      <w:lang w:val="en-US" w:eastAsia="zh-CN"/>
                    </w:rPr>
                    <w:t>隔离稀释</w:t>
                  </w:r>
                  <w:r>
                    <w:rPr>
                      <w:rFonts w:hint="default" w:ascii="Times New Roman" w:hAnsi="Times New Roman" w:eastAsia="宋体" w:cs="Times New Roman"/>
                      <w:color w:val="auto"/>
                      <w:spacing w:val="0"/>
                      <w:kern w:val="0"/>
                      <w:sz w:val="18"/>
                      <w:szCs w:val="18"/>
                    </w:rPr>
                    <w:t>，游离氯厂界浓度可满足《大气污染物综合排放标准》</w:t>
                  </w:r>
                  <w:r>
                    <w:rPr>
                      <w:rFonts w:hint="default" w:ascii="Times New Roman" w:hAnsi="Times New Roman" w:eastAsia="宋体" w:cs="Times New Roman"/>
                      <w:color w:val="auto"/>
                      <w:spacing w:val="0"/>
                      <w:kern w:val="0"/>
                      <w:sz w:val="18"/>
                      <w:szCs w:val="18"/>
                    </w:rPr>
                    <w:tab/>
                  </w:r>
                  <w:r>
                    <w:rPr>
                      <w:rFonts w:hint="default" w:ascii="Times New Roman" w:hAnsi="Times New Roman" w:eastAsia="宋体" w:cs="Times New Roman"/>
                      <w:color w:val="auto"/>
                      <w:spacing w:val="0"/>
                      <w:kern w:val="0"/>
                      <w:sz w:val="18"/>
                      <w:szCs w:val="18"/>
                    </w:rPr>
                    <w:t>(GB16297-1996</w:t>
                  </w:r>
                  <w:r>
                    <w:rPr>
                      <w:rFonts w:hint="eastAsia" w:ascii="Times New Roman" w:hAnsi="Times New Roman" w:eastAsia="宋体" w:cs="Times New Roman"/>
                      <w:color w:val="auto"/>
                      <w:spacing w:val="0"/>
                      <w:kern w:val="0"/>
                      <w:sz w:val="18"/>
                      <w:szCs w:val="18"/>
                      <w:lang w:eastAsia="zh-CN"/>
                    </w:rPr>
                    <w:t>）</w:t>
                  </w:r>
                  <w:r>
                    <w:rPr>
                      <w:rFonts w:hint="default" w:ascii="Times New Roman" w:hAnsi="Times New Roman" w:eastAsia="宋体" w:cs="Times New Roman"/>
                      <w:color w:val="auto"/>
                      <w:spacing w:val="0"/>
                      <w:kern w:val="0"/>
                      <w:sz w:val="18"/>
                      <w:szCs w:val="18"/>
                    </w:rPr>
                    <w:t>中无组织排放监控浓度限值要求</w:t>
                  </w:r>
                  <w:r>
                    <w:rPr>
                      <w:rFonts w:hint="default" w:ascii="Times New Roman" w:hAnsi="Times New Roman" w:eastAsia="宋体" w:cs="Times New Roman"/>
                      <w:color w:val="auto"/>
                      <w:spacing w:val="0"/>
                      <w:kern w:val="0"/>
                      <w:sz w:val="18"/>
                      <w:szCs w:val="18"/>
                      <w:lang w:eastAsia="zh-CN"/>
                    </w:rPr>
                    <w:t>，</w:t>
                  </w:r>
                  <w:r>
                    <w:rPr>
                      <w:rFonts w:hint="default" w:ascii="Times New Roman" w:hAnsi="Times New Roman" w:eastAsia="宋体" w:cs="Times New Roman"/>
                      <w:color w:val="auto"/>
                      <w:spacing w:val="0"/>
                      <w:kern w:val="0"/>
                      <w:sz w:val="18"/>
                      <w:szCs w:val="18"/>
                    </w:rPr>
                    <w:t>氨、硫化氢、臭气浓度满足《恶臭污染物排放标准》 (GB14554-93)  表一限值要求</w:t>
                  </w:r>
                  <w:r>
                    <w:rPr>
                      <w:rFonts w:hint="eastAsia" w:ascii="Times New Roman" w:hAnsi="Times New Roman" w:eastAsia="宋体" w:cs="Times New Roman"/>
                      <w:color w:val="auto"/>
                      <w:spacing w:val="0"/>
                      <w:kern w:val="0"/>
                      <w:sz w:val="18"/>
                      <w:szCs w:val="18"/>
                      <w:lang w:eastAsia="zh-CN"/>
                    </w:rPr>
                    <w:t>。</w:t>
                  </w:r>
                </w:p>
              </w:tc>
            </w:tr>
            <w:tr w14:paraId="1F776D4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dxa"/>
                  <w:vMerge w:val="continue"/>
                  <w:tcBorders>
                    <w:tl2br w:val="nil"/>
                    <w:tr2bl w:val="nil"/>
                  </w:tcBorders>
                  <w:noWrap w:val="0"/>
                  <w:vAlign w:val="center"/>
                </w:tcPr>
                <w:p w14:paraId="6180F1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p>
              </w:tc>
              <w:tc>
                <w:tcPr>
                  <w:tcW w:w="1070" w:type="dxa"/>
                  <w:tcBorders>
                    <w:tl2br w:val="nil"/>
                    <w:tr2bl w:val="nil"/>
                  </w:tcBorders>
                  <w:noWrap w:val="0"/>
                  <w:vAlign w:val="center"/>
                </w:tcPr>
                <w:p w14:paraId="2A2028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宋体" w:hAnsi="宋体" w:cs="宋体"/>
                      <w:color w:val="auto"/>
                      <w:spacing w:val="0"/>
                      <w:sz w:val="18"/>
                      <w:szCs w:val="18"/>
                      <w:highlight w:val="none"/>
                      <w:lang w:val="en-US" w:eastAsia="zh-CN"/>
                    </w:rPr>
                  </w:pPr>
                  <w:r>
                    <w:rPr>
                      <w:rFonts w:hint="eastAsia" w:ascii="宋体" w:hAnsi="宋体" w:cs="宋体"/>
                      <w:color w:val="auto"/>
                      <w:spacing w:val="0"/>
                      <w:sz w:val="18"/>
                      <w:szCs w:val="18"/>
                      <w:highlight w:val="none"/>
                      <w:lang w:val="en-US" w:eastAsia="zh-CN"/>
                    </w:rPr>
                    <w:t>食堂</w:t>
                  </w:r>
                </w:p>
              </w:tc>
              <w:tc>
                <w:tcPr>
                  <w:tcW w:w="1290" w:type="dxa"/>
                  <w:tcBorders>
                    <w:tl2br w:val="nil"/>
                    <w:tr2bl w:val="nil"/>
                  </w:tcBorders>
                  <w:noWrap w:val="0"/>
                  <w:vAlign w:val="center"/>
                </w:tcPr>
                <w:p w14:paraId="30A50C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油烟</w:t>
                  </w:r>
                </w:p>
              </w:tc>
              <w:tc>
                <w:tcPr>
                  <w:tcW w:w="1000" w:type="dxa"/>
                  <w:vMerge w:val="continue"/>
                  <w:tcBorders>
                    <w:tl2br w:val="nil"/>
                    <w:tr2bl w:val="nil"/>
                  </w:tcBorders>
                  <w:noWrap w:val="0"/>
                  <w:vAlign w:val="center"/>
                </w:tcPr>
                <w:p w14:paraId="6C91C881">
                  <w:pPr>
                    <w:keepNext w:val="0"/>
                    <w:keepLines w:val="0"/>
                    <w:pageBreakBefore w:val="0"/>
                    <w:widowControl/>
                    <w:suppressLineNumbers w:val="0"/>
                    <w:tabs>
                      <w:tab w:val="left" w:pos="5760"/>
                    </w:tabs>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p>
              </w:tc>
              <w:tc>
                <w:tcPr>
                  <w:tcW w:w="4244" w:type="dxa"/>
                  <w:tcBorders>
                    <w:tl2br w:val="nil"/>
                    <w:tr2bl w:val="nil"/>
                  </w:tcBorders>
                  <w:noWrap w:val="0"/>
                  <w:vAlign w:val="center"/>
                </w:tcPr>
                <w:p w14:paraId="751DEA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cs="宋体"/>
                      <w:color w:val="auto"/>
                      <w:spacing w:val="0"/>
                      <w:sz w:val="18"/>
                      <w:szCs w:val="18"/>
                      <w:highlight w:val="none"/>
                      <w:lang w:val="en-US" w:eastAsia="zh-CN"/>
                    </w:rPr>
                  </w:pPr>
                  <w:r>
                    <w:rPr>
                      <w:rFonts w:hint="default" w:ascii="Times New Roman" w:hAnsi="Times New Roman" w:eastAsia="宋体" w:cs="Times New Roman"/>
                      <w:color w:val="auto"/>
                      <w:spacing w:val="0"/>
                      <w:kern w:val="0"/>
                      <w:sz w:val="18"/>
                      <w:szCs w:val="18"/>
                      <w:lang w:val="en-US" w:eastAsia="zh-CN"/>
                    </w:rPr>
                    <w:t>食堂油烟经油烟净化器（处理效率75%）处理后</w:t>
                  </w:r>
                  <w:r>
                    <w:rPr>
                      <w:rFonts w:hint="default" w:ascii="Times New Roman" w:hAnsi="Times New Roman" w:eastAsia="宋体" w:cs="Times New Roman"/>
                      <w:color w:val="auto"/>
                      <w:spacing w:val="0"/>
                      <w:sz w:val="18"/>
                      <w:szCs w:val="18"/>
                    </w:rPr>
                    <w:t>由专用烟道高于楼顶排放</w:t>
                  </w:r>
                  <w:r>
                    <w:rPr>
                      <w:rFonts w:hint="default" w:ascii="Times New Roman" w:hAnsi="Times New Roman" w:eastAsia="宋体" w:cs="Times New Roman"/>
                      <w:color w:val="auto"/>
                      <w:spacing w:val="0"/>
                      <w:sz w:val="18"/>
                      <w:szCs w:val="18"/>
                      <w:lang w:eastAsia="zh-CN"/>
                    </w:rPr>
                    <w:t>，</w:t>
                  </w:r>
                  <w:r>
                    <w:rPr>
                      <w:rFonts w:hint="default" w:ascii="Times New Roman" w:hAnsi="Times New Roman" w:eastAsia="宋体" w:cs="Times New Roman"/>
                      <w:color w:val="auto"/>
                      <w:spacing w:val="0"/>
                      <w:sz w:val="18"/>
                      <w:szCs w:val="18"/>
                    </w:rPr>
                    <w:t>油烟排放</w:t>
                  </w:r>
                  <w:r>
                    <w:rPr>
                      <w:rFonts w:hint="default" w:ascii="Times New Roman" w:hAnsi="Times New Roman" w:eastAsia="宋体" w:cs="Times New Roman"/>
                      <w:color w:val="auto"/>
                      <w:spacing w:val="0"/>
                      <w:sz w:val="18"/>
                      <w:szCs w:val="18"/>
                      <w:lang w:val="en-US" w:eastAsia="zh-CN"/>
                    </w:rPr>
                    <w:t>满足</w:t>
                  </w:r>
                  <w:r>
                    <w:rPr>
                      <w:rFonts w:hint="default" w:ascii="Times New Roman" w:hAnsi="Times New Roman" w:eastAsia="宋体" w:cs="Times New Roman"/>
                      <w:color w:val="auto"/>
                      <w:spacing w:val="0"/>
                      <w:sz w:val="18"/>
                      <w:szCs w:val="18"/>
                    </w:rPr>
                    <w:t>《饮食业油烟排放标准》</w:t>
                  </w:r>
                  <w:r>
                    <w:rPr>
                      <w:rFonts w:hint="eastAsia" w:ascii="Times New Roman" w:hAnsi="Times New Roman" w:eastAsia="宋体" w:cs="Times New Roman"/>
                      <w:color w:val="auto"/>
                      <w:spacing w:val="0"/>
                      <w:sz w:val="18"/>
                      <w:szCs w:val="18"/>
                      <w:lang w:eastAsia="zh-CN"/>
                    </w:rPr>
                    <w:t>（</w:t>
                  </w:r>
                  <w:r>
                    <w:rPr>
                      <w:rFonts w:hint="default" w:ascii="Times New Roman" w:hAnsi="Times New Roman" w:eastAsia="宋体" w:cs="Times New Roman"/>
                      <w:color w:val="auto"/>
                      <w:spacing w:val="0"/>
                      <w:sz w:val="18"/>
                      <w:szCs w:val="18"/>
                    </w:rPr>
                    <w:t>试行GB18483-2001</w:t>
                  </w:r>
                  <w:r>
                    <w:rPr>
                      <w:rFonts w:hint="eastAsia" w:ascii="Times New Roman" w:hAnsi="Times New Roman" w:eastAsia="宋体" w:cs="Times New Roman"/>
                      <w:color w:val="auto"/>
                      <w:spacing w:val="0"/>
                      <w:sz w:val="18"/>
                      <w:szCs w:val="18"/>
                      <w:lang w:eastAsia="zh-CN"/>
                    </w:rPr>
                    <w:t>）</w:t>
                  </w:r>
                  <w:r>
                    <w:rPr>
                      <w:rFonts w:hint="default" w:ascii="Times New Roman" w:hAnsi="Times New Roman" w:eastAsia="宋体" w:cs="Times New Roman"/>
                      <w:color w:val="auto"/>
                      <w:spacing w:val="0"/>
                      <w:sz w:val="18"/>
                      <w:szCs w:val="18"/>
                    </w:rPr>
                    <w:t>中最高允许排放浓度2.0mg/m³。</w:t>
                  </w:r>
                </w:p>
              </w:tc>
            </w:tr>
            <w:tr w14:paraId="658C8D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dxa"/>
                  <w:vMerge w:val="restart"/>
                  <w:tcBorders>
                    <w:tl2br w:val="nil"/>
                    <w:tr2bl w:val="nil"/>
                  </w:tcBorders>
                  <w:noWrap w:val="0"/>
                  <w:vAlign w:val="center"/>
                </w:tcPr>
                <w:p w14:paraId="5D4665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r>
                    <w:rPr>
                      <w:rFonts w:hint="default" w:ascii="Times New Roman" w:hAnsi="Times New Roman" w:eastAsia="宋体" w:cs="Times New Roman"/>
                      <w:color w:val="auto"/>
                      <w:spacing w:val="0"/>
                      <w:sz w:val="18"/>
                      <w:szCs w:val="18"/>
                      <w:highlight w:val="none"/>
                    </w:rPr>
                    <w:t>废水</w:t>
                  </w:r>
                </w:p>
              </w:tc>
              <w:tc>
                <w:tcPr>
                  <w:tcW w:w="1070" w:type="dxa"/>
                  <w:tcBorders>
                    <w:tl2br w:val="nil"/>
                    <w:tr2bl w:val="nil"/>
                  </w:tcBorders>
                  <w:noWrap w:val="0"/>
                  <w:vAlign w:val="center"/>
                </w:tcPr>
                <w:p w14:paraId="577918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kern w:val="2"/>
                      <w:sz w:val="18"/>
                      <w:szCs w:val="18"/>
                      <w:highlight w:val="none"/>
                      <w:lang w:val="en-US" w:eastAsia="zh-CN" w:bidi="ar-SA"/>
                    </w:rPr>
                  </w:pPr>
                  <w:r>
                    <w:rPr>
                      <w:rFonts w:hint="default" w:ascii="Times New Roman" w:hAnsi="Times New Roman" w:eastAsia="宋体" w:cs="Times New Roman"/>
                      <w:color w:val="auto"/>
                      <w:spacing w:val="0"/>
                      <w:kern w:val="21"/>
                      <w:sz w:val="18"/>
                      <w:szCs w:val="18"/>
                      <w:highlight w:val="none"/>
                      <w:lang w:eastAsia="zh-CN"/>
                    </w:rPr>
                    <w:t>生活污水</w:t>
                  </w:r>
                </w:p>
              </w:tc>
              <w:tc>
                <w:tcPr>
                  <w:tcW w:w="1290" w:type="dxa"/>
                  <w:tcBorders>
                    <w:tl2br w:val="nil"/>
                    <w:tr2bl w:val="nil"/>
                  </w:tcBorders>
                  <w:noWrap w:val="0"/>
                  <w:vAlign w:val="center"/>
                </w:tcPr>
                <w:p w14:paraId="0F0991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kern w:val="2"/>
                      <w:sz w:val="18"/>
                      <w:szCs w:val="18"/>
                      <w:highlight w:val="none"/>
                      <w:lang w:val="en-US" w:eastAsia="zh-CN" w:bidi="ar-SA"/>
                    </w:rPr>
                  </w:pPr>
                  <w:r>
                    <w:rPr>
                      <w:rFonts w:hint="default" w:ascii="Times New Roman" w:hAnsi="Times New Roman" w:eastAsia="宋体" w:cs="Times New Roman"/>
                      <w:color w:val="auto"/>
                      <w:spacing w:val="0"/>
                      <w:kern w:val="21"/>
                      <w:sz w:val="18"/>
                      <w:szCs w:val="18"/>
                      <w:highlight w:val="none"/>
                      <w:lang w:val="en-US" w:eastAsia="zh-CN"/>
                    </w:rPr>
                    <w:t>COD</w:t>
                  </w:r>
                  <w:r>
                    <w:rPr>
                      <w:rFonts w:hint="default" w:ascii="Times New Roman" w:hAnsi="Times New Roman" w:eastAsia="宋体" w:cs="Times New Roman"/>
                      <w:color w:val="auto"/>
                      <w:spacing w:val="0"/>
                      <w:kern w:val="21"/>
                      <w:sz w:val="18"/>
                      <w:szCs w:val="18"/>
                      <w:highlight w:val="none"/>
                    </w:rPr>
                    <w:t>、氨氮、</w:t>
                  </w:r>
                  <w:r>
                    <w:rPr>
                      <w:rFonts w:hint="default" w:ascii="Times New Roman" w:hAnsi="Times New Roman" w:eastAsia="宋体" w:cs="Times New Roman"/>
                      <w:color w:val="auto"/>
                      <w:spacing w:val="0"/>
                      <w:kern w:val="21"/>
                      <w:sz w:val="18"/>
                      <w:szCs w:val="18"/>
                      <w:highlight w:val="none"/>
                      <w:lang w:val="en-US" w:eastAsia="zh-CN"/>
                    </w:rPr>
                    <w:t>SS</w:t>
                  </w:r>
                  <w:r>
                    <w:rPr>
                      <w:rFonts w:hint="default" w:ascii="Times New Roman" w:hAnsi="Times New Roman" w:eastAsia="宋体" w:cs="Times New Roman"/>
                      <w:color w:val="auto"/>
                      <w:spacing w:val="0"/>
                      <w:kern w:val="21"/>
                      <w:sz w:val="18"/>
                      <w:szCs w:val="18"/>
                      <w:highlight w:val="none"/>
                    </w:rPr>
                    <w:t>、</w:t>
                  </w:r>
                  <w:r>
                    <w:rPr>
                      <w:rFonts w:hint="default" w:ascii="Times New Roman" w:hAnsi="Times New Roman" w:eastAsia="宋体" w:cs="Times New Roman"/>
                      <w:color w:val="auto"/>
                      <w:spacing w:val="0"/>
                      <w:sz w:val="18"/>
                      <w:szCs w:val="18"/>
                      <w:highlight w:val="none"/>
                    </w:rPr>
                    <w:t>pH、</w:t>
                  </w:r>
                  <w:r>
                    <w:rPr>
                      <w:rFonts w:hint="default" w:ascii="Times New Roman" w:hAnsi="Times New Roman" w:eastAsia="宋体" w:cs="Times New Roman"/>
                      <w:color w:val="auto"/>
                      <w:spacing w:val="0"/>
                      <w:kern w:val="21"/>
                      <w:sz w:val="18"/>
                      <w:szCs w:val="18"/>
                      <w:highlight w:val="none"/>
                      <w:lang w:val="en-US" w:eastAsia="zh-CN"/>
                    </w:rPr>
                    <w:t>BOD</w:t>
                  </w:r>
                  <w:r>
                    <w:rPr>
                      <w:rFonts w:hint="default" w:ascii="Times New Roman" w:hAnsi="Times New Roman" w:eastAsia="宋体" w:cs="Times New Roman"/>
                      <w:color w:val="auto"/>
                      <w:spacing w:val="0"/>
                      <w:kern w:val="21"/>
                      <w:sz w:val="18"/>
                      <w:szCs w:val="18"/>
                      <w:highlight w:val="none"/>
                      <w:vertAlign w:val="subscript"/>
                      <w:lang w:val="en-US" w:eastAsia="zh-CN"/>
                    </w:rPr>
                    <w:t>5</w:t>
                  </w:r>
                </w:p>
              </w:tc>
              <w:tc>
                <w:tcPr>
                  <w:tcW w:w="1000" w:type="dxa"/>
                  <w:vMerge w:val="restart"/>
                  <w:tcBorders>
                    <w:tl2br w:val="nil"/>
                    <w:tr2bl w:val="nil"/>
                  </w:tcBorders>
                  <w:noWrap w:val="0"/>
                  <w:vAlign w:val="center"/>
                </w:tcPr>
                <w:p w14:paraId="02FAA3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r>
                    <w:rPr>
                      <w:rFonts w:hint="default" w:ascii="Times New Roman" w:hAnsi="Times New Roman" w:eastAsia="宋体" w:cs="Times New Roman"/>
                      <w:color w:val="auto"/>
                      <w:spacing w:val="0"/>
                      <w:sz w:val="18"/>
                      <w:szCs w:val="18"/>
                      <w:highlight w:val="none"/>
                    </w:rPr>
                    <w:t>间断</w:t>
                  </w:r>
                </w:p>
              </w:tc>
              <w:tc>
                <w:tcPr>
                  <w:tcW w:w="4244" w:type="dxa"/>
                  <w:tcBorders>
                    <w:tl2br w:val="nil"/>
                    <w:tr2bl w:val="nil"/>
                  </w:tcBorders>
                  <w:noWrap w:val="0"/>
                  <w:vAlign w:val="center"/>
                </w:tcPr>
                <w:p w14:paraId="4C2621D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default" w:ascii="Times New Roman" w:hAnsi="Times New Roman" w:cs="Times New Roman"/>
                      <w:color w:val="auto"/>
                      <w:spacing w:val="0"/>
                      <w:sz w:val="18"/>
                      <w:szCs w:val="18"/>
                    </w:rPr>
                    <w:t>生活污水经厂区</w:t>
                  </w:r>
                  <w:r>
                    <w:rPr>
                      <w:rFonts w:hint="default" w:ascii="Times New Roman" w:hAnsi="Times New Roman" w:eastAsia="宋体" w:cs="Times New Roman"/>
                      <w:color w:val="auto"/>
                      <w:spacing w:val="0"/>
                      <w:sz w:val="18"/>
                      <w:szCs w:val="18"/>
                    </w:rPr>
                    <w:t>化粪池</w:t>
                  </w:r>
                  <w:r>
                    <w:rPr>
                      <w:rFonts w:hint="eastAsia" w:ascii="Times New Roman" w:hAnsi="Times New Roman" w:cs="Times New Roman"/>
                      <w:color w:val="auto"/>
                      <w:spacing w:val="0"/>
                      <w:sz w:val="18"/>
                      <w:szCs w:val="18"/>
                      <w:lang w:val="en-US" w:eastAsia="zh-CN"/>
                    </w:rPr>
                    <w:t>沉淀</w:t>
                  </w:r>
                  <w:r>
                    <w:rPr>
                      <w:rFonts w:hint="default" w:ascii="Times New Roman" w:hAnsi="Times New Roman" w:eastAsia="宋体" w:cs="Times New Roman"/>
                      <w:color w:val="auto"/>
                      <w:spacing w:val="0"/>
                      <w:sz w:val="18"/>
                      <w:szCs w:val="18"/>
                    </w:rPr>
                    <w:t>处理</w:t>
                  </w:r>
                  <w:r>
                    <w:rPr>
                      <w:rFonts w:hint="default" w:ascii="Times New Roman" w:hAnsi="Times New Roman" w:cs="Times New Roman"/>
                      <w:color w:val="auto"/>
                      <w:spacing w:val="0"/>
                      <w:sz w:val="18"/>
                      <w:szCs w:val="18"/>
                    </w:rPr>
                    <w:t>后进入市政管网，最终排至</w:t>
                  </w:r>
                  <w:r>
                    <w:rPr>
                      <w:rFonts w:hint="eastAsia" w:ascii="Times New Roman" w:hAnsi="Times New Roman" w:cs="Times New Roman"/>
                      <w:color w:val="auto"/>
                      <w:spacing w:val="0"/>
                      <w:sz w:val="18"/>
                      <w:szCs w:val="18"/>
                      <w:lang w:eastAsia="zh-CN"/>
                    </w:rPr>
                    <w:t>鸡西市鸡冠区</w:t>
                  </w:r>
                  <w:r>
                    <w:rPr>
                      <w:rFonts w:hint="default" w:ascii="Times New Roman" w:hAnsi="Times New Roman" w:cs="Times New Roman"/>
                      <w:color w:val="auto"/>
                      <w:spacing w:val="0"/>
                      <w:sz w:val="18"/>
                      <w:szCs w:val="18"/>
                    </w:rPr>
                    <w:t>污水处理厂达到《城镇污水处理厂污染物排放标准》</w:t>
                  </w:r>
                  <w:r>
                    <w:rPr>
                      <w:rFonts w:hint="eastAsia" w:ascii="Times New Roman" w:hAnsi="Times New Roman" w:cs="Times New Roman"/>
                      <w:color w:val="auto"/>
                      <w:spacing w:val="0"/>
                      <w:sz w:val="18"/>
                      <w:szCs w:val="18"/>
                      <w:lang w:eastAsia="zh-CN"/>
                    </w:rPr>
                    <w:t>（</w:t>
                  </w:r>
                  <w:r>
                    <w:rPr>
                      <w:rFonts w:hint="default" w:ascii="Times New Roman" w:hAnsi="Times New Roman" w:cs="Times New Roman"/>
                      <w:color w:val="auto"/>
                      <w:spacing w:val="0"/>
                      <w:sz w:val="18"/>
                      <w:szCs w:val="18"/>
                    </w:rPr>
                    <w:t>GB18918-2002</w:t>
                  </w:r>
                  <w:r>
                    <w:rPr>
                      <w:rFonts w:hint="eastAsia" w:ascii="Times New Roman" w:hAnsi="Times New Roman" w:cs="Times New Roman"/>
                      <w:color w:val="auto"/>
                      <w:spacing w:val="0"/>
                      <w:sz w:val="18"/>
                      <w:szCs w:val="18"/>
                      <w:lang w:eastAsia="zh-CN"/>
                    </w:rPr>
                    <w:t>）</w:t>
                  </w:r>
                  <w:r>
                    <w:rPr>
                      <w:rFonts w:hint="default" w:ascii="Times New Roman" w:hAnsi="Times New Roman" w:cs="Times New Roman"/>
                      <w:color w:val="auto"/>
                      <w:spacing w:val="0"/>
                      <w:sz w:val="18"/>
                      <w:szCs w:val="18"/>
                    </w:rPr>
                    <w:t>中一级A标准后排入穆棱河。</w:t>
                  </w:r>
                </w:p>
              </w:tc>
            </w:tr>
            <w:tr w14:paraId="7FF13D5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dxa"/>
                  <w:vMerge w:val="continue"/>
                  <w:tcBorders>
                    <w:tl2br w:val="nil"/>
                    <w:tr2bl w:val="nil"/>
                  </w:tcBorders>
                  <w:noWrap w:val="0"/>
                  <w:vAlign w:val="center"/>
                </w:tcPr>
                <w:p w14:paraId="321A3C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p>
              </w:tc>
              <w:tc>
                <w:tcPr>
                  <w:tcW w:w="1070" w:type="dxa"/>
                  <w:tcBorders>
                    <w:tl2br w:val="nil"/>
                    <w:tr2bl w:val="nil"/>
                  </w:tcBorders>
                  <w:noWrap w:val="0"/>
                  <w:vAlign w:val="center"/>
                </w:tcPr>
                <w:p w14:paraId="7B8E8E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kern w:val="21"/>
                      <w:sz w:val="18"/>
                      <w:szCs w:val="18"/>
                      <w:highlight w:val="none"/>
                      <w:lang w:eastAsia="zh-CN"/>
                    </w:rPr>
                  </w:pPr>
                  <w:r>
                    <w:rPr>
                      <w:rFonts w:hint="eastAsia" w:cs="Times New Roman"/>
                      <w:color w:val="auto"/>
                      <w:spacing w:val="0"/>
                      <w:kern w:val="21"/>
                      <w:sz w:val="18"/>
                      <w:szCs w:val="18"/>
                      <w:highlight w:val="none"/>
                      <w:lang w:val="en-US" w:eastAsia="zh-CN"/>
                    </w:rPr>
                    <w:t>滤池反冲洗废水</w:t>
                  </w:r>
                </w:p>
              </w:tc>
              <w:tc>
                <w:tcPr>
                  <w:tcW w:w="1290" w:type="dxa"/>
                  <w:tcBorders>
                    <w:tl2br w:val="nil"/>
                    <w:tr2bl w:val="nil"/>
                  </w:tcBorders>
                  <w:noWrap w:val="0"/>
                  <w:vAlign w:val="center"/>
                </w:tcPr>
                <w:p w14:paraId="08721F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kern w:val="21"/>
                      <w:sz w:val="18"/>
                      <w:szCs w:val="18"/>
                      <w:highlight w:val="none"/>
                      <w:lang w:val="en-US" w:eastAsia="zh-CN"/>
                    </w:rPr>
                  </w:pPr>
                  <w:r>
                    <w:rPr>
                      <w:rFonts w:hint="eastAsia" w:cs="Times New Roman"/>
                      <w:color w:val="auto"/>
                      <w:spacing w:val="0"/>
                      <w:kern w:val="21"/>
                      <w:sz w:val="18"/>
                      <w:szCs w:val="18"/>
                      <w:highlight w:val="none"/>
                      <w:lang w:val="en-US" w:eastAsia="zh-CN"/>
                    </w:rPr>
                    <w:t>SS</w:t>
                  </w:r>
                </w:p>
              </w:tc>
              <w:tc>
                <w:tcPr>
                  <w:tcW w:w="1000" w:type="dxa"/>
                  <w:vMerge w:val="continue"/>
                  <w:tcBorders>
                    <w:tl2br w:val="nil"/>
                    <w:tr2bl w:val="nil"/>
                  </w:tcBorders>
                  <w:noWrap w:val="0"/>
                  <w:vAlign w:val="center"/>
                </w:tcPr>
                <w:p w14:paraId="392F15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p>
              </w:tc>
              <w:tc>
                <w:tcPr>
                  <w:tcW w:w="4244" w:type="dxa"/>
                  <w:tcBorders>
                    <w:tl2br w:val="nil"/>
                    <w:tr2bl w:val="nil"/>
                  </w:tcBorders>
                  <w:noWrap w:val="0"/>
                  <w:vAlign w:val="center"/>
                </w:tcPr>
                <w:p w14:paraId="2255D7E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pacing w:val="0"/>
                      <w:sz w:val="18"/>
                      <w:szCs w:val="18"/>
                    </w:rPr>
                  </w:pPr>
                  <w:r>
                    <w:rPr>
                      <w:rFonts w:hint="default" w:ascii="Times New Roman" w:hAnsi="Times New Roman" w:eastAsia="宋体" w:cs="Times New Roman"/>
                      <w:bCs/>
                      <w:color w:val="auto"/>
                      <w:spacing w:val="0"/>
                      <w:kern w:val="0"/>
                      <w:sz w:val="18"/>
                      <w:szCs w:val="18"/>
                      <w:highlight w:val="none"/>
                      <w:lang w:val="en-US" w:eastAsia="zh-CN"/>
                    </w:rPr>
                    <w:t>反冲洗废水</w:t>
                  </w:r>
                  <w:r>
                    <w:rPr>
                      <w:rFonts w:hint="eastAsia" w:cs="Times New Roman"/>
                      <w:color w:val="auto"/>
                      <w:sz w:val="18"/>
                      <w:szCs w:val="18"/>
                      <w:highlight w:val="none"/>
                      <w:lang w:eastAsia="zh-CN"/>
                    </w:rPr>
                    <w:t>回收</w:t>
                  </w:r>
                  <w:r>
                    <w:rPr>
                      <w:rFonts w:hint="eastAsia" w:cs="Times New Roman"/>
                      <w:color w:val="auto"/>
                      <w:sz w:val="18"/>
                      <w:szCs w:val="18"/>
                      <w:highlight w:val="none"/>
                      <w:lang w:val="en-US" w:eastAsia="zh-CN"/>
                    </w:rPr>
                    <w:t>排入</w:t>
                  </w:r>
                  <w:r>
                    <w:rPr>
                      <w:rFonts w:hint="eastAsia" w:cs="Times New Roman"/>
                      <w:color w:val="auto"/>
                      <w:sz w:val="18"/>
                      <w:szCs w:val="18"/>
                      <w:highlight w:val="none"/>
                      <w:lang w:eastAsia="zh-CN"/>
                    </w:rPr>
                    <w:t>配水</w:t>
                  </w:r>
                  <w:r>
                    <w:rPr>
                      <w:rFonts w:hint="eastAsia" w:cs="Times New Roman"/>
                      <w:color w:val="auto"/>
                      <w:sz w:val="18"/>
                      <w:szCs w:val="18"/>
                      <w:highlight w:val="none"/>
                      <w:lang w:val="en-US" w:eastAsia="zh-CN"/>
                    </w:rPr>
                    <w:t>井</w:t>
                  </w:r>
                  <w:r>
                    <w:rPr>
                      <w:rFonts w:hint="eastAsia" w:cs="Times New Roman"/>
                      <w:color w:val="auto"/>
                      <w:sz w:val="18"/>
                      <w:szCs w:val="18"/>
                      <w:highlight w:val="none"/>
                      <w:lang w:eastAsia="zh-CN"/>
                    </w:rPr>
                    <w:t>与原水混合回用，不外排。</w:t>
                  </w:r>
                </w:p>
              </w:tc>
            </w:tr>
            <w:tr w14:paraId="1ED6F0E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dxa"/>
                  <w:vMerge w:val="continue"/>
                  <w:tcBorders>
                    <w:tl2br w:val="nil"/>
                    <w:tr2bl w:val="nil"/>
                  </w:tcBorders>
                  <w:noWrap w:val="0"/>
                  <w:vAlign w:val="center"/>
                </w:tcPr>
                <w:p w14:paraId="541F2F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p>
              </w:tc>
              <w:tc>
                <w:tcPr>
                  <w:tcW w:w="1070" w:type="dxa"/>
                  <w:tcBorders>
                    <w:tl2br w:val="nil"/>
                    <w:tr2bl w:val="nil"/>
                  </w:tcBorders>
                  <w:noWrap w:val="0"/>
                  <w:vAlign w:val="center"/>
                </w:tcPr>
                <w:p w14:paraId="05FEC7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spacing w:val="0"/>
                      <w:kern w:val="21"/>
                      <w:sz w:val="18"/>
                      <w:szCs w:val="18"/>
                      <w:highlight w:val="none"/>
                      <w:lang w:val="en-US" w:eastAsia="zh-CN"/>
                    </w:rPr>
                  </w:pPr>
                  <w:r>
                    <w:rPr>
                      <w:rFonts w:hint="eastAsia" w:cs="Times New Roman"/>
                      <w:color w:val="auto"/>
                      <w:spacing w:val="0"/>
                      <w:kern w:val="0"/>
                      <w:sz w:val="18"/>
                      <w:szCs w:val="18"/>
                      <w:highlight w:val="none"/>
                      <w:lang w:val="en-US" w:eastAsia="zh-CN"/>
                    </w:rPr>
                    <w:t>排泥水</w:t>
                  </w:r>
                </w:p>
              </w:tc>
              <w:tc>
                <w:tcPr>
                  <w:tcW w:w="1290" w:type="dxa"/>
                  <w:tcBorders>
                    <w:tl2br w:val="nil"/>
                    <w:tr2bl w:val="nil"/>
                  </w:tcBorders>
                  <w:noWrap w:val="0"/>
                  <w:vAlign w:val="center"/>
                </w:tcPr>
                <w:p w14:paraId="3234C9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kern w:val="21"/>
                      <w:sz w:val="18"/>
                      <w:szCs w:val="18"/>
                      <w:highlight w:val="none"/>
                      <w:lang w:val="en-US" w:eastAsia="zh-CN"/>
                    </w:rPr>
                  </w:pPr>
                  <w:r>
                    <w:rPr>
                      <w:rFonts w:hint="default" w:ascii="Times New Roman" w:hAnsi="Times New Roman" w:eastAsia="宋体" w:cs="Times New Roman"/>
                      <w:color w:val="auto"/>
                      <w:spacing w:val="0"/>
                      <w:kern w:val="21"/>
                      <w:sz w:val="18"/>
                      <w:szCs w:val="18"/>
                      <w:highlight w:val="none"/>
                      <w:lang w:val="en-US" w:eastAsia="zh-CN"/>
                    </w:rPr>
                    <w:t>COD</w:t>
                  </w:r>
                  <w:r>
                    <w:rPr>
                      <w:rFonts w:hint="default" w:ascii="Times New Roman" w:hAnsi="Times New Roman" w:eastAsia="宋体" w:cs="Times New Roman"/>
                      <w:color w:val="auto"/>
                      <w:spacing w:val="0"/>
                      <w:kern w:val="21"/>
                      <w:sz w:val="18"/>
                      <w:szCs w:val="18"/>
                      <w:highlight w:val="none"/>
                    </w:rPr>
                    <w:t>、</w:t>
                  </w:r>
                  <w:r>
                    <w:rPr>
                      <w:rFonts w:hint="default" w:ascii="Times New Roman" w:hAnsi="Times New Roman" w:eastAsia="宋体" w:cs="Times New Roman"/>
                      <w:color w:val="auto"/>
                      <w:spacing w:val="0"/>
                      <w:kern w:val="21"/>
                      <w:sz w:val="18"/>
                      <w:szCs w:val="18"/>
                      <w:highlight w:val="none"/>
                      <w:lang w:val="en-US" w:eastAsia="zh-CN"/>
                    </w:rPr>
                    <w:t>BOD</w:t>
                  </w:r>
                  <w:r>
                    <w:rPr>
                      <w:rFonts w:hint="default" w:ascii="Times New Roman" w:hAnsi="Times New Roman" w:eastAsia="宋体" w:cs="Times New Roman"/>
                      <w:color w:val="auto"/>
                      <w:spacing w:val="0"/>
                      <w:kern w:val="21"/>
                      <w:sz w:val="18"/>
                      <w:szCs w:val="18"/>
                      <w:highlight w:val="none"/>
                      <w:vertAlign w:val="subscript"/>
                      <w:lang w:val="en-US" w:eastAsia="zh-CN"/>
                    </w:rPr>
                    <w:t>5</w:t>
                  </w:r>
                  <w:r>
                    <w:rPr>
                      <w:rFonts w:hint="eastAsia" w:ascii="Times New Roman" w:hAnsi="Times New Roman" w:eastAsia="宋体" w:cs="Times New Roman"/>
                      <w:color w:val="auto"/>
                      <w:spacing w:val="0"/>
                      <w:kern w:val="21"/>
                      <w:sz w:val="18"/>
                      <w:szCs w:val="18"/>
                      <w:highlight w:val="none"/>
                      <w:vertAlign w:val="baseline"/>
                      <w:lang w:val="en-US" w:eastAsia="zh-CN"/>
                    </w:rPr>
                    <w:t>、</w:t>
                  </w:r>
                  <w:r>
                    <w:rPr>
                      <w:rFonts w:hint="default" w:ascii="Times New Roman" w:hAnsi="Times New Roman" w:eastAsia="宋体" w:cs="Times New Roman"/>
                      <w:color w:val="auto"/>
                      <w:spacing w:val="0"/>
                      <w:kern w:val="21"/>
                      <w:sz w:val="18"/>
                      <w:szCs w:val="18"/>
                      <w:highlight w:val="none"/>
                    </w:rPr>
                    <w:t>氨氮、</w:t>
                  </w:r>
                  <w:r>
                    <w:rPr>
                      <w:rFonts w:hint="default" w:ascii="Times New Roman" w:hAnsi="Times New Roman" w:eastAsia="宋体" w:cs="Times New Roman"/>
                      <w:color w:val="auto"/>
                      <w:spacing w:val="0"/>
                      <w:kern w:val="21"/>
                      <w:sz w:val="18"/>
                      <w:szCs w:val="18"/>
                      <w:highlight w:val="none"/>
                      <w:lang w:val="en-US" w:eastAsia="zh-CN"/>
                    </w:rPr>
                    <w:t>SS</w:t>
                  </w:r>
                </w:p>
              </w:tc>
              <w:tc>
                <w:tcPr>
                  <w:tcW w:w="1000" w:type="dxa"/>
                  <w:vMerge w:val="continue"/>
                  <w:tcBorders>
                    <w:tl2br w:val="nil"/>
                    <w:tr2bl w:val="nil"/>
                  </w:tcBorders>
                  <w:noWrap w:val="0"/>
                  <w:vAlign w:val="center"/>
                </w:tcPr>
                <w:p w14:paraId="7C1F76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p>
              </w:tc>
              <w:tc>
                <w:tcPr>
                  <w:tcW w:w="4244" w:type="dxa"/>
                  <w:tcBorders>
                    <w:tl2br w:val="nil"/>
                    <w:tr2bl w:val="nil"/>
                  </w:tcBorders>
                  <w:noWrap w:val="0"/>
                  <w:vAlign w:val="center"/>
                </w:tcPr>
                <w:p w14:paraId="4D23EC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sz w:val="18"/>
                      <w:szCs w:val="18"/>
                      <w:highlight w:val="none"/>
                      <w:lang w:val="en-US" w:eastAsia="zh-CN"/>
                    </w:rPr>
                  </w:pPr>
                  <w:r>
                    <w:rPr>
                      <w:rFonts w:hint="default" w:ascii="Times New Roman" w:hAnsi="Times New Roman" w:eastAsia="宋体" w:cs="Times New Roman"/>
                      <w:color w:val="auto"/>
                      <w:spacing w:val="0"/>
                      <w:sz w:val="18"/>
                      <w:szCs w:val="18"/>
                    </w:rPr>
                    <w:t>沉淀池排泥水</w:t>
                  </w:r>
                  <w:r>
                    <w:rPr>
                      <w:rFonts w:hint="default" w:ascii="Times New Roman" w:hAnsi="Times New Roman" w:eastAsia="宋体" w:cs="Times New Roman"/>
                      <w:color w:val="auto"/>
                      <w:spacing w:val="0"/>
                      <w:kern w:val="21"/>
                      <w:sz w:val="18"/>
                      <w:szCs w:val="18"/>
                      <w:highlight w:val="none"/>
                      <w:lang w:val="en-US" w:eastAsia="zh-CN"/>
                    </w:rPr>
                    <w:t>经絮凝、沉淀处理后满足</w:t>
                  </w:r>
                  <w:r>
                    <w:rPr>
                      <w:rFonts w:hint="default" w:ascii="Times New Roman" w:hAnsi="Times New Roman" w:eastAsia="宋体" w:cs="Times New Roman"/>
                      <w:color w:val="auto"/>
                      <w:spacing w:val="0"/>
                      <w:sz w:val="18"/>
                      <w:szCs w:val="18"/>
                      <w:highlight w:val="none"/>
                      <w:lang w:val="en-US" w:eastAsia="zh-CN"/>
                    </w:rPr>
                    <w:t>《地表水环境质量标准》（GB3838-2002）表1中三类标准、悬浮物满足《污水综合排放标准》（GB8978-1996）一级标准</w:t>
                  </w:r>
                  <w:r>
                    <w:rPr>
                      <w:rFonts w:hint="default" w:ascii="Times New Roman" w:hAnsi="Times New Roman" w:eastAsia="宋体" w:cs="Times New Roman"/>
                      <w:color w:val="auto"/>
                      <w:spacing w:val="0"/>
                      <w:sz w:val="18"/>
                      <w:szCs w:val="18"/>
                      <w:highlight w:val="none"/>
                      <w:lang w:eastAsia="zh-CN"/>
                    </w:rPr>
                    <w:t>，</w:t>
                  </w:r>
                  <w:r>
                    <w:rPr>
                      <w:rFonts w:hint="default" w:ascii="Times New Roman" w:hAnsi="Times New Roman" w:eastAsia="宋体" w:cs="Times New Roman"/>
                      <w:color w:val="auto"/>
                      <w:sz w:val="18"/>
                      <w:szCs w:val="18"/>
                      <w:highlight w:val="none"/>
                      <w:lang w:val="en-US" w:eastAsia="zh-CN"/>
                    </w:rPr>
                    <w:t>排入</w:t>
                  </w:r>
                  <w:r>
                    <w:rPr>
                      <w:rFonts w:hint="eastAsia" w:ascii="Times New Roman" w:hAnsi="Times New Roman" w:eastAsia="宋体" w:cs="Times New Roman"/>
                      <w:color w:val="auto"/>
                      <w:sz w:val="18"/>
                      <w:szCs w:val="18"/>
                      <w:highlight w:val="none"/>
                      <w:lang w:val="en-US" w:eastAsia="zh-CN"/>
                    </w:rPr>
                    <w:t>红光沟流入</w:t>
                  </w:r>
                  <w:r>
                    <w:rPr>
                      <w:rFonts w:hint="default" w:ascii="Times New Roman" w:hAnsi="Times New Roman" w:eastAsia="宋体" w:cs="Times New Roman"/>
                      <w:color w:val="auto"/>
                      <w:sz w:val="18"/>
                      <w:szCs w:val="18"/>
                      <w:highlight w:val="none"/>
                      <w:lang w:val="en-US" w:eastAsia="zh-CN"/>
                    </w:rPr>
                    <w:t>穆棱河</w:t>
                  </w:r>
                  <w:r>
                    <w:rPr>
                      <w:rFonts w:hint="default" w:ascii="Times New Roman" w:hAnsi="Times New Roman" w:eastAsia="宋体" w:cs="Times New Roman"/>
                      <w:color w:val="auto"/>
                      <w:spacing w:val="0"/>
                      <w:sz w:val="18"/>
                      <w:szCs w:val="18"/>
                      <w:highlight w:val="none"/>
                      <w:lang w:val="en-US" w:eastAsia="zh-CN"/>
                    </w:rPr>
                    <w:t>。</w:t>
                  </w:r>
                </w:p>
              </w:tc>
            </w:tr>
            <w:tr w14:paraId="628FA8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dxa"/>
                  <w:tcBorders>
                    <w:tl2br w:val="nil"/>
                    <w:tr2bl w:val="nil"/>
                  </w:tcBorders>
                  <w:noWrap w:val="0"/>
                  <w:vAlign w:val="center"/>
                </w:tcPr>
                <w:p w14:paraId="5579BF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r>
                    <w:rPr>
                      <w:rFonts w:hint="default" w:ascii="Times New Roman" w:hAnsi="Times New Roman" w:eastAsia="宋体" w:cs="Times New Roman"/>
                      <w:color w:val="auto"/>
                      <w:spacing w:val="0"/>
                      <w:sz w:val="18"/>
                      <w:szCs w:val="18"/>
                      <w:highlight w:val="none"/>
                    </w:rPr>
                    <w:t>噪声</w:t>
                  </w:r>
                </w:p>
              </w:tc>
              <w:tc>
                <w:tcPr>
                  <w:tcW w:w="1070" w:type="dxa"/>
                  <w:tcBorders>
                    <w:tl2br w:val="nil"/>
                    <w:tr2bl w:val="nil"/>
                  </w:tcBorders>
                  <w:noWrap w:val="0"/>
                  <w:vAlign w:val="center"/>
                </w:tcPr>
                <w:p w14:paraId="62F253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lang w:eastAsia="zh-CN"/>
                    </w:rPr>
                  </w:pPr>
                  <w:r>
                    <w:rPr>
                      <w:rFonts w:hint="default" w:ascii="Times New Roman" w:hAnsi="Times New Roman" w:eastAsia="宋体" w:cs="Times New Roman"/>
                      <w:color w:val="auto"/>
                      <w:spacing w:val="0"/>
                      <w:kern w:val="21"/>
                      <w:sz w:val="18"/>
                      <w:szCs w:val="18"/>
                      <w:highlight w:val="none"/>
                    </w:rPr>
                    <w:t>设备运行</w:t>
                  </w:r>
                </w:p>
              </w:tc>
              <w:tc>
                <w:tcPr>
                  <w:tcW w:w="1290" w:type="dxa"/>
                  <w:tcBorders>
                    <w:tl2br w:val="nil"/>
                    <w:tr2bl w:val="nil"/>
                  </w:tcBorders>
                  <w:noWrap w:val="0"/>
                  <w:vAlign w:val="center"/>
                </w:tcPr>
                <w:p w14:paraId="2928D9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r>
                    <w:rPr>
                      <w:rFonts w:hint="default" w:ascii="Times New Roman" w:hAnsi="Times New Roman" w:eastAsia="宋体" w:cs="Times New Roman"/>
                      <w:color w:val="auto"/>
                      <w:spacing w:val="0"/>
                      <w:sz w:val="18"/>
                      <w:szCs w:val="18"/>
                      <w:highlight w:val="none"/>
                    </w:rPr>
                    <w:t>噪声</w:t>
                  </w:r>
                </w:p>
              </w:tc>
              <w:tc>
                <w:tcPr>
                  <w:tcW w:w="1000" w:type="dxa"/>
                  <w:tcBorders>
                    <w:tl2br w:val="nil"/>
                    <w:tr2bl w:val="nil"/>
                  </w:tcBorders>
                  <w:noWrap w:val="0"/>
                  <w:vAlign w:val="center"/>
                </w:tcPr>
                <w:p w14:paraId="63C239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r>
                    <w:rPr>
                      <w:rFonts w:hint="default" w:ascii="Times New Roman" w:hAnsi="Times New Roman" w:eastAsia="宋体" w:cs="Times New Roman"/>
                      <w:color w:val="auto"/>
                      <w:spacing w:val="0"/>
                      <w:sz w:val="18"/>
                      <w:szCs w:val="18"/>
                      <w:highlight w:val="none"/>
                    </w:rPr>
                    <w:t>连续</w:t>
                  </w:r>
                </w:p>
              </w:tc>
              <w:tc>
                <w:tcPr>
                  <w:tcW w:w="4244" w:type="dxa"/>
                  <w:tcBorders>
                    <w:tl2br w:val="nil"/>
                    <w:tr2bl w:val="nil"/>
                  </w:tcBorders>
                  <w:noWrap w:val="0"/>
                  <w:vAlign w:val="center"/>
                </w:tcPr>
                <w:p w14:paraId="12F382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kern w:val="21"/>
                      <w:sz w:val="18"/>
                      <w:szCs w:val="18"/>
                      <w:highlight w:val="none"/>
                      <w:lang w:val="en-US" w:eastAsia="zh-CN" w:bidi="ar-SA"/>
                    </w:rPr>
                  </w:pPr>
                  <w:r>
                    <w:rPr>
                      <w:rFonts w:hint="default" w:ascii="Times New Roman" w:hAnsi="Times New Roman" w:eastAsia="宋体" w:cs="Times New Roman"/>
                      <w:color w:val="auto"/>
                      <w:spacing w:val="0"/>
                      <w:sz w:val="18"/>
                      <w:szCs w:val="18"/>
                      <w:highlight w:val="none"/>
                    </w:rPr>
                    <w:t>选取低噪声设备，采取减振、隔声</w:t>
                  </w:r>
                  <w:r>
                    <w:rPr>
                      <w:rFonts w:hint="eastAsia" w:ascii="Times New Roman" w:hAnsi="Times New Roman" w:eastAsia="宋体" w:cs="Times New Roman"/>
                      <w:color w:val="auto"/>
                      <w:spacing w:val="0"/>
                      <w:sz w:val="18"/>
                      <w:szCs w:val="18"/>
                      <w:highlight w:val="none"/>
                      <w:lang w:val="en-US" w:eastAsia="zh-CN"/>
                    </w:rPr>
                    <w:t>等</w:t>
                  </w:r>
                </w:p>
              </w:tc>
            </w:tr>
            <w:tr w14:paraId="677DEC7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dxa"/>
                  <w:vMerge w:val="restart"/>
                  <w:tcBorders>
                    <w:tl2br w:val="nil"/>
                    <w:tr2bl w:val="nil"/>
                  </w:tcBorders>
                  <w:noWrap w:val="0"/>
                  <w:vAlign w:val="center"/>
                </w:tcPr>
                <w:p w14:paraId="4E9FB5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lang w:eastAsia="zh-CN"/>
                    </w:rPr>
                  </w:pPr>
                  <w:r>
                    <w:rPr>
                      <w:rFonts w:hint="default" w:ascii="Times New Roman" w:hAnsi="Times New Roman" w:eastAsia="宋体" w:cs="Times New Roman"/>
                      <w:color w:val="auto"/>
                      <w:spacing w:val="0"/>
                      <w:sz w:val="18"/>
                      <w:szCs w:val="18"/>
                      <w:highlight w:val="none"/>
                    </w:rPr>
                    <w:t>固体废物</w:t>
                  </w:r>
                </w:p>
              </w:tc>
              <w:tc>
                <w:tcPr>
                  <w:tcW w:w="1070" w:type="dxa"/>
                  <w:tcBorders>
                    <w:tl2br w:val="nil"/>
                    <w:tr2bl w:val="nil"/>
                  </w:tcBorders>
                  <w:noWrap w:val="0"/>
                  <w:vAlign w:val="center"/>
                </w:tcPr>
                <w:p w14:paraId="579DB3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kern w:val="2"/>
                      <w:sz w:val="18"/>
                      <w:szCs w:val="18"/>
                      <w:highlight w:val="none"/>
                      <w:lang w:val="en-US" w:eastAsia="zh-CN" w:bidi="ar-SA"/>
                    </w:rPr>
                  </w:pPr>
                  <w:r>
                    <w:rPr>
                      <w:rFonts w:hint="default" w:ascii="Times New Roman" w:hAnsi="Times New Roman" w:eastAsia="宋体" w:cs="Times New Roman"/>
                      <w:bCs/>
                      <w:color w:val="auto"/>
                      <w:spacing w:val="0"/>
                      <w:sz w:val="18"/>
                      <w:szCs w:val="18"/>
                      <w:highlight w:val="none"/>
                      <w:lang w:val="en-US" w:eastAsia="zh-CN"/>
                    </w:rPr>
                    <w:t>员工</w:t>
                  </w:r>
                </w:p>
              </w:tc>
              <w:tc>
                <w:tcPr>
                  <w:tcW w:w="1290" w:type="dxa"/>
                  <w:tcBorders>
                    <w:tl2br w:val="nil"/>
                    <w:tr2bl w:val="nil"/>
                  </w:tcBorders>
                  <w:noWrap w:val="0"/>
                  <w:vAlign w:val="center"/>
                </w:tcPr>
                <w:p w14:paraId="729F74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lang w:eastAsia="zh-CN"/>
                    </w:rPr>
                  </w:pPr>
                  <w:r>
                    <w:rPr>
                      <w:rFonts w:hint="default" w:ascii="Times New Roman" w:hAnsi="Times New Roman" w:eastAsia="宋体" w:cs="Times New Roman"/>
                      <w:color w:val="auto"/>
                      <w:spacing w:val="0"/>
                      <w:sz w:val="18"/>
                      <w:szCs w:val="18"/>
                      <w:highlight w:val="none"/>
                      <w:lang w:val="en-US" w:eastAsia="zh-CN"/>
                    </w:rPr>
                    <w:t>生活垃圾</w:t>
                  </w:r>
                </w:p>
              </w:tc>
              <w:tc>
                <w:tcPr>
                  <w:tcW w:w="1000" w:type="dxa"/>
                  <w:vMerge w:val="restart"/>
                  <w:tcBorders>
                    <w:tl2br w:val="nil"/>
                    <w:tr2bl w:val="nil"/>
                  </w:tcBorders>
                  <w:noWrap w:val="0"/>
                  <w:vAlign w:val="center"/>
                </w:tcPr>
                <w:p w14:paraId="08786B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r>
                    <w:rPr>
                      <w:rFonts w:hint="default" w:ascii="Times New Roman" w:hAnsi="Times New Roman" w:eastAsia="宋体" w:cs="Times New Roman"/>
                      <w:color w:val="auto"/>
                      <w:spacing w:val="0"/>
                      <w:sz w:val="18"/>
                      <w:szCs w:val="18"/>
                      <w:highlight w:val="none"/>
                    </w:rPr>
                    <w:t>间断</w:t>
                  </w:r>
                </w:p>
              </w:tc>
              <w:tc>
                <w:tcPr>
                  <w:tcW w:w="4244" w:type="dxa"/>
                  <w:tcBorders>
                    <w:tl2br w:val="nil"/>
                    <w:tr2bl w:val="nil"/>
                  </w:tcBorders>
                  <w:noWrap w:val="0"/>
                  <w:vAlign w:val="center"/>
                </w:tcPr>
                <w:p w14:paraId="6D322C4A">
                  <w:pPr>
                    <w:pStyle w:val="13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委托环卫部门统一处理</w:t>
                  </w:r>
                </w:p>
              </w:tc>
            </w:tr>
            <w:tr w14:paraId="10FB472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dxa"/>
                  <w:vMerge w:val="continue"/>
                  <w:tcBorders>
                    <w:tl2br w:val="nil"/>
                    <w:tr2bl w:val="nil"/>
                  </w:tcBorders>
                  <w:noWrap w:val="0"/>
                  <w:vAlign w:val="center"/>
                </w:tcPr>
                <w:p w14:paraId="19FBCB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rPr>
                  </w:pPr>
                </w:p>
              </w:tc>
              <w:tc>
                <w:tcPr>
                  <w:tcW w:w="1070" w:type="dxa"/>
                  <w:tcBorders>
                    <w:tl2br w:val="nil"/>
                    <w:tr2bl w:val="nil"/>
                  </w:tcBorders>
                  <w:noWrap w:val="0"/>
                  <w:vAlign w:val="center"/>
                </w:tcPr>
                <w:p w14:paraId="5AA0BF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生产</w:t>
                  </w:r>
                </w:p>
              </w:tc>
              <w:tc>
                <w:tcPr>
                  <w:tcW w:w="1290" w:type="dxa"/>
                  <w:tcBorders>
                    <w:tl2br w:val="nil"/>
                    <w:tr2bl w:val="nil"/>
                  </w:tcBorders>
                  <w:noWrap w:val="0"/>
                  <w:vAlign w:val="center"/>
                </w:tcPr>
                <w:p w14:paraId="534216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contextualSpacing/>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脱水污泥</w:t>
                  </w:r>
                </w:p>
              </w:tc>
              <w:tc>
                <w:tcPr>
                  <w:tcW w:w="1000" w:type="dxa"/>
                  <w:vMerge w:val="continue"/>
                  <w:tcBorders>
                    <w:tl2br w:val="nil"/>
                    <w:tr2bl w:val="nil"/>
                  </w:tcBorders>
                  <w:noWrap w:val="0"/>
                  <w:vAlign w:val="center"/>
                </w:tcPr>
                <w:p w14:paraId="1ED159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p>
              </w:tc>
              <w:tc>
                <w:tcPr>
                  <w:tcW w:w="4244" w:type="dxa"/>
                  <w:tcBorders>
                    <w:tl2br w:val="nil"/>
                    <w:tr2bl w:val="nil"/>
                  </w:tcBorders>
                  <w:noWrap w:val="0"/>
                  <w:vAlign w:val="center"/>
                </w:tcPr>
                <w:p w14:paraId="393939F9">
                  <w:pPr>
                    <w:pStyle w:val="13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b w:val="0"/>
                      <w:bCs w:val="0"/>
                      <w:color w:val="auto"/>
                      <w:spacing w:val="0"/>
                      <w:w w:val="100"/>
                      <w:sz w:val="18"/>
                      <w:szCs w:val="18"/>
                      <w:highlight w:val="none"/>
                      <w:lang w:val="en-US" w:eastAsia="zh-CN"/>
                    </w:rPr>
                    <w:t>暂存污泥暂存库内，定期</w:t>
                  </w:r>
                  <w:r>
                    <w:rPr>
                      <w:rFonts w:hint="eastAsia" w:ascii="宋体" w:hAnsi="宋体" w:cs="宋体"/>
                      <w:color w:val="auto"/>
                      <w:sz w:val="18"/>
                      <w:szCs w:val="18"/>
                      <w:highlight w:val="none"/>
                      <w:lang w:val="en-US" w:eastAsia="zh-CN"/>
                    </w:rPr>
                    <w:t>外运委托有资质单位处理</w:t>
                  </w:r>
                  <w:r>
                    <w:rPr>
                      <w:rFonts w:hint="eastAsia"/>
                      <w:color w:val="auto"/>
                      <w:sz w:val="18"/>
                      <w:szCs w:val="18"/>
                      <w:highlight w:val="none"/>
                      <w:lang w:val="en-US" w:eastAsia="zh-CN"/>
                    </w:rPr>
                    <w:t>。</w:t>
                  </w:r>
                </w:p>
              </w:tc>
            </w:tr>
          </w:tbl>
          <w:p w14:paraId="02B6A002">
            <w:pPr>
              <w:pStyle w:val="33"/>
              <w:keepNext w:val="0"/>
              <w:keepLines w:val="0"/>
              <w:suppressLineNumbers w:val="0"/>
              <w:spacing w:before="0" w:beforeAutospacing="0" w:after="0" w:afterAutospacing="0"/>
              <w:ind w:left="0" w:right="0"/>
              <w:rPr>
                <w:rFonts w:hint="default"/>
                <w:color w:val="auto"/>
                <w:highlight w:val="none"/>
                <w:lang w:val="en-US" w:eastAsia="zh-CN"/>
              </w:rPr>
            </w:pPr>
          </w:p>
        </w:tc>
      </w:tr>
      <w:tr w14:paraId="1C0079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48" w:hRule="atLeast"/>
          <w:jc w:val="center"/>
        </w:trPr>
        <w:tc>
          <w:tcPr>
            <w:tcW w:w="748" w:type="dxa"/>
            <w:vAlign w:val="center"/>
          </w:tcPr>
          <w:p w14:paraId="4F197A4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1"/>
                <w:szCs w:val="21"/>
                <w:highlight w:val="none"/>
              </w:rPr>
            </w:pPr>
            <w:r>
              <w:rPr>
                <w:rFonts w:hint="default" w:ascii="Times New Roman" w:hAnsi="Times New Roman" w:cs="Times New Roman"/>
                <w:color w:val="auto"/>
                <w:kern w:val="21"/>
                <w:szCs w:val="21"/>
                <w:highlight w:val="none"/>
              </w:rPr>
              <w:t>与项目有关的原有环境污染问题</w:t>
            </w:r>
          </w:p>
        </w:tc>
        <w:tc>
          <w:tcPr>
            <w:tcW w:w="8473" w:type="dxa"/>
            <w:vAlign w:val="center"/>
          </w:tcPr>
          <w:p w14:paraId="7D25C07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eastAsia="宋体"/>
                <w:bCs/>
                <w:color w:val="auto"/>
                <w:kern w:val="0"/>
                <w:szCs w:val="21"/>
                <w:highlight w:val="none"/>
                <w:lang w:val="en-US" w:eastAsia="zh-CN"/>
              </w:rPr>
            </w:pPr>
            <w:r>
              <w:rPr>
                <w:rFonts w:hint="default" w:ascii="Times New Roman" w:hAnsi="Times New Roman" w:eastAsia="宋体" w:cs="Times New Roman"/>
                <w:color w:val="auto"/>
                <w:spacing w:val="0"/>
                <w:sz w:val="21"/>
                <w:szCs w:val="21"/>
                <w:highlight w:val="none"/>
                <w:u w:val="none"/>
                <w:lang w:val="en-US" w:eastAsia="zh-CN"/>
              </w:rPr>
              <w:t>现有工程鸡西市供水有限公司建设</w:t>
            </w:r>
            <w:r>
              <w:rPr>
                <w:rFonts w:hint="default" w:ascii="Times New Roman" w:hAnsi="Times New Roman" w:eastAsia="宋体" w:cs="Times New Roman"/>
                <w:color w:val="auto"/>
                <w:spacing w:val="0"/>
                <w:sz w:val="21"/>
                <w:szCs w:val="21"/>
              </w:rPr>
              <w:t>鸡西市朝阳净水厂一座、供水管线39km、加压泵站二座、改造加压泵站一座以及与之配套的其他工程。取水取自兴凯湖。</w:t>
            </w:r>
            <w:r>
              <w:rPr>
                <w:rFonts w:hint="default" w:ascii="Times New Roman" w:hAnsi="Times New Roman" w:eastAsia="宋体" w:cs="Times New Roman"/>
                <w:color w:val="auto"/>
                <w:spacing w:val="0"/>
                <w:sz w:val="21"/>
                <w:szCs w:val="21"/>
                <w:highlight w:val="none"/>
                <w:u w:val="none"/>
                <w:lang w:val="en-US" w:eastAsia="zh-CN"/>
              </w:rPr>
              <w:t>朝阳净水厂位于</w:t>
            </w:r>
            <w:r>
              <w:rPr>
                <w:rFonts w:hint="default" w:ascii="Times New Roman" w:hAnsi="Times New Roman" w:eastAsia="宋体" w:cs="Times New Roman"/>
                <w:b w:val="0"/>
                <w:bCs w:val="0"/>
                <w:i w:val="0"/>
                <w:iCs w:val="0"/>
                <w:caps w:val="0"/>
                <w:color w:val="auto"/>
                <w:spacing w:val="0"/>
                <w:sz w:val="21"/>
                <w:szCs w:val="21"/>
                <w:shd w:val="clear" w:fill="FFFFFF"/>
              </w:rPr>
              <w:t>黑龙江省鸡西市鸡冠区东环路南侧，北方热电厂西南侧</w:t>
            </w:r>
            <w:r>
              <w:rPr>
                <w:rFonts w:hint="default" w:ascii="Times New Roman" w:hAnsi="Times New Roman" w:eastAsia="宋体" w:cs="Times New Roman"/>
                <w:b w:val="0"/>
                <w:bCs w:val="0"/>
                <w:i w:val="0"/>
                <w:iCs w:val="0"/>
                <w:caps w:val="0"/>
                <w:color w:val="auto"/>
                <w:spacing w:val="0"/>
                <w:sz w:val="21"/>
                <w:szCs w:val="21"/>
                <w:shd w:val="clear" w:fill="FFFFFF"/>
                <w:lang w:eastAsia="zh-CN"/>
              </w:rPr>
              <w:t>。</w:t>
            </w:r>
            <w:r>
              <w:rPr>
                <w:rFonts w:hint="default" w:ascii="Times New Roman" w:hAnsi="Times New Roman" w:eastAsia="宋体" w:cs="Times New Roman"/>
                <w:b w:val="0"/>
                <w:bCs w:val="0"/>
                <w:i w:val="0"/>
                <w:iCs w:val="0"/>
                <w:caps w:val="0"/>
                <w:color w:val="auto"/>
                <w:spacing w:val="0"/>
                <w:sz w:val="21"/>
                <w:szCs w:val="21"/>
                <w:shd w:val="clear" w:fill="FFFFFF"/>
                <w:lang w:val="en-US" w:eastAsia="zh-CN"/>
              </w:rPr>
              <w:t>净水厂占地面积8155m</w:t>
            </w:r>
            <w:r>
              <w:rPr>
                <w:rFonts w:hint="default" w:ascii="Times New Roman" w:hAnsi="Times New Roman" w:eastAsia="宋体" w:cs="Times New Roman"/>
                <w:b w:val="0"/>
                <w:bCs w:val="0"/>
                <w:i w:val="0"/>
                <w:iCs w:val="0"/>
                <w:caps w:val="0"/>
                <w:color w:val="auto"/>
                <w:spacing w:val="0"/>
                <w:sz w:val="21"/>
                <w:szCs w:val="21"/>
                <w:shd w:val="clear" w:fill="FFFFFF"/>
                <w:vertAlign w:val="superscript"/>
                <w:lang w:val="en-US" w:eastAsia="zh-CN"/>
              </w:rPr>
              <w:t>2</w:t>
            </w:r>
            <w:r>
              <w:rPr>
                <w:rFonts w:hint="default" w:ascii="Times New Roman" w:hAnsi="Times New Roman" w:eastAsia="宋体" w:cs="Times New Roman"/>
                <w:b w:val="0"/>
                <w:bCs w:val="0"/>
                <w:i w:val="0"/>
                <w:iCs w:val="0"/>
                <w:caps w:val="0"/>
                <w:color w:val="auto"/>
                <w:spacing w:val="0"/>
                <w:sz w:val="21"/>
                <w:szCs w:val="21"/>
                <w:shd w:val="clear" w:fill="FFFFFF"/>
                <w:vertAlign w:val="baseline"/>
                <w:lang w:val="en-US" w:eastAsia="zh-CN"/>
              </w:rPr>
              <w:t>，</w:t>
            </w:r>
            <w:r>
              <w:rPr>
                <w:rFonts w:hint="default" w:ascii="Times New Roman" w:hAnsi="Times New Roman" w:eastAsia="宋体" w:cs="Times New Roman"/>
                <w:color w:val="auto"/>
                <w:spacing w:val="0"/>
                <w:sz w:val="21"/>
                <w:szCs w:val="21"/>
              </w:rPr>
              <w:t>主要工程内容包括稳压配水井、加药加氯间、净化间、清水池、吸水井</w:t>
            </w:r>
            <w:r>
              <w:rPr>
                <w:rFonts w:hint="eastAsia" w:ascii="Times New Roman" w:hAnsi="Times New Roman" w:eastAsia="宋体" w:cs="Times New Roman"/>
                <w:color w:val="auto"/>
                <w:spacing w:val="0"/>
                <w:sz w:val="21"/>
                <w:szCs w:val="21"/>
                <w:lang w:eastAsia="zh-CN"/>
              </w:rPr>
              <w:t>及</w:t>
            </w:r>
            <w:r>
              <w:rPr>
                <w:rFonts w:hint="default" w:ascii="Times New Roman" w:hAnsi="Times New Roman" w:eastAsia="宋体" w:cs="Times New Roman"/>
                <w:color w:val="auto"/>
                <w:spacing w:val="0"/>
                <w:sz w:val="21"/>
                <w:szCs w:val="21"/>
              </w:rPr>
              <w:t>送水泵房，综合楼、机修仓库、污泥处理间等建构筑物，设计供水量为15万m³/d，净水工艺</w:t>
            </w:r>
            <w:r>
              <w:rPr>
                <w:rFonts w:hint="default" w:ascii="Times New Roman" w:hAnsi="Times New Roman" w:eastAsia="宋体" w:cs="Times New Roman"/>
                <w:color w:val="auto"/>
                <w:spacing w:val="0"/>
                <w:sz w:val="21"/>
                <w:szCs w:val="21"/>
                <w:lang w:val="en-US" w:eastAsia="zh-CN"/>
              </w:rPr>
              <w:t>为</w:t>
            </w:r>
            <w:r>
              <w:rPr>
                <w:rFonts w:hint="default" w:ascii="Times New Roman" w:hAnsi="Times New Roman" w:eastAsia="宋体" w:cs="Times New Roman"/>
                <w:color w:val="auto"/>
                <w:spacing w:val="0"/>
                <w:sz w:val="21"/>
                <w:szCs w:val="21"/>
              </w:rPr>
              <w:t>稳压配水井→机械搅拌混合池→折板絮凝池→侧向流斜板沉淀池→V型滤池→液氯消毒→清水池→送水泵房→用户</w:t>
            </w:r>
            <w:r>
              <w:rPr>
                <w:rFonts w:hint="default" w:ascii="Times New Roman" w:hAnsi="Times New Roman" w:eastAsia="宋体" w:cs="Times New Roman"/>
                <w:bCs/>
                <w:color w:val="auto"/>
                <w:spacing w:val="0"/>
                <w:kern w:val="0"/>
                <w:sz w:val="21"/>
                <w:szCs w:val="21"/>
                <w:highlight w:val="none"/>
                <w:lang w:val="en-US" w:eastAsia="zh-CN"/>
              </w:rPr>
              <w:t>。</w:t>
            </w:r>
            <w:r>
              <w:rPr>
                <w:rFonts w:hint="default" w:ascii="Times New Roman" w:hAnsi="Times New Roman" w:eastAsia="宋体" w:cs="Times New Roman"/>
                <w:color w:val="auto"/>
                <w:spacing w:val="0"/>
                <w:sz w:val="21"/>
                <w:szCs w:val="21"/>
              </w:rPr>
              <w:t>供水水质符合</w:t>
            </w:r>
            <w:r>
              <w:rPr>
                <w:rFonts w:hint="default" w:ascii="Times New Roman" w:hAnsi="Times New Roman" w:eastAsia="宋体" w:cs="Times New Roman"/>
                <w:color w:val="auto"/>
                <w:spacing w:val="0"/>
                <w:sz w:val="21"/>
                <w:szCs w:val="21"/>
              </w:rPr>
              <w:t>《生活饮用水卫生标准》（GB5749-20</w:t>
            </w:r>
            <w:r>
              <w:rPr>
                <w:rFonts w:hint="eastAsia" w:ascii="Times New Roman" w:hAnsi="Times New Roman" w:cs="Times New Roman"/>
                <w:color w:val="auto"/>
                <w:spacing w:val="0"/>
                <w:sz w:val="21"/>
                <w:szCs w:val="21"/>
                <w:lang w:val="en-US" w:eastAsia="zh-CN"/>
              </w:rPr>
              <w:t>22</w:t>
            </w:r>
            <w:r>
              <w:rPr>
                <w:rFonts w:hint="default" w:ascii="Times New Roman" w:hAnsi="Times New Roman" w:eastAsia="宋体" w:cs="Times New Roman"/>
                <w:color w:val="auto"/>
                <w:spacing w:val="0"/>
                <w:sz w:val="21"/>
                <w:szCs w:val="21"/>
              </w:rPr>
              <w:t>）</w:t>
            </w:r>
            <w:r>
              <w:rPr>
                <w:rFonts w:hint="default" w:ascii="Times New Roman" w:hAnsi="Times New Roman" w:eastAsia="宋体" w:cs="Times New Roman"/>
                <w:color w:val="auto"/>
                <w:spacing w:val="0"/>
                <w:sz w:val="21"/>
                <w:szCs w:val="21"/>
              </w:rPr>
              <w:t>要求</w:t>
            </w:r>
            <w:r>
              <w:rPr>
                <w:rFonts w:hint="default" w:ascii="Times New Roman" w:hAnsi="Times New Roman" w:eastAsia="宋体" w:cs="Times New Roman"/>
                <w:bCs/>
                <w:color w:val="auto"/>
                <w:spacing w:val="0"/>
                <w:kern w:val="0"/>
                <w:sz w:val="21"/>
                <w:szCs w:val="21"/>
                <w:highlight w:val="none"/>
                <w:lang w:val="en-US" w:eastAsia="zh-CN"/>
              </w:rPr>
              <w:t>，</w:t>
            </w:r>
            <w:r>
              <w:rPr>
                <w:rFonts w:hint="default" w:ascii="Times New Roman" w:hAnsi="Times New Roman" w:eastAsia="宋体" w:cs="Times New Roman"/>
                <w:color w:val="auto"/>
                <w:spacing w:val="0"/>
                <w:sz w:val="21"/>
                <w:szCs w:val="21"/>
              </w:rPr>
              <w:t>水厂建成后负责鸡冠低压区、鸡冠部分高压区和鸡冠工业园区、立新矿、恒山区供水。</w:t>
            </w:r>
            <w:r>
              <w:rPr>
                <w:rFonts w:hint="default" w:ascii="Times New Roman" w:hAnsi="Times New Roman" w:eastAsia="宋体" w:cs="Times New Roman"/>
                <w:color w:val="auto"/>
                <w:spacing w:val="0"/>
                <w:sz w:val="21"/>
                <w:szCs w:val="21"/>
                <w:lang w:val="en-US" w:eastAsia="zh-CN"/>
              </w:rPr>
              <w:t>净水厂污泥处理采用</w:t>
            </w:r>
            <w:r>
              <w:rPr>
                <w:rFonts w:hint="default" w:ascii="Times New Roman" w:hAnsi="Times New Roman" w:eastAsia="宋体" w:cs="Times New Roman"/>
                <w:color w:val="auto"/>
                <w:spacing w:val="0"/>
                <w:sz w:val="21"/>
                <w:szCs w:val="21"/>
              </w:rPr>
              <w:t>“容压一体化污泥深度脱水”处理工艺</w:t>
            </w:r>
            <w:r>
              <w:rPr>
                <w:rFonts w:hint="default" w:ascii="Times New Roman" w:hAnsi="Times New Roman" w:cs="Times New Roman"/>
                <w:bCs/>
                <w:color w:val="auto"/>
                <w:kern w:val="0"/>
                <w:sz w:val="21"/>
                <w:szCs w:val="21"/>
                <w:highlight w:val="none"/>
                <w:lang w:val="en-US" w:eastAsia="zh-CN"/>
              </w:rPr>
              <w:t>。</w:t>
            </w:r>
          </w:p>
          <w:p w14:paraId="7E339C5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22" w:firstLineChars="200"/>
              <w:textAlignment w:val="baseline"/>
              <w:rPr>
                <w:rFonts w:hint="default"/>
                <w:b/>
                <w:bCs/>
                <w:color w:val="auto"/>
                <w:szCs w:val="21"/>
                <w:highlight w:val="none"/>
              </w:rPr>
            </w:pPr>
            <w:r>
              <w:rPr>
                <w:rFonts w:hint="eastAsia"/>
                <w:b/>
                <w:bCs/>
                <w:color w:val="auto"/>
                <w:kern w:val="0"/>
                <w:sz w:val="21"/>
                <w:szCs w:val="21"/>
                <w:highlight w:val="none"/>
                <w:lang w:val="en-US" w:eastAsia="zh-CN"/>
              </w:rPr>
              <w:t>1、环</w:t>
            </w:r>
            <w:r>
              <w:rPr>
                <w:rFonts w:hint="default"/>
                <w:b/>
                <w:bCs/>
                <w:color w:val="auto"/>
                <w:kern w:val="0"/>
                <w:sz w:val="21"/>
                <w:szCs w:val="21"/>
                <w:highlight w:val="none"/>
              </w:rPr>
              <w:t>评手续及排污许可履行情况</w:t>
            </w:r>
          </w:p>
          <w:p w14:paraId="2E55D4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auto"/>
                <w:kern w:val="0"/>
                <w:sz w:val="21"/>
                <w:szCs w:val="21"/>
                <w:highlight w:val="none"/>
              </w:rPr>
            </w:pPr>
            <w:r>
              <w:rPr>
                <w:rFonts w:hint="default"/>
                <w:b/>
                <w:bCs/>
                <w:color w:val="auto"/>
                <w:kern w:val="0"/>
                <w:sz w:val="21"/>
                <w:szCs w:val="21"/>
                <w:highlight w:val="none"/>
              </w:rPr>
              <w:t>表2-</w:t>
            </w:r>
            <w:r>
              <w:rPr>
                <w:rFonts w:hint="eastAsia"/>
                <w:b/>
                <w:bCs/>
                <w:color w:val="auto"/>
                <w:kern w:val="0"/>
                <w:sz w:val="21"/>
                <w:szCs w:val="21"/>
                <w:highlight w:val="none"/>
                <w:lang w:val="en-US" w:eastAsia="zh-CN"/>
              </w:rPr>
              <w:t>7</w:t>
            </w:r>
            <w:r>
              <w:rPr>
                <w:rFonts w:hint="default"/>
                <w:b/>
                <w:bCs/>
                <w:color w:val="auto"/>
                <w:kern w:val="0"/>
                <w:sz w:val="21"/>
                <w:szCs w:val="21"/>
                <w:highlight w:val="none"/>
              </w:rPr>
              <w:t>环评验收情况</w:t>
            </w:r>
          </w:p>
          <w:tbl>
            <w:tblPr>
              <w:tblStyle w:val="35"/>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49"/>
              <w:gridCol w:w="2142"/>
              <w:gridCol w:w="1188"/>
              <w:gridCol w:w="1293"/>
              <w:gridCol w:w="2985"/>
            </w:tblGrid>
            <w:tr w14:paraId="4ECD133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noWrap w:val="0"/>
                  <w:vAlign w:val="center"/>
                </w:tcPr>
                <w:p w14:paraId="287312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pacing w:val="0"/>
                      <w:sz w:val="18"/>
                      <w:szCs w:val="18"/>
                      <w:highlight w:val="none"/>
                    </w:rPr>
                  </w:pPr>
                  <w:r>
                    <w:rPr>
                      <w:rFonts w:hint="default"/>
                      <w:color w:val="auto"/>
                      <w:spacing w:val="0"/>
                      <w:sz w:val="18"/>
                      <w:szCs w:val="18"/>
                      <w:highlight w:val="none"/>
                    </w:rPr>
                    <w:t>序号</w:t>
                  </w:r>
                </w:p>
              </w:tc>
              <w:tc>
                <w:tcPr>
                  <w:tcW w:w="1297" w:type="pct"/>
                  <w:noWrap w:val="0"/>
                  <w:vAlign w:val="center"/>
                </w:tcPr>
                <w:p w14:paraId="7D1075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pacing w:val="0"/>
                      <w:sz w:val="18"/>
                      <w:szCs w:val="18"/>
                      <w:highlight w:val="none"/>
                    </w:rPr>
                  </w:pPr>
                  <w:r>
                    <w:rPr>
                      <w:rFonts w:hint="default"/>
                      <w:color w:val="auto"/>
                      <w:spacing w:val="0"/>
                      <w:sz w:val="18"/>
                      <w:szCs w:val="18"/>
                      <w:highlight w:val="none"/>
                    </w:rPr>
                    <w:t>项目名称</w:t>
                  </w:r>
                </w:p>
              </w:tc>
              <w:tc>
                <w:tcPr>
                  <w:tcW w:w="719" w:type="pct"/>
                  <w:noWrap w:val="0"/>
                  <w:vAlign w:val="center"/>
                </w:tcPr>
                <w:p w14:paraId="2A41EA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pacing w:val="0"/>
                      <w:sz w:val="18"/>
                      <w:szCs w:val="18"/>
                      <w:highlight w:val="none"/>
                    </w:rPr>
                  </w:pPr>
                  <w:r>
                    <w:rPr>
                      <w:rFonts w:hint="default"/>
                      <w:color w:val="auto"/>
                      <w:spacing w:val="0"/>
                      <w:sz w:val="18"/>
                      <w:szCs w:val="18"/>
                      <w:highlight w:val="none"/>
                    </w:rPr>
                    <w:t>审批部门</w:t>
                  </w:r>
                </w:p>
              </w:tc>
              <w:tc>
                <w:tcPr>
                  <w:tcW w:w="782" w:type="pct"/>
                  <w:noWrap w:val="0"/>
                  <w:vAlign w:val="center"/>
                </w:tcPr>
                <w:p w14:paraId="37E6A0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pacing w:val="0"/>
                      <w:sz w:val="18"/>
                      <w:szCs w:val="18"/>
                      <w:highlight w:val="none"/>
                    </w:rPr>
                  </w:pPr>
                  <w:r>
                    <w:rPr>
                      <w:rFonts w:hint="default"/>
                      <w:color w:val="auto"/>
                      <w:spacing w:val="0"/>
                      <w:sz w:val="18"/>
                      <w:szCs w:val="18"/>
                      <w:highlight w:val="none"/>
                    </w:rPr>
                    <w:t>环评批复</w:t>
                  </w:r>
                </w:p>
              </w:tc>
              <w:tc>
                <w:tcPr>
                  <w:tcW w:w="1807" w:type="pct"/>
                  <w:noWrap w:val="0"/>
                  <w:vAlign w:val="center"/>
                </w:tcPr>
                <w:p w14:paraId="499C56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olor w:val="auto"/>
                      <w:spacing w:val="0"/>
                      <w:sz w:val="18"/>
                      <w:szCs w:val="18"/>
                      <w:highlight w:val="none"/>
                      <w:lang w:val="en-US" w:eastAsia="zh-CN"/>
                    </w:rPr>
                  </w:pPr>
                  <w:r>
                    <w:rPr>
                      <w:rFonts w:hint="eastAsia"/>
                      <w:color w:val="auto"/>
                      <w:spacing w:val="0"/>
                      <w:sz w:val="18"/>
                      <w:szCs w:val="18"/>
                      <w:highlight w:val="none"/>
                      <w:lang w:val="en-US" w:eastAsia="zh-CN"/>
                    </w:rPr>
                    <w:t>验收</w:t>
                  </w:r>
                </w:p>
              </w:tc>
            </w:tr>
            <w:tr w14:paraId="687CD58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 w:type="pct"/>
                  <w:noWrap w:val="0"/>
                  <w:vAlign w:val="center"/>
                </w:tcPr>
                <w:p w14:paraId="74D9C2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pacing w:val="0"/>
                      <w:sz w:val="18"/>
                      <w:szCs w:val="18"/>
                      <w:highlight w:val="none"/>
                    </w:rPr>
                  </w:pPr>
                  <w:r>
                    <w:rPr>
                      <w:rFonts w:hint="default"/>
                      <w:color w:val="auto"/>
                      <w:spacing w:val="0"/>
                      <w:sz w:val="18"/>
                      <w:szCs w:val="18"/>
                      <w:highlight w:val="none"/>
                    </w:rPr>
                    <w:cr/>
                  </w:r>
                  <w:r>
                    <w:rPr>
                      <w:rFonts w:hint="default"/>
                      <w:color w:val="auto"/>
                      <w:spacing w:val="0"/>
                      <w:sz w:val="18"/>
                      <w:szCs w:val="18"/>
                      <w:highlight w:val="none"/>
                    </w:rPr>
                    <w:t>1</w:t>
                  </w:r>
                </w:p>
              </w:tc>
              <w:tc>
                <w:tcPr>
                  <w:tcW w:w="1297" w:type="pct"/>
                  <w:noWrap w:val="0"/>
                  <w:vAlign w:val="center"/>
                </w:tcPr>
                <w:p w14:paraId="19760B1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olor w:val="auto"/>
                      <w:spacing w:val="0"/>
                      <w:sz w:val="18"/>
                      <w:szCs w:val="18"/>
                      <w:highlight w:val="none"/>
                      <w:lang w:val="en-US" w:eastAsia="zh-CN"/>
                    </w:rPr>
                  </w:pPr>
                  <w:r>
                    <w:rPr>
                      <w:rFonts w:hint="default"/>
                      <w:color w:val="auto"/>
                      <w:spacing w:val="0"/>
                      <w:sz w:val="18"/>
                      <w:szCs w:val="18"/>
                    </w:rPr>
                    <w:t>鸡西市朝阳净水厂及“四区”输配水工程环境影响评价报告书</w:t>
                  </w:r>
                </w:p>
              </w:tc>
              <w:tc>
                <w:tcPr>
                  <w:tcW w:w="719" w:type="pct"/>
                  <w:noWrap w:val="0"/>
                  <w:vAlign w:val="center"/>
                </w:tcPr>
                <w:p w14:paraId="5575EB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pacing w:val="0"/>
                      <w:sz w:val="18"/>
                      <w:szCs w:val="18"/>
                      <w:highlight w:val="none"/>
                    </w:rPr>
                  </w:pPr>
                  <w:r>
                    <w:rPr>
                      <w:rFonts w:hint="default"/>
                      <w:color w:val="auto"/>
                      <w:spacing w:val="0"/>
                      <w:sz w:val="18"/>
                      <w:szCs w:val="18"/>
                    </w:rPr>
                    <w:t>原鸡西市环境保护局</w:t>
                  </w:r>
                </w:p>
              </w:tc>
              <w:tc>
                <w:tcPr>
                  <w:tcW w:w="782" w:type="pct"/>
                  <w:noWrap w:val="0"/>
                  <w:vAlign w:val="center"/>
                </w:tcPr>
                <w:p w14:paraId="2994CF6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pacing w:val="0"/>
                      <w:sz w:val="18"/>
                      <w:szCs w:val="18"/>
                    </w:rPr>
                  </w:pPr>
                  <w:r>
                    <w:rPr>
                      <w:rFonts w:hint="default"/>
                      <w:color w:val="auto"/>
                      <w:spacing w:val="0"/>
                      <w:sz w:val="18"/>
                      <w:szCs w:val="18"/>
                    </w:rPr>
                    <w:t>鸡环审</w:t>
                  </w:r>
                </w:p>
                <w:p w14:paraId="4FF537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pacing w:val="0"/>
                      <w:sz w:val="18"/>
                      <w:szCs w:val="18"/>
                      <w:highlight w:val="none"/>
                    </w:rPr>
                  </w:pPr>
                  <w:r>
                    <w:rPr>
                      <w:rFonts w:hint="eastAsia"/>
                      <w:color w:val="auto"/>
                      <w:spacing w:val="0"/>
                      <w:sz w:val="18"/>
                      <w:szCs w:val="18"/>
                      <w:lang w:eastAsia="zh-CN"/>
                    </w:rPr>
                    <w:t>〔2014〕76号</w:t>
                  </w:r>
                </w:p>
              </w:tc>
              <w:tc>
                <w:tcPr>
                  <w:tcW w:w="1807" w:type="pct"/>
                  <w:noWrap w:val="0"/>
                  <w:vAlign w:val="center"/>
                </w:tcPr>
                <w:p w14:paraId="6697E5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pacing w:val="0"/>
                      <w:sz w:val="18"/>
                      <w:szCs w:val="18"/>
                      <w:highlight w:val="none"/>
                      <w:lang w:val="en-US" w:eastAsia="zh-CN"/>
                    </w:rPr>
                  </w:pPr>
                  <w:r>
                    <w:rPr>
                      <w:rFonts w:hint="default" w:ascii="Times New Roman" w:hAnsi="Times New Roman" w:eastAsia="宋体" w:cs="Times New Roman"/>
                      <w:color w:val="auto"/>
                      <w:spacing w:val="0"/>
                      <w:sz w:val="18"/>
                      <w:szCs w:val="18"/>
                    </w:rPr>
                    <w:t>2022年2月15日取得《鸡西市朝  阳净水厂及“四区”输配水工程竣工环境保护验收调查报告验收意见》</w:t>
                  </w:r>
                </w:p>
              </w:tc>
            </w:tr>
          </w:tbl>
          <w:p w14:paraId="213F81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default" w:eastAsia="宋体"/>
                <w:color w:val="auto"/>
                <w:sz w:val="21"/>
                <w:szCs w:val="21"/>
                <w:highlight w:val="none"/>
                <w:lang w:val="en-US" w:eastAsia="zh-CN"/>
              </w:rPr>
            </w:pPr>
            <w:r>
              <w:rPr>
                <w:rFonts w:hint="default" w:ascii="Times New Roman" w:hAnsi="Times New Roman" w:eastAsia="宋体" w:cs="Times New Roman"/>
                <w:color w:val="auto"/>
                <w:spacing w:val="0"/>
                <w:kern w:val="0"/>
                <w:sz w:val="21"/>
                <w:szCs w:val="21"/>
              </w:rPr>
              <w:t>鸡西市供水有限公司排污许可登记回执</w:t>
            </w:r>
            <w:r>
              <w:rPr>
                <w:rFonts w:hint="eastAsia"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登记编号：91230300129057358C002X</w:t>
            </w:r>
            <w:r>
              <w:rPr>
                <w:rFonts w:hint="eastAsia" w:ascii="Times New Roman" w:hAnsi="Times New Roman" w:eastAsia="宋体" w:cs="Times New Roman"/>
                <w:color w:val="auto"/>
                <w:spacing w:val="0"/>
                <w:kern w:val="0"/>
                <w:sz w:val="21"/>
                <w:szCs w:val="21"/>
                <w:lang w:eastAsia="zh-CN"/>
              </w:rPr>
              <w:t>）</w:t>
            </w:r>
            <w:r>
              <w:rPr>
                <w:rFonts w:hint="eastAsia" w:cs="Times New Roman"/>
                <w:color w:val="auto"/>
                <w:spacing w:val="0"/>
                <w:kern w:val="0"/>
                <w:sz w:val="21"/>
                <w:szCs w:val="21"/>
                <w:lang w:eastAsia="zh-CN"/>
              </w:rPr>
              <w:t>，</w:t>
            </w:r>
            <w:r>
              <w:rPr>
                <w:rFonts w:hint="eastAsia" w:cs="Times New Roman"/>
                <w:color w:val="auto"/>
                <w:spacing w:val="0"/>
                <w:kern w:val="0"/>
                <w:sz w:val="21"/>
                <w:szCs w:val="21"/>
                <w:lang w:val="en-US" w:eastAsia="zh-CN"/>
              </w:rPr>
              <w:t>登记时间2024年8月15日</w:t>
            </w:r>
            <w:r>
              <w:rPr>
                <w:rFonts w:hint="default" w:ascii="Times New Roman" w:hAnsi="Times New Roman" w:eastAsia="宋体" w:cs="Times New Roman"/>
                <w:color w:val="auto"/>
                <w:spacing w:val="0"/>
                <w:kern w:val="0"/>
                <w:sz w:val="21"/>
                <w:szCs w:val="21"/>
                <w:highlight w:val="none"/>
                <w:lang w:eastAsia="zh-CN"/>
              </w:rPr>
              <w:t>。</w:t>
            </w:r>
            <w:r>
              <w:rPr>
                <w:rFonts w:hint="default" w:ascii="Times New Roman" w:hAnsi="Times New Roman" w:eastAsia="宋体" w:cs="Times New Roman"/>
                <w:color w:val="auto"/>
                <w:spacing w:val="0"/>
                <w:kern w:val="0"/>
                <w:sz w:val="21"/>
                <w:szCs w:val="21"/>
              </w:rPr>
              <w:t>2022年2月28日鸡西市朝阳净水厂突发环境事件应急预案备案完成，备案编号为230302202244L。</w:t>
            </w:r>
          </w:p>
          <w:p w14:paraId="3040D5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eastAsia="宋体" w:cs="Times New Roman"/>
                <w:b/>
                <w:bCs/>
                <w:color w:val="auto"/>
                <w:spacing w:val="0"/>
                <w:kern w:val="2"/>
                <w:sz w:val="21"/>
                <w:szCs w:val="21"/>
                <w:lang w:val="en-US" w:eastAsia="zh-CN" w:bidi="ar-SA"/>
              </w:rPr>
              <w:t>2、</w:t>
            </w:r>
            <w:r>
              <w:rPr>
                <w:rFonts w:hint="default" w:ascii="Times New Roman" w:hAnsi="Times New Roman" w:cs="Times New Roman"/>
                <w:b/>
                <w:bCs/>
                <w:color w:val="auto"/>
                <w:spacing w:val="0"/>
                <w:sz w:val="21"/>
                <w:szCs w:val="21"/>
                <w:highlight w:val="none"/>
              </w:rPr>
              <w:t>现有项目污染情况</w:t>
            </w:r>
          </w:p>
          <w:p w14:paraId="4F53203C">
            <w:pPr>
              <w:pStyle w:val="1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default" w:ascii="Times New Roman" w:hAnsi="Times New Roman" w:eastAsia="宋体" w:cs="Times New Roman"/>
                <w:bCs/>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废气：</w:t>
            </w:r>
            <w:r>
              <w:rPr>
                <w:rFonts w:hint="default" w:ascii="Times New Roman" w:hAnsi="Times New Roman" w:eastAsia="宋体" w:cs="Times New Roman"/>
                <w:color w:val="auto"/>
                <w:spacing w:val="0"/>
                <w:sz w:val="21"/>
                <w:szCs w:val="21"/>
                <w:lang w:val="en-US" w:eastAsia="zh-CN"/>
              </w:rPr>
              <w:t>净化</w:t>
            </w:r>
            <w:r>
              <w:rPr>
                <w:rFonts w:hint="default" w:ascii="Times New Roman" w:hAnsi="Times New Roman" w:eastAsia="宋体" w:cs="Times New Roman"/>
                <w:color w:val="auto"/>
                <w:spacing w:val="0"/>
                <w:sz w:val="21"/>
                <w:szCs w:val="21"/>
              </w:rPr>
              <w:t>水厂在正常生产过程中不会排放生产废气，加氯间仅有少量游离的</w:t>
            </w:r>
            <w:r>
              <w:rPr>
                <w:rFonts w:hint="default" w:ascii="Times New Roman" w:hAnsi="Times New Roman" w:eastAsia="Times New Roman" w:cs="Times New Roman"/>
                <w:color w:val="auto"/>
                <w:spacing w:val="0"/>
                <w:sz w:val="21"/>
                <w:szCs w:val="21"/>
              </w:rPr>
              <w:t>Cl</w:t>
            </w:r>
            <w:r>
              <w:rPr>
                <w:rFonts w:hint="default" w:ascii="Times New Roman" w:hAnsi="Times New Roman" w:eastAsia="宋体" w:cs="Times New Roman"/>
                <w:color w:val="auto"/>
                <w:spacing w:val="0"/>
                <w:sz w:val="21"/>
                <w:szCs w:val="21"/>
              </w:rPr>
              <w:t>产生；本工程稳压配水间通风次数为2次/</w:t>
            </w:r>
            <w:r>
              <w:rPr>
                <w:rFonts w:hint="default" w:ascii="Times New Roman" w:hAnsi="Times New Roman" w:eastAsia="Times New Roman" w:cs="Times New Roman"/>
                <w:color w:val="auto"/>
                <w:spacing w:val="0"/>
                <w:sz w:val="21"/>
                <w:szCs w:val="21"/>
              </w:rPr>
              <w:t>h</w:t>
            </w:r>
            <w:r>
              <w:rPr>
                <w:rFonts w:hint="eastAsia"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设置1台轴流通风机。滤池间通风次数为3次/h</w:t>
            </w:r>
            <w:r>
              <w:rPr>
                <w:rFonts w:hint="eastAsia"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设置2台轴流通风机。加氯、加药间通风次数为8次</w:t>
            </w:r>
            <w:r>
              <w:rPr>
                <w:rFonts w:hint="default" w:ascii="Times New Roman" w:hAnsi="Times New Roman" w:eastAsia="Times New Roman" w:cs="Times New Roman"/>
                <w:color w:val="auto"/>
                <w:spacing w:val="0"/>
                <w:sz w:val="21"/>
                <w:szCs w:val="21"/>
              </w:rPr>
              <w:t>h</w:t>
            </w:r>
            <w:r>
              <w:rPr>
                <w:rFonts w:hint="eastAsia"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设置6台轴流通风机。污泥脱水间通风次数为8次/</w:t>
            </w:r>
            <w:r>
              <w:rPr>
                <w:rFonts w:hint="default" w:ascii="Times New Roman" w:hAnsi="Times New Roman" w:eastAsia="Times New Roman" w:cs="Times New Roman"/>
                <w:color w:val="auto"/>
                <w:spacing w:val="0"/>
                <w:sz w:val="21"/>
                <w:szCs w:val="21"/>
              </w:rPr>
              <w:t>h</w:t>
            </w:r>
            <w:r>
              <w:rPr>
                <w:rFonts w:hint="eastAsia"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设置5台轴流通风机。经上述措施，同时加强室内通风及厂区绿化</w:t>
            </w:r>
            <w:r>
              <w:rPr>
                <w:rFonts w:hint="eastAsia" w:cs="Times New Roman"/>
                <w:color w:val="auto"/>
                <w:spacing w:val="0"/>
                <w:sz w:val="21"/>
                <w:szCs w:val="21"/>
                <w:lang w:eastAsia="zh-CN"/>
              </w:rPr>
              <w:t>。</w:t>
            </w:r>
            <w:r>
              <w:rPr>
                <w:rFonts w:hint="eastAsia" w:cs="Times New Roman"/>
                <w:color w:val="auto"/>
                <w:spacing w:val="0"/>
                <w:sz w:val="21"/>
                <w:szCs w:val="21"/>
                <w:lang w:val="en-US" w:eastAsia="zh-CN"/>
              </w:rPr>
              <w:t>根据2025年9月11日检测报告（SY-BG-20250911-03）中</w:t>
            </w:r>
            <w:r>
              <w:rPr>
                <w:rFonts w:hint="eastAsia"/>
                <w:color w:val="auto"/>
                <w:sz w:val="21"/>
                <w:szCs w:val="21"/>
              </w:rPr>
              <w:t>数据可知，</w:t>
            </w:r>
            <w:r>
              <w:rPr>
                <w:rFonts w:hint="eastAsia"/>
                <w:color w:val="auto"/>
                <w:sz w:val="21"/>
                <w:szCs w:val="21"/>
                <w:lang w:val="en-US" w:eastAsia="zh-CN"/>
              </w:rPr>
              <w:t>氯气无</w:t>
            </w:r>
            <w:r>
              <w:rPr>
                <w:rFonts w:hint="default"/>
                <w:color w:val="auto"/>
                <w:sz w:val="21"/>
                <w:szCs w:val="21"/>
              </w:rPr>
              <w:t>组织物</w:t>
            </w:r>
            <w:r>
              <w:rPr>
                <w:rFonts w:hint="eastAsia"/>
                <w:color w:val="auto"/>
                <w:sz w:val="21"/>
                <w:szCs w:val="21"/>
              </w:rPr>
              <w:t>排放</w:t>
            </w:r>
            <w:r>
              <w:rPr>
                <w:rFonts w:hint="default"/>
                <w:color w:val="auto"/>
                <w:sz w:val="21"/>
                <w:szCs w:val="21"/>
              </w:rPr>
              <w:t>浓度</w:t>
            </w:r>
            <w:r>
              <w:rPr>
                <w:rFonts w:hint="eastAsia"/>
                <w:color w:val="auto"/>
                <w:sz w:val="21"/>
                <w:szCs w:val="21"/>
                <w:lang w:val="en-US" w:eastAsia="zh-CN"/>
              </w:rPr>
              <w:t>最大值</w:t>
            </w:r>
            <w:r>
              <w:rPr>
                <w:rFonts w:hint="default"/>
                <w:color w:val="auto"/>
                <w:sz w:val="21"/>
                <w:szCs w:val="21"/>
              </w:rPr>
              <w:t>为</w:t>
            </w:r>
            <w:r>
              <w:rPr>
                <w:rFonts w:hint="eastAsia"/>
                <w:color w:val="auto"/>
                <w:sz w:val="21"/>
                <w:szCs w:val="21"/>
                <w:lang w:val="en-US" w:eastAsia="zh-CN"/>
              </w:rPr>
              <w:t>0.09</w:t>
            </w:r>
            <w:r>
              <w:rPr>
                <w:rFonts w:hint="default"/>
                <w:color w:val="auto"/>
                <w:sz w:val="21"/>
                <w:szCs w:val="21"/>
              </w:rPr>
              <w:t>mg/m</w:t>
            </w:r>
            <w:r>
              <w:rPr>
                <w:rFonts w:hint="eastAsia"/>
                <w:color w:val="auto"/>
                <w:sz w:val="21"/>
                <w:szCs w:val="21"/>
                <w:vertAlign w:val="superscript"/>
              </w:rPr>
              <w:t>3</w:t>
            </w:r>
            <w:r>
              <w:rPr>
                <w:rFonts w:hint="eastAsia"/>
                <w:color w:val="auto"/>
                <w:sz w:val="21"/>
                <w:szCs w:val="21"/>
                <w:lang w:eastAsia="zh-CN"/>
              </w:rPr>
              <w:t>，</w:t>
            </w:r>
            <w:r>
              <w:rPr>
                <w:rFonts w:hint="default" w:ascii="Times New Roman" w:hAnsi="Times New Roman" w:eastAsia="宋体" w:cs="Times New Roman"/>
                <w:color w:val="auto"/>
                <w:spacing w:val="0"/>
                <w:sz w:val="21"/>
                <w:szCs w:val="21"/>
              </w:rPr>
              <w:t>满足《大气污染物综合排放标准》</w:t>
            </w:r>
            <w:r>
              <w:rPr>
                <w:rFonts w:hint="eastAsia" w:ascii="Times New Roman" w:hAnsi="Times New Roman" w:eastAsia="宋体" w:cs="Times New Roman"/>
                <w:color w:val="auto"/>
                <w:spacing w:val="0"/>
                <w:sz w:val="21"/>
                <w:szCs w:val="21"/>
                <w:lang w:eastAsia="zh-CN"/>
              </w:rPr>
              <w:t>（</w:t>
            </w:r>
            <w:r>
              <w:rPr>
                <w:rFonts w:hint="default" w:ascii="Times New Roman" w:hAnsi="Times New Roman" w:eastAsia="Times New Roman" w:cs="Times New Roman"/>
                <w:color w:val="auto"/>
                <w:spacing w:val="0"/>
                <w:sz w:val="21"/>
                <w:szCs w:val="21"/>
              </w:rPr>
              <w:t xml:space="preserve">GB16297-1996) </w:t>
            </w:r>
            <w:r>
              <w:rPr>
                <w:rFonts w:hint="default" w:ascii="Times New Roman" w:hAnsi="Times New Roman" w:eastAsia="宋体" w:cs="Times New Roman"/>
                <w:color w:val="auto"/>
                <w:spacing w:val="0"/>
                <w:sz w:val="21"/>
                <w:szCs w:val="21"/>
              </w:rPr>
              <w:t>中无组织排放监控浓度限值要求</w:t>
            </w:r>
            <w:r>
              <w:rPr>
                <w:rFonts w:hint="default" w:ascii="Times New Roman" w:hAnsi="Times New Roman" w:cs="Times New Roman"/>
                <w:color w:val="auto"/>
                <w:spacing w:val="0"/>
                <w:sz w:val="21"/>
                <w:szCs w:val="21"/>
                <w:highlight w:val="none"/>
                <w:lang w:val="en-US" w:eastAsia="zh-CN"/>
              </w:rPr>
              <w:t>；</w:t>
            </w:r>
            <w:r>
              <w:rPr>
                <w:rFonts w:hint="default" w:ascii="Times New Roman" w:hAnsi="Times New Roman" w:eastAsia="宋体" w:cs="Times New Roman"/>
                <w:color w:val="auto"/>
                <w:spacing w:val="0"/>
                <w:kern w:val="0"/>
                <w:sz w:val="21"/>
                <w:szCs w:val="21"/>
                <w:lang w:val="en-US" w:eastAsia="zh-CN"/>
              </w:rPr>
              <w:t>食堂油烟经油烟净化器（处理效率75%）处理后</w:t>
            </w:r>
            <w:r>
              <w:rPr>
                <w:rFonts w:hint="default" w:ascii="Times New Roman" w:hAnsi="Times New Roman" w:eastAsia="宋体" w:cs="Times New Roman"/>
                <w:color w:val="auto"/>
                <w:spacing w:val="0"/>
                <w:sz w:val="21"/>
                <w:szCs w:val="21"/>
              </w:rPr>
              <w:t>由专用烟道高于楼顶排放</w:t>
            </w:r>
            <w:r>
              <w:rPr>
                <w:rFonts w:hint="default" w:ascii="Times New Roman" w:hAnsi="Times New Roman" w:eastAsia="宋体" w:cs="Times New Roman"/>
                <w:color w:val="auto"/>
                <w:spacing w:val="0"/>
                <w:sz w:val="21"/>
                <w:szCs w:val="21"/>
                <w:lang w:eastAsia="zh-CN"/>
              </w:rPr>
              <w:t>，</w:t>
            </w:r>
            <w:r>
              <w:rPr>
                <w:rFonts w:hint="eastAsia" w:cs="Times New Roman"/>
                <w:color w:val="auto"/>
                <w:spacing w:val="0"/>
                <w:sz w:val="21"/>
                <w:szCs w:val="21"/>
                <w:lang w:val="en-US" w:eastAsia="zh-CN"/>
              </w:rPr>
              <w:t>根据2025年9月11日检测报告（SY-BG-20250911-03）中</w:t>
            </w:r>
            <w:r>
              <w:rPr>
                <w:rFonts w:hint="eastAsia"/>
                <w:color w:val="auto"/>
                <w:sz w:val="21"/>
                <w:szCs w:val="21"/>
              </w:rPr>
              <w:t>数据可知，</w:t>
            </w:r>
            <w:r>
              <w:rPr>
                <w:rFonts w:hint="eastAsia"/>
                <w:color w:val="auto"/>
                <w:sz w:val="21"/>
                <w:szCs w:val="21"/>
                <w:lang w:val="en-US" w:eastAsia="zh-CN"/>
              </w:rPr>
              <w:t>油烟</w:t>
            </w:r>
            <w:r>
              <w:rPr>
                <w:rFonts w:hint="eastAsia"/>
                <w:color w:val="auto"/>
                <w:sz w:val="21"/>
                <w:szCs w:val="21"/>
              </w:rPr>
              <w:t>排放</w:t>
            </w:r>
            <w:r>
              <w:rPr>
                <w:rFonts w:hint="default"/>
                <w:color w:val="auto"/>
                <w:sz w:val="21"/>
                <w:szCs w:val="21"/>
              </w:rPr>
              <w:t>浓度</w:t>
            </w:r>
            <w:r>
              <w:rPr>
                <w:rFonts w:hint="eastAsia"/>
                <w:color w:val="auto"/>
                <w:sz w:val="21"/>
                <w:szCs w:val="21"/>
                <w:lang w:val="en-US" w:eastAsia="zh-CN"/>
              </w:rPr>
              <w:t>最大值</w:t>
            </w:r>
            <w:r>
              <w:rPr>
                <w:rFonts w:hint="default"/>
                <w:color w:val="auto"/>
                <w:sz w:val="21"/>
                <w:szCs w:val="21"/>
              </w:rPr>
              <w:t>为</w:t>
            </w:r>
            <w:r>
              <w:rPr>
                <w:rFonts w:hint="eastAsia"/>
                <w:color w:val="auto"/>
                <w:sz w:val="21"/>
                <w:szCs w:val="21"/>
                <w:lang w:val="en-US" w:eastAsia="zh-CN"/>
              </w:rPr>
              <w:t>0.523</w:t>
            </w:r>
            <w:r>
              <w:rPr>
                <w:rFonts w:hint="default"/>
                <w:color w:val="auto"/>
                <w:sz w:val="21"/>
                <w:szCs w:val="21"/>
              </w:rPr>
              <w:t>mg/m</w:t>
            </w:r>
            <w:r>
              <w:rPr>
                <w:rFonts w:hint="eastAsia"/>
                <w:color w:val="auto"/>
                <w:sz w:val="21"/>
                <w:szCs w:val="21"/>
                <w:vertAlign w:val="superscript"/>
              </w:rPr>
              <w:t>3</w:t>
            </w:r>
            <w:r>
              <w:rPr>
                <w:rFonts w:hint="eastAsia"/>
                <w:color w:val="auto"/>
                <w:sz w:val="21"/>
                <w:szCs w:val="21"/>
                <w:lang w:eastAsia="zh-CN"/>
              </w:rPr>
              <w:t>，</w:t>
            </w:r>
            <w:r>
              <w:rPr>
                <w:rFonts w:hint="default" w:ascii="Times New Roman" w:hAnsi="Times New Roman" w:eastAsia="宋体" w:cs="Times New Roman"/>
                <w:color w:val="auto"/>
                <w:spacing w:val="0"/>
                <w:sz w:val="21"/>
                <w:szCs w:val="21"/>
              </w:rPr>
              <w:t>油烟排放</w:t>
            </w:r>
            <w:r>
              <w:rPr>
                <w:rFonts w:hint="default" w:ascii="Times New Roman" w:hAnsi="Times New Roman" w:eastAsia="宋体" w:cs="Times New Roman"/>
                <w:color w:val="auto"/>
                <w:spacing w:val="0"/>
                <w:sz w:val="21"/>
                <w:szCs w:val="21"/>
                <w:lang w:val="en-US" w:eastAsia="zh-CN"/>
              </w:rPr>
              <w:t>满足</w:t>
            </w:r>
            <w:r>
              <w:rPr>
                <w:rFonts w:hint="default" w:ascii="Times New Roman" w:hAnsi="Times New Roman" w:eastAsia="宋体" w:cs="Times New Roman"/>
                <w:color w:val="auto"/>
                <w:spacing w:val="0"/>
                <w:sz w:val="21"/>
                <w:szCs w:val="21"/>
              </w:rPr>
              <w:t>《饮食业油烟排放标准》</w:t>
            </w:r>
            <w:r>
              <w:rPr>
                <w:rFonts w:hint="eastAsia"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试行GB18483-2001</w:t>
            </w:r>
            <w:r>
              <w:rPr>
                <w:rFonts w:hint="eastAsia"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中最高允许排放浓度2.0mg/m³</w:t>
            </w:r>
            <w:r>
              <w:rPr>
                <w:rFonts w:hint="default" w:ascii="Times New Roman" w:hAnsi="Times New Roman" w:eastAsia="宋体" w:cs="Times New Roman"/>
                <w:color w:val="auto"/>
                <w:spacing w:val="0"/>
                <w:sz w:val="21"/>
                <w:szCs w:val="21"/>
                <w:vertAlign w:val="baseline"/>
                <w:lang w:eastAsia="zh-CN"/>
              </w:rPr>
              <w:t>；</w:t>
            </w:r>
            <w:r>
              <w:rPr>
                <w:rFonts w:hint="default" w:ascii="Times New Roman" w:hAnsi="Times New Roman" w:eastAsia="宋体" w:cs="Times New Roman"/>
                <w:color w:val="auto"/>
                <w:spacing w:val="0"/>
                <w:sz w:val="21"/>
                <w:szCs w:val="21"/>
              </w:rPr>
              <w:t>净水厂在生产区不会产生臭味，但在污泥处理区的贮泥池、浓缩池、污泥浓缩脱水间等会产生轻微的臭味，因比较轻微，且厂区设有绿化隔离带可以起到稀释净化作用，不会对周围的环境造成危害</w:t>
            </w:r>
            <w:r>
              <w:rPr>
                <w:rFonts w:hint="eastAsia" w:cs="Times New Roman"/>
                <w:color w:val="auto"/>
                <w:spacing w:val="0"/>
                <w:sz w:val="21"/>
                <w:szCs w:val="21"/>
                <w:lang w:eastAsia="zh-CN"/>
              </w:rPr>
              <w:t>。</w:t>
            </w:r>
            <w:r>
              <w:rPr>
                <w:rFonts w:hint="eastAsia" w:cs="Times New Roman"/>
                <w:color w:val="auto"/>
                <w:spacing w:val="0"/>
                <w:sz w:val="21"/>
                <w:szCs w:val="21"/>
                <w:lang w:val="en-US" w:eastAsia="zh-CN"/>
              </w:rPr>
              <w:t>根据2025年9月11日检测报告（SY-BG-20250911-03）中</w:t>
            </w:r>
            <w:r>
              <w:rPr>
                <w:rFonts w:hint="eastAsia"/>
                <w:color w:val="auto"/>
                <w:sz w:val="21"/>
                <w:szCs w:val="21"/>
              </w:rPr>
              <w:t>数据可知，</w:t>
            </w:r>
            <w:r>
              <w:rPr>
                <w:rFonts w:hint="eastAsia"/>
                <w:color w:val="auto"/>
                <w:sz w:val="21"/>
                <w:szCs w:val="21"/>
                <w:lang w:val="en-US" w:eastAsia="zh-CN"/>
              </w:rPr>
              <w:t>氨无组织</w:t>
            </w:r>
            <w:r>
              <w:rPr>
                <w:rFonts w:hint="eastAsia"/>
                <w:color w:val="auto"/>
                <w:sz w:val="21"/>
                <w:szCs w:val="21"/>
              </w:rPr>
              <w:t>排放</w:t>
            </w:r>
            <w:r>
              <w:rPr>
                <w:rFonts w:hint="default"/>
                <w:color w:val="auto"/>
                <w:sz w:val="21"/>
                <w:szCs w:val="21"/>
              </w:rPr>
              <w:t>浓度</w:t>
            </w:r>
            <w:r>
              <w:rPr>
                <w:rFonts w:hint="eastAsia"/>
                <w:color w:val="auto"/>
                <w:sz w:val="21"/>
                <w:szCs w:val="21"/>
                <w:lang w:val="en-US" w:eastAsia="zh-CN"/>
              </w:rPr>
              <w:t>最大值</w:t>
            </w:r>
            <w:r>
              <w:rPr>
                <w:rFonts w:hint="default"/>
                <w:color w:val="auto"/>
                <w:sz w:val="21"/>
                <w:szCs w:val="21"/>
              </w:rPr>
              <w:t>为</w:t>
            </w:r>
            <w:r>
              <w:rPr>
                <w:rFonts w:hint="eastAsia"/>
                <w:color w:val="auto"/>
                <w:sz w:val="21"/>
                <w:szCs w:val="21"/>
                <w:lang w:val="en-US" w:eastAsia="zh-CN"/>
              </w:rPr>
              <w:t>0.009</w:t>
            </w:r>
            <w:r>
              <w:rPr>
                <w:rFonts w:hint="default"/>
                <w:color w:val="auto"/>
                <w:sz w:val="21"/>
                <w:szCs w:val="21"/>
              </w:rPr>
              <w:t>mg/m</w:t>
            </w:r>
            <w:r>
              <w:rPr>
                <w:rFonts w:hint="eastAsia"/>
                <w:color w:val="auto"/>
                <w:sz w:val="21"/>
                <w:szCs w:val="21"/>
                <w:vertAlign w:val="superscript"/>
              </w:rPr>
              <w:t>3</w:t>
            </w:r>
            <w:r>
              <w:rPr>
                <w:rFonts w:hint="eastAsia"/>
                <w:color w:val="auto"/>
                <w:sz w:val="21"/>
                <w:szCs w:val="21"/>
              </w:rPr>
              <w:t>，</w:t>
            </w:r>
            <w:r>
              <w:rPr>
                <w:rFonts w:hint="eastAsia"/>
                <w:color w:val="auto"/>
                <w:sz w:val="21"/>
                <w:szCs w:val="21"/>
                <w:lang w:val="en-US" w:eastAsia="zh-CN"/>
              </w:rPr>
              <w:t>硫化氢无组织</w:t>
            </w:r>
            <w:r>
              <w:rPr>
                <w:rFonts w:hint="eastAsia"/>
                <w:color w:val="auto"/>
                <w:sz w:val="21"/>
                <w:szCs w:val="21"/>
              </w:rPr>
              <w:t>排放</w:t>
            </w:r>
            <w:r>
              <w:rPr>
                <w:rFonts w:hint="default"/>
                <w:color w:val="auto"/>
                <w:sz w:val="21"/>
                <w:szCs w:val="21"/>
              </w:rPr>
              <w:t>浓度</w:t>
            </w:r>
            <w:r>
              <w:rPr>
                <w:rFonts w:hint="eastAsia"/>
                <w:color w:val="auto"/>
                <w:sz w:val="21"/>
                <w:szCs w:val="21"/>
                <w:lang w:val="en-US" w:eastAsia="zh-CN"/>
              </w:rPr>
              <w:t>最大值</w:t>
            </w:r>
            <w:r>
              <w:rPr>
                <w:rFonts w:hint="default"/>
                <w:color w:val="auto"/>
                <w:sz w:val="21"/>
                <w:szCs w:val="21"/>
              </w:rPr>
              <w:t>为</w:t>
            </w:r>
            <w:r>
              <w:rPr>
                <w:rFonts w:hint="eastAsia"/>
                <w:color w:val="auto"/>
                <w:sz w:val="21"/>
                <w:szCs w:val="21"/>
                <w:lang w:val="en-US" w:eastAsia="zh-CN"/>
              </w:rPr>
              <w:t>0.006</w:t>
            </w:r>
            <w:r>
              <w:rPr>
                <w:rFonts w:hint="default"/>
                <w:color w:val="auto"/>
                <w:sz w:val="21"/>
                <w:szCs w:val="21"/>
              </w:rPr>
              <w:t>mg/m</w:t>
            </w:r>
            <w:r>
              <w:rPr>
                <w:rFonts w:hint="eastAsia"/>
                <w:color w:val="auto"/>
                <w:sz w:val="21"/>
                <w:szCs w:val="21"/>
                <w:vertAlign w:val="superscript"/>
              </w:rPr>
              <w:t>3</w:t>
            </w:r>
            <w:r>
              <w:rPr>
                <w:rFonts w:hint="eastAsia"/>
                <w:color w:val="auto"/>
                <w:sz w:val="21"/>
                <w:szCs w:val="21"/>
              </w:rPr>
              <w:t>，</w:t>
            </w:r>
            <w:r>
              <w:rPr>
                <w:rFonts w:hint="eastAsia"/>
                <w:color w:val="auto"/>
                <w:sz w:val="21"/>
                <w:szCs w:val="21"/>
                <w:lang w:val="en-US" w:eastAsia="zh-CN"/>
              </w:rPr>
              <w:t>臭气浓度无组织</w:t>
            </w:r>
            <w:r>
              <w:rPr>
                <w:rFonts w:hint="eastAsia"/>
                <w:color w:val="auto"/>
                <w:sz w:val="21"/>
                <w:szCs w:val="21"/>
              </w:rPr>
              <w:t>排放</w:t>
            </w:r>
            <w:r>
              <w:rPr>
                <w:rFonts w:hint="default"/>
                <w:color w:val="auto"/>
                <w:sz w:val="21"/>
                <w:szCs w:val="21"/>
              </w:rPr>
              <w:t>浓度</w:t>
            </w:r>
            <w:r>
              <w:rPr>
                <w:rFonts w:hint="eastAsia"/>
                <w:color w:val="auto"/>
                <w:sz w:val="21"/>
                <w:szCs w:val="21"/>
                <w:lang w:val="en-US" w:eastAsia="zh-CN"/>
              </w:rPr>
              <w:t>最大值</w:t>
            </w:r>
            <w:r>
              <w:rPr>
                <w:rFonts w:hint="default"/>
                <w:color w:val="auto"/>
                <w:sz w:val="21"/>
                <w:szCs w:val="21"/>
              </w:rPr>
              <w:t>为</w:t>
            </w:r>
            <w:r>
              <w:rPr>
                <w:rFonts w:hint="eastAsia"/>
                <w:color w:val="auto"/>
                <w:sz w:val="21"/>
                <w:szCs w:val="21"/>
                <w:lang w:val="en-US" w:eastAsia="zh-CN"/>
              </w:rPr>
              <w:t>10L（无量纲）</w:t>
            </w:r>
            <w:r>
              <w:rPr>
                <w:rFonts w:hint="eastAsia"/>
                <w:color w:val="auto"/>
                <w:sz w:val="21"/>
                <w:szCs w:val="21"/>
              </w:rPr>
              <w:t>，</w:t>
            </w:r>
            <w:r>
              <w:rPr>
                <w:rFonts w:hint="default" w:ascii="Times New Roman" w:hAnsi="Times New Roman" w:eastAsia="宋体" w:cs="Times New Roman"/>
                <w:color w:val="auto"/>
                <w:spacing w:val="0"/>
                <w:kern w:val="0"/>
                <w:sz w:val="21"/>
                <w:szCs w:val="21"/>
              </w:rPr>
              <w:t>氨、硫化氢、臭气浓度满足《恶臭污染物排放标准》 (GB14554-93</w:t>
            </w:r>
            <w:r>
              <w:rPr>
                <w:rFonts w:hint="eastAsia"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表一限值要求</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lang w:val="en-US" w:eastAsia="zh-CN"/>
              </w:rPr>
              <w:t>废气</w:t>
            </w:r>
            <w:r>
              <w:rPr>
                <w:rFonts w:hint="default" w:ascii="Times New Roman" w:hAnsi="Times New Roman" w:cs="Times New Roman"/>
                <w:color w:val="auto"/>
                <w:spacing w:val="0"/>
                <w:sz w:val="21"/>
                <w:szCs w:val="21"/>
                <w:highlight w:val="none"/>
                <w:lang w:val="en-US" w:eastAsia="zh-CN"/>
              </w:rPr>
              <w:t>对周边环境影响较小。</w:t>
            </w:r>
          </w:p>
          <w:p w14:paraId="1ABC8B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废水：</w:t>
            </w:r>
            <w:r>
              <w:rPr>
                <w:rFonts w:hint="default" w:ascii="Times New Roman" w:hAnsi="Times New Roman" w:eastAsia="宋体" w:cs="Times New Roman"/>
                <w:color w:val="auto"/>
                <w:spacing w:val="0"/>
                <w:sz w:val="21"/>
                <w:szCs w:val="21"/>
                <w:lang w:val="en-US" w:eastAsia="zh-CN"/>
              </w:rPr>
              <w:t>现有工程</w:t>
            </w:r>
            <w:r>
              <w:rPr>
                <w:rFonts w:hint="default" w:ascii="Times New Roman" w:hAnsi="Times New Roman" w:eastAsia="宋体" w:cs="Times New Roman"/>
                <w:color w:val="auto"/>
                <w:spacing w:val="0"/>
                <w:sz w:val="21"/>
                <w:szCs w:val="21"/>
              </w:rPr>
              <w:t>排泥水、滤池</w:t>
            </w:r>
            <w:r>
              <w:rPr>
                <w:rFonts w:hint="default" w:ascii="Times New Roman" w:hAnsi="Times New Roman" w:eastAsia="宋体" w:cs="Times New Roman"/>
                <w:color w:val="auto"/>
                <w:spacing w:val="0"/>
                <w:sz w:val="21"/>
                <w:szCs w:val="21"/>
                <w:lang w:val="en-US" w:eastAsia="zh-CN"/>
              </w:rPr>
              <w:t>反冲洗废水</w:t>
            </w:r>
            <w:r>
              <w:rPr>
                <w:rFonts w:hint="default" w:ascii="Times New Roman" w:hAnsi="Times New Roman" w:eastAsia="宋体" w:cs="Times New Roman"/>
                <w:color w:val="auto"/>
                <w:spacing w:val="0"/>
                <w:sz w:val="21"/>
                <w:szCs w:val="21"/>
              </w:rPr>
              <w:t>进入废水回收池排入配水井重新处理不外排；生活污水</w:t>
            </w:r>
            <w:r>
              <w:rPr>
                <w:rFonts w:hint="eastAsia" w:ascii="Times New Roman" w:hAnsi="Times New Roman" w:eastAsia="宋体" w:cs="Times New Roman"/>
                <w:color w:val="auto"/>
                <w:spacing w:val="0"/>
                <w:sz w:val="21"/>
                <w:szCs w:val="21"/>
                <w:lang w:eastAsia="zh-CN"/>
              </w:rPr>
              <w:t>（</w:t>
            </w:r>
            <w:r>
              <w:rPr>
                <w:rFonts w:hint="eastAsia" w:ascii="Times New Roman" w:hAnsi="Times New Roman" w:eastAsia="宋体" w:cs="Times New Roman"/>
                <w:color w:val="auto"/>
                <w:spacing w:val="0"/>
                <w:sz w:val="21"/>
                <w:szCs w:val="21"/>
                <w:lang w:val="en-US" w:eastAsia="zh-CN"/>
              </w:rPr>
              <w:t>DW001</w:t>
            </w:r>
            <w:r>
              <w:rPr>
                <w:rFonts w:hint="eastAsia"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经厂区</w:t>
            </w:r>
            <w:r>
              <w:rPr>
                <w:rFonts w:hint="default" w:ascii="Times New Roman" w:hAnsi="Times New Roman" w:eastAsia="宋体" w:cs="Times New Roman"/>
                <w:color w:val="auto"/>
                <w:spacing w:val="0"/>
                <w:sz w:val="21"/>
                <w:szCs w:val="21"/>
              </w:rPr>
              <w:t>化粪池</w:t>
            </w:r>
            <w:r>
              <w:rPr>
                <w:rFonts w:hint="eastAsia" w:ascii="Times New Roman" w:hAnsi="Times New Roman" w:cs="Times New Roman"/>
                <w:color w:val="auto"/>
                <w:spacing w:val="0"/>
                <w:sz w:val="21"/>
                <w:szCs w:val="21"/>
                <w:lang w:val="en-US" w:eastAsia="zh-CN"/>
              </w:rPr>
              <w:t>沉淀</w:t>
            </w:r>
            <w:r>
              <w:rPr>
                <w:rFonts w:hint="default" w:ascii="Times New Roman" w:hAnsi="Times New Roman" w:eastAsia="宋体" w:cs="Times New Roman"/>
                <w:color w:val="auto"/>
                <w:spacing w:val="0"/>
                <w:sz w:val="21"/>
                <w:szCs w:val="21"/>
              </w:rPr>
              <w:t>处理</w:t>
            </w:r>
            <w:r>
              <w:rPr>
                <w:rFonts w:hint="default" w:ascii="Times New Roman" w:hAnsi="Times New Roman" w:eastAsia="宋体" w:cs="Times New Roman"/>
                <w:color w:val="auto"/>
                <w:spacing w:val="0"/>
                <w:sz w:val="21"/>
                <w:szCs w:val="21"/>
              </w:rPr>
              <w:t>后经厂区排水管道进入市政管网，最终排至鸡西市鸡冠区污水处理厂达到《城镇污水处理厂污染物排放标准》</w:t>
            </w:r>
            <w:r>
              <w:rPr>
                <w:rFonts w:hint="eastAsia"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GB18918-2002</w:t>
            </w:r>
            <w:r>
              <w:rPr>
                <w:rFonts w:hint="eastAsia"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中一级A标准后排入穆棱河</w:t>
            </w: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lang w:val="en-US" w:eastAsia="zh-CN"/>
              </w:rPr>
              <w:t>根据现有工程环评手续可知</w:t>
            </w:r>
            <w:r>
              <w:rPr>
                <w:rFonts w:hint="default" w:ascii="Times New Roman" w:hAnsi="Times New Roman" w:cs="Times New Roman"/>
                <w:color w:val="auto"/>
                <w:spacing w:val="0"/>
                <w:sz w:val="21"/>
                <w:szCs w:val="21"/>
                <w:highlight w:val="none"/>
                <w:lang w:val="en-US" w:eastAsia="zh-CN"/>
              </w:rPr>
              <w:t>现有工程生活污水产生量</w:t>
            </w:r>
            <w:r>
              <w:rPr>
                <w:rFonts w:hint="default" w:ascii="Times New Roman" w:hAnsi="Times New Roman" w:eastAsia="宋体" w:cs="Times New Roman"/>
                <w:color w:val="auto"/>
                <w:spacing w:val="0"/>
                <w:kern w:val="0"/>
                <w:sz w:val="21"/>
                <w:szCs w:val="21"/>
                <w:highlight w:val="none"/>
                <w:shd w:val="clear" w:color="auto" w:fill="auto"/>
              </w:rPr>
              <w:t>为</w:t>
            </w:r>
            <w:r>
              <w:rPr>
                <w:rFonts w:hint="default" w:ascii="Times New Roman" w:hAnsi="Times New Roman" w:cs="Times New Roman"/>
                <w:bCs/>
                <w:color w:val="auto"/>
                <w:spacing w:val="0"/>
                <w:sz w:val="21"/>
                <w:szCs w:val="21"/>
                <w:highlight w:val="none"/>
                <w:lang w:val="en-US" w:eastAsia="zh-CN"/>
              </w:rPr>
              <w:t>4.6</w:t>
            </w:r>
            <w:r>
              <w:rPr>
                <w:rFonts w:hint="default" w:ascii="Times New Roman" w:hAnsi="Times New Roman" w:eastAsia="宋体" w:cs="Times New Roman"/>
                <w:color w:val="auto"/>
                <w:spacing w:val="0"/>
                <w:sz w:val="21"/>
                <w:szCs w:val="21"/>
                <w:highlight w:val="none"/>
                <w:lang w:val="en-US" w:eastAsia="zh-CN"/>
              </w:rPr>
              <w:t>t</w:t>
            </w:r>
            <w:r>
              <w:rPr>
                <w:rFonts w:hint="default" w:ascii="Times New Roman" w:hAnsi="Times New Roman" w:eastAsia="宋体" w:cs="Times New Roman"/>
                <w:color w:val="auto"/>
                <w:spacing w:val="0"/>
                <w:sz w:val="21"/>
                <w:szCs w:val="21"/>
                <w:highlight w:val="none"/>
              </w:rPr>
              <w:t>/d</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cs="Times New Roman"/>
                <w:color w:val="auto"/>
                <w:spacing w:val="0"/>
                <w:sz w:val="21"/>
                <w:szCs w:val="21"/>
                <w:highlight w:val="none"/>
                <w:lang w:val="en-US" w:eastAsia="zh-CN"/>
              </w:rPr>
              <w:t>1679</w:t>
            </w:r>
            <w:r>
              <w:rPr>
                <w:rFonts w:hint="default" w:ascii="Times New Roman" w:hAnsi="Times New Roman" w:eastAsia="宋体" w:cs="Times New Roman"/>
                <w:color w:val="auto"/>
                <w:spacing w:val="0"/>
                <w:sz w:val="21"/>
                <w:szCs w:val="21"/>
                <w:highlight w:val="none"/>
                <w:lang w:val="en-US" w:eastAsia="zh-CN"/>
              </w:rPr>
              <w:t>t</w:t>
            </w:r>
            <w:r>
              <w:rPr>
                <w:rFonts w:hint="default" w:ascii="Times New Roman" w:hAnsi="Times New Roman" w:eastAsia="宋体" w:cs="Times New Roman"/>
                <w:color w:val="auto"/>
                <w:spacing w:val="0"/>
                <w:sz w:val="21"/>
                <w:szCs w:val="21"/>
                <w:highlight w:val="none"/>
              </w:rPr>
              <w:t>/a</w:t>
            </w:r>
            <w:r>
              <w:rPr>
                <w:rFonts w:hint="default" w:ascii="Times New Roman" w:hAnsi="Times New Roman" w:eastAsia="宋体" w:cs="Times New Roman"/>
                <w:color w:val="auto"/>
                <w:spacing w:val="0"/>
                <w:sz w:val="21"/>
                <w:szCs w:val="21"/>
                <w:highlight w:val="none"/>
                <w:lang w:eastAsia="zh-CN"/>
              </w:rPr>
              <w:t>。</w:t>
            </w:r>
          </w:p>
          <w:p w14:paraId="03CDA0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污染物排放量分别为COD0.</w:t>
            </w:r>
            <w:r>
              <w:rPr>
                <w:rFonts w:hint="eastAsia" w:ascii="Times New Roman" w:hAnsi="Times New Roman" w:cs="Times New Roman"/>
                <w:color w:val="auto"/>
                <w:spacing w:val="0"/>
                <w:sz w:val="21"/>
                <w:szCs w:val="21"/>
                <w:highlight w:val="none"/>
                <w:lang w:val="en-US" w:eastAsia="zh-CN"/>
              </w:rPr>
              <w:t>504</w:t>
            </w:r>
            <w:r>
              <w:rPr>
                <w:rFonts w:hint="default" w:ascii="Times New Roman" w:hAnsi="Times New Roman" w:cs="Times New Roman"/>
                <w:color w:val="auto"/>
                <w:spacing w:val="0"/>
                <w:sz w:val="21"/>
                <w:szCs w:val="21"/>
                <w:highlight w:val="none"/>
                <w:lang w:val="en-US" w:eastAsia="zh-CN"/>
              </w:rPr>
              <w:t>t/a，氨氮0.0</w:t>
            </w:r>
            <w:r>
              <w:rPr>
                <w:rFonts w:hint="eastAsia" w:ascii="Times New Roman" w:hAnsi="Times New Roman" w:cs="Times New Roman"/>
                <w:color w:val="auto"/>
                <w:spacing w:val="0"/>
                <w:sz w:val="21"/>
                <w:szCs w:val="21"/>
                <w:highlight w:val="none"/>
                <w:lang w:val="en-US" w:eastAsia="zh-CN"/>
              </w:rPr>
              <w:t>5</w:t>
            </w:r>
            <w:r>
              <w:rPr>
                <w:rFonts w:hint="default" w:ascii="Times New Roman" w:hAnsi="Times New Roman" w:cs="Times New Roman"/>
                <w:color w:val="auto"/>
                <w:spacing w:val="0"/>
                <w:sz w:val="21"/>
                <w:szCs w:val="21"/>
                <w:highlight w:val="none"/>
                <w:lang w:val="en-US" w:eastAsia="zh-CN"/>
              </w:rPr>
              <w:t>t/a。</w:t>
            </w:r>
          </w:p>
          <w:p w14:paraId="1B0FEE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kern w:val="2"/>
                <w:sz w:val="21"/>
                <w:szCs w:val="21"/>
                <w:highlight w:val="none"/>
                <w:lang w:val="en-US" w:eastAsia="zh-CN" w:bidi="ar-SA"/>
              </w:rPr>
              <w:t>噪声：</w:t>
            </w:r>
            <w:r>
              <w:rPr>
                <w:rFonts w:hint="default" w:ascii="Times New Roman" w:hAnsi="Times New Roman" w:cs="Times New Roman"/>
                <w:color w:val="auto"/>
                <w:spacing w:val="0"/>
                <w:sz w:val="21"/>
                <w:szCs w:val="21"/>
                <w:highlight w:val="none"/>
              </w:rPr>
              <w:t>本项目采用低噪声设备、厂房隔声、基础减振</w:t>
            </w:r>
            <w:r>
              <w:rPr>
                <w:rFonts w:hint="default" w:ascii="Times New Roman" w:hAnsi="Times New Roman" w:cs="Times New Roman"/>
                <w:color w:val="auto"/>
                <w:spacing w:val="0"/>
                <w:sz w:val="21"/>
                <w:szCs w:val="21"/>
                <w:highlight w:val="none"/>
                <w:lang w:eastAsia="zh-CN"/>
              </w:rPr>
              <w:t>、</w:t>
            </w:r>
            <w:r>
              <w:rPr>
                <w:rFonts w:hint="default" w:ascii="Times New Roman" w:hAnsi="Times New Roman" w:cs="Times New Roman"/>
                <w:color w:val="auto"/>
                <w:spacing w:val="0"/>
                <w:sz w:val="21"/>
                <w:szCs w:val="21"/>
                <w:highlight w:val="none"/>
                <w:lang w:val="en-US" w:eastAsia="zh-CN"/>
              </w:rPr>
              <w:t>安装消声器</w:t>
            </w:r>
            <w:r>
              <w:rPr>
                <w:rFonts w:hint="default" w:ascii="Times New Roman" w:hAnsi="Times New Roman" w:cs="Times New Roman"/>
                <w:color w:val="auto"/>
                <w:spacing w:val="0"/>
                <w:sz w:val="21"/>
                <w:szCs w:val="21"/>
                <w:highlight w:val="none"/>
              </w:rPr>
              <w:t>等措施。</w:t>
            </w:r>
            <w:r>
              <w:rPr>
                <w:rFonts w:hint="default" w:ascii="Times New Roman" w:hAnsi="Times New Roman" w:cs="Times New Roman"/>
                <w:color w:val="auto"/>
                <w:spacing w:val="0"/>
                <w:sz w:val="21"/>
                <w:szCs w:val="21"/>
                <w:lang w:val="en-US" w:eastAsia="zh-CN"/>
              </w:rPr>
              <w:t>根据2025年9月11日检测报告（SY-BG-20250911-03）中</w:t>
            </w:r>
            <w:r>
              <w:rPr>
                <w:rFonts w:hint="default" w:ascii="Times New Roman" w:hAnsi="Times New Roman" w:cs="Times New Roman"/>
                <w:color w:val="auto"/>
                <w:sz w:val="21"/>
                <w:szCs w:val="21"/>
              </w:rPr>
              <w:t>数据可知，</w:t>
            </w:r>
            <w:r>
              <w:rPr>
                <w:rFonts w:hint="default" w:ascii="Times New Roman"/>
                <w:bCs/>
                <w:color w:val="auto"/>
                <w:sz w:val="21"/>
              </w:rPr>
              <w:t>厂界昼间噪声最大检测值为</w:t>
            </w:r>
            <w:r>
              <w:rPr>
                <w:rFonts w:hint="eastAsia" w:ascii="Times New Roman"/>
                <w:bCs/>
                <w:color w:val="auto"/>
                <w:sz w:val="21"/>
              </w:rPr>
              <w:t>5</w:t>
            </w:r>
            <w:r>
              <w:rPr>
                <w:rFonts w:hint="eastAsia" w:ascii="Times New Roman"/>
                <w:bCs/>
                <w:color w:val="auto"/>
                <w:sz w:val="21"/>
                <w:lang w:val="en-US" w:eastAsia="zh-CN"/>
              </w:rPr>
              <w:t>6</w:t>
            </w:r>
            <w:r>
              <w:rPr>
                <w:rFonts w:hint="default" w:ascii="Times New Roman"/>
                <w:bCs/>
                <w:color w:val="auto"/>
                <w:sz w:val="21"/>
              </w:rPr>
              <w:t>dB(A)，夜间</w:t>
            </w:r>
            <w:r>
              <w:rPr>
                <w:rFonts w:hint="eastAsia" w:ascii="Times New Roman"/>
                <w:bCs/>
                <w:color w:val="auto"/>
                <w:sz w:val="21"/>
              </w:rPr>
              <w:t>最</w:t>
            </w:r>
            <w:r>
              <w:rPr>
                <w:rFonts w:hint="default" w:ascii="Times New Roman"/>
                <w:bCs/>
                <w:color w:val="auto"/>
                <w:sz w:val="21"/>
              </w:rPr>
              <w:t>大噪声检测值为4</w:t>
            </w:r>
            <w:r>
              <w:rPr>
                <w:rFonts w:hint="eastAsia" w:ascii="Times New Roman"/>
                <w:bCs/>
                <w:color w:val="auto"/>
                <w:sz w:val="21"/>
                <w:lang w:val="en-US" w:eastAsia="zh-CN"/>
              </w:rPr>
              <w:t>9</w:t>
            </w:r>
            <w:r>
              <w:rPr>
                <w:rFonts w:hint="default" w:ascii="Times New Roman"/>
                <w:bCs/>
                <w:color w:val="auto"/>
                <w:sz w:val="21"/>
              </w:rPr>
              <w:t>dB(A)，</w:t>
            </w:r>
            <w:r>
              <w:rPr>
                <w:rFonts w:hint="default" w:ascii="Times New Roman" w:hAnsi="Times New Roman" w:cs="Times New Roman"/>
                <w:color w:val="auto"/>
                <w:spacing w:val="0"/>
                <w:sz w:val="21"/>
                <w:szCs w:val="21"/>
                <w:highlight w:val="none"/>
                <w:lang w:val="en-US" w:eastAsia="zh-CN"/>
              </w:rPr>
              <w:t>厂界</w:t>
            </w:r>
            <w:r>
              <w:rPr>
                <w:rFonts w:hint="default" w:ascii="Times New Roman" w:hAnsi="Times New Roman" w:cs="Times New Roman"/>
                <w:color w:val="auto"/>
                <w:spacing w:val="0"/>
                <w:sz w:val="21"/>
                <w:szCs w:val="21"/>
                <w:highlight w:val="none"/>
              </w:rPr>
              <w:t>噪声满足《工业企业厂界环境噪声排放标准》（GB12348-2008）表1中</w:t>
            </w:r>
            <w:r>
              <w:rPr>
                <w:rFonts w:hint="default" w:ascii="Times New Roman" w:hAnsi="Times New Roman" w:cs="Times New Roman"/>
                <w:color w:val="auto"/>
                <w:spacing w:val="0"/>
                <w:sz w:val="21"/>
                <w:szCs w:val="21"/>
                <w:highlight w:val="none"/>
                <w:lang w:val="en-US" w:eastAsia="zh-CN"/>
              </w:rPr>
              <w:t>2</w:t>
            </w:r>
            <w:r>
              <w:rPr>
                <w:rFonts w:hint="default" w:ascii="Times New Roman" w:hAnsi="Times New Roman" w:cs="Times New Roman"/>
                <w:color w:val="auto"/>
                <w:spacing w:val="0"/>
                <w:sz w:val="21"/>
                <w:szCs w:val="21"/>
                <w:highlight w:val="none"/>
              </w:rPr>
              <w:t>类标准要求。</w:t>
            </w:r>
          </w:p>
          <w:p w14:paraId="16CB7C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kern w:val="0"/>
                <w:sz w:val="21"/>
                <w:szCs w:val="21"/>
                <w:highlight w:val="none"/>
                <w:lang w:val="en-US" w:eastAsia="zh-CN"/>
              </w:rPr>
              <w:t>固废：</w:t>
            </w:r>
            <w:r>
              <w:rPr>
                <w:rFonts w:hint="default" w:ascii="Times New Roman" w:hAnsi="Times New Roman" w:eastAsia="宋体" w:cs="Times New Roman"/>
                <w:color w:val="auto"/>
                <w:spacing w:val="0"/>
                <w:kern w:val="0"/>
                <w:sz w:val="21"/>
                <w:szCs w:val="21"/>
              </w:rPr>
              <w:t>本项目固废来自员工日常生活产生的生活垃圾、水处理产生的污泥。本项目生活垃圾年产生量为13.1t/a</w:t>
            </w:r>
            <w:r>
              <w:rPr>
                <w:rFonts w:hint="eastAsia"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定期由环卫部门统一收集送至生活垃圾填埋场卫生填埋处理。污泥处理间产生污泥12t/d</w:t>
            </w:r>
            <w:r>
              <w:rPr>
                <w:rFonts w:hint="eastAsia" w:ascii="Times New Roman" w:hAnsi="Times New Roman" w:eastAsia="宋体" w:cs="Times New Roman"/>
                <w:color w:val="auto"/>
                <w:spacing w:val="0"/>
                <w:kern w:val="0"/>
                <w:sz w:val="21"/>
                <w:szCs w:val="21"/>
                <w:lang w:eastAsia="zh-CN"/>
              </w:rPr>
              <w:t>，</w:t>
            </w:r>
            <w:r>
              <w:rPr>
                <w:rFonts w:hint="eastAsia" w:cs="Times New Roman"/>
                <w:color w:val="auto"/>
                <w:spacing w:val="0"/>
                <w:kern w:val="0"/>
                <w:sz w:val="21"/>
                <w:szCs w:val="21"/>
                <w:lang w:val="en-US" w:eastAsia="zh-CN"/>
              </w:rPr>
              <w:t>定期</w:t>
            </w:r>
            <w:r>
              <w:rPr>
                <w:rFonts w:hint="default" w:ascii="Times New Roman" w:hAnsi="Times New Roman" w:eastAsia="宋体" w:cs="Times New Roman"/>
                <w:color w:val="auto"/>
                <w:spacing w:val="0"/>
                <w:kern w:val="0"/>
                <w:sz w:val="21"/>
                <w:szCs w:val="21"/>
              </w:rPr>
              <w:t>运至鸡西市垃圾填埋场处理。因此，项目运营期间</w:t>
            </w:r>
            <w:r>
              <w:rPr>
                <w:rFonts w:hint="eastAsia"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固体废物对外环境影响较小。</w:t>
            </w:r>
          </w:p>
          <w:p w14:paraId="503184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2" w:firstLineChars="200"/>
              <w:textAlignment w:val="auto"/>
              <w:rPr>
                <w:rFonts w:hint="default" w:eastAsia="宋体"/>
                <w:b/>
                <w:bCs/>
                <w:color w:val="auto"/>
                <w:sz w:val="21"/>
                <w:szCs w:val="21"/>
                <w:highlight w:val="none"/>
                <w:lang w:val="en-US" w:eastAsia="zh-CN"/>
              </w:rPr>
            </w:pPr>
            <w:r>
              <w:rPr>
                <w:rFonts w:hint="default"/>
                <w:b/>
                <w:bCs/>
                <w:color w:val="auto"/>
                <w:sz w:val="21"/>
                <w:szCs w:val="21"/>
                <w:highlight w:val="none"/>
              </w:rPr>
              <w:t>3、</w:t>
            </w:r>
            <w:r>
              <w:rPr>
                <w:rFonts w:hint="eastAsia"/>
                <w:b/>
                <w:bCs/>
                <w:color w:val="auto"/>
                <w:sz w:val="21"/>
                <w:szCs w:val="21"/>
                <w:highlight w:val="none"/>
              </w:rPr>
              <w:t>原有环境污染问题</w:t>
            </w:r>
          </w:p>
          <w:p w14:paraId="3A76684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cs="Times New Roman"/>
                <w:color w:val="auto"/>
                <w:kern w:val="21"/>
                <w:sz w:val="21"/>
                <w:szCs w:val="21"/>
                <w:highlight w:val="none"/>
                <w:lang w:val="en-US" w:eastAsia="zh-CN"/>
              </w:rPr>
            </w:pPr>
            <w:r>
              <w:rPr>
                <w:rFonts w:hint="eastAsia" w:cs="Times New Roman"/>
                <w:color w:val="auto"/>
                <w:kern w:val="21"/>
                <w:sz w:val="21"/>
                <w:szCs w:val="21"/>
                <w:highlight w:val="none"/>
                <w:lang w:val="en-US" w:eastAsia="zh-CN"/>
              </w:rPr>
              <w:t>问题：现有工程污泥暂存于厂区污泥堆场，并且本项目建成后</w:t>
            </w:r>
            <w:r>
              <w:rPr>
                <w:rFonts w:hint="default" w:ascii="Times New Roman" w:hAnsi="Times New Roman" w:eastAsia="宋体" w:cs="Times New Roman"/>
                <w:color w:val="auto"/>
                <w:spacing w:val="0"/>
                <w:kern w:val="0"/>
                <w:sz w:val="21"/>
                <w:szCs w:val="21"/>
              </w:rPr>
              <w:t>鸡西市垃圾填埋场</w:t>
            </w:r>
            <w:r>
              <w:rPr>
                <w:rFonts w:hint="eastAsia" w:ascii="Times New Roman" w:hAnsi="Times New Roman" w:eastAsia="宋体" w:cs="Times New Roman"/>
                <w:color w:val="auto"/>
                <w:spacing w:val="0"/>
                <w:kern w:val="0"/>
                <w:sz w:val="21"/>
                <w:szCs w:val="21"/>
                <w:lang w:val="en-US" w:eastAsia="zh-CN"/>
              </w:rPr>
              <w:t>将不接收污泥</w:t>
            </w:r>
            <w:r>
              <w:rPr>
                <w:rFonts w:hint="eastAsia" w:cs="Times New Roman"/>
                <w:color w:val="auto"/>
                <w:kern w:val="21"/>
                <w:sz w:val="21"/>
                <w:szCs w:val="21"/>
                <w:highlight w:val="none"/>
                <w:lang w:val="en-US" w:eastAsia="zh-CN"/>
              </w:rPr>
              <w:t>。</w:t>
            </w:r>
          </w:p>
          <w:p w14:paraId="1D12998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default" w:cs="Times New Roman"/>
                <w:color w:val="auto"/>
                <w:kern w:val="21"/>
                <w:sz w:val="21"/>
                <w:szCs w:val="21"/>
                <w:highlight w:val="none"/>
                <w:lang w:val="en-US" w:eastAsia="zh-CN"/>
              </w:rPr>
            </w:pPr>
            <w:r>
              <w:rPr>
                <w:rFonts w:hint="eastAsia" w:cs="Times New Roman"/>
                <w:color w:val="auto"/>
                <w:kern w:val="21"/>
                <w:sz w:val="21"/>
                <w:szCs w:val="21"/>
                <w:highlight w:val="none"/>
                <w:lang w:val="en-US" w:eastAsia="zh-CN"/>
              </w:rPr>
              <w:t>整改：本项目新建污泥暂存库，并且设置通风机</w:t>
            </w:r>
            <w:r>
              <w:rPr>
                <w:rFonts w:hint="default" w:ascii="Times New Roman" w:hAnsi="Times New Roman" w:eastAsia="宋体" w:cs="Times New Roman"/>
                <w:color w:val="auto"/>
                <w:spacing w:val="0"/>
                <w:sz w:val="21"/>
                <w:szCs w:val="21"/>
              </w:rPr>
              <w:t>加强室内通风及厂区绿化</w:t>
            </w:r>
            <w:r>
              <w:rPr>
                <w:rFonts w:hint="eastAsia" w:ascii="Times New Roman" w:hAnsi="Times New Roman" w:eastAsia="宋体" w:cs="Times New Roman"/>
                <w:color w:val="auto"/>
                <w:spacing w:val="0"/>
                <w:sz w:val="21"/>
                <w:szCs w:val="21"/>
                <w:lang w:eastAsia="zh-CN"/>
              </w:rPr>
              <w:t>。</w:t>
            </w:r>
            <w:r>
              <w:rPr>
                <w:rFonts w:hint="default" w:ascii="Times New Roman" w:hAnsi="Times New Roman" w:eastAsia="宋体" w:cs="Times New Roman"/>
                <w:b w:val="0"/>
                <w:bCs w:val="0"/>
                <w:color w:val="auto"/>
                <w:spacing w:val="0"/>
                <w:w w:val="100"/>
                <w:sz w:val="21"/>
                <w:szCs w:val="21"/>
                <w:highlight w:val="none"/>
                <w:lang w:val="en-US" w:eastAsia="zh-CN"/>
              </w:rPr>
              <w:t>脱水污泥</w:t>
            </w:r>
            <w:r>
              <w:rPr>
                <w:rFonts w:hint="eastAsia" w:cs="Times New Roman"/>
                <w:b w:val="0"/>
                <w:bCs w:val="0"/>
                <w:color w:val="auto"/>
                <w:spacing w:val="0"/>
                <w:w w:val="100"/>
                <w:sz w:val="21"/>
                <w:szCs w:val="21"/>
                <w:highlight w:val="none"/>
                <w:lang w:val="en-US" w:eastAsia="zh-CN"/>
              </w:rPr>
              <w:t>暂存污泥暂存库内，定期</w:t>
            </w:r>
            <w:r>
              <w:rPr>
                <w:rFonts w:hint="eastAsia" w:ascii="宋体" w:hAnsi="宋体" w:cs="宋体"/>
                <w:color w:val="auto"/>
                <w:sz w:val="21"/>
                <w:szCs w:val="21"/>
                <w:highlight w:val="none"/>
                <w:lang w:val="en-US" w:eastAsia="zh-CN"/>
              </w:rPr>
              <w:t>外运委托有资质单位处理。</w:t>
            </w:r>
          </w:p>
        </w:tc>
      </w:tr>
    </w:tbl>
    <w:p w14:paraId="4D2525E4">
      <w:pPr>
        <w:pStyle w:val="30"/>
        <w:spacing w:before="0" w:beforeAutospacing="0" w:after="158" w:afterLines="50" w:afterAutospacing="0"/>
        <w:jc w:val="center"/>
        <w:outlineLvl w:val="0"/>
        <w:rPr>
          <w:rFonts w:hint="default" w:ascii="Times New Roman" w:hAnsi="Times New Roman" w:eastAsia="仿宋_GB2312" w:cs="Times New Roman"/>
          <w:b/>
          <w:bCs/>
          <w:color w:val="auto"/>
          <w:highlight w:val="none"/>
        </w:rPr>
        <w:sectPr>
          <w:pgSz w:w="11849" w:h="16781"/>
          <w:pgMar w:top="1701" w:right="1531" w:bottom="1701" w:left="1531" w:header="851" w:footer="1077" w:gutter="0"/>
          <w:pgBorders>
            <w:top w:val="none" w:sz="0" w:space="0"/>
            <w:left w:val="none" w:sz="0" w:space="0"/>
            <w:bottom w:val="none" w:sz="0" w:space="0"/>
            <w:right w:val="none" w:sz="0" w:space="0"/>
          </w:pgBorders>
          <w:pgNumType w:fmt="numberInDash"/>
          <w:cols w:space="0" w:num="1"/>
          <w:docGrid w:type="lines" w:linePitch="316" w:charSpace="0"/>
        </w:sectPr>
      </w:pPr>
    </w:p>
    <w:p w14:paraId="454092B9">
      <w:pPr>
        <w:pStyle w:val="30"/>
        <w:spacing w:before="0" w:beforeAutospacing="0" w:after="158" w:afterLines="50" w:afterAutospacing="0"/>
        <w:jc w:val="center"/>
        <w:outlineLvl w:val="0"/>
        <w:rPr>
          <w:rFonts w:hint="default" w:ascii="Times New Roman" w:hAnsi="Times New Roman" w:eastAsia="黑体" w:cs="Times New Roman"/>
          <w:snapToGrid w:val="0"/>
          <w:color w:val="auto"/>
          <w:kern w:val="21"/>
          <w:sz w:val="30"/>
          <w:szCs w:val="30"/>
          <w:highlight w:val="none"/>
        </w:rPr>
      </w:pPr>
      <w:bookmarkStart w:id="15" w:name="_Toc8233"/>
      <w:r>
        <w:rPr>
          <w:rFonts w:hint="default" w:ascii="Times New Roman" w:hAnsi="Times New Roman" w:eastAsia="黑体" w:cs="Times New Roman"/>
          <w:snapToGrid w:val="0"/>
          <w:color w:val="auto"/>
          <w:kern w:val="21"/>
          <w:sz w:val="30"/>
          <w:szCs w:val="30"/>
          <w:highlight w:val="none"/>
        </w:rPr>
        <w:t>三、区域环境质量现状、环境保护目标及评价标准</w:t>
      </w:r>
      <w:bookmarkEnd w:id="15"/>
    </w:p>
    <w:tbl>
      <w:tblPr>
        <w:tblStyle w:val="35"/>
        <w:tblW w:w="504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2"/>
        <w:gridCol w:w="8253"/>
      </w:tblGrid>
      <w:tr w14:paraId="3EEB5C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452" w:type="pct"/>
            <w:vAlign w:val="center"/>
          </w:tcPr>
          <w:p w14:paraId="2924820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区域环境质量现状</w:t>
            </w:r>
          </w:p>
        </w:tc>
        <w:tc>
          <w:tcPr>
            <w:tcW w:w="4547" w:type="pct"/>
            <w:vAlign w:val="center"/>
          </w:tcPr>
          <w:p w14:paraId="4B216241">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b/>
                <w:bCs/>
                <w:color w:val="auto"/>
                <w:kern w:val="0"/>
                <w:sz w:val="21"/>
                <w:highlight w:val="none"/>
              </w:rPr>
            </w:pPr>
            <w:r>
              <w:rPr>
                <w:rFonts w:hint="default"/>
                <w:b/>
                <w:bCs/>
                <w:color w:val="auto"/>
                <w:kern w:val="0"/>
                <w:sz w:val="21"/>
                <w:highlight w:val="none"/>
              </w:rPr>
              <w:t>大气环境</w:t>
            </w:r>
          </w:p>
          <w:p w14:paraId="007035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color w:val="auto"/>
                <w:kern w:val="0"/>
                <w:sz w:val="21"/>
                <w:highlight w:val="none"/>
              </w:rPr>
            </w:pPr>
            <w:r>
              <w:rPr>
                <w:rFonts w:hint="default"/>
                <w:color w:val="auto"/>
                <w:kern w:val="0"/>
                <w:sz w:val="21"/>
                <w:highlight w:val="none"/>
              </w:rPr>
              <w:t>根据</w:t>
            </w:r>
            <w:r>
              <w:rPr>
                <w:rFonts w:hint="eastAsia" w:ascii="宋体" w:hAnsi="宋体" w:cs="宋体"/>
                <w:color w:val="auto"/>
                <w:kern w:val="0"/>
                <w:sz w:val="21"/>
                <w:szCs w:val="21"/>
                <w:highlight w:val="yellow"/>
              </w:rPr>
              <w:t>《</w:t>
            </w:r>
            <w:r>
              <w:rPr>
                <w:rFonts w:hint="default" w:ascii="Times New Roman" w:hAnsi="Times New Roman" w:cs="Times New Roman"/>
                <w:color w:val="auto"/>
                <w:kern w:val="0"/>
                <w:sz w:val="21"/>
                <w:szCs w:val="21"/>
                <w:highlight w:val="yellow"/>
              </w:rPr>
              <w:t>202</w:t>
            </w:r>
            <w:r>
              <w:rPr>
                <w:rFonts w:hint="eastAsia" w:cs="Times New Roman"/>
                <w:color w:val="auto"/>
                <w:kern w:val="0"/>
                <w:sz w:val="21"/>
                <w:szCs w:val="21"/>
                <w:highlight w:val="yellow"/>
                <w:lang w:val="en-US" w:eastAsia="zh-CN"/>
              </w:rPr>
              <w:t>5</w:t>
            </w:r>
            <w:r>
              <w:rPr>
                <w:rFonts w:hint="default" w:ascii="Times New Roman" w:hAnsi="Times New Roman" w:eastAsia="宋体" w:cs="Times New Roman"/>
                <w:color w:val="auto"/>
                <w:kern w:val="0"/>
                <w:sz w:val="21"/>
                <w:szCs w:val="21"/>
                <w:highlight w:val="yellow"/>
              </w:rPr>
              <w:t>年</w:t>
            </w:r>
            <w:r>
              <w:rPr>
                <w:rFonts w:hint="default" w:ascii="Times New Roman" w:hAnsi="Times New Roman" w:eastAsia="宋体" w:cs="Times New Roman"/>
                <w:color w:val="auto"/>
                <w:kern w:val="0"/>
                <w:sz w:val="21"/>
                <w:szCs w:val="21"/>
                <w:highlight w:val="yellow"/>
                <w:lang w:val="en-US" w:eastAsia="zh-CN"/>
              </w:rPr>
              <w:t>黑龙江省生态环境质量状况</w:t>
            </w:r>
            <w:r>
              <w:rPr>
                <w:rFonts w:hint="eastAsia" w:ascii="宋体" w:hAnsi="宋体" w:cs="宋体"/>
                <w:color w:val="auto"/>
                <w:kern w:val="0"/>
                <w:sz w:val="21"/>
                <w:szCs w:val="21"/>
                <w:highlight w:val="yellow"/>
              </w:rPr>
              <w:t>》</w:t>
            </w:r>
            <w:r>
              <w:rPr>
                <w:rFonts w:hint="default"/>
                <w:color w:val="auto"/>
                <w:kern w:val="0"/>
                <w:sz w:val="21"/>
                <w:highlight w:val="none"/>
              </w:rPr>
              <w:t>中公布的数据。</w:t>
            </w:r>
            <w:r>
              <w:rPr>
                <w:rFonts w:hint="eastAsia"/>
                <w:color w:val="auto"/>
                <w:kern w:val="0"/>
                <w:sz w:val="21"/>
                <w:highlight w:val="yellow"/>
                <w:lang w:val="en-US" w:eastAsia="zh-CN"/>
              </w:rPr>
              <w:t>2025年</w:t>
            </w:r>
            <w:r>
              <w:rPr>
                <w:rFonts w:hint="eastAsia"/>
                <w:color w:val="auto"/>
                <w:kern w:val="0"/>
                <w:sz w:val="21"/>
                <w:highlight w:val="none"/>
                <w:lang w:val="en-US" w:eastAsia="zh-CN"/>
              </w:rPr>
              <w:t>鸡西市各项污染物年均浓度综合情况如下表。</w:t>
            </w:r>
          </w:p>
          <w:p w14:paraId="53CEFF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auto"/>
                <w:kern w:val="0"/>
                <w:sz w:val="21"/>
                <w:highlight w:val="none"/>
              </w:rPr>
            </w:pPr>
            <w:r>
              <w:rPr>
                <w:rFonts w:hint="default"/>
                <w:b/>
                <w:bCs/>
                <w:color w:val="auto"/>
                <w:kern w:val="0"/>
                <w:sz w:val="21"/>
                <w:highlight w:val="none"/>
              </w:rPr>
              <w:t>表3-</w:t>
            </w:r>
            <w:r>
              <w:rPr>
                <w:rFonts w:hint="eastAsia"/>
                <w:b/>
                <w:bCs/>
                <w:color w:val="auto"/>
                <w:kern w:val="0"/>
                <w:sz w:val="21"/>
                <w:highlight w:val="none"/>
                <w:lang w:val="en-US" w:eastAsia="zh-CN"/>
              </w:rPr>
              <w:t>1 鸡西市</w:t>
            </w:r>
            <w:r>
              <w:rPr>
                <w:rFonts w:hint="default"/>
                <w:b/>
                <w:bCs/>
                <w:color w:val="auto"/>
                <w:kern w:val="0"/>
                <w:sz w:val="21"/>
                <w:highlight w:val="yellow"/>
              </w:rPr>
              <w:t>202</w:t>
            </w:r>
            <w:r>
              <w:rPr>
                <w:rFonts w:hint="eastAsia"/>
                <w:b/>
                <w:bCs/>
                <w:color w:val="auto"/>
                <w:kern w:val="0"/>
                <w:sz w:val="21"/>
                <w:highlight w:val="yellow"/>
                <w:lang w:val="en-US" w:eastAsia="zh-CN"/>
              </w:rPr>
              <w:t>5</w:t>
            </w:r>
            <w:r>
              <w:rPr>
                <w:rFonts w:hint="default"/>
                <w:b/>
                <w:bCs/>
                <w:color w:val="auto"/>
                <w:kern w:val="0"/>
                <w:sz w:val="21"/>
                <w:highlight w:val="yellow"/>
              </w:rPr>
              <w:t>年</w:t>
            </w:r>
            <w:r>
              <w:rPr>
                <w:rFonts w:hint="default"/>
                <w:b/>
                <w:bCs/>
                <w:color w:val="auto"/>
                <w:kern w:val="0"/>
                <w:sz w:val="21"/>
                <w:highlight w:val="none"/>
              </w:rPr>
              <w:t>环境空气质量统计表   单位：μg/m</w:t>
            </w:r>
            <w:r>
              <w:rPr>
                <w:rFonts w:hint="default"/>
                <w:b/>
                <w:bCs/>
                <w:color w:val="auto"/>
                <w:kern w:val="0"/>
                <w:sz w:val="21"/>
                <w:highlight w:val="none"/>
                <w:vertAlign w:val="superscript"/>
              </w:rPr>
              <w:t>3</w:t>
            </w:r>
          </w:p>
          <w:tbl>
            <w:tblPr>
              <w:tblStyle w:val="35"/>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2990"/>
              <w:gridCol w:w="1049"/>
              <w:gridCol w:w="829"/>
              <w:gridCol w:w="940"/>
              <w:gridCol w:w="1191"/>
            </w:tblGrid>
            <w:tr w14:paraId="7CE1023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3" w:type="dxa"/>
                  <w:tcBorders>
                    <w:tl2br w:val="nil"/>
                    <w:tr2bl w:val="nil"/>
                  </w:tcBorders>
                  <w:vAlign w:val="center"/>
                </w:tcPr>
                <w:p w14:paraId="374B99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污染物</w:t>
                  </w:r>
                </w:p>
              </w:tc>
              <w:tc>
                <w:tcPr>
                  <w:tcW w:w="2979" w:type="dxa"/>
                  <w:tcBorders>
                    <w:tl2br w:val="nil"/>
                    <w:tr2bl w:val="nil"/>
                  </w:tcBorders>
                  <w:vAlign w:val="center"/>
                </w:tcPr>
                <w:p w14:paraId="61DC98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rPr>
                  </w:pPr>
                  <w:r>
                    <w:rPr>
                      <w:rFonts w:hint="eastAsia" w:ascii="Times New Roman" w:hAnsi="Times New Roman" w:cs="Times New Roman"/>
                      <w:color w:val="auto"/>
                      <w:sz w:val="18"/>
                      <w:szCs w:val="18"/>
                      <w:highlight w:val="none"/>
                      <w:lang w:eastAsia="zh-CN"/>
                    </w:rPr>
                    <w:t>年度</w:t>
                  </w:r>
                  <w:r>
                    <w:rPr>
                      <w:rFonts w:hint="default" w:ascii="Times New Roman" w:hAnsi="Times New Roman" w:eastAsia="宋体" w:cs="Times New Roman"/>
                      <w:color w:val="auto"/>
                      <w:sz w:val="18"/>
                      <w:szCs w:val="18"/>
                      <w:highlight w:val="none"/>
                    </w:rPr>
                    <w:t>评价指标</w:t>
                  </w:r>
                </w:p>
              </w:tc>
              <w:tc>
                <w:tcPr>
                  <w:tcW w:w="1045" w:type="dxa"/>
                  <w:tcBorders>
                    <w:tl2br w:val="nil"/>
                    <w:tr2bl w:val="nil"/>
                  </w:tcBorders>
                  <w:vAlign w:val="center"/>
                </w:tcPr>
                <w:p w14:paraId="3674E1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现状浓度</w:t>
                  </w:r>
                </w:p>
              </w:tc>
              <w:tc>
                <w:tcPr>
                  <w:tcW w:w="826" w:type="dxa"/>
                  <w:tcBorders>
                    <w:tl2br w:val="nil"/>
                    <w:tr2bl w:val="nil"/>
                  </w:tcBorders>
                  <w:vAlign w:val="center"/>
                </w:tcPr>
                <w:p w14:paraId="23769A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标准值</w:t>
                  </w:r>
                </w:p>
              </w:tc>
              <w:tc>
                <w:tcPr>
                  <w:tcW w:w="936" w:type="dxa"/>
                  <w:tcBorders>
                    <w:tl2br w:val="nil"/>
                    <w:tr2bl w:val="nil"/>
                  </w:tcBorders>
                  <w:vAlign w:val="center"/>
                </w:tcPr>
                <w:p w14:paraId="3E6488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占标率</w:t>
                  </w:r>
                  <w:r>
                    <w:rPr>
                      <w:rFonts w:hint="default" w:ascii="Times New Roman" w:hAnsi="Times New Roman" w:eastAsia="宋体" w:cs="Times New Roman"/>
                      <w:color w:val="auto"/>
                      <w:sz w:val="18"/>
                      <w:szCs w:val="18"/>
                      <w:highlight w:val="none"/>
                      <w:lang w:val="en-US" w:eastAsia="zh-CN"/>
                    </w:rPr>
                    <w:t>%</w:t>
                  </w:r>
                </w:p>
              </w:tc>
              <w:tc>
                <w:tcPr>
                  <w:tcW w:w="1185" w:type="dxa"/>
                  <w:tcBorders>
                    <w:tl2br w:val="nil"/>
                    <w:tr2bl w:val="nil"/>
                  </w:tcBorders>
                  <w:vAlign w:val="center"/>
                </w:tcPr>
                <w:p w14:paraId="7F5A83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达标情况</w:t>
                  </w:r>
                </w:p>
              </w:tc>
            </w:tr>
            <w:tr w14:paraId="62145F7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3" w:type="dxa"/>
                  <w:tcBorders>
                    <w:tl2br w:val="nil"/>
                    <w:tr2bl w:val="nil"/>
                  </w:tcBorders>
                  <w:vAlign w:val="center"/>
                </w:tcPr>
                <w:p w14:paraId="059B7B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PM</w:t>
                  </w:r>
                  <w:r>
                    <w:rPr>
                      <w:rFonts w:hint="default" w:ascii="Times New Roman" w:hAnsi="Times New Roman" w:eastAsia="宋体" w:cs="Times New Roman"/>
                      <w:color w:val="auto"/>
                      <w:sz w:val="18"/>
                      <w:szCs w:val="18"/>
                      <w:highlight w:val="none"/>
                      <w:vertAlign w:val="subscript"/>
                    </w:rPr>
                    <w:t>2.5</w:t>
                  </w:r>
                </w:p>
              </w:tc>
              <w:tc>
                <w:tcPr>
                  <w:tcW w:w="2979" w:type="dxa"/>
                  <w:tcBorders>
                    <w:tl2br w:val="nil"/>
                    <w:tr2bl w:val="nil"/>
                  </w:tcBorders>
                  <w:vAlign w:val="center"/>
                </w:tcPr>
                <w:p w14:paraId="26FF70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年平均质量浓度</w:t>
                  </w:r>
                </w:p>
              </w:tc>
              <w:tc>
                <w:tcPr>
                  <w:tcW w:w="1045" w:type="dxa"/>
                  <w:tcBorders>
                    <w:tl2br w:val="nil"/>
                    <w:tr2bl w:val="nil"/>
                  </w:tcBorders>
                  <w:vAlign w:val="center"/>
                </w:tcPr>
                <w:p w14:paraId="37F124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olor w:val="auto"/>
                      <w:sz w:val="18"/>
                      <w:szCs w:val="18"/>
                      <w:highlight w:val="yellow"/>
                      <w:lang w:val="en-US" w:eastAsia="zh-CN"/>
                    </w:rPr>
                  </w:pPr>
                  <w:r>
                    <w:rPr>
                      <w:rFonts w:hint="default" w:ascii="Times New Roman" w:hAnsi="Times New Roman" w:cs="Times New Roman"/>
                      <w:color w:val="auto"/>
                      <w:sz w:val="18"/>
                      <w:szCs w:val="18"/>
                      <w:highlight w:val="yellow"/>
                      <w:lang w:val="en-US" w:eastAsia="zh-CN"/>
                    </w:rPr>
                    <w:t>2</w:t>
                  </w:r>
                  <w:r>
                    <w:rPr>
                      <w:rFonts w:hint="eastAsia" w:cs="Times New Roman"/>
                      <w:color w:val="auto"/>
                      <w:sz w:val="18"/>
                      <w:szCs w:val="18"/>
                      <w:highlight w:val="yellow"/>
                      <w:lang w:val="en-US" w:eastAsia="zh-CN"/>
                    </w:rPr>
                    <w:t>6</w:t>
                  </w:r>
                </w:p>
              </w:tc>
              <w:tc>
                <w:tcPr>
                  <w:tcW w:w="826" w:type="dxa"/>
                  <w:tcBorders>
                    <w:tl2br w:val="nil"/>
                    <w:tr2bl w:val="nil"/>
                  </w:tcBorders>
                  <w:vAlign w:val="center"/>
                </w:tcPr>
                <w:p w14:paraId="08CD6193">
                  <w:pPr>
                    <w:pStyle w:val="10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18"/>
                      <w:szCs w:val="18"/>
                      <w:highlight w:val="yellow"/>
                    </w:rPr>
                  </w:pPr>
                  <w:r>
                    <w:rPr>
                      <w:rFonts w:hint="default" w:ascii="Times New Roman" w:hAnsi="Times New Roman" w:eastAsia="宋体" w:cs="Times New Roman"/>
                      <w:color w:val="auto"/>
                      <w:sz w:val="18"/>
                      <w:szCs w:val="18"/>
                      <w:highlight w:val="yellow"/>
                    </w:rPr>
                    <w:t>3</w:t>
                  </w:r>
                  <w:r>
                    <w:rPr>
                      <w:rFonts w:hint="eastAsia" w:ascii="Times New Roman" w:hAnsi="Times New Roman" w:eastAsia="宋体" w:cs="Times New Roman"/>
                      <w:color w:val="auto"/>
                      <w:sz w:val="18"/>
                      <w:szCs w:val="18"/>
                      <w:highlight w:val="yellow"/>
                      <w:lang w:val="en-US" w:eastAsia="zh-CN"/>
                    </w:rPr>
                    <w:t>0</w:t>
                  </w:r>
                </w:p>
              </w:tc>
              <w:tc>
                <w:tcPr>
                  <w:tcW w:w="936" w:type="dxa"/>
                  <w:tcBorders>
                    <w:tl2br w:val="nil"/>
                    <w:tr2bl w:val="nil"/>
                  </w:tcBorders>
                  <w:vAlign w:val="center"/>
                </w:tcPr>
                <w:p w14:paraId="6FC499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olor w:val="auto"/>
                      <w:sz w:val="18"/>
                      <w:szCs w:val="18"/>
                      <w:highlight w:val="yellow"/>
                      <w:lang w:val="en-US" w:eastAsia="zh-CN"/>
                    </w:rPr>
                  </w:pPr>
                  <w:r>
                    <w:rPr>
                      <w:rFonts w:hint="eastAsia" w:cs="Times New Roman"/>
                      <w:color w:val="auto"/>
                      <w:sz w:val="18"/>
                      <w:szCs w:val="18"/>
                      <w:highlight w:val="yellow"/>
                      <w:lang w:val="en-US" w:eastAsia="zh-CN"/>
                    </w:rPr>
                    <w:t>86.67</w:t>
                  </w:r>
                </w:p>
              </w:tc>
              <w:tc>
                <w:tcPr>
                  <w:tcW w:w="1185" w:type="dxa"/>
                  <w:tcBorders>
                    <w:tl2br w:val="nil"/>
                    <w:tr2bl w:val="nil"/>
                  </w:tcBorders>
                  <w:vAlign w:val="center"/>
                </w:tcPr>
                <w:p w14:paraId="03975E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达</w:t>
                  </w:r>
                  <w:r>
                    <w:rPr>
                      <w:rFonts w:hint="default" w:ascii="Times New Roman" w:hAnsi="Times New Roman" w:eastAsia="宋体" w:cs="Times New Roman"/>
                      <w:color w:val="auto"/>
                      <w:sz w:val="18"/>
                      <w:szCs w:val="18"/>
                      <w:highlight w:val="none"/>
                    </w:rPr>
                    <w:t>标</w:t>
                  </w:r>
                </w:p>
              </w:tc>
            </w:tr>
            <w:tr w14:paraId="127891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3" w:type="dxa"/>
                  <w:tcBorders>
                    <w:tl2br w:val="nil"/>
                    <w:tr2bl w:val="nil"/>
                  </w:tcBorders>
                  <w:vAlign w:val="center"/>
                </w:tcPr>
                <w:p w14:paraId="5B8B2A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PM</w:t>
                  </w:r>
                  <w:r>
                    <w:rPr>
                      <w:rFonts w:hint="default" w:ascii="Times New Roman" w:hAnsi="Times New Roman" w:eastAsia="宋体" w:cs="Times New Roman"/>
                      <w:color w:val="auto"/>
                      <w:sz w:val="18"/>
                      <w:szCs w:val="18"/>
                      <w:highlight w:val="none"/>
                      <w:vertAlign w:val="subscript"/>
                    </w:rPr>
                    <w:t>10</w:t>
                  </w:r>
                </w:p>
              </w:tc>
              <w:tc>
                <w:tcPr>
                  <w:tcW w:w="2979" w:type="dxa"/>
                  <w:tcBorders>
                    <w:tl2br w:val="nil"/>
                    <w:tr2bl w:val="nil"/>
                  </w:tcBorders>
                  <w:vAlign w:val="center"/>
                </w:tcPr>
                <w:p w14:paraId="41C8F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年平均质量浓度</w:t>
                  </w:r>
                </w:p>
              </w:tc>
              <w:tc>
                <w:tcPr>
                  <w:tcW w:w="1045" w:type="dxa"/>
                  <w:tcBorders>
                    <w:tl2br w:val="nil"/>
                    <w:tr2bl w:val="nil"/>
                  </w:tcBorders>
                  <w:vAlign w:val="center"/>
                </w:tcPr>
                <w:p w14:paraId="6BA130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olor w:val="auto"/>
                      <w:sz w:val="18"/>
                      <w:szCs w:val="18"/>
                      <w:highlight w:val="yellow"/>
                      <w:lang w:val="en-US" w:eastAsia="zh-CN"/>
                    </w:rPr>
                  </w:pPr>
                  <w:r>
                    <w:rPr>
                      <w:rFonts w:hint="default" w:ascii="Times New Roman" w:hAnsi="Times New Roman" w:cs="Times New Roman"/>
                      <w:color w:val="auto"/>
                      <w:sz w:val="18"/>
                      <w:szCs w:val="18"/>
                      <w:highlight w:val="yellow"/>
                      <w:lang w:val="en-US" w:eastAsia="zh-CN"/>
                    </w:rPr>
                    <w:t>4</w:t>
                  </w:r>
                  <w:r>
                    <w:rPr>
                      <w:rFonts w:hint="eastAsia" w:cs="Times New Roman"/>
                      <w:color w:val="auto"/>
                      <w:sz w:val="18"/>
                      <w:szCs w:val="18"/>
                      <w:highlight w:val="yellow"/>
                      <w:lang w:val="en-US" w:eastAsia="zh-CN"/>
                    </w:rPr>
                    <w:t>3</w:t>
                  </w:r>
                </w:p>
              </w:tc>
              <w:tc>
                <w:tcPr>
                  <w:tcW w:w="826" w:type="dxa"/>
                  <w:tcBorders>
                    <w:tl2br w:val="nil"/>
                    <w:tr2bl w:val="nil"/>
                  </w:tcBorders>
                  <w:vAlign w:val="center"/>
                </w:tcPr>
                <w:p w14:paraId="747F3CF7">
                  <w:pPr>
                    <w:pStyle w:val="10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18"/>
                      <w:szCs w:val="18"/>
                      <w:highlight w:val="yellow"/>
                    </w:rPr>
                  </w:pPr>
                  <w:r>
                    <w:rPr>
                      <w:rFonts w:hint="eastAsia" w:ascii="Times New Roman" w:hAnsi="Times New Roman" w:eastAsia="宋体" w:cs="Times New Roman"/>
                      <w:color w:val="auto"/>
                      <w:sz w:val="18"/>
                      <w:szCs w:val="18"/>
                      <w:highlight w:val="yellow"/>
                      <w:lang w:val="en-US" w:eastAsia="zh-CN"/>
                    </w:rPr>
                    <w:t>6</w:t>
                  </w:r>
                  <w:r>
                    <w:rPr>
                      <w:rFonts w:hint="default" w:ascii="Times New Roman" w:hAnsi="Times New Roman" w:eastAsia="宋体" w:cs="Times New Roman"/>
                      <w:color w:val="auto"/>
                      <w:sz w:val="18"/>
                      <w:szCs w:val="18"/>
                      <w:highlight w:val="yellow"/>
                    </w:rPr>
                    <w:t>0</w:t>
                  </w:r>
                </w:p>
              </w:tc>
              <w:tc>
                <w:tcPr>
                  <w:tcW w:w="936" w:type="dxa"/>
                  <w:tcBorders>
                    <w:tl2br w:val="nil"/>
                    <w:tr2bl w:val="nil"/>
                  </w:tcBorders>
                  <w:vAlign w:val="center"/>
                </w:tcPr>
                <w:p w14:paraId="579B42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olor w:val="auto"/>
                      <w:sz w:val="18"/>
                      <w:szCs w:val="18"/>
                      <w:highlight w:val="yellow"/>
                      <w:lang w:val="en-US" w:eastAsia="zh-CN"/>
                    </w:rPr>
                  </w:pPr>
                  <w:r>
                    <w:rPr>
                      <w:rFonts w:hint="eastAsia" w:cs="Times New Roman"/>
                      <w:color w:val="auto"/>
                      <w:sz w:val="18"/>
                      <w:szCs w:val="18"/>
                      <w:highlight w:val="yellow"/>
                      <w:lang w:val="en-US" w:eastAsia="zh-CN"/>
                    </w:rPr>
                    <w:t>71.67</w:t>
                  </w:r>
                </w:p>
              </w:tc>
              <w:tc>
                <w:tcPr>
                  <w:tcW w:w="1185" w:type="dxa"/>
                  <w:tcBorders>
                    <w:tl2br w:val="nil"/>
                    <w:tr2bl w:val="nil"/>
                  </w:tcBorders>
                  <w:vAlign w:val="center"/>
                </w:tcPr>
                <w:p w14:paraId="6E4914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达标</w:t>
                  </w:r>
                </w:p>
              </w:tc>
            </w:tr>
            <w:tr w14:paraId="7E901C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3" w:type="dxa"/>
                  <w:tcBorders>
                    <w:tl2br w:val="nil"/>
                    <w:tr2bl w:val="nil"/>
                  </w:tcBorders>
                  <w:vAlign w:val="center"/>
                </w:tcPr>
                <w:p w14:paraId="706260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NO</w:t>
                  </w:r>
                  <w:r>
                    <w:rPr>
                      <w:rFonts w:hint="default" w:ascii="Times New Roman" w:hAnsi="Times New Roman" w:eastAsia="宋体" w:cs="Times New Roman"/>
                      <w:color w:val="auto"/>
                      <w:sz w:val="18"/>
                      <w:szCs w:val="18"/>
                      <w:highlight w:val="none"/>
                      <w:vertAlign w:val="subscript"/>
                    </w:rPr>
                    <w:t>2</w:t>
                  </w:r>
                </w:p>
              </w:tc>
              <w:tc>
                <w:tcPr>
                  <w:tcW w:w="2979" w:type="dxa"/>
                  <w:tcBorders>
                    <w:tl2br w:val="nil"/>
                    <w:tr2bl w:val="nil"/>
                  </w:tcBorders>
                  <w:vAlign w:val="center"/>
                </w:tcPr>
                <w:p w14:paraId="6AC15C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年平均质量浓度</w:t>
                  </w:r>
                </w:p>
              </w:tc>
              <w:tc>
                <w:tcPr>
                  <w:tcW w:w="1045" w:type="dxa"/>
                  <w:tcBorders>
                    <w:tl2br w:val="nil"/>
                    <w:tr2bl w:val="nil"/>
                  </w:tcBorders>
                  <w:vAlign w:val="center"/>
                </w:tcPr>
                <w:p w14:paraId="6FA46E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olor w:val="auto"/>
                      <w:sz w:val="18"/>
                      <w:szCs w:val="18"/>
                      <w:highlight w:val="yellow"/>
                      <w:lang w:val="en-US" w:eastAsia="zh-CN"/>
                    </w:rPr>
                  </w:pPr>
                  <w:r>
                    <w:rPr>
                      <w:rFonts w:hint="default" w:ascii="Times New Roman" w:hAnsi="Times New Roman" w:cs="Times New Roman"/>
                      <w:color w:val="auto"/>
                      <w:sz w:val="18"/>
                      <w:szCs w:val="18"/>
                      <w:highlight w:val="yellow"/>
                      <w:lang w:val="en-US" w:eastAsia="zh-CN"/>
                    </w:rPr>
                    <w:t>17</w:t>
                  </w:r>
                </w:p>
              </w:tc>
              <w:tc>
                <w:tcPr>
                  <w:tcW w:w="826" w:type="dxa"/>
                  <w:tcBorders>
                    <w:tl2br w:val="nil"/>
                    <w:tr2bl w:val="nil"/>
                  </w:tcBorders>
                  <w:vAlign w:val="center"/>
                </w:tcPr>
                <w:p w14:paraId="5D96B931">
                  <w:pPr>
                    <w:pStyle w:val="177"/>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18"/>
                      <w:szCs w:val="18"/>
                      <w:highlight w:val="yellow"/>
                    </w:rPr>
                  </w:pPr>
                  <w:r>
                    <w:rPr>
                      <w:rFonts w:hint="default" w:eastAsia="宋体"/>
                      <w:color w:val="auto"/>
                      <w:sz w:val="18"/>
                      <w:szCs w:val="18"/>
                      <w:highlight w:val="yellow"/>
                    </w:rPr>
                    <w:t>40</w:t>
                  </w:r>
                </w:p>
              </w:tc>
              <w:tc>
                <w:tcPr>
                  <w:tcW w:w="936" w:type="dxa"/>
                  <w:tcBorders>
                    <w:tl2br w:val="nil"/>
                    <w:tr2bl w:val="nil"/>
                  </w:tcBorders>
                  <w:vAlign w:val="center"/>
                </w:tcPr>
                <w:p w14:paraId="2EC4CE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olor w:val="auto"/>
                      <w:sz w:val="18"/>
                      <w:szCs w:val="18"/>
                      <w:highlight w:val="yellow"/>
                      <w:lang w:val="en-US" w:eastAsia="zh-CN"/>
                    </w:rPr>
                  </w:pPr>
                  <w:r>
                    <w:rPr>
                      <w:rFonts w:hint="default" w:ascii="Times New Roman" w:hAnsi="Times New Roman" w:cs="Times New Roman"/>
                      <w:color w:val="auto"/>
                      <w:sz w:val="18"/>
                      <w:szCs w:val="18"/>
                      <w:highlight w:val="yellow"/>
                      <w:lang w:val="en-US" w:eastAsia="zh-CN"/>
                    </w:rPr>
                    <w:t>42.5</w:t>
                  </w:r>
                  <w:r>
                    <w:rPr>
                      <w:rFonts w:hint="eastAsia" w:cs="Times New Roman"/>
                      <w:color w:val="auto"/>
                      <w:sz w:val="18"/>
                      <w:szCs w:val="18"/>
                      <w:highlight w:val="yellow"/>
                      <w:lang w:val="en-US" w:eastAsia="zh-CN"/>
                    </w:rPr>
                    <w:t>0</w:t>
                  </w:r>
                </w:p>
              </w:tc>
              <w:tc>
                <w:tcPr>
                  <w:tcW w:w="1185" w:type="dxa"/>
                  <w:tcBorders>
                    <w:tl2br w:val="nil"/>
                    <w:tr2bl w:val="nil"/>
                  </w:tcBorders>
                  <w:vAlign w:val="center"/>
                </w:tcPr>
                <w:p w14:paraId="5030E9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达标</w:t>
                  </w:r>
                </w:p>
              </w:tc>
            </w:tr>
            <w:tr w14:paraId="4AED48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3" w:type="dxa"/>
                  <w:tcBorders>
                    <w:tl2br w:val="nil"/>
                    <w:tr2bl w:val="nil"/>
                  </w:tcBorders>
                  <w:vAlign w:val="center"/>
                </w:tcPr>
                <w:p w14:paraId="717769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SO</w:t>
                  </w:r>
                  <w:r>
                    <w:rPr>
                      <w:rFonts w:hint="default" w:ascii="Times New Roman" w:hAnsi="Times New Roman" w:eastAsia="宋体" w:cs="Times New Roman"/>
                      <w:color w:val="auto"/>
                      <w:sz w:val="18"/>
                      <w:szCs w:val="18"/>
                      <w:highlight w:val="none"/>
                      <w:vertAlign w:val="subscript"/>
                    </w:rPr>
                    <w:t>2</w:t>
                  </w:r>
                </w:p>
              </w:tc>
              <w:tc>
                <w:tcPr>
                  <w:tcW w:w="2979" w:type="dxa"/>
                  <w:tcBorders>
                    <w:tl2br w:val="nil"/>
                    <w:tr2bl w:val="nil"/>
                  </w:tcBorders>
                  <w:vAlign w:val="center"/>
                </w:tcPr>
                <w:p w14:paraId="7E360E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年平均质量浓度</w:t>
                  </w:r>
                </w:p>
              </w:tc>
              <w:tc>
                <w:tcPr>
                  <w:tcW w:w="1045" w:type="dxa"/>
                  <w:tcBorders>
                    <w:tl2br w:val="nil"/>
                    <w:tr2bl w:val="nil"/>
                  </w:tcBorders>
                  <w:vAlign w:val="center"/>
                </w:tcPr>
                <w:p w14:paraId="3EA372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olor w:val="auto"/>
                      <w:sz w:val="18"/>
                      <w:szCs w:val="18"/>
                      <w:highlight w:val="yellow"/>
                      <w:lang w:val="en-US" w:eastAsia="zh-CN"/>
                    </w:rPr>
                  </w:pPr>
                  <w:r>
                    <w:rPr>
                      <w:rFonts w:hint="default" w:ascii="Times New Roman" w:hAnsi="Times New Roman" w:cs="Times New Roman"/>
                      <w:color w:val="auto"/>
                      <w:sz w:val="18"/>
                      <w:szCs w:val="18"/>
                      <w:highlight w:val="yellow"/>
                      <w:lang w:val="en-US" w:eastAsia="zh-CN"/>
                    </w:rPr>
                    <w:t>8</w:t>
                  </w:r>
                </w:p>
              </w:tc>
              <w:tc>
                <w:tcPr>
                  <w:tcW w:w="826" w:type="dxa"/>
                  <w:tcBorders>
                    <w:tl2br w:val="nil"/>
                    <w:tr2bl w:val="nil"/>
                  </w:tcBorders>
                  <w:vAlign w:val="center"/>
                </w:tcPr>
                <w:p w14:paraId="08DA96AA">
                  <w:pPr>
                    <w:pStyle w:val="177"/>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18"/>
                      <w:szCs w:val="18"/>
                      <w:highlight w:val="yellow"/>
                    </w:rPr>
                  </w:pPr>
                  <w:r>
                    <w:rPr>
                      <w:rFonts w:hint="default" w:eastAsia="宋体"/>
                      <w:color w:val="auto"/>
                      <w:sz w:val="18"/>
                      <w:szCs w:val="18"/>
                      <w:highlight w:val="yellow"/>
                    </w:rPr>
                    <w:t>60</w:t>
                  </w:r>
                </w:p>
              </w:tc>
              <w:tc>
                <w:tcPr>
                  <w:tcW w:w="936" w:type="dxa"/>
                  <w:tcBorders>
                    <w:tl2br w:val="nil"/>
                    <w:tr2bl w:val="nil"/>
                  </w:tcBorders>
                  <w:vAlign w:val="center"/>
                </w:tcPr>
                <w:p w14:paraId="587A82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olor w:val="auto"/>
                      <w:sz w:val="18"/>
                      <w:szCs w:val="18"/>
                      <w:highlight w:val="yellow"/>
                      <w:lang w:val="en-US" w:eastAsia="zh-CN"/>
                    </w:rPr>
                  </w:pPr>
                  <w:r>
                    <w:rPr>
                      <w:rFonts w:hint="default" w:ascii="Times New Roman" w:hAnsi="Times New Roman" w:cs="Times New Roman"/>
                      <w:color w:val="auto"/>
                      <w:sz w:val="18"/>
                      <w:szCs w:val="18"/>
                      <w:highlight w:val="yellow"/>
                      <w:lang w:val="en-US" w:eastAsia="zh-CN"/>
                    </w:rPr>
                    <w:t>13.3</w:t>
                  </w:r>
                  <w:r>
                    <w:rPr>
                      <w:rFonts w:hint="eastAsia" w:cs="Times New Roman"/>
                      <w:color w:val="auto"/>
                      <w:sz w:val="18"/>
                      <w:szCs w:val="18"/>
                      <w:highlight w:val="yellow"/>
                      <w:lang w:val="en-US" w:eastAsia="zh-CN"/>
                    </w:rPr>
                    <w:t>3</w:t>
                  </w:r>
                </w:p>
              </w:tc>
              <w:tc>
                <w:tcPr>
                  <w:tcW w:w="1185" w:type="dxa"/>
                  <w:tcBorders>
                    <w:tl2br w:val="nil"/>
                    <w:tr2bl w:val="nil"/>
                  </w:tcBorders>
                  <w:vAlign w:val="center"/>
                </w:tcPr>
                <w:p w14:paraId="04C1C6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达标</w:t>
                  </w:r>
                </w:p>
              </w:tc>
            </w:tr>
            <w:tr w14:paraId="0EBFFBD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3" w:type="dxa"/>
                  <w:tcBorders>
                    <w:tl2br w:val="nil"/>
                    <w:tr2bl w:val="nil"/>
                  </w:tcBorders>
                  <w:vAlign w:val="center"/>
                </w:tcPr>
                <w:p w14:paraId="1FA08D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CO</w:t>
                  </w:r>
                </w:p>
              </w:tc>
              <w:tc>
                <w:tcPr>
                  <w:tcW w:w="2979" w:type="dxa"/>
                  <w:tcBorders>
                    <w:tl2br w:val="nil"/>
                    <w:tr2bl w:val="nil"/>
                  </w:tcBorders>
                  <w:vAlign w:val="center"/>
                </w:tcPr>
                <w:p w14:paraId="00C578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第95百分位数日平均浓度（</w:t>
                  </w:r>
                  <w:r>
                    <w:rPr>
                      <w:rFonts w:hint="default" w:ascii="Times New Roman" w:hAnsi="Times New Roman" w:eastAsia="宋体" w:cs="Times New Roman"/>
                      <w:color w:val="auto"/>
                      <w:sz w:val="18"/>
                      <w:szCs w:val="18"/>
                      <w:highlight w:val="none"/>
                    </w:rPr>
                    <w:t>mg/m</w:t>
                  </w:r>
                  <w:r>
                    <w:rPr>
                      <w:rFonts w:hint="default" w:ascii="Times New Roman" w:hAnsi="Times New Roman" w:eastAsia="宋体" w:cs="Times New Roman"/>
                      <w:color w:val="auto"/>
                      <w:sz w:val="18"/>
                      <w:szCs w:val="18"/>
                      <w:highlight w:val="none"/>
                      <w:vertAlign w:val="superscript"/>
                    </w:rPr>
                    <w:t>3</w:t>
                  </w:r>
                  <w:r>
                    <w:rPr>
                      <w:rFonts w:hint="default" w:ascii="Times New Roman" w:hAnsi="Times New Roman" w:eastAsia="宋体" w:cs="Times New Roman"/>
                      <w:color w:val="auto"/>
                      <w:sz w:val="18"/>
                      <w:szCs w:val="18"/>
                      <w:highlight w:val="none"/>
                      <w:vertAlign w:val="baseline"/>
                      <w:lang w:eastAsia="zh-CN"/>
                    </w:rPr>
                    <w:t>）</w:t>
                  </w:r>
                </w:p>
              </w:tc>
              <w:tc>
                <w:tcPr>
                  <w:tcW w:w="1045" w:type="dxa"/>
                  <w:tcBorders>
                    <w:tl2br w:val="nil"/>
                    <w:tr2bl w:val="nil"/>
                  </w:tcBorders>
                  <w:vAlign w:val="center"/>
                </w:tcPr>
                <w:p w14:paraId="39C4C1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olor w:val="auto"/>
                      <w:sz w:val="18"/>
                      <w:szCs w:val="18"/>
                      <w:highlight w:val="yellow"/>
                      <w:lang w:val="en-US" w:eastAsia="zh-CN"/>
                    </w:rPr>
                  </w:pPr>
                  <w:r>
                    <w:rPr>
                      <w:rFonts w:hint="eastAsia" w:cs="Times New Roman"/>
                      <w:color w:val="auto"/>
                      <w:sz w:val="18"/>
                      <w:szCs w:val="18"/>
                      <w:highlight w:val="yellow"/>
                      <w:lang w:val="en-US" w:eastAsia="zh-CN"/>
                    </w:rPr>
                    <w:t>0.9</w:t>
                  </w:r>
                </w:p>
              </w:tc>
              <w:tc>
                <w:tcPr>
                  <w:tcW w:w="826" w:type="dxa"/>
                  <w:tcBorders>
                    <w:tl2br w:val="nil"/>
                    <w:tr2bl w:val="nil"/>
                  </w:tcBorders>
                  <w:vAlign w:val="center"/>
                </w:tcPr>
                <w:p w14:paraId="260C4A0F">
                  <w:pPr>
                    <w:keepNext w:val="0"/>
                    <w:keepLines w:val="0"/>
                    <w:suppressLineNumbers w:val="0"/>
                    <w:kinsoku/>
                    <w:autoSpaceDE/>
                    <w:autoSpaceDN/>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18"/>
                      <w:szCs w:val="18"/>
                      <w:highlight w:val="yellow"/>
                    </w:rPr>
                  </w:pPr>
                  <w:r>
                    <w:rPr>
                      <w:rFonts w:hint="default" w:ascii="Times New Roman" w:hAnsi="Times New Roman" w:eastAsia="宋体" w:cs="Times New Roman"/>
                      <w:color w:val="auto"/>
                      <w:sz w:val="18"/>
                      <w:szCs w:val="18"/>
                      <w:highlight w:val="yellow"/>
                      <w:lang w:eastAsia="zh-CN"/>
                    </w:rPr>
                    <w:t>4.0</w:t>
                  </w:r>
                </w:p>
              </w:tc>
              <w:tc>
                <w:tcPr>
                  <w:tcW w:w="936" w:type="dxa"/>
                  <w:tcBorders>
                    <w:tl2br w:val="nil"/>
                    <w:tr2bl w:val="nil"/>
                  </w:tcBorders>
                  <w:vAlign w:val="center"/>
                </w:tcPr>
                <w:p w14:paraId="75668F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olor w:val="auto"/>
                      <w:sz w:val="18"/>
                      <w:szCs w:val="18"/>
                      <w:highlight w:val="yellow"/>
                      <w:lang w:val="en-US" w:eastAsia="zh-CN"/>
                    </w:rPr>
                  </w:pPr>
                  <w:r>
                    <w:rPr>
                      <w:rFonts w:hint="default" w:ascii="Times New Roman" w:hAnsi="Times New Roman" w:cs="Times New Roman"/>
                      <w:color w:val="auto"/>
                      <w:sz w:val="18"/>
                      <w:szCs w:val="18"/>
                      <w:highlight w:val="yellow"/>
                      <w:lang w:val="en-US" w:eastAsia="zh-CN"/>
                    </w:rPr>
                    <w:t>2</w:t>
                  </w:r>
                  <w:r>
                    <w:rPr>
                      <w:rFonts w:hint="eastAsia" w:cs="Times New Roman"/>
                      <w:color w:val="auto"/>
                      <w:sz w:val="18"/>
                      <w:szCs w:val="18"/>
                      <w:highlight w:val="yellow"/>
                      <w:lang w:val="en-US" w:eastAsia="zh-CN"/>
                    </w:rPr>
                    <w:t>2</w:t>
                  </w:r>
                  <w:r>
                    <w:rPr>
                      <w:rFonts w:hint="default" w:ascii="Times New Roman" w:hAnsi="Times New Roman" w:cs="Times New Roman"/>
                      <w:color w:val="auto"/>
                      <w:sz w:val="18"/>
                      <w:szCs w:val="18"/>
                      <w:highlight w:val="yellow"/>
                      <w:lang w:val="en-US" w:eastAsia="zh-CN"/>
                    </w:rPr>
                    <w:t>.</w:t>
                  </w:r>
                  <w:r>
                    <w:rPr>
                      <w:rFonts w:hint="eastAsia" w:cs="Times New Roman"/>
                      <w:color w:val="auto"/>
                      <w:sz w:val="18"/>
                      <w:szCs w:val="18"/>
                      <w:highlight w:val="yellow"/>
                      <w:lang w:val="en-US" w:eastAsia="zh-CN"/>
                    </w:rPr>
                    <w:t>5</w:t>
                  </w:r>
                  <w:r>
                    <w:rPr>
                      <w:rFonts w:hint="default" w:ascii="Times New Roman" w:hAnsi="Times New Roman" w:cs="Times New Roman"/>
                      <w:color w:val="auto"/>
                      <w:sz w:val="18"/>
                      <w:szCs w:val="18"/>
                      <w:highlight w:val="yellow"/>
                      <w:lang w:val="en-US" w:eastAsia="zh-CN"/>
                    </w:rPr>
                    <w:t>0</w:t>
                  </w:r>
                </w:p>
              </w:tc>
              <w:tc>
                <w:tcPr>
                  <w:tcW w:w="1185" w:type="dxa"/>
                  <w:tcBorders>
                    <w:tl2br w:val="nil"/>
                    <w:tr2bl w:val="nil"/>
                  </w:tcBorders>
                  <w:vAlign w:val="center"/>
                </w:tcPr>
                <w:p w14:paraId="6B27EE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达标</w:t>
                  </w:r>
                </w:p>
              </w:tc>
            </w:tr>
            <w:tr w14:paraId="7380559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3" w:type="dxa"/>
                  <w:tcBorders>
                    <w:tl2br w:val="nil"/>
                    <w:tr2bl w:val="nil"/>
                  </w:tcBorders>
                  <w:vAlign w:val="center"/>
                </w:tcPr>
                <w:p w14:paraId="72429E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O</w:t>
                  </w:r>
                  <w:r>
                    <w:rPr>
                      <w:rFonts w:hint="default" w:ascii="Times New Roman" w:hAnsi="Times New Roman" w:cs="Times New Roman"/>
                      <w:color w:val="auto"/>
                      <w:sz w:val="18"/>
                      <w:szCs w:val="18"/>
                      <w:highlight w:val="none"/>
                      <w:vertAlign w:val="subscript"/>
                      <w:lang w:val="en-US" w:eastAsia="zh-CN"/>
                    </w:rPr>
                    <w:t>3</w:t>
                  </w:r>
                </w:p>
              </w:tc>
              <w:tc>
                <w:tcPr>
                  <w:tcW w:w="2979" w:type="dxa"/>
                  <w:tcBorders>
                    <w:tl2br w:val="nil"/>
                    <w:tr2bl w:val="nil"/>
                  </w:tcBorders>
                  <w:vAlign w:val="center"/>
                </w:tcPr>
                <w:p w14:paraId="0F82A1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第90</w:t>
                  </w:r>
                  <w:r>
                    <w:rPr>
                      <w:rFonts w:hint="default" w:ascii="Times New Roman" w:hAnsi="Times New Roman" w:eastAsia="宋体" w:cs="Times New Roman"/>
                      <w:color w:val="auto"/>
                      <w:sz w:val="18"/>
                      <w:szCs w:val="18"/>
                      <w:highlight w:val="none"/>
                    </w:rPr>
                    <w:t>百分位数8h平均</w:t>
                  </w:r>
                  <w:r>
                    <w:rPr>
                      <w:rFonts w:hint="default" w:ascii="Times New Roman" w:hAnsi="Times New Roman" w:cs="Times New Roman"/>
                      <w:color w:val="auto"/>
                      <w:sz w:val="18"/>
                      <w:szCs w:val="18"/>
                      <w:highlight w:val="none"/>
                      <w:lang w:val="en-US" w:eastAsia="zh-CN"/>
                    </w:rPr>
                    <w:t>质量</w:t>
                  </w:r>
                  <w:r>
                    <w:rPr>
                      <w:rFonts w:hint="default" w:ascii="Times New Roman" w:hAnsi="Times New Roman" w:eastAsia="宋体" w:cs="Times New Roman"/>
                      <w:color w:val="auto"/>
                      <w:sz w:val="18"/>
                      <w:szCs w:val="18"/>
                      <w:highlight w:val="none"/>
                    </w:rPr>
                    <w:t>浓度</w:t>
                  </w:r>
                </w:p>
              </w:tc>
              <w:tc>
                <w:tcPr>
                  <w:tcW w:w="1045" w:type="dxa"/>
                  <w:tcBorders>
                    <w:tl2br w:val="nil"/>
                    <w:tr2bl w:val="nil"/>
                  </w:tcBorders>
                  <w:vAlign w:val="center"/>
                </w:tcPr>
                <w:p w14:paraId="50B767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olor w:val="auto"/>
                      <w:sz w:val="18"/>
                      <w:szCs w:val="18"/>
                      <w:highlight w:val="yellow"/>
                      <w:lang w:val="en-US" w:eastAsia="zh-CN"/>
                    </w:rPr>
                  </w:pPr>
                  <w:r>
                    <w:rPr>
                      <w:rFonts w:hint="eastAsia" w:cs="Times New Roman"/>
                      <w:color w:val="auto"/>
                      <w:sz w:val="18"/>
                      <w:szCs w:val="18"/>
                      <w:highlight w:val="yellow"/>
                      <w:lang w:val="en-US" w:eastAsia="zh-CN"/>
                    </w:rPr>
                    <w:t>115</w:t>
                  </w:r>
                </w:p>
              </w:tc>
              <w:tc>
                <w:tcPr>
                  <w:tcW w:w="826" w:type="dxa"/>
                  <w:tcBorders>
                    <w:tl2br w:val="nil"/>
                    <w:tr2bl w:val="nil"/>
                  </w:tcBorders>
                  <w:vAlign w:val="center"/>
                </w:tcPr>
                <w:p w14:paraId="75ABEA62">
                  <w:pPr>
                    <w:keepNext w:val="0"/>
                    <w:keepLines w:val="0"/>
                    <w:suppressLineNumbers w:val="0"/>
                    <w:kinsoku/>
                    <w:autoSpaceDE/>
                    <w:autoSpaceDN/>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18"/>
                      <w:szCs w:val="18"/>
                      <w:highlight w:val="yellow"/>
                    </w:rPr>
                  </w:pPr>
                  <w:r>
                    <w:rPr>
                      <w:rFonts w:hint="default" w:ascii="Times New Roman" w:hAnsi="Times New Roman" w:eastAsia="宋体" w:cs="Times New Roman"/>
                      <w:color w:val="auto"/>
                      <w:sz w:val="18"/>
                      <w:szCs w:val="18"/>
                      <w:highlight w:val="yellow"/>
                      <w:lang w:eastAsia="zh-CN"/>
                    </w:rPr>
                    <w:t>160</w:t>
                  </w:r>
                </w:p>
              </w:tc>
              <w:tc>
                <w:tcPr>
                  <w:tcW w:w="936" w:type="dxa"/>
                  <w:tcBorders>
                    <w:tl2br w:val="nil"/>
                    <w:tr2bl w:val="nil"/>
                  </w:tcBorders>
                  <w:vAlign w:val="center"/>
                </w:tcPr>
                <w:p w14:paraId="55497E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olor w:val="auto"/>
                      <w:sz w:val="18"/>
                      <w:szCs w:val="18"/>
                      <w:highlight w:val="yellow"/>
                      <w:lang w:val="en-US" w:eastAsia="zh-CN"/>
                    </w:rPr>
                  </w:pPr>
                  <w:r>
                    <w:rPr>
                      <w:rFonts w:hint="eastAsia" w:cs="Times New Roman"/>
                      <w:color w:val="auto"/>
                      <w:sz w:val="18"/>
                      <w:szCs w:val="18"/>
                      <w:highlight w:val="yellow"/>
                      <w:lang w:val="en-US" w:eastAsia="zh-CN"/>
                    </w:rPr>
                    <w:t>71.88</w:t>
                  </w:r>
                </w:p>
              </w:tc>
              <w:tc>
                <w:tcPr>
                  <w:tcW w:w="1185" w:type="dxa"/>
                  <w:tcBorders>
                    <w:tl2br w:val="nil"/>
                    <w:tr2bl w:val="nil"/>
                  </w:tcBorders>
                  <w:vAlign w:val="center"/>
                </w:tcPr>
                <w:p w14:paraId="670BD8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达标</w:t>
                  </w:r>
                </w:p>
              </w:tc>
            </w:tr>
          </w:tbl>
          <w:p w14:paraId="791E07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s="Times New Roman"/>
                <w:color w:val="auto"/>
                <w:kern w:val="0"/>
                <w:sz w:val="21"/>
                <w:szCs w:val="21"/>
                <w:highlight w:val="none"/>
                <w:lang w:val="en-US" w:eastAsia="zh-CN"/>
              </w:rPr>
            </w:pPr>
            <w:r>
              <w:rPr>
                <w:rFonts w:hint="eastAsia" w:cs="Times New Roman"/>
                <w:color w:val="auto"/>
                <w:sz w:val="21"/>
                <w:szCs w:val="21"/>
                <w:highlight w:val="none"/>
                <w:lang w:val="en-US" w:eastAsia="zh-CN"/>
              </w:rPr>
              <w:t>由表3-1可知，</w:t>
            </w:r>
            <w:r>
              <w:rPr>
                <w:rFonts w:hint="eastAsia" w:cs="Times New Roman"/>
                <w:color w:val="auto"/>
                <w:sz w:val="21"/>
                <w:szCs w:val="21"/>
                <w:highlight w:val="yellow"/>
                <w:lang w:val="en-US" w:eastAsia="zh-CN"/>
              </w:rPr>
              <w:t>2025年</w:t>
            </w:r>
            <w:r>
              <w:rPr>
                <w:rFonts w:hint="eastAsia" w:cs="Times New Roman"/>
                <w:color w:val="auto"/>
                <w:sz w:val="21"/>
                <w:szCs w:val="21"/>
                <w:highlight w:val="none"/>
                <w:lang w:val="en-US" w:eastAsia="zh-CN"/>
              </w:rPr>
              <w:t>鸡西市空气基本污染物中</w:t>
            </w: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2.5</w:t>
            </w:r>
            <w:r>
              <w:rPr>
                <w:rFonts w:hint="eastAsia" w:ascii="Times New Roman" w:hAnsi="Times New Roman"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10</w:t>
            </w:r>
            <w:r>
              <w:rPr>
                <w:rFonts w:hint="eastAsia" w:ascii="Times New Roman" w:hAnsi="Times New Roman" w:eastAsia="宋体"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rPr>
              <w:t>SO</w:t>
            </w:r>
            <w:r>
              <w:rPr>
                <w:rFonts w:hint="default" w:ascii="Times New Roman" w:hAnsi="Times New Roman" w:eastAsia="宋体" w:cs="Times New Roman"/>
                <w:color w:val="auto"/>
                <w:sz w:val="21"/>
                <w:szCs w:val="21"/>
                <w:highlight w:val="none"/>
                <w:vertAlign w:val="subscript"/>
              </w:rPr>
              <w:t>2</w:t>
            </w:r>
            <w:r>
              <w:rPr>
                <w:rFonts w:hint="eastAsia" w:ascii="Times New Roman" w:hAnsi="Times New Roman" w:eastAsia="宋体"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rPr>
              <w:t>NO</w:t>
            </w:r>
            <w:r>
              <w:rPr>
                <w:rFonts w:hint="default" w:ascii="Times New Roman" w:hAnsi="Times New Roman" w:eastAsia="宋体" w:cs="Times New Roman"/>
                <w:color w:val="auto"/>
                <w:sz w:val="21"/>
                <w:szCs w:val="21"/>
                <w:highlight w:val="none"/>
                <w:vertAlign w:val="subscript"/>
              </w:rPr>
              <w:t>2</w:t>
            </w:r>
            <w:r>
              <w:rPr>
                <w:rFonts w:hint="eastAsia" w:ascii="Times New Roman" w:hAnsi="Times New Roman" w:eastAsia="宋体" w:cs="Times New Roman"/>
                <w:color w:val="auto"/>
                <w:sz w:val="21"/>
                <w:szCs w:val="21"/>
                <w:highlight w:val="none"/>
                <w:vertAlign w:val="baseline"/>
                <w:lang w:val="en-US" w:eastAsia="zh-CN"/>
              </w:rPr>
              <w:t>年平均质量浓度</w:t>
            </w:r>
            <w:r>
              <w:rPr>
                <w:rFonts w:hint="eastAsia" w:cs="Times New Roman"/>
                <w:color w:val="auto"/>
                <w:sz w:val="21"/>
                <w:szCs w:val="21"/>
                <w:highlight w:val="none"/>
                <w:vertAlign w:val="baseline"/>
                <w:lang w:val="en-US" w:eastAsia="zh-CN"/>
              </w:rPr>
              <w:t>及</w:t>
            </w:r>
            <w:r>
              <w:rPr>
                <w:rFonts w:hint="default" w:ascii="Times New Roman" w:hAnsi="Times New Roman" w:eastAsia="宋体" w:cs="Times New Roman"/>
                <w:color w:val="auto"/>
                <w:sz w:val="21"/>
                <w:szCs w:val="21"/>
                <w:highlight w:val="none"/>
              </w:rPr>
              <w:t>CO</w:t>
            </w:r>
            <w:r>
              <w:rPr>
                <w:rFonts w:hint="eastAsia" w:cs="Times New Roman"/>
                <w:color w:val="auto"/>
                <w:sz w:val="21"/>
                <w:szCs w:val="21"/>
                <w:highlight w:val="none"/>
                <w:lang w:val="en-US" w:eastAsia="zh-CN"/>
              </w:rPr>
              <w:t>第95百分位数日平均浓度、O</w:t>
            </w:r>
            <w:r>
              <w:rPr>
                <w:rFonts w:hint="eastAsia" w:cs="Times New Roman"/>
                <w:color w:val="auto"/>
                <w:sz w:val="21"/>
                <w:szCs w:val="21"/>
                <w:highlight w:val="none"/>
                <w:vertAlign w:val="subscript"/>
                <w:lang w:val="en-US" w:eastAsia="zh-CN"/>
              </w:rPr>
              <w:t>3</w:t>
            </w:r>
            <w:r>
              <w:rPr>
                <w:rFonts w:hint="eastAsia" w:cs="Times New Roman"/>
                <w:color w:val="auto"/>
                <w:sz w:val="21"/>
                <w:szCs w:val="21"/>
                <w:highlight w:val="none"/>
                <w:lang w:val="en-US" w:eastAsia="zh-CN"/>
              </w:rPr>
              <w:t>第90</w:t>
            </w:r>
            <w:r>
              <w:rPr>
                <w:rFonts w:hint="default" w:ascii="Times New Roman" w:hAnsi="Times New Roman" w:eastAsia="宋体" w:cs="Times New Roman"/>
                <w:color w:val="auto"/>
                <w:sz w:val="21"/>
                <w:szCs w:val="21"/>
                <w:highlight w:val="none"/>
              </w:rPr>
              <w:t>百分位数8h平均</w:t>
            </w:r>
            <w:r>
              <w:rPr>
                <w:rFonts w:hint="eastAsia" w:cs="Times New Roman"/>
                <w:color w:val="auto"/>
                <w:sz w:val="21"/>
                <w:szCs w:val="21"/>
                <w:highlight w:val="none"/>
                <w:lang w:val="en-US" w:eastAsia="zh-CN"/>
              </w:rPr>
              <w:t>质量</w:t>
            </w:r>
            <w:r>
              <w:rPr>
                <w:rFonts w:hint="default" w:ascii="Times New Roman" w:hAnsi="Times New Roman" w:eastAsia="宋体" w:cs="Times New Roman"/>
                <w:color w:val="auto"/>
                <w:sz w:val="21"/>
                <w:szCs w:val="21"/>
                <w:highlight w:val="none"/>
              </w:rPr>
              <w:t>浓度</w:t>
            </w:r>
            <w:r>
              <w:rPr>
                <w:rFonts w:hint="eastAsia" w:ascii="Times New Roman" w:hAnsi="Times New Roman" w:eastAsia="宋体" w:cs="Times New Roman"/>
                <w:color w:val="auto"/>
                <w:sz w:val="21"/>
                <w:szCs w:val="21"/>
                <w:highlight w:val="none"/>
                <w:lang w:val="en-US" w:eastAsia="zh-CN"/>
              </w:rPr>
              <w:t>均</w:t>
            </w:r>
            <w:r>
              <w:rPr>
                <w:rFonts w:hint="eastAsia" w:ascii="Times New Roman" w:hAnsi="Times New Roman" w:eastAsia="宋体" w:cs="Times New Roman"/>
                <w:color w:val="auto"/>
                <w:sz w:val="21"/>
                <w:szCs w:val="21"/>
                <w:highlight w:val="none"/>
                <w:vertAlign w:val="baseline"/>
                <w:lang w:val="en-US" w:eastAsia="zh-CN"/>
              </w:rPr>
              <w:t>满足</w:t>
            </w:r>
            <w:r>
              <w:rPr>
                <w:rFonts w:hint="eastAsia" w:ascii="Times New Roman" w:hAnsi="Times New Roman" w:eastAsia="宋体" w:cs="Times New Roman"/>
                <w:color w:val="auto"/>
                <w:sz w:val="21"/>
                <w:highlight w:val="yellow"/>
                <w:lang w:eastAsia="zh-CN"/>
              </w:rPr>
              <w:t>《环境空气质量标准》（GB3095-2026）中</w:t>
            </w:r>
            <w:r>
              <w:rPr>
                <w:rFonts w:hint="eastAsia" w:ascii="Times New Roman" w:hAnsi="Times New Roman" w:eastAsia="宋体" w:cs="Times New Roman"/>
                <w:color w:val="auto"/>
                <w:spacing w:val="0"/>
                <w:sz w:val="21"/>
                <w:highlight w:val="yellow"/>
                <w:lang w:val="en-US" w:eastAsia="zh-CN"/>
              </w:rPr>
              <w:t>过渡期</w:t>
            </w:r>
            <w:r>
              <w:rPr>
                <w:rFonts w:hint="eastAsia" w:ascii="Times New Roman" w:hAnsi="Times New Roman" w:eastAsia="宋体" w:cs="Times New Roman"/>
                <w:color w:val="auto"/>
                <w:sz w:val="21"/>
                <w:highlight w:val="yellow"/>
                <w:lang w:eastAsia="zh-CN"/>
              </w:rPr>
              <w:t>二级标准</w:t>
            </w:r>
            <w:r>
              <w:rPr>
                <w:rFonts w:hint="eastAsia" w:cs="Times New Roman"/>
                <w:color w:val="auto"/>
                <w:kern w:val="0"/>
                <w:sz w:val="21"/>
                <w:szCs w:val="21"/>
                <w:highlight w:val="none"/>
                <w:lang w:eastAsia="zh-CN"/>
              </w:rPr>
              <w:t>，</w:t>
            </w:r>
            <w:r>
              <w:rPr>
                <w:rFonts w:hint="eastAsia" w:ascii="Times New Roman" w:hAnsi="Times New Roman" w:cs="Times New Roman"/>
                <w:color w:val="auto"/>
                <w:kern w:val="0"/>
                <w:sz w:val="21"/>
                <w:szCs w:val="21"/>
                <w:highlight w:val="none"/>
                <w:lang w:val="en-US" w:eastAsia="zh-CN"/>
              </w:rPr>
              <w:t>因此判定本项目区域环境空气质量为达标区。</w:t>
            </w:r>
          </w:p>
          <w:p w14:paraId="518F08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b/>
                <w:bCs/>
                <w:color w:val="auto"/>
                <w:sz w:val="21"/>
                <w:highlight w:val="none"/>
              </w:rPr>
            </w:pPr>
            <w:r>
              <w:rPr>
                <w:rFonts w:hint="default"/>
                <w:b/>
                <w:bCs/>
                <w:color w:val="auto"/>
                <w:sz w:val="21"/>
                <w:highlight w:val="none"/>
              </w:rPr>
              <w:t>2、地表水环境</w:t>
            </w:r>
          </w:p>
          <w:p w14:paraId="61B8A0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bCs/>
                <w:color w:val="auto"/>
                <w:sz w:val="21"/>
                <w:szCs w:val="21"/>
                <w:highlight w:val="none"/>
                <w:lang w:val="en-US" w:eastAsia="zh-CN"/>
              </w:rPr>
            </w:pPr>
            <w:bookmarkStart w:id="16" w:name="_Toc218321831"/>
            <w:bookmarkStart w:id="17" w:name="_Toc318898968"/>
            <w:bookmarkStart w:id="18" w:name="_Toc207005094"/>
            <w:bookmarkStart w:id="19" w:name="_Toc301514512"/>
            <w:r>
              <w:rPr>
                <w:rFonts w:hint="default" w:ascii="Times New Roman" w:hAnsi="Times New Roman" w:cs="Times New Roman"/>
                <w:color w:val="auto"/>
                <w:sz w:val="21"/>
                <w:szCs w:val="21"/>
                <w:highlight w:val="none"/>
                <w:lang w:val="en-US" w:eastAsia="zh-CN"/>
              </w:rPr>
              <w:t>本项目</w:t>
            </w:r>
            <w:r>
              <w:rPr>
                <w:rFonts w:hint="eastAsia" w:cs="Times New Roman"/>
                <w:color w:val="auto"/>
                <w:sz w:val="21"/>
                <w:szCs w:val="21"/>
                <w:highlight w:val="none"/>
                <w:lang w:val="en-US" w:eastAsia="zh-CN"/>
              </w:rPr>
              <w:t>附近地表水体为穆棱河，</w:t>
            </w:r>
            <w:r>
              <w:rPr>
                <w:rFonts w:hint="eastAsia"/>
                <w:color w:val="auto"/>
                <w:sz w:val="21"/>
                <w:szCs w:val="21"/>
                <w:highlight w:val="none"/>
              </w:rPr>
              <w:t>根据</w:t>
            </w:r>
            <w:r>
              <w:rPr>
                <w:rFonts w:hint="default" w:ascii="Times New Roman" w:hAnsi="Times New Roman" w:cs="Times New Roman" w:eastAsiaTheme="minorEastAsia"/>
                <w:color w:val="auto"/>
                <w:sz w:val="21"/>
                <w:highlight w:val="none"/>
              </w:rPr>
              <w:t>《黑龙江省生态环境厅 黑龙江省财政厅关于 印发《黑龙江省水环境生态补偿办法》的通知》（黑环发〔2024〕22 号）</w:t>
            </w:r>
            <w:r>
              <w:rPr>
                <w:rFonts w:hint="eastAsia"/>
                <w:bCs/>
                <w:color w:val="auto"/>
                <w:sz w:val="21"/>
                <w:szCs w:val="21"/>
                <w:highlight w:val="none"/>
              </w:rPr>
              <w:t>，穆棱河</w:t>
            </w:r>
            <w:r>
              <w:rPr>
                <w:rFonts w:hint="eastAsia"/>
                <w:bCs/>
                <w:color w:val="auto"/>
                <w:sz w:val="21"/>
                <w:szCs w:val="21"/>
                <w:highlight w:val="none"/>
                <w:lang w:val="en-US" w:eastAsia="zh-CN"/>
              </w:rPr>
              <w:t>碱场桥、</w:t>
            </w:r>
            <w:r>
              <w:rPr>
                <w:rFonts w:hint="eastAsia"/>
                <w:bCs/>
                <w:color w:val="auto"/>
                <w:sz w:val="21"/>
                <w:szCs w:val="21"/>
                <w:highlight w:val="none"/>
              </w:rPr>
              <w:t>知一桥、穆棱河河口内断面</w:t>
            </w:r>
            <w:r>
              <w:rPr>
                <w:rFonts w:hint="eastAsia"/>
                <w:bCs/>
                <w:color w:val="auto"/>
                <w:sz w:val="21"/>
                <w:szCs w:val="21"/>
                <w:highlight w:val="none"/>
                <w:lang w:val="en-US" w:eastAsia="zh-CN"/>
              </w:rPr>
              <w:t>均</w:t>
            </w:r>
            <w:r>
              <w:rPr>
                <w:rFonts w:hint="eastAsia"/>
                <w:bCs/>
                <w:color w:val="auto"/>
                <w:sz w:val="21"/>
                <w:szCs w:val="21"/>
                <w:highlight w:val="none"/>
              </w:rPr>
              <w:t>达到</w:t>
            </w:r>
            <w:r>
              <w:rPr>
                <w:rFonts w:hint="eastAsia" w:ascii="宋体" w:hAnsi="宋体" w:cs="宋体"/>
                <w:bCs/>
                <w:color w:val="auto"/>
                <w:sz w:val="21"/>
                <w:szCs w:val="21"/>
                <w:highlight w:val="none"/>
              </w:rPr>
              <w:t>Ⅲ</w:t>
            </w:r>
            <w:r>
              <w:rPr>
                <w:rFonts w:hint="eastAsia"/>
                <w:bCs/>
                <w:color w:val="auto"/>
                <w:sz w:val="21"/>
                <w:szCs w:val="21"/>
                <w:highlight w:val="none"/>
              </w:rPr>
              <w:t>类水质类别标准</w:t>
            </w:r>
            <w:r>
              <w:rPr>
                <w:rFonts w:hint="default" w:ascii="Times New Roman" w:hAnsi="Times New Roman" w:eastAsia="宋体" w:cs="Times New Roman"/>
                <w:color w:val="auto"/>
                <w:sz w:val="21"/>
                <w:szCs w:val="21"/>
                <w:highlight w:val="none"/>
              </w:rPr>
              <w:t>。</w:t>
            </w:r>
            <w:bookmarkEnd w:id="16"/>
            <w:bookmarkEnd w:id="17"/>
            <w:bookmarkEnd w:id="18"/>
            <w:bookmarkEnd w:id="19"/>
          </w:p>
          <w:p w14:paraId="09EE42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b/>
                <w:bCs/>
                <w:color w:val="auto"/>
                <w:sz w:val="21"/>
                <w:highlight w:val="none"/>
              </w:rPr>
            </w:pPr>
            <w:r>
              <w:rPr>
                <w:rFonts w:hint="default"/>
                <w:b/>
                <w:bCs/>
                <w:color w:val="auto"/>
                <w:sz w:val="21"/>
                <w:highlight w:val="none"/>
              </w:rPr>
              <w:t>3、声环境</w:t>
            </w:r>
          </w:p>
          <w:p w14:paraId="67F4EB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sz w:val="21"/>
                <w:szCs w:val="21"/>
                <w:highlight w:val="none"/>
              </w:rPr>
              <w:t>根据</w:t>
            </w:r>
            <w:r>
              <w:rPr>
                <w:rFonts w:hint="default" w:ascii="Times New Roman" w:hAnsi="Times New Roman" w:eastAsia="宋体" w:cs="Times New Roman"/>
                <w:color w:val="auto"/>
                <w:sz w:val="21"/>
                <w:szCs w:val="21"/>
                <w:highlight w:val="yellow"/>
              </w:rPr>
              <w:t>《202</w:t>
            </w:r>
            <w:r>
              <w:rPr>
                <w:rFonts w:hint="eastAsia" w:cs="Times New Roman"/>
                <w:color w:val="auto"/>
                <w:sz w:val="21"/>
                <w:szCs w:val="21"/>
                <w:highlight w:val="yellow"/>
                <w:lang w:val="en-US" w:eastAsia="zh-CN"/>
              </w:rPr>
              <w:t>5</w:t>
            </w:r>
            <w:r>
              <w:rPr>
                <w:rFonts w:hint="default" w:ascii="Times New Roman" w:hAnsi="Times New Roman" w:eastAsia="宋体" w:cs="Times New Roman"/>
                <w:color w:val="auto"/>
                <w:sz w:val="21"/>
                <w:szCs w:val="21"/>
                <w:highlight w:val="yellow"/>
              </w:rPr>
              <w:t>年</w:t>
            </w:r>
            <w:r>
              <w:rPr>
                <w:rFonts w:hint="default" w:ascii="Times New Roman" w:hAnsi="Times New Roman" w:eastAsia="宋体" w:cs="Times New Roman"/>
                <w:color w:val="auto"/>
                <w:sz w:val="21"/>
                <w:szCs w:val="21"/>
                <w:highlight w:val="yellow"/>
                <w:lang w:val="en-US" w:eastAsia="zh-CN"/>
              </w:rPr>
              <w:t>黑龙江省生态环境质量状况</w:t>
            </w:r>
            <w:r>
              <w:rPr>
                <w:rFonts w:hint="default" w:ascii="Times New Roman" w:hAnsi="Times New Roman" w:eastAsia="宋体" w:cs="Times New Roman"/>
                <w:color w:val="auto"/>
                <w:sz w:val="21"/>
                <w:szCs w:val="21"/>
                <w:highlight w:val="yellow"/>
              </w:rPr>
              <w:t>》</w:t>
            </w:r>
            <w:r>
              <w:rPr>
                <w:rFonts w:hint="default" w:ascii="Times New Roman" w:hAnsi="Times New Roman" w:eastAsia="宋体" w:cs="Times New Roman"/>
                <w:color w:val="auto"/>
                <w:sz w:val="21"/>
                <w:szCs w:val="21"/>
                <w:highlight w:val="none"/>
              </w:rPr>
              <w:t>数据可知，</w:t>
            </w:r>
            <w:r>
              <w:rPr>
                <w:rFonts w:hint="default" w:ascii="Times New Roman" w:hAnsi="Times New Roman" w:eastAsia="宋体" w:cs="Times New Roman"/>
                <w:color w:val="auto"/>
                <w:sz w:val="21"/>
                <w:szCs w:val="21"/>
                <w:highlight w:val="yellow"/>
              </w:rPr>
              <w:t>202</w:t>
            </w:r>
            <w:r>
              <w:rPr>
                <w:rFonts w:hint="eastAsia" w:cs="Times New Roman"/>
                <w:color w:val="auto"/>
                <w:sz w:val="21"/>
                <w:szCs w:val="21"/>
                <w:highlight w:val="yellow"/>
                <w:lang w:val="en-US" w:eastAsia="zh-CN"/>
              </w:rPr>
              <w:t>5</w:t>
            </w:r>
            <w:r>
              <w:rPr>
                <w:rFonts w:hint="default" w:ascii="Times New Roman" w:hAnsi="Times New Roman" w:eastAsia="宋体" w:cs="Times New Roman"/>
                <w:color w:val="auto"/>
                <w:sz w:val="21"/>
                <w:szCs w:val="21"/>
                <w:highlight w:val="yellow"/>
              </w:rPr>
              <w:t>年</w:t>
            </w:r>
            <w:r>
              <w:rPr>
                <w:rFonts w:hint="default" w:ascii="Times New Roman" w:hAnsi="Times New Roman" w:eastAsia="宋体" w:cs="Times New Roman"/>
                <w:color w:val="auto"/>
                <w:kern w:val="0"/>
                <w:sz w:val="21"/>
                <w:szCs w:val="21"/>
                <w:highlight w:val="none"/>
                <w:lang w:val="en-US" w:eastAsia="zh-CN" w:bidi="ar"/>
              </w:rPr>
              <w:t>鸡西市区域昼间声环境质量为二级，</w:t>
            </w:r>
            <w:r>
              <w:rPr>
                <w:rFonts w:hint="default" w:ascii="Times New Roman" w:hAnsi="Times New Roman" w:eastAsia="宋体" w:cs="Times New Roman"/>
                <w:color w:val="auto"/>
                <w:kern w:val="0"/>
                <w:sz w:val="21"/>
                <w:szCs w:val="21"/>
                <w:highlight w:val="yellow"/>
                <w:lang w:val="en-US" w:eastAsia="zh-CN" w:bidi="ar"/>
              </w:rPr>
              <w:t>等效声级为5</w:t>
            </w:r>
            <w:r>
              <w:rPr>
                <w:rFonts w:hint="eastAsia" w:cs="Times New Roman"/>
                <w:color w:val="auto"/>
                <w:kern w:val="0"/>
                <w:sz w:val="21"/>
                <w:szCs w:val="21"/>
                <w:highlight w:val="yellow"/>
                <w:lang w:val="en-US" w:eastAsia="zh-CN" w:bidi="ar"/>
              </w:rPr>
              <w:t>3.2</w:t>
            </w:r>
            <w:r>
              <w:rPr>
                <w:rFonts w:hint="default" w:ascii="Times New Roman" w:hAnsi="Times New Roman" w:eastAsia="宋体" w:cs="Times New Roman"/>
                <w:color w:val="auto"/>
                <w:kern w:val="0"/>
                <w:sz w:val="21"/>
                <w:szCs w:val="21"/>
                <w:highlight w:val="yellow"/>
                <w:lang w:val="en-US" w:eastAsia="zh-CN" w:bidi="ar"/>
              </w:rPr>
              <w:t>dB(A</w:t>
            </w:r>
            <w:r>
              <w:rPr>
                <w:rFonts w:hint="eastAsia" w:cs="Times New Roman"/>
                <w:color w:val="auto"/>
                <w:kern w:val="0"/>
                <w:sz w:val="21"/>
                <w:szCs w:val="21"/>
                <w:highlight w:val="yellow"/>
                <w:lang w:val="en-US" w:eastAsia="zh-CN" w:bidi="ar"/>
              </w:rPr>
              <w:t>）</w:t>
            </w:r>
            <w:r>
              <w:rPr>
                <w:rFonts w:hint="eastAsia" w:cs="Times New Roman"/>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道路交通昼间声环境质量为一级，等效声级为</w:t>
            </w:r>
            <w:r>
              <w:rPr>
                <w:rFonts w:hint="default" w:ascii="Times New Roman" w:hAnsi="Times New Roman" w:eastAsia="宋体" w:cs="Times New Roman"/>
                <w:color w:val="auto"/>
                <w:kern w:val="0"/>
                <w:sz w:val="21"/>
                <w:szCs w:val="21"/>
                <w:highlight w:val="yellow"/>
                <w:lang w:val="en-US" w:eastAsia="zh-CN" w:bidi="ar"/>
              </w:rPr>
              <w:t>6</w:t>
            </w:r>
            <w:r>
              <w:rPr>
                <w:rFonts w:hint="eastAsia" w:cs="Times New Roman"/>
                <w:color w:val="auto"/>
                <w:kern w:val="0"/>
                <w:sz w:val="21"/>
                <w:szCs w:val="21"/>
                <w:highlight w:val="yellow"/>
                <w:lang w:val="en-US" w:eastAsia="zh-CN" w:bidi="ar"/>
              </w:rPr>
              <w:t>4.7</w:t>
            </w:r>
            <w:r>
              <w:rPr>
                <w:rFonts w:hint="default" w:ascii="Times New Roman" w:hAnsi="Times New Roman" w:eastAsia="宋体" w:cs="Times New Roman"/>
                <w:color w:val="auto"/>
                <w:kern w:val="0"/>
                <w:sz w:val="21"/>
                <w:szCs w:val="21"/>
                <w:highlight w:val="yellow"/>
                <w:lang w:val="en-US" w:eastAsia="zh-CN" w:bidi="ar"/>
              </w:rPr>
              <w:t>dB(A</w:t>
            </w:r>
            <w:r>
              <w:rPr>
                <w:rFonts w:hint="eastAsia" w:cs="Times New Roman"/>
                <w:color w:val="auto"/>
                <w:kern w:val="0"/>
                <w:sz w:val="21"/>
                <w:szCs w:val="21"/>
                <w:highlight w:val="yellow"/>
                <w:lang w:val="en-US" w:eastAsia="zh-CN" w:bidi="ar"/>
              </w:rPr>
              <w:t>）</w:t>
            </w:r>
            <w:r>
              <w:rPr>
                <w:rFonts w:hint="default" w:ascii="Times New Roman" w:hAnsi="Times New Roman" w:eastAsia="宋体" w:cs="Times New Roman"/>
                <w:color w:val="auto"/>
                <w:kern w:val="0"/>
                <w:sz w:val="21"/>
                <w:szCs w:val="21"/>
                <w:highlight w:val="none"/>
                <w:lang w:val="en-US" w:eastAsia="zh-CN" w:bidi="ar"/>
              </w:rPr>
              <w:t>；功能区昼间达标率100%；功能区夜间达标率100%。</w:t>
            </w:r>
            <w:r>
              <w:rPr>
                <w:rFonts w:hint="default" w:ascii="Times New Roman" w:hAnsi="Times New Roman" w:eastAsia="宋体" w:cs="Times New Roman"/>
                <w:color w:val="auto"/>
                <w:kern w:val="0"/>
                <w:sz w:val="21"/>
                <w:szCs w:val="21"/>
                <w:highlight w:val="none"/>
                <w:lang w:val="en-US" w:eastAsia="zh-CN"/>
              </w:rPr>
              <w:t>本项目</w:t>
            </w:r>
            <w:r>
              <w:rPr>
                <w:rFonts w:hint="default" w:ascii="Times New Roman" w:hAnsi="Times New Roman" w:eastAsia="宋体" w:cs="Times New Roman"/>
                <w:color w:val="auto"/>
                <w:kern w:val="0"/>
                <w:sz w:val="21"/>
                <w:szCs w:val="21"/>
                <w:highlight w:val="none"/>
              </w:rPr>
              <w:t>厂界外周边50米范围</w:t>
            </w:r>
            <w:r>
              <w:rPr>
                <w:rFonts w:hint="eastAsia" w:cs="Times New Roman"/>
                <w:color w:val="auto"/>
                <w:kern w:val="0"/>
                <w:sz w:val="21"/>
                <w:szCs w:val="21"/>
                <w:highlight w:val="none"/>
                <w:lang w:val="en-US" w:eastAsia="zh-CN"/>
              </w:rPr>
              <w:t>内无</w:t>
            </w:r>
            <w:r>
              <w:rPr>
                <w:rFonts w:hint="default" w:ascii="Times New Roman" w:hAnsi="Times New Roman" w:eastAsia="宋体" w:cs="Times New Roman"/>
                <w:color w:val="auto"/>
                <w:kern w:val="0"/>
                <w:sz w:val="21"/>
                <w:szCs w:val="21"/>
                <w:highlight w:val="none"/>
              </w:rPr>
              <w:t>声环境保护目标</w:t>
            </w:r>
            <w:r>
              <w:rPr>
                <w:rFonts w:hint="default" w:ascii="Times New Roman" w:hAnsi="Times New Roman" w:eastAsia="宋体" w:cs="Times New Roman"/>
                <w:color w:val="auto"/>
                <w:kern w:val="0"/>
                <w:sz w:val="21"/>
                <w:szCs w:val="21"/>
                <w:highlight w:val="none"/>
                <w:lang w:val="en-US" w:eastAsia="zh-CN" w:bidi="ar"/>
              </w:rPr>
              <w:t>。</w:t>
            </w:r>
          </w:p>
          <w:p w14:paraId="2B38BB99">
            <w:pPr>
              <w:pStyle w:val="5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textAlignment w:val="auto"/>
              <w:rPr>
                <w:rFonts w:hint="default"/>
                <w:b/>
                <w:color w:val="auto"/>
                <w:sz w:val="21"/>
                <w:szCs w:val="21"/>
                <w:highlight w:val="none"/>
              </w:rPr>
            </w:pPr>
            <w:r>
              <w:rPr>
                <w:rFonts w:hint="default"/>
                <w:b/>
                <w:color w:val="auto"/>
                <w:sz w:val="21"/>
                <w:szCs w:val="21"/>
                <w:highlight w:val="none"/>
              </w:rPr>
              <w:t>4、生态环境</w:t>
            </w:r>
          </w:p>
          <w:p w14:paraId="1E25A1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default"/>
                <w:color w:val="auto"/>
                <w:kern w:val="0"/>
                <w:sz w:val="21"/>
                <w:szCs w:val="21"/>
                <w:highlight w:val="none"/>
              </w:rPr>
            </w:pPr>
            <w:r>
              <w:rPr>
                <w:rFonts w:hint="default"/>
                <w:color w:val="auto"/>
                <w:kern w:val="0"/>
                <w:sz w:val="21"/>
                <w:szCs w:val="21"/>
                <w:highlight w:val="none"/>
              </w:rPr>
              <w:t>本项目用地范围内无生态环境保护目标，因此不进行生态现状调查。</w:t>
            </w:r>
          </w:p>
          <w:p w14:paraId="515A9EFC">
            <w:pPr>
              <w:pStyle w:val="5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422" w:firstLineChars="200"/>
              <w:textAlignment w:val="auto"/>
              <w:rPr>
                <w:rFonts w:hint="default"/>
                <w:b/>
                <w:color w:val="auto"/>
                <w:sz w:val="21"/>
                <w:szCs w:val="21"/>
                <w:highlight w:val="none"/>
              </w:rPr>
            </w:pPr>
            <w:r>
              <w:rPr>
                <w:rFonts w:hint="default" w:ascii="Times New Roman" w:hAnsi="Times New Roman" w:eastAsia="宋体" w:cs="Times New Roman"/>
                <w:b/>
                <w:color w:val="auto"/>
                <w:kern w:val="2"/>
                <w:sz w:val="21"/>
                <w:szCs w:val="21"/>
                <w:lang w:val="en-US" w:eastAsia="zh-CN" w:bidi="ar-SA"/>
              </w:rPr>
              <w:t>5、</w:t>
            </w:r>
            <w:r>
              <w:rPr>
                <w:rFonts w:hint="default"/>
                <w:b/>
                <w:color w:val="auto"/>
                <w:sz w:val="21"/>
                <w:szCs w:val="21"/>
                <w:highlight w:val="none"/>
              </w:rPr>
              <w:t>地下水环境</w:t>
            </w:r>
          </w:p>
          <w:p w14:paraId="73F7A8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b/>
                <w:color w:val="auto"/>
                <w:sz w:val="21"/>
                <w:szCs w:val="21"/>
                <w:highlight w:val="none"/>
                <w:lang w:val="en-US" w:eastAsia="zh-CN"/>
              </w:rPr>
            </w:pPr>
            <w:r>
              <w:rPr>
                <w:rFonts w:hint="default" w:ascii="Times New Roman" w:hAnsi="Times New Roman" w:cs="Times New Roman"/>
                <w:color w:val="auto"/>
                <w:spacing w:val="0"/>
                <w:sz w:val="21"/>
                <w:szCs w:val="21"/>
              </w:rPr>
              <w:t>本项目</w:t>
            </w:r>
            <w:r>
              <w:rPr>
                <w:rFonts w:hint="default" w:ascii="Times New Roman" w:hAnsi="Times New Roman" w:cs="Times New Roman"/>
                <w:color w:val="auto"/>
                <w:spacing w:val="0"/>
                <w:sz w:val="21"/>
                <w:szCs w:val="21"/>
                <w:lang w:val="en-US" w:eastAsia="zh-CN"/>
              </w:rPr>
              <w:t>依托现有工程防渗措施，</w:t>
            </w:r>
            <w:r>
              <w:rPr>
                <w:rFonts w:hint="default" w:ascii="Times New Roman" w:hAnsi="Times New Roman" w:cs="Times New Roman"/>
                <w:color w:val="auto"/>
                <w:spacing w:val="0"/>
                <w:sz w:val="21"/>
                <w:szCs w:val="21"/>
              </w:rPr>
              <w:t>加氯</w:t>
            </w:r>
            <w:r>
              <w:rPr>
                <w:rFonts w:hint="default" w:ascii="Times New Roman" w:hAnsi="Times New Roman" w:cs="Times New Roman"/>
                <w:color w:val="auto"/>
                <w:spacing w:val="0"/>
                <w:sz w:val="21"/>
                <w:szCs w:val="21"/>
                <w:lang w:val="en-US" w:eastAsia="zh-CN"/>
              </w:rPr>
              <w:t>加药间</w:t>
            </w:r>
            <w:r>
              <w:rPr>
                <w:rFonts w:hint="default" w:ascii="Times New Roman" w:hAnsi="Times New Roman" w:cs="Times New Roman"/>
                <w:color w:val="auto"/>
                <w:spacing w:val="0"/>
                <w:sz w:val="21"/>
                <w:szCs w:val="21"/>
              </w:rPr>
              <w:t>地面进行重点防渗，防渗措施应满足《环境影响评价技术导则地下水环境》（HJ 610—2016）中等效黏土防渗层Mb≥</w:t>
            </w:r>
            <w:r>
              <w:rPr>
                <w:rFonts w:hint="default" w:ascii="Times New Roman" w:hAnsi="Times New Roman" w:cs="Times New Roman"/>
                <w:color w:val="auto"/>
                <w:spacing w:val="0"/>
                <w:sz w:val="21"/>
                <w:szCs w:val="21"/>
                <w:lang w:val="en-US" w:eastAsia="zh-CN"/>
              </w:rPr>
              <w:t>6.0</w:t>
            </w:r>
            <w:r>
              <w:rPr>
                <w:rFonts w:hint="default" w:ascii="Times New Roman" w:hAnsi="Times New Roman" w:cs="Times New Roman"/>
                <w:color w:val="auto"/>
                <w:spacing w:val="0"/>
                <w:sz w:val="21"/>
                <w:szCs w:val="21"/>
              </w:rPr>
              <w:t>m，渗透系数K≤1×10</w:t>
            </w:r>
            <w:r>
              <w:rPr>
                <w:rFonts w:hint="default" w:ascii="Times New Roman" w:hAnsi="Times New Roman" w:cs="Times New Roman"/>
                <w:color w:val="auto"/>
                <w:spacing w:val="0"/>
                <w:sz w:val="21"/>
                <w:szCs w:val="21"/>
                <w:vertAlign w:val="superscript"/>
              </w:rPr>
              <w:t>-7</w:t>
            </w:r>
            <w:r>
              <w:rPr>
                <w:rFonts w:hint="default" w:ascii="Times New Roman" w:hAnsi="Times New Roman" w:cs="Times New Roman"/>
                <w:color w:val="auto"/>
                <w:spacing w:val="0"/>
                <w:sz w:val="21"/>
                <w:szCs w:val="21"/>
              </w:rPr>
              <w:t>cm/s</w:t>
            </w:r>
            <w:r>
              <w:rPr>
                <w:rFonts w:hint="default" w:ascii="Times New Roman" w:hAnsi="Times New Roman" w:cs="Times New Roman"/>
                <w:color w:val="auto"/>
                <w:spacing w:val="0"/>
                <w:sz w:val="21"/>
                <w:szCs w:val="21"/>
                <w:lang w:eastAsia="zh-CN"/>
              </w:rPr>
              <w:t>。</w:t>
            </w:r>
            <w:r>
              <w:rPr>
                <w:rFonts w:hint="default" w:ascii="Times New Roman" w:hAnsi="Times New Roman" w:eastAsia="宋体" w:cs="Times New Roman"/>
                <w:color w:val="auto"/>
                <w:spacing w:val="0"/>
                <w:sz w:val="21"/>
                <w:szCs w:val="21"/>
                <w:lang w:val="en-US" w:eastAsia="zh-CN"/>
              </w:rPr>
              <w:t>同时采取截流措施，避免进入外环境；定期检查</w:t>
            </w:r>
            <w:r>
              <w:rPr>
                <w:rFonts w:hint="default" w:ascii="Times New Roman" w:hAnsi="Times New Roman" w:cs="Times New Roman"/>
                <w:color w:val="auto"/>
                <w:spacing w:val="0"/>
                <w:sz w:val="21"/>
                <w:szCs w:val="21"/>
                <w:lang w:val="en-US" w:eastAsia="zh-CN"/>
              </w:rPr>
              <w:t>药剂及液氯瓶装</w:t>
            </w:r>
            <w:r>
              <w:rPr>
                <w:rFonts w:hint="default" w:ascii="Times New Roman" w:hAnsi="Times New Roman" w:eastAsia="宋体" w:cs="Times New Roman"/>
                <w:color w:val="auto"/>
                <w:spacing w:val="0"/>
                <w:sz w:val="21"/>
                <w:szCs w:val="21"/>
                <w:lang w:val="en-US" w:eastAsia="zh-CN"/>
              </w:rPr>
              <w:t>是否完整无损</w:t>
            </w:r>
            <w:r>
              <w:rPr>
                <w:rFonts w:hint="default" w:ascii="Times New Roman" w:hAnsi="Times New Roman" w:cs="Times New Roman"/>
                <w:color w:val="auto"/>
                <w:spacing w:val="0"/>
                <w:sz w:val="21"/>
                <w:szCs w:val="21"/>
                <w:lang w:val="en-US" w:eastAsia="zh-CN"/>
              </w:rPr>
              <w:t>。</w:t>
            </w:r>
            <w:r>
              <w:rPr>
                <w:rFonts w:hint="default" w:ascii="Times New Roman" w:hAnsi="Times New Roman" w:cs="Times New Roman"/>
                <w:color w:val="auto"/>
                <w:sz w:val="21"/>
                <w:szCs w:val="21"/>
              </w:rPr>
              <w:t>防渗</w:t>
            </w:r>
            <w:r>
              <w:rPr>
                <w:rFonts w:hint="eastAsia" w:cs="Times New Roman"/>
                <w:color w:val="auto"/>
                <w:sz w:val="21"/>
                <w:szCs w:val="21"/>
                <w:lang w:val="en-US" w:eastAsia="zh-CN"/>
              </w:rPr>
              <w:t>化粪池</w:t>
            </w:r>
            <w:r>
              <w:rPr>
                <w:rFonts w:hint="eastAsia"/>
                <w:bCs/>
                <w:color w:val="auto"/>
                <w:sz w:val="21"/>
                <w:szCs w:val="21"/>
              </w:rPr>
              <w:t>采取一般防渗要求，防渗技术要求达到等效粘土防渗层</w:t>
            </w:r>
            <w:r>
              <w:rPr>
                <w:rFonts w:hint="default"/>
                <w:bCs/>
                <w:color w:val="auto"/>
                <w:sz w:val="21"/>
                <w:szCs w:val="21"/>
              </w:rPr>
              <w:t>Mb≥1.5m</w:t>
            </w:r>
            <w:r>
              <w:rPr>
                <w:rFonts w:hint="eastAsia"/>
                <w:bCs/>
                <w:color w:val="auto"/>
                <w:sz w:val="21"/>
                <w:szCs w:val="21"/>
              </w:rPr>
              <w:t>，</w:t>
            </w:r>
            <w:r>
              <w:rPr>
                <w:rFonts w:hint="default"/>
                <w:bCs/>
                <w:color w:val="auto"/>
                <w:sz w:val="21"/>
                <w:szCs w:val="21"/>
              </w:rPr>
              <w:t>K≤1×10</w:t>
            </w:r>
            <w:r>
              <w:rPr>
                <w:rFonts w:hint="default"/>
                <w:bCs/>
                <w:color w:val="auto"/>
                <w:sz w:val="21"/>
                <w:szCs w:val="21"/>
                <w:vertAlign w:val="superscript"/>
              </w:rPr>
              <w:t>-7</w:t>
            </w:r>
            <w:r>
              <w:rPr>
                <w:rFonts w:hint="default"/>
                <w:bCs/>
                <w:color w:val="auto"/>
                <w:sz w:val="21"/>
                <w:szCs w:val="21"/>
              </w:rPr>
              <w:t>cm/s</w:t>
            </w:r>
            <w:r>
              <w:rPr>
                <w:rFonts w:hint="eastAsia"/>
                <w:bCs/>
                <w:color w:val="auto"/>
                <w:sz w:val="21"/>
                <w:szCs w:val="21"/>
                <w:lang w:eastAsia="zh-CN"/>
              </w:rPr>
              <w:t>。</w:t>
            </w:r>
            <w:r>
              <w:rPr>
                <w:rFonts w:hint="default" w:ascii="Times New Roman" w:hAnsi="Times New Roman" w:eastAsia="宋体" w:cs="Times New Roman"/>
                <w:color w:val="auto"/>
                <w:spacing w:val="0"/>
                <w:kern w:val="0"/>
                <w:sz w:val="21"/>
                <w:szCs w:val="21"/>
                <w:highlight w:val="none"/>
                <w:lang w:val="en-US" w:eastAsia="zh-CN"/>
              </w:rPr>
              <w:t>厂区其他区域为简单防渗，进行一般地面硬化</w:t>
            </w:r>
            <w:r>
              <w:rPr>
                <w:rFonts w:hint="eastAsia" w:ascii="Times New Roman" w:hAnsi="Times New Roman" w:eastAsia="宋体" w:cs="Times New Roman"/>
                <w:color w:val="auto"/>
                <w:kern w:val="0"/>
                <w:sz w:val="21"/>
                <w:szCs w:val="21"/>
                <w:highlight w:val="none"/>
                <w:lang w:val="en-US" w:eastAsia="zh-CN"/>
              </w:rPr>
              <w:t>。本项</w:t>
            </w:r>
            <w:r>
              <w:rPr>
                <w:rFonts w:hint="eastAsia" w:ascii="宋体" w:hAnsi="宋体" w:cs="宋体"/>
                <w:color w:val="auto"/>
                <w:sz w:val="21"/>
                <w:szCs w:val="21"/>
                <w:lang w:val="en-US" w:eastAsia="zh-CN"/>
              </w:rPr>
              <w:t>目</w:t>
            </w:r>
            <w:r>
              <w:rPr>
                <w:rFonts w:hint="eastAsia" w:ascii="Times New Roman" w:hAnsi="Times New Roman" w:eastAsia="宋体" w:cs="Times New Roman"/>
                <w:color w:val="auto"/>
                <w:kern w:val="0"/>
                <w:sz w:val="21"/>
                <w:szCs w:val="21"/>
                <w:highlight w:val="none"/>
                <w:lang w:val="en-US" w:eastAsia="zh-CN"/>
              </w:rPr>
              <w:t>不存在明显的土壤、地下水环境污染途径，故可不开展环境质量现状调查。</w:t>
            </w:r>
          </w:p>
        </w:tc>
      </w:tr>
      <w:tr w14:paraId="2FCF70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3" w:hRule="atLeast"/>
          <w:jc w:val="center"/>
        </w:trPr>
        <w:tc>
          <w:tcPr>
            <w:tcW w:w="452" w:type="pct"/>
            <w:vAlign w:val="center"/>
          </w:tcPr>
          <w:p w14:paraId="4086135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环境保护目标</w:t>
            </w:r>
          </w:p>
        </w:tc>
        <w:tc>
          <w:tcPr>
            <w:tcW w:w="4547" w:type="pct"/>
            <w:vAlign w:val="center"/>
          </w:tcPr>
          <w:p w14:paraId="396877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bCs/>
                <w:color w:val="auto"/>
                <w:sz w:val="21"/>
                <w:szCs w:val="21"/>
                <w:highlight w:val="none"/>
              </w:rPr>
              <w:t>本项目厂界外500米范围内无地下水集中式饮用水水源和热水、矿泉水、温泉等特殊地下水资源；无自然保护区</w:t>
            </w:r>
            <w:r>
              <w:rPr>
                <w:rFonts w:hint="eastAsia" w:cs="Times New Roman"/>
                <w:bCs/>
                <w:color w:val="auto"/>
                <w:sz w:val="21"/>
                <w:szCs w:val="21"/>
                <w:highlight w:val="none"/>
                <w:lang w:val="en-US" w:eastAsia="zh-CN"/>
              </w:rPr>
              <w:t>及</w:t>
            </w:r>
            <w:r>
              <w:rPr>
                <w:rFonts w:hint="default" w:ascii="Times New Roman" w:hAnsi="Times New Roman" w:eastAsia="宋体" w:cs="Times New Roman"/>
                <w:bCs/>
                <w:color w:val="auto"/>
                <w:sz w:val="21"/>
                <w:szCs w:val="21"/>
                <w:highlight w:val="none"/>
              </w:rPr>
              <w:t>风景名胜区</w:t>
            </w:r>
            <w:r>
              <w:rPr>
                <w:rFonts w:hint="eastAsia" w:cs="Times New Roman"/>
                <w:bCs/>
                <w:color w:val="auto"/>
                <w:sz w:val="21"/>
                <w:szCs w:val="21"/>
                <w:highlight w:val="none"/>
                <w:lang w:eastAsia="zh-CN"/>
              </w:rPr>
              <w:t>；</w:t>
            </w:r>
            <w:r>
              <w:rPr>
                <w:rFonts w:hint="default"/>
                <w:color w:val="auto"/>
                <w:sz w:val="21"/>
                <w:highlight w:val="none"/>
              </w:rPr>
              <w:t>本项目不涉及生态环境保护目标</w:t>
            </w:r>
            <w:r>
              <w:rPr>
                <w:rFonts w:hint="eastAsia"/>
                <w:color w:val="auto"/>
                <w:sz w:val="21"/>
                <w:highlight w:val="none"/>
                <w:lang w:eastAsia="zh-CN"/>
              </w:rPr>
              <w:t>；</w:t>
            </w:r>
            <w:r>
              <w:rPr>
                <w:rFonts w:hint="eastAsia"/>
                <w:color w:val="auto"/>
                <w:sz w:val="21"/>
                <w:highlight w:val="none"/>
                <w:lang w:val="en-US" w:eastAsia="zh-CN"/>
              </w:rPr>
              <w:t>本项目</w:t>
            </w:r>
            <w:r>
              <w:rPr>
                <w:rFonts w:hint="default" w:ascii="Times New Roman" w:hAnsi="Times New Roman" w:eastAsia="宋体" w:cs="Times New Roman"/>
                <w:bCs/>
                <w:color w:val="auto"/>
                <w:sz w:val="21"/>
                <w:szCs w:val="21"/>
                <w:highlight w:val="none"/>
              </w:rPr>
              <w:t>50米范围内</w:t>
            </w:r>
            <w:r>
              <w:rPr>
                <w:rFonts w:hint="eastAsia" w:cs="Times New Roman"/>
                <w:bCs/>
                <w:color w:val="auto"/>
                <w:sz w:val="21"/>
                <w:szCs w:val="21"/>
                <w:highlight w:val="none"/>
                <w:lang w:val="en-US" w:eastAsia="zh-CN"/>
              </w:rPr>
              <w:t>无</w:t>
            </w:r>
            <w:r>
              <w:rPr>
                <w:rFonts w:hint="default" w:ascii="Times New Roman" w:hAnsi="Times New Roman" w:eastAsia="宋体" w:cs="Times New Roman"/>
                <w:bCs/>
                <w:color w:val="auto"/>
                <w:sz w:val="21"/>
                <w:szCs w:val="21"/>
                <w:highlight w:val="none"/>
              </w:rPr>
              <w:t>声环境保护目标</w:t>
            </w:r>
            <w:r>
              <w:rPr>
                <w:rFonts w:hint="eastAsia" w:cs="Times New Roman"/>
                <w:bCs/>
                <w:color w:val="auto"/>
                <w:sz w:val="21"/>
                <w:szCs w:val="21"/>
                <w:highlight w:val="none"/>
                <w:lang w:val="en-US" w:eastAsia="zh-CN"/>
              </w:rPr>
              <w:t>，</w:t>
            </w:r>
            <w:r>
              <w:rPr>
                <w:rFonts w:hint="default" w:ascii="Times New Roman" w:hAnsi="Times New Roman" w:eastAsia="宋体" w:cs="Times New Roman"/>
                <w:bCs/>
                <w:color w:val="auto"/>
                <w:sz w:val="21"/>
                <w:szCs w:val="21"/>
                <w:highlight w:val="none"/>
              </w:rPr>
              <w:t>500米范围内大气环境保护目标</w:t>
            </w:r>
            <w:r>
              <w:rPr>
                <w:rFonts w:hint="default"/>
                <w:color w:val="auto"/>
                <w:sz w:val="21"/>
                <w:highlight w:val="none"/>
              </w:rPr>
              <w:t>，详见</w:t>
            </w:r>
            <w:r>
              <w:rPr>
                <w:rFonts w:hint="eastAsia"/>
                <w:color w:val="auto"/>
                <w:sz w:val="21"/>
                <w:highlight w:val="none"/>
                <w:lang w:val="en-US" w:eastAsia="zh-CN"/>
              </w:rPr>
              <w:t>下</w:t>
            </w:r>
            <w:r>
              <w:rPr>
                <w:rFonts w:hint="default"/>
                <w:color w:val="auto"/>
                <w:sz w:val="21"/>
                <w:highlight w:val="none"/>
              </w:rPr>
              <w:t>表</w:t>
            </w:r>
            <w:r>
              <w:rPr>
                <w:rFonts w:hint="default" w:ascii="Times New Roman" w:hAnsi="Times New Roman" w:eastAsia="宋体" w:cs="Times New Roman"/>
                <w:color w:val="auto"/>
                <w:kern w:val="0"/>
                <w:sz w:val="21"/>
                <w:szCs w:val="21"/>
                <w:highlight w:val="none"/>
                <w:lang w:val="en-US" w:eastAsia="zh-CN"/>
              </w:rPr>
              <w:t>。</w:t>
            </w:r>
          </w:p>
          <w:p w14:paraId="6E7356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rPr>
              <w:t>表</w:t>
            </w:r>
            <w:r>
              <w:rPr>
                <w:rFonts w:hint="default" w:ascii="Times New Roman" w:hAnsi="Times New Roman" w:eastAsia="黑体" w:cs="Times New Roman"/>
                <w:b/>
                <w:bCs/>
                <w:color w:val="auto"/>
                <w:kern w:val="0"/>
                <w:sz w:val="21"/>
                <w:szCs w:val="21"/>
                <w:highlight w:val="none"/>
              </w:rPr>
              <w:t>3-</w:t>
            </w:r>
            <w:r>
              <w:rPr>
                <w:rFonts w:hint="eastAsia" w:eastAsia="黑体" w:cs="Times New Roman"/>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rPr>
              <w:t>本项目</w:t>
            </w:r>
            <w:r>
              <w:rPr>
                <w:rFonts w:hint="eastAsia" w:ascii="宋体" w:hAnsi="宋体" w:eastAsia="宋体" w:cs="宋体"/>
                <w:b/>
                <w:bCs/>
                <w:color w:val="auto"/>
                <w:kern w:val="0"/>
                <w:sz w:val="21"/>
                <w:szCs w:val="21"/>
                <w:highlight w:val="none"/>
                <w:lang w:eastAsia="zh-CN"/>
              </w:rPr>
              <w:t>环境空气敏感</w:t>
            </w:r>
            <w:r>
              <w:rPr>
                <w:rFonts w:hint="eastAsia" w:ascii="宋体" w:hAnsi="宋体" w:eastAsia="宋体" w:cs="宋体"/>
                <w:b/>
                <w:bCs/>
                <w:color w:val="auto"/>
                <w:kern w:val="0"/>
                <w:sz w:val="21"/>
                <w:szCs w:val="21"/>
                <w:highlight w:val="none"/>
              </w:rPr>
              <w:t>保护目标情况一览表</w:t>
            </w:r>
          </w:p>
          <w:tbl>
            <w:tblPr>
              <w:tblStyle w:val="35"/>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1270"/>
              <w:gridCol w:w="1221"/>
              <w:gridCol w:w="973"/>
              <w:gridCol w:w="686"/>
              <w:gridCol w:w="803"/>
              <w:gridCol w:w="888"/>
              <w:gridCol w:w="1033"/>
            </w:tblGrid>
            <w:tr w14:paraId="4CB9AA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73" w:type="dxa"/>
                  <w:vMerge w:val="restart"/>
                  <w:noWrap w:val="0"/>
                  <w:vAlign w:val="center"/>
                </w:tcPr>
                <w:p w14:paraId="0EE8E5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名称</w:t>
                  </w:r>
                </w:p>
              </w:tc>
              <w:tc>
                <w:tcPr>
                  <w:tcW w:w="2510" w:type="dxa"/>
                  <w:gridSpan w:val="2"/>
                  <w:noWrap w:val="0"/>
                  <w:vAlign w:val="center"/>
                </w:tcPr>
                <w:p w14:paraId="1856F5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00"/>
                    <w:jc w:val="center"/>
                    <w:textAlignment w:val="baseline"/>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坐标</w:t>
                  </w:r>
                  <w:r>
                    <w:rPr>
                      <w:rFonts w:hint="default" w:ascii="Times New Roman" w:hAnsi="Times New Roman" w:cs="Times New Roman"/>
                      <w:b w:val="0"/>
                      <w:bCs w:val="0"/>
                      <w:color w:val="auto"/>
                      <w:sz w:val="18"/>
                      <w:szCs w:val="18"/>
                      <w:highlight w:val="none"/>
                    </w:rPr>
                    <w:t>/</w:t>
                  </w:r>
                  <w:r>
                    <w:rPr>
                      <w:rFonts w:hint="default" w:ascii="Times New Roman" w:hAnsi="Times New Roman" w:eastAsia="宋体" w:cs="Times New Roman"/>
                      <w:b w:val="0"/>
                      <w:bCs w:val="0"/>
                      <w:color w:val="auto"/>
                      <w:sz w:val="18"/>
                      <w:szCs w:val="18"/>
                      <w:highlight w:val="none"/>
                    </w:rPr>
                    <w:t>°</w:t>
                  </w:r>
                </w:p>
              </w:tc>
              <w:tc>
                <w:tcPr>
                  <w:tcW w:w="980" w:type="dxa"/>
                  <w:vMerge w:val="restart"/>
                  <w:noWrap w:val="0"/>
                  <w:vAlign w:val="center"/>
                </w:tcPr>
                <w:p w14:paraId="781594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保护对象</w:t>
                  </w:r>
                </w:p>
              </w:tc>
              <w:tc>
                <w:tcPr>
                  <w:tcW w:w="690" w:type="dxa"/>
                  <w:vMerge w:val="restart"/>
                  <w:noWrap w:val="0"/>
                  <w:vAlign w:val="center"/>
                </w:tcPr>
                <w:p w14:paraId="2EBABA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保护内容</w:t>
                  </w:r>
                </w:p>
              </w:tc>
              <w:tc>
                <w:tcPr>
                  <w:tcW w:w="808" w:type="dxa"/>
                  <w:vMerge w:val="restart"/>
                  <w:noWrap w:val="0"/>
                  <w:vAlign w:val="center"/>
                </w:tcPr>
                <w:p w14:paraId="5BBDD4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环境功能区</w:t>
                  </w:r>
                </w:p>
              </w:tc>
              <w:tc>
                <w:tcPr>
                  <w:tcW w:w="894" w:type="dxa"/>
                  <w:vMerge w:val="restart"/>
                  <w:noWrap w:val="0"/>
                  <w:vAlign w:val="center"/>
                </w:tcPr>
                <w:p w14:paraId="4FDA1E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相对厂址方位</w:t>
                  </w:r>
                </w:p>
              </w:tc>
              <w:tc>
                <w:tcPr>
                  <w:tcW w:w="1041" w:type="dxa"/>
                  <w:vMerge w:val="restart"/>
                  <w:noWrap w:val="0"/>
                  <w:vAlign w:val="center"/>
                </w:tcPr>
                <w:p w14:paraId="186041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相对厂址距离</w:t>
                  </w:r>
                  <w:r>
                    <w:rPr>
                      <w:rFonts w:hint="default" w:ascii="Times New Roman" w:hAnsi="Times New Roman" w:cs="Times New Roman"/>
                      <w:b w:val="0"/>
                      <w:bCs w:val="0"/>
                      <w:color w:val="auto"/>
                      <w:sz w:val="18"/>
                      <w:szCs w:val="18"/>
                      <w:highlight w:val="none"/>
                    </w:rPr>
                    <w:t>/m</w:t>
                  </w:r>
                </w:p>
              </w:tc>
            </w:tr>
            <w:tr w14:paraId="0426FA9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73" w:type="dxa"/>
                  <w:vMerge w:val="continue"/>
                  <w:noWrap w:val="0"/>
                  <w:vAlign w:val="center"/>
                </w:tcPr>
                <w:p w14:paraId="70BA9A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cs="Times New Roman"/>
                      <w:b w:val="0"/>
                      <w:bCs w:val="0"/>
                      <w:color w:val="auto"/>
                      <w:sz w:val="18"/>
                      <w:szCs w:val="18"/>
                      <w:highlight w:val="none"/>
                    </w:rPr>
                  </w:pPr>
                </w:p>
              </w:tc>
              <w:tc>
                <w:tcPr>
                  <w:tcW w:w="1280" w:type="dxa"/>
                  <w:noWrap w:val="0"/>
                  <w:vAlign w:val="center"/>
                </w:tcPr>
                <w:p w14:paraId="795428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经度</w:t>
                  </w:r>
                </w:p>
              </w:tc>
              <w:tc>
                <w:tcPr>
                  <w:tcW w:w="1230" w:type="dxa"/>
                  <w:noWrap w:val="0"/>
                  <w:vAlign w:val="center"/>
                </w:tcPr>
                <w:p w14:paraId="1EB991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纬度</w:t>
                  </w:r>
                </w:p>
              </w:tc>
              <w:tc>
                <w:tcPr>
                  <w:tcW w:w="980" w:type="dxa"/>
                  <w:vMerge w:val="continue"/>
                  <w:noWrap w:val="0"/>
                  <w:vAlign w:val="center"/>
                </w:tcPr>
                <w:p w14:paraId="2D8E5D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cs="Times New Roman"/>
                      <w:b w:val="0"/>
                      <w:bCs w:val="0"/>
                      <w:color w:val="auto"/>
                      <w:sz w:val="18"/>
                      <w:szCs w:val="18"/>
                      <w:highlight w:val="none"/>
                    </w:rPr>
                  </w:pPr>
                </w:p>
              </w:tc>
              <w:tc>
                <w:tcPr>
                  <w:tcW w:w="690" w:type="dxa"/>
                  <w:vMerge w:val="continue"/>
                  <w:noWrap w:val="0"/>
                  <w:vAlign w:val="center"/>
                </w:tcPr>
                <w:p w14:paraId="5BA415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cs="Times New Roman"/>
                      <w:b w:val="0"/>
                      <w:bCs w:val="0"/>
                      <w:color w:val="auto"/>
                      <w:sz w:val="18"/>
                      <w:szCs w:val="18"/>
                      <w:highlight w:val="none"/>
                    </w:rPr>
                  </w:pPr>
                </w:p>
              </w:tc>
              <w:tc>
                <w:tcPr>
                  <w:tcW w:w="808" w:type="dxa"/>
                  <w:vMerge w:val="continue"/>
                  <w:noWrap w:val="0"/>
                  <w:vAlign w:val="center"/>
                </w:tcPr>
                <w:p w14:paraId="5815D0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cs="Times New Roman"/>
                      <w:b w:val="0"/>
                      <w:bCs w:val="0"/>
                      <w:color w:val="auto"/>
                      <w:sz w:val="18"/>
                      <w:szCs w:val="18"/>
                      <w:highlight w:val="none"/>
                    </w:rPr>
                  </w:pPr>
                </w:p>
              </w:tc>
              <w:tc>
                <w:tcPr>
                  <w:tcW w:w="894" w:type="dxa"/>
                  <w:vMerge w:val="continue"/>
                  <w:noWrap w:val="0"/>
                  <w:vAlign w:val="center"/>
                </w:tcPr>
                <w:p w14:paraId="31BFAA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cs="Times New Roman"/>
                      <w:b w:val="0"/>
                      <w:bCs w:val="0"/>
                      <w:color w:val="auto"/>
                      <w:sz w:val="18"/>
                      <w:szCs w:val="18"/>
                      <w:highlight w:val="none"/>
                    </w:rPr>
                  </w:pPr>
                </w:p>
              </w:tc>
              <w:tc>
                <w:tcPr>
                  <w:tcW w:w="1041" w:type="dxa"/>
                  <w:vMerge w:val="continue"/>
                  <w:noWrap w:val="0"/>
                  <w:vAlign w:val="center"/>
                </w:tcPr>
                <w:p w14:paraId="68C2E4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cs="Times New Roman"/>
                      <w:b w:val="0"/>
                      <w:bCs w:val="0"/>
                      <w:color w:val="auto"/>
                      <w:sz w:val="18"/>
                      <w:szCs w:val="18"/>
                      <w:highlight w:val="none"/>
                    </w:rPr>
                  </w:pPr>
                </w:p>
              </w:tc>
            </w:tr>
            <w:tr w14:paraId="0DAB42C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73" w:type="dxa"/>
                  <w:noWrap w:val="0"/>
                  <w:vAlign w:val="center"/>
                </w:tcPr>
                <w:p w14:paraId="28E1BB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红太</w:t>
                  </w:r>
                  <w:r>
                    <w:rPr>
                      <w:rFonts w:hint="default" w:ascii="Times New Roman" w:hAnsi="Times New Roman" w:eastAsia="宋体" w:cs="Times New Roman"/>
                      <w:b w:val="0"/>
                      <w:bCs w:val="0"/>
                      <w:color w:val="auto"/>
                      <w:sz w:val="18"/>
                      <w:szCs w:val="18"/>
                      <w:highlight w:val="none"/>
                      <w:lang w:val="en-US" w:eastAsia="zh-CN"/>
                    </w:rPr>
                    <w:t>村居民</w:t>
                  </w:r>
                </w:p>
              </w:tc>
              <w:tc>
                <w:tcPr>
                  <w:tcW w:w="1280" w:type="dxa"/>
                  <w:noWrap w:val="0"/>
                  <w:vAlign w:val="center"/>
                </w:tcPr>
                <w:p w14:paraId="00F923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val="0"/>
                      <w:bCs w:val="0"/>
                      <w:color w:val="auto"/>
                      <w:kern w:val="0"/>
                      <w:sz w:val="18"/>
                      <w:szCs w:val="18"/>
                      <w:highlight w:val="none"/>
                      <w:lang w:val="en-US" w:eastAsia="zh-CN"/>
                    </w:rPr>
                  </w:pPr>
                  <w:r>
                    <w:rPr>
                      <w:rFonts w:hint="default" w:ascii="Times New Roman" w:hAnsi="Times New Roman" w:eastAsia="宋体" w:cs="Times New Roman"/>
                      <w:b w:val="0"/>
                      <w:bCs w:val="0"/>
                      <w:color w:val="auto"/>
                      <w:kern w:val="0"/>
                      <w:sz w:val="18"/>
                      <w:szCs w:val="18"/>
                      <w:highlight w:val="none"/>
                      <w:lang w:val="en-US" w:eastAsia="zh-CN"/>
                    </w:rPr>
                    <w:t>131.01812579</w:t>
                  </w:r>
                </w:p>
              </w:tc>
              <w:tc>
                <w:tcPr>
                  <w:tcW w:w="1230" w:type="dxa"/>
                  <w:noWrap w:val="0"/>
                  <w:vAlign w:val="center"/>
                </w:tcPr>
                <w:p w14:paraId="3DBE12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val="0"/>
                      <w:bCs w:val="0"/>
                      <w:color w:val="auto"/>
                      <w:kern w:val="0"/>
                      <w:sz w:val="18"/>
                      <w:szCs w:val="18"/>
                      <w:highlight w:val="none"/>
                      <w:lang w:val="en-US" w:eastAsia="zh-CN"/>
                    </w:rPr>
                  </w:pPr>
                  <w:r>
                    <w:rPr>
                      <w:rFonts w:hint="default" w:ascii="Times New Roman" w:hAnsi="Times New Roman" w:eastAsia="宋体" w:cs="Times New Roman"/>
                      <w:b w:val="0"/>
                      <w:bCs w:val="0"/>
                      <w:color w:val="auto"/>
                      <w:kern w:val="0"/>
                      <w:sz w:val="18"/>
                      <w:szCs w:val="18"/>
                      <w:highlight w:val="none"/>
                      <w:lang w:val="en-US" w:eastAsia="zh-CN"/>
                    </w:rPr>
                    <w:t>45.28183555</w:t>
                  </w:r>
                </w:p>
              </w:tc>
              <w:tc>
                <w:tcPr>
                  <w:tcW w:w="980" w:type="dxa"/>
                  <w:noWrap w:val="0"/>
                  <w:vAlign w:val="center"/>
                </w:tcPr>
                <w:p w14:paraId="1BB226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农村人口集中区</w:t>
                  </w:r>
                </w:p>
              </w:tc>
              <w:tc>
                <w:tcPr>
                  <w:tcW w:w="690" w:type="dxa"/>
                  <w:vMerge w:val="restart"/>
                  <w:noWrap w:val="0"/>
                  <w:vAlign w:val="center"/>
                </w:tcPr>
                <w:p w14:paraId="2393D5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color w:val="auto"/>
                      <w:sz w:val="18"/>
                      <w:szCs w:val="18"/>
                      <w:highlight w:val="none"/>
                      <w:lang w:eastAsia="zh-CN"/>
                    </w:rPr>
                  </w:pPr>
                  <w:r>
                    <w:rPr>
                      <w:rFonts w:hint="default" w:ascii="Times New Roman" w:hAnsi="Times New Roman" w:cs="Times New Roman"/>
                      <w:b w:val="0"/>
                      <w:bCs w:val="0"/>
                      <w:color w:val="auto"/>
                      <w:sz w:val="18"/>
                      <w:szCs w:val="18"/>
                      <w:highlight w:val="none"/>
                      <w:lang w:val="en-US" w:eastAsia="zh-CN"/>
                    </w:rPr>
                    <w:t>人群</w:t>
                  </w:r>
                </w:p>
              </w:tc>
              <w:tc>
                <w:tcPr>
                  <w:tcW w:w="808" w:type="dxa"/>
                  <w:vMerge w:val="restart"/>
                  <w:noWrap w:val="0"/>
                  <w:vAlign w:val="center"/>
                </w:tcPr>
                <w:p w14:paraId="4B1954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二类区</w:t>
                  </w:r>
                </w:p>
              </w:tc>
              <w:tc>
                <w:tcPr>
                  <w:tcW w:w="894" w:type="dxa"/>
                  <w:noWrap w:val="0"/>
                  <w:vAlign w:val="center"/>
                </w:tcPr>
                <w:p w14:paraId="7ED204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NW</w:t>
                  </w:r>
                </w:p>
              </w:tc>
              <w:tc>
                <w:tcPr>
                  <w:tcW w:w="1041" w:type="dxa"/>
                  <w:noWrap w:val="0"/>
                  <w:vAlign w:val="center"/>
                </w:tcPr>
                <w:p w14:paraId="16E715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300</w:t>
                  </w:r>
                </w:p>
              </w:tc>
            </w:tr>
            <w:tr w14:paraId="4C9792F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73" w:type="dxa"/>
                  <w:noWrap w:val="0"/>
                  <w:vAlign w:val="center"/>
                </w:tcPr>
                <w:p w14:paraId="0FF3AB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朝阳一队</w:t>
                  </w:r>
                </w:p>
              </w:tc>
              <w:tc>
                <w:tcPr>
                  <w:tcW w:w="1280" w:type="dxa"/>
                  <w:noWrap w:val="0"/>
                  <w:vAlign w:val="center"/>
                </w:tcPr>
                <w:p w14:paraId="2D95D8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val="0"/>
                      <w:bCs w:val="0"/>
                      <w:color w:val="auto"/>
                      <w:kern w:val="0"/>
                      <w:sz w:val="18"/>
                      <w:szCs w:val="18"/>
                      <w:highlight w:val="none"/>
                      <w:lang w:val="en-US" w:eastAsia="zh-CN"/>
                    </w:rPr>
                  </w:pPr>
                  <w:r>
                    <w:rPr>
                      <w:rFonts w:hint="default" w:ascii="Times New Roman" w:hAnsi="Times New Roman" w:eastAsia="宋体" w:cs="Times New Roman"/>
                      <w:b w:val="0"/>
                      <w:bCs w:val="0"/>
                      <w:color w:val="auto"/>
                      <w:kern w:val="0"/>
                      <w:sz w:val="18"/>
                      <w:szCs w:val="18"/>
                      <w:highlight w:val="none"/>
                      <w:lang w:val="en-US" w:eastAsia="zh-CN"/>
                    </w:rPr>
                    <w:t>131.02834367</w:t>
                  </w:r>
                </w:p>
              </w:tc>
              <w:tc>
                <w:tcPr>
                  <w:tcW w:w="1230" w:type="dxa"/>
                  <w:noWrap w:val="0"/>
                  <w:vAlign w:val="center"/>
                </w:tcPr>
                <w:p w14:paraId="110B01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val="0"/>
                      <w:bCs w:val="0"/>
                      <w:color w:val="auto"/>
                      <w:kern w:val="0"/>
                      <w:sz w:val="18"/>
                      <w:szCs w:val="18"/>
                      <w:highlight w:val="none"/>
                      <w:lang w:val="en-US" w:eastAsia="zh-CN"/>
                    </w:rPr>
                  </w:pPr>
                  <w:r>
                    <w:rPr>
                      <w:rFonts w:hint="default" w:ascii="Times New Roman" w:hAnsi="Times New Roman" w:eastAsia="宋体" w:cs="Times New Roman"/>
                      <w:b w:val="0"/>
                      <w:bCs w:val="0"/>
                      <w:color w:val="auto"/>
                      <w:kern w:val="0"/>
                      <w:sz w:val="18"/>
                      <w:szCs w:val="18"/>
                      <w:highlight w:val="none"/>
                      <w:lang w:val="en-US" w:eastAsia="zh-CN"/>
                    </w:rPr>
                    <w:t>45.28212215</w:t>
                  </w:r>
                </w:p>
              </w:tc>
              <w:tc>
                <w:tcPr>
                  <w:tcW w:w="980" w:type="dxa"/>
                  <w:shd w:val="clear" w:color="auto" w:fill="auto"/>
                  <w:noWrap w:val="0"/>
                  <w:vAlign w:val="center"/>
                </w:tcPr>
                <w:p w14:paraId="511216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居住区</w:t>
                  </w:r>
                </w:p>
              </w:tc>
              <w:tc>
                <w:tcPr>
                  <w:tcW w:w="690" w:type="dxa"/>
                  <w:vMerge w:val="continue"/>
                  <w:shd w:val="clear" w:color="auto" w:fill="auto"/>
                  <w:noWrap w:val="0"/>
                  <w:vAlign w:val="center"/>
                </w:tcPr>
                <w:p w14:paraId="491B2E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kern w:val="2"/>
                      <w:sz w:val="18"/>
                      <w:szCs w:val="18"/>
                      <w:highlight w:val="none"/>
                      <w:lang w:val="en-US" w:eastAsia="zh-CN" w:bidi="ar-SA"/>
                    </w:rPr>
                  </w:pPr>
                </w:p>
              </w:tc>
              <w:tc>
                <w:tcPr>
                  <w:tcW w:w="808" w:type="dxa"/>
                  <w:vMerge w:val="continue"/>
                  <w:noWrap w:val="0"/>
                  <w:vAlign w:val="center"/>
                </w:tcPr>
                <w:p w14:paraId="0FCE7E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color w:val="auto"/>
                      <w:sz w:val="18"/>
                      <w:szCs w:val="18"/>
                      <w:highlight w:val="none"/>
                    </w:rPr>
                  </w:pPr>
                </w:p>
              </w:tc>
              <w:tc>
                <w:tcPr>
                  <w:tcW w:w="894" w:type="dxa"/>
                  <w:noWrap w:val="0"/>
                  <w:vAlign w:val="center"/>
                </w:tcPr>
                <w:p w14:paraId="21A240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NE</w:t>
                  </w:r>
                </w:p>
              </w:tc>
              <w:tc>
                <w:tcPr>
                  <w:tcW w:w="1041" w:type="dxa"/>
                  <w:noWrap w:val="0"/>
                  <w:vAlign w:val="center"/>
                </w:tcPr>
                <w:p w14:paraId="7EEB92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305</w:t>
                  </w:r>
                </w:p>
              </w:tc>
            </w:tr>
            <w:tr w14:paraId="0AFFB99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73" w:type="dxa"/>
                  <w:noWrap w:val="0"/>
                  <w:vAlign w:val="center"/>
                </w:tcPr>
                <w:p w14:paraId="1F5C73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朝阳二队</w:t>
                  </w:r>
                </w:p>
              </w:tc>
              <w:tc>
                <w:tcPr>
                  <w:tcW w:w="1280" w:type="dxa"/>
                  <w:noWrap w:val="0"/>
                  <w:vAlign w:val="center"/>
                </w:tcPr>
                <w:p w14:paraId="6C2991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val="0"/>
                      <w:bCs w:val="0"/>
                      <w:color w:val="auto"/>
                      <w:kern w:val="0"/>
                      <w:sz w:val="18"/>
                      <w:szCs w:val="18"/>
                      <w:highlight w:val="none"/>
                      <w:lang w:val="en-US" w:eastAsia="zh-CN"/>
                    </w:rPr>
                  </w:pPr>
                  <w:r>
                    <w:rPr>
                      <w:rFonts w:hint="default" w:ascii="Times New Roman" w:hAnsi="Times New Roman" w:eastAsia="宋体" w:cs="Times New Roman"/>
                      <w:b w:val="0"/>
                      <w:bCs w:val="0"/>
                      <w:color w:val="auto"/>
                      <w:kern w:val="0"/>
                      <w:sz w:val="18"/>
                      <w:szCs w:val="18"/>
                      <w:highlight w:val="none"/>
                      <w:lang w:val="en-US" w:eastAsia="zh-CN"/>
                    </w:rPr>
                    <w:t>131.03239493</w:t>
                  </w:r>
                </w:p>
              </w:tc>
              <w:tc>
                <w:tcPr>
                  <w:tcW w:w="1230" w:type="dxa"/>
                  <w:noWrap w:val="0"/>
                  <w:vAlign w:val="center"/>
                </w:tcPr>
                <w:p w14:paraId="658F1E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val="0"/>
                      <w:bCs w:val="0"/>
                      <w:color w:val="auto"/>
                      <w:kern w:val="0"/>
                      <w:sz w:val="18"/>
                      <w:szCs w:val="18"/>
                      <w:highlight w:val="none"/>
                      <w:lang w:val="en-US" w:eastAsia="zh-CN"/>
                    </w:rPr>
                  </w:pPr>
                  <w:r>
                    <w:rPr>
                      <w:rFonts w:hint="default" w:ascii="Times New Roman" w:hAnsi="Times New Roman" w:eastAsia="宋体" w:cs="Times New Roman"/>
                      <w:b w:val="0"/>
                      <w:bCs w:val="0"/>
                      <w:color w:val="auto"/>
                      <w:kern w:val="0"/>
                      <w:sz w:val="18"/>
                      <w:szCs w:val="18"/>
                      <w:highlight w:val="none"/>
                      <w:lang w:val="en-US" w:eastAsia="zh-CN"/>
                    </w:rPr>
                    <w:t>45.27825256</w:t>
                  </w:r>
                </w:p>
              </w:tc>
              <w:tc>
                <w:tcPr>
                  <w:tcW w:w="980" w:type="dxa"/>
                  <w:shd w:val="clear" w:color="auto" w:fill="auto"/>
                  <w:noWrap w:val="0"/>
                  <w:vAlign w:val="center"/>
                </w:tcPr>
                <w:p w14:paraId="51DE7F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sz w:val="18"/>
                      <w:szCs w:val="18"/>
                      <w:highlight w:val="none"/>
                      <w:lang w:val="en-US" w:eastAsia="zh-CN"/>
                    </w:rPr>
                    <w:t>居住区</w:t>
                  </w:r>
                </w:p>
              </w:tc>
              <w:tc>
                <w:tcPr>
                  <w:tcW w:w="690" w:type="dxa"/>
                  <w:vMerge w:val="continue"/>
                  <w:shd w:val="clear" w:color="auto" w:fill="auto"/>
                  <w:noWrap w:val="0"/>
                  <w:vAlign w:val="center"/>
                </w:tcPr>
                <w:p w14:paraId="5CE0B7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kern w:val="2"/>
                      <w:sz w:val="18"/>
                      <w:szCs w:val="18"/>
                      <w:highlight w:val="none"/>
                      <w:lang w:val="en-US" w:eastAsia="zh-CN" w:bidi="ar-SA"/>
                    </w:rPr>
                  </w:pPr>
                </w:p>
              </w:tc>
              <w:tc>
                <w:tcPr>
                  <w:tcW w:w="808" w:type="dxa"/>
                  <w:vMerge w:val="continue"/>
                  <w:noWrap w:val="0"/>
                  <w:vAlign w:val="center"/>
                </w:tcPr>
                <w:p w14:paraId="448440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color w:val="auto"/>
                      <w:sz w:val="18"/>
                      <w:szCs w:val="18"/>
                      <w:highlight w:val="none"/>
                    </w:rPr>
                  </w:pPr>
                </w:p>
              </w:tc>
              <w:tc>
                <w:tcPr>
                  <w:tcW w:w="894" w:type="dxa"/>
                  <w:noWrap w:val="0"/>
                  <w:vAlign w:val="center"/>
                </w:tcPr>
                <w:p w14:paraId="0BF59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E</w:t>
                  </w:r>
                </w:p>
              </w:tc>
              <w:tc>
                <w:tcPr>
                  <w:tcW w:w="1041" w:type="dxa"/>
                  <w:noWrap w:val="0"/>
                  <w:vAlign w:val="center"/>
                </w:tcPr>
                <w:p w14:paraId="09052E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390</w:t>
                  </w:r>
                </w:p>
              </w:tc>
            </w:tr>
            <w:tr w14:paraId="59B7371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73" w:type="dxa"/>
                  <w:noWrap w:val="0"/>
                  <w:vAlign w:val="center"/>
                </w:tcPr>
                <w:p w14:paraId="158A4D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鸡西市第二人民医院</w:t>
                  </w:r>
                </w:p>
              </w:tc>
              <w:tc>
                <w:tcPr>
                  <w:tcW w:w="1280" w:type="dxa"/>
                  <w:noWrap w:val="0"/>
                  <w:vAlign w:val="center"/>
                </w:tcPr>
                <w:p w14:paraId="15DC8E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val="0"/>
                      <w:bCs w:val="0"/>
                      <w:color w:val="auto"/>
                      <w:kern w:val="0"/>
                      <w:sz w:val="18"/>
                      <w:szCs w:val="18"/>
                      <w:highlight w:val="none"/>
                      <w:lang w:val="en-US" w:eastAsia="zh-CN"/>
                    </w:rPr>
                  </w:pPr>
                  <w:r>
                    <w:rPr>
                      <w:rFonts w:hint="default" w:ascii="Times New Roman" w:hAnsi="Times New Roman" w:eastAsia="宋体" w:cs="Times New Roman"/>
                      <w:b w:val="0"/>
                      <w:bCs w:val="0"/>
                      <w:color w:val="auto"/>
                      <w:kern w:val="0"/>
                      <w:sz w:val="18"/>
                      <w:szCs w:val="18"/>
                      <w:highlight w:val="none"/>
                      <w:lang w:val="en-US" w:eastAsia="zh-CN"/>
                    </w:rPr>
                    <w:t>131.02256738</w:t>
                  </w:r>
                </w:p>
              </w:tc>
              <w:tc>
                <w:tcPr>
                  <w:tcW w:w="1230" w:type="dxa"/>
                  <w:noWrap w:val="0"/>
                  <w:vAlign w:val="center"/>
                </w:tcPr>
                <w:p w14:paraId="6F7008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val="0"/>
                      <w:bCs w:val="0"/>
                      <w:color w:val="auto"/>
                      <w:kern w:val="0"/>
                      <w:sz w:val="18"/>
                      <w:szCs w:val="18"/>
                      <w:highlight w:val="none"/>
                      <w:lang w:val="en-US" w:eastAsia="zh-CN"/>
                    </w:rPr>
                  </w:pPr>
                  <w:r>
                    <w:rPr>
                      <w:rFonts w:hint="default" w:ascii="Times New Roman" w:hAnsi="Times New Roman" w:eastAsia="宋体" w:cs="Times New Roman"/>
                      <w:b w:val="0"/>
                      <w:bCs w:val="0"/>
                      <w:color w:val="auto"/>
                      <w:kern w:val="0"/>
                      <w:sz w:val="18"/>
                      <w:szCs w:val="18"/>
                      <w:highlight w:val="none"/>
                      <w:lang w:val="en-US" w:eastAsia="zh-CN"/>
                    </w:rPr>
                    <w:t>45.28545766</w:t>
                  </w:r>
                </w:p>
              </w:tc>
              <w:tc>
                <w:tcPr>
                  <w:tcW w:w="980" w:type="dxa"/>
                  <w:noWrap w:val="0"/>
                  <w:vAlign w:val="center"/>
                </w:tcPr>
                <w:p w14:paraId="50BB62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医疗</w:t>
                  </w:r>
                </w:p>
              </w:tc>
              <w:tc>
                <w:tcPr>
                  <w:tcW w:w="690" w:type="dxa"/>
                  <w:vMerge w:val="continue"/>
                  <w:shd w:val="clear" w:color="auto" w:fill="auto"/>
                  <w:noWrap w:val="0"/>
                  <w:vAlign w:val="center"/>
                </w:tcPr>
                <w:p w14:paraId="21EBEC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auto"/>
                      <w:kern w:val="2"/>
                      <w:sz w:val="18"/>
                      <w:szCs w:val="18"/>
                      <w:highlight w:val="none"/>
                      <w:lang w:val="en-US" w:eastAsia="zh-CN" w:bidi="ar-SA"/>
                    </w:rPr>
                  </w:pPr>
                </w:p>
              </w:tc>
              <w:tc>
                <w:tcPr>
                  <w:tcW w:w="808" w:type="dxa"/>
                  <w:vMerge w:val="continue"/>
                  <w:noWrap w:val="0"/>
                  <w:vAlign w:val="center"/>
                </w:tcPr>
                <w:p w14:paraId="7BF61D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color w:val="auto"/>
                      <w:sz w:val="18"/>
                      <w:szCs w:val="18"/>
                      <w:highlight w:val="none"/>
                    </w:rPr>
                  </w:pPr>
                </w:p>
              </w:tc>
              <w:tc>
                <w:tcPr>
                  <w:tcW w:w="894" w:type="dxa"/>
                  <w:noWrap w:val="0"/>
                  <w:vAlign w:val="center"/>
                </w:tcPr>
                <w:p w14:paraId="37003B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N</w:t>
                  </w:r>
                </w:p>
              </w:tc>
              <w:tc>
                <w:tcPr>
                  <w:tcW w:w="1041" w:type="dxa"/>
                  <w:noWrap w:val="0"/>
                  <w:vAlign w:val="center"/>
                </w:tcPr>
                <w:p w14:paraId="50C94A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lang w:val="en-US" w:eastAsia="zh-CN"/>
                    </w:rPr>
                    <w:t>480</w:t>
                  </w:r>
                </w:p>
              </w:tc>
            </w:tr>
          </w:tbl>
          <w:p w14:paraId="6A3199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default" w:eastAsia="宋体"/>
                <w:color w:val="auto"/>
                <w:highlight w:val="none"/>
                <w:lang w:val="en-US" w:eastAsia="zh-CN"/>
              </w:rPr>
            </w:pPr>
          </w:p>
        </w:tc>
      </w:tr>
      <w:tr w14:paraId="49BA6E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96" w:hRule="atLeast"/>
          <w:jc w:val="center"/>
        </w:trPr>
        <w:tc>
          <w:tcPr>
            <w:tcW w:w="452" w:type="pct"/>
            <w:vAlign w:val="center"/>
          </w:tcPr>
          <w:p w14:paraId="18A0265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污染物排放控制标准</w:t>
            </w:r>
          </w:p>
        </w:tc>
        <w:tc>
          <w:tcPr>
            <w:tcW w:w="4547" w:type="pct"/>
            <w:vAlign w:val="center"/>
          </w:tcPr>
          <w:p w14:paraId="2666B0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Times New Roman" w:hAnsi="Times New Roman" w:cs="Times New Roman"/>
                <w:b/>
                <w:bCs/>
                <w:color w:val="auto"/>
                <w:spacing w:val="0"/>
                <w:sz w:val="21"/>
                <w:szCs w:val="21"/>
                <w:highlight w:val="none"/>
              </w:rPr>
            </w:pPr>
            <w:r>
              <w:rPr>
                <w:rFonts w:hint="eastAsia" w:cs="Times New Roman"/>
                <w:b/>
                <w:bCs/>
                <w:color w:val="auto"/>
                <w:spacing w:val="0"/>
                <w:sz w:val="21"/>
                <w:szCs w:val="21"/>
                <w:highlight w:val="none"/>
                <w:lang w:val="en-US" w:eastAsia="zh-CN"/>
              </w:rPr>
              <w:t>1</w:t>
            </w:r>
            <w:r>
              <w:rPr>
                <w:rFonts w:hint="default" w:ascii="Times New Roman" w:hAnsi="Times New Roman" w:cs="Times New Roman"/>
                <w:b/>
                <w:bCs/>
                <w:color w:val="auto"/>
                <w:spacing w:val="0"/>
                <w:sz w:val="21"/>
                <w:szCs w:val="21"/>
                <w:highlight w:val="none"/>
              </w:rPr>
              <w:t>、废水</w:t>
            </w:r>
          </w:p>
          <w:p w14:paraId="434FE6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本项目</w:t>
            </w:r>
            <w:r>
              <w:rPr>
                <w:rFonts w:hint="eastAsia" w:cs="Times New Roman"/>
                <w:color w:val="auto"/>
                <w:spacing w:val="0"/>
                <w:sz w:val="21"/>
                <w:szCs w:val="21"/>
                <w:highlight w:val="none"/>
                <w:lang w:val="en-US" w:eastAsia="zh-CN"/>
              </w:rPr>
              <w:t>无新增生活污水，</w:t>
            </w:r>
            <w:r>
              <w:rPr>
                <w:rFonts w:hint="default" w:ascii="Times New Roman" w:hAnsi="Times New Roman" w:eastAsia="宋体" w:cs="Times New Roman"/>
                <w:bCs/>
                <w:color w:val="auto"/>
                <w:spacing w:val="0"/>
                <w:kern w:val="0"/>
                <w:sz w:val="21"/>
                <w:szCs w:val="21"/>
                <w:highlight w:val="none"/>
                <w:lang w:val="en-US" w:eastAsia="zh-CN"/>
              </w:rPr>
              <w:t>反冲洗废水</w:t>
            </w:r>
            <w:r>
              <w:rPr>
                <w:rFonts w:hint="eastAsia" w:cs="Times New Roman"/>
                <w:color w:val="auto"/>
                <w:sz w:val="21"/>
                <w:szCs w:val="21"/>
                <w:highlight w:val="none"/>
                <w:lang w:eastAsia="zh-CN"/>
              </w:rPr>
              <w:t>回收</w:t>
            </w:r>
            <w:r>
              <w:rPr>
                <w:rFonts w:hint="eastAsia" w:cs="Times New Roman"/>
                <w:color w:val="auto"/>
                <w:sz w:val="21"/>
                <w:szCs w:val="21"/>
                <w:highlight w:val="none"/>
                <w:lang w:val="en-US" w:eastAsia="zh-CN"/>
              </w:rPr>
              <w:t>排入</w:t>
            </w:r>
            <w:r>
              <w:rPr>
                <w:rFonts w:hint="eastAsia" w:cs="Times New Roman"/>
                <w:color w:val="auto"/>
                <w:sz w:val="21"/>
                <w:szCs w:val="21"/>
                <w:highlight w:val="none"/>
                <w:lang w:eastAsia="zh-CN"/>
              </w:rPr>
              <w:t>配水</w:t>
            </w:r>
            <w:r>
              <w:rPr>
                <w:rFonts w:hint="eastAsia" w:cs="Times New Roman"/>
                <w:color w:val="auto"/>
                <w:sz w:val="21"/>
                <w:szCs w:val="21"/>
                <w:highlight w:val="none"/>
                <w:lang w:val="en-US" w:eastAsia="zh-CN"/>
              </w:rPr>
              <w:t>井</w:t>
            </w:r>
            <w:r>
              <w:rPr>
                <w:rFonts w:hint="eastAsia" w:cs="Times New Roman"/>
                <w:color w:val="auto"/>
                <w:sz w:val="21"/>
                <w:szCs w:val="21"/>
                <w:highlight w:val="none"/>
                <w:lang w:eastAsia="zh-CN"/>
              </w:rPr>
              <w:t>与原水混合回用，不外排。</w:t>
            </w:r>
            <w:r>
              <w:rPr>
                <w:rFonts w:hint="default" w:ascii="Times New Roman" w:hAnsi="Times New Roman" w:eastAsia="宋体" w:cs="Times New Roman"/>
                <w:color w:val="auto"/>
                <w:spacing w:val="0"/>
                <w:sz w:val="21"/>
                <w:szCs w:val="21"/>
              </w:rPr>
              <w:t>沉淀池排泥水</w:t>
            </w:r>
            <w:r>
              <w:rPr>
                <w:rFonts w:hint="default" w:ascii="Times New Roman" w:hAnsi="Times New Roman" w:eastAsia="宋体" w:cs="Times New Roman"/>
                <w:color w:val="auto"/>
                <w:spacing w:val="0"/>
                <w:kern w:val="21"/>
                <w:sz w:val="21"/>
                <w:szCs w:val="21"/>
                <w:highlight w:val="none"/>
                <w:lang w:val="en-US" w:eastAsia="zh-CN"/>
              </w:rPr>
              <w:t>经絮凝、沉淀处理后</w:t>
            </w:r>
            <w:r>
              <w:rPr>
                <w:rFonts w:hint="default" w:ascii="Times New Roman" w:hAnsi="Times New Roman" w:eastAsia="宋体" w:cs="Times New Roman"/>
                <w:color w:val="auto"/>
                <w:sz w:val="21"/>
                <w:szCs w:val="21"/>
                <w:highlight w:val="none"/>
                <w:lang w:val="en-US" w:eastAsia="zh-CN"/>
              </w:rPr>
              <w:t>排入</w:t>
            </w:r>
            <w:r>
              <w:rPr>
                <w:rFonts w:hint="eastAsia" w:ascii="Times New Roman" w:hAnsi="Times New Roman" w:eastAsia="宋体" w:cs="Times New Roman"/>
                <w:color w:val="auto"/>
                <w:sz w:val="21"/>
                <w:szCs w:val="21"/>
                <w:highlight w:val="none"/>
                <w:lang w:val="en-US" w:eastAsia="zh-CN"/>
              </w:rPr>
              <w:t>红光沟流入</w:t>
            </w:r>
            <w:r>
              <w:rPr>
                <w:rFonts w:hint="default" w:ascii="Times New Roman" w:hAnsi="Times New Roman" w:eastAsia="宋体" w:cs="Times New Roman"/>
                <w:color w:val="auto"/>
                <w:sz w:val="21"/>
                <w:szCs w:val="21"/>
                <w:highlight w:val="none"/>
                <w:lang w:val="en-US" w:eastAsia="zh-CN"/>
              </w:rPr>
              <w:t>穆棱河</w:t>
            </w:r>
            <w:r>
              <w:rPr>
                <w:rFonts w:hint="eastAsia" w:ascii="Times New Roman" w:hAnsi="Times New Roman" w:eastAsia="宋体" w:cs="Times New Roman"/>
                <w:color w:val="auto"/>
                <w:spacing w:val="0"/>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红光沟</w:t>
            </w:r>
            <w:r>
              <w:rPr>
                <w:rFonts w:hint="eastAsia" w:ascii="Times New Roman" w:hAnsi="Times New Roman" w:eastAsia="宋体" w:cs="Times New Roman"/>
                <w:color w:val="auto"/>
                <w:spacing w:val="0"/>
                <w:sz w:val="21"/>
                <w:szCs w:val="21"/>
                <w:highlight w:val="none"/>
                <w:lang w:val="en-US" w:eastAsia="zh-CN"/>
              </w:rPr>
              <w:t>未划分水功能区，</w:t>
            </w:r>
            <w:r>
              <w:rPr>
                <w:rFonts w:hint="eastAsia" w:ascii="Times New Roman" w:hAnsi="Times New Roman" w:eastAsia="宋体" w:cs="Times New Roman"/>
                <w:color w:val="auto"/>
                <w:sz w:val="21"/>
                <w:szCs w:val="21"/>
                <w:highlight w:val="none"/>
                <w:lang w:val="en-US" w:eastAsia="zh-CN"/>
              </w:rPr>
              <w:t>红光沟</w:t>
            </w:r>
            <w:r>
              <w:rPr>
                <w:rFonts w:hint="eastAsia" w:ascii="Times New Roman" w:hAnsi="Times New Roman" w:eastAsia="宋体" w:cs="Times New Roman"/>
                <w:color w:val="auto"/>
                <w:spacing w:val="0"/>
                <w:sz w:val="21"/>
                <w:szCs w:val="21"/>
                <w:highlight w:val="none"/>
                <w:lang w:val="en-US" w:eastAsia="zh-CN"/>
              </w:rPr>
              <w:t>汇入</w:t>
            </w:r>
            <w:r>
              <w:rPr>
                <w:rFonts w:hint="default" w:ascii="Times New Roman" w:hAnsi="Times New Roman" w:eastAsia="宋体" w:cs="Times New Roman"/>
                <w:color w:val="auto"/>
                <w:sz w:val="21"/>
                <w:szCs w:val="21"/>
                <w:highlight w:val="none"/>
                <w:lang w:val="en-US" w:eastAsia="zh-CN"/>
              </w:rPr>
              <w:t>穆棱河</w:t>
            </w:r>
            <w:r>
              <w:rPr>
                <w:rFonts w:hint="eastAsia" w:ascii="Times New Roman" w:hAnsi="Times New Roman" w:eastAsia="宋体" w:cs="Times New Roman"/>
                <w:color w:val="auto"/>
                <w:spacing w:val="0"/>
                <w:sz w:val="21"/>
                <w:szCs w:val="21"/>
                <w:highlight w:val="none"/>
                <w:lang w:val="en-US" w:eastAsia="zh-CN"/>
              </w:rPr>
              <w:t>，</w:t>
            </w:r>
            <w:r>
              <w:rPr>
                <w:rFonts w:hint="eastAsia"/>
                <w:color w:val="auto"/>
                <w:sz w:val="21"/>
                <w:szCs w:val="21"/>
                <w:highlight w:val="none"/>
              </w:rPr>
              <w:t>根据</w:t>
            </w:r>
            <w:r>
              <w:rPr>
                <w:rFonts w:hint="default" w:ascii="Times New Roman" w:hAnsi="Times New Roman" w:cs="Times New Roman" w:eastAsiaTheme="minorEastAsia"/>
                <w:color w:val="auto"/>
                <w:sz w:val="21"/>
                <w:highlight w:val="none"/>
              </w:rPr>
              <w:t>《黑龙江省生态环境厅 黑龙江省财政厅关于 印发《黑龙江省水环境生态补偿办法》的通知》（黑环发〔2024〕22 号）</w:t>
            </w:r>
            <w:r>
              <w:rPr>
                <w:rFonts w:hint="eastAsia"/>
                <w:bCs/>
                <w:color w:val="auto"/>
                <w:sz w:val="21"/>
                <w:szCs w:val="21"/>
                <w:highlight w:val="none"/>
              </w:rPr>
              <w:t>，穆棱河</w:t>
            </w:r>
            <w:r>
              <w:rPr>
                <w:rFonts w:hint="eastAsia"/>
                <w:bCs/>
                <w:color w:val="auto"/>
                <w:sz w:val="21"/>
                <w:szCs w:val="21"/>
                <w:highlight w:val="none"/>
                <w:lang w:val="en-US" w:eastAsia="zh-CN"/>
              </w:rPr>
              <w:t>碱场桥、</w:t>
            </w:r>
            <w:r>
              <w:rPr>
                <w:rFonts w:hint="eastAsia"/>
                <w:bCs/>
                <w:color w:val="auto"/>
                <w:sz w:val="21"/>
                <w:szCs w:val="21"/>
                <w:highlight w:val="none"/>
              </w:rPr>
              <w:t>知一桥、穆棱河河口内断面</w:t>
            </w:r>
            <w:r>
              <w:rPr>
                <w:rFonts w:hint="eastAsia"/>
                <w:bCs/>
                <w:color w:val="auto"/>
                <w:sz w:val="21"/>
                <w:szCs w:val="21"/>
                <w:highlight w:val="none"/>
                <w:lang w:val="en-US" w:eastAsia="zh-CN"/>
              </w:rPr>
              <w:t>均</w:t>
            </w:r>
            <w:r>
              <w:rPr>
                <w:rFonts w:hint="eastAsia"/>
                <w:bCs/>
                <w:color w:val="auto"/>
                <w:sz w:val="21"/>
                <w:szCs w:val="21"/>
                <w:highlight w:val="none"/>
              </w:rPr>
              <w:t>达到</w:t>
            </w:r>
            <w:r>
              <w:rPr>
                <w:rFonts w:hint="eastAsia" w:ascii="宋体" w:hAnsi="宋体" w:cs="宋体"/>
                <w:bCs/>
                <w:color w:val="auto"/>
                <w:sz w:val="21"/>
                <w:szCs w:val="21"/>
                <w:highlight w:val="none"/>
              </w:rPr>
              <w:t>Ⅲ</w:t>
            </w:r>
            <w:r>
              <w:rPr>
                <w:rFonts w:hint="eastAsia"/>
                <w:bCs/>
                <w:color w:val="auto"/>
                <w:sz w:val="21"/>
                <w:szCs w:val="21"/>
                <w:highlight w:val="none"/>
              </w:rPr>
              <w:t>类水质类别标准</w:t>
            </w:r>
            <w:r>
              <w:rPr>
                <w:rFonts w:hint="eastAsia" w:ascii="Times New Roman" w:hAnsi="Times New Roman" w:eastAsia="宋体" w:cs="Times New Roman"/>
                <w:color w:val="auto"/>
                <w:spacing w:val="0"/>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红光沟</w:t>
            </w:r>
            <w:r>
              <w:rPr>
                <w:rFonts w:hint="eastAsia" w:ascii="Times New Roman" w:hAnsi="Times New Roman" w:eastAsia="宋体" w:cs="Times New Roman"/>
                <w:color w:val="auto"/>
                <w:spacing w:val="0"/>
                <w:sz w:val="21"/>
                <w:szCs w:val="21"/>
                <w:highlight w:val="none"/>
                <w:lang w:val="en-US" w:eastAsia="zh-CN"/>
              </w:rPr>
              <w:t>参照</w:t>
            </w:r>
            <w:r>
              <w:rPr>
                <w:rFonts w:hint="default" w:ascii="Times New Roman" w:hAnsi="Times New Roman" w:eastAsia="宋体" w:cs="Times New Roman"/>
                <w:color w:val="auto"/>
                <w:sz w:val="21"/>
                <w:szCs w:val="21"/>
                <w:highlight w:val="none"/>
                <w:lang w:val="en-US" w:eastAsia="zh-CN"/>
              </w:rPr>
              <w:t>穆棱河</w:t>
            </w:r>
            <w:r>
              <w:rPr>
                <w:rFonts w:hint="eastAsia" w:ascii="Times New Roman" w:hAnsi="Times New Roman" w:eastAsia="宋体" w:cs="Times New Roman"/>
                <w:color w:val="auto"/>
                <w:spacing w:val="0"/>
                <w:sz w:val="21"/>
                <w:szCs w:val="21"/>
                <w:highlight w:val="none"/>
                <w:lang w:val="en-US" w:eastAsia="zh-CN"/>
              </w:rPr>
              <w:t>执行。</w:t>
            </w:r>
            <w:r>
              <w:rPr>
                <w:rFonts w:hint="eastAsia" w:cs="Times New Roman"/>
                <w:color w:val="auto"/>
                <w:spacing w:val="0"/>
                <w:sz w:val="21"/>
                <w:szCs w:val="21"/>
                <w:highlight w:val="none"/>
                <w:lang w:val="en-US" w:eastAsia="zh-CN"/>
              </w:rPr>
              <w:t>向Ⅲ类水体排放污染物，需确保水体水质不超标，因此要求排放水质达到Ⅲ类标准，以维持水环境功能。</w:t>
            </w:r>
            <w:r>
              <w:rPr>
                <w:rFonts w:hint="eastAsia" w:cs="Times New Roman"/>
                <w:color w:val="auto"/>
                <w:spacing w:val="0"/>
                <w:sz w:val="21"/>
                <w:szCs w:val="21"/>
                <w:highlight w:val="none"/>
                <w:lang w:val="en-US" w:eastAsia="zh-CN"/>
              </w:rPr>
              <w:t>且根据</w:t>
            </w:r>
            <w:r>
              <w:rPr>
                <w:rFonts w:hint="eastAsia" w:cs="Times New Roman"/>
                <w:color w:val="auto"/>
                <w:spacing w:val="0"/>
                <w:sz w:val="21"/>
                <w:szCs w:val="21"/>
                <w:lang w:val="en-US" w:eastAsia="zh-CN"/>
              </w:rPr>
              <w:t>2025年9月11日检测报告（SY-BG-20250911-03）中</w:t>
            </w:r>
            <w:r>
              <w:rPr>
                <w:rFonts w:hint="eastAsia"/>
                <w:color w:val="auto"/>
                <w:sz w:val="21"/>
                <w:szCs w:val="21"/>
              </w:rPr>
              <w:t>数据</w:t>
            </w:r>
            <w:r>
              <w:rPr>
                <w:rFonts w:hint="eastAsia" w:cs="Times New Roman"/>
                <w:bCs/>
                <w:color w:val="auto"/>
                <w:sz w:val="21"/>
                <w:szCs w:val="21"/>
                <w:highlight w:val="none"/>
                <w:lang w:val="en-US" w:eastAsia="zh-CN"/>
              </w:rPr>
              <w:t>可知废水污染物排放浓度满足</w:t>
            </w:r>
            <w:r>
              <w:rPr>
                <w:rFonts w:hint="eastAsia" w:cs="Times New Roman"/>
                <w:color w:val="auto"/>
                <w:spacing w:val="0"/>
                <w:sz w:val="21"/>
                <w:szCs w:val="21"/>
                <w:highlight w:val="none"/>
                <w:lang w:val="en-US" w:eastAsia="zh-CN"/>
              </w:rPr>
              <w:t>《地表水环境质量标准》（GB3838-2002）表1中三类标准。</w:t>
            </w:r>
          </w:p>
          <w:p w14:paraId="57B71B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s="Times New Roman"/>
                <w:bCs/>
                <w:color w:val="auto"/>
                <w:sz w:val="21"/>
                <w:szCs w:val="21"/>
                <w:highlight w:val="none"/>
                <w:lang w:val="en-US" w:eastAsia="zh-CN"/>
              </w:rPr>
            </w:pPr>
            <w:r>
              <w:rPr>
                <w:rFonts w:hint="eastAsia" w:cs="Times New Roman"/>
                <w:color w:val="auto"/>
                <w:spacing w:val="0"/>
                <w:sz w:val="21"/>
                <w:szCs w:val="21"/>
                <w:highlight w:val="none"/>
                <w:lang w:val="en-US" w:eastAsia="zh-CN"/>
              </w:rPr>
              <w:t>悬浮物通常不作为</w:t>
            </w:r>
            <w:r>
              <w:rPr>
                <w:rFonts w:hint="default" w:ascii="Times New Roman" w:hAnsi="Times New Roman" w:cs="Times New Roman"/>
                <w:color w:val="auto"/>
                <w:spacing w:val="0"/>
                <w:sz w:val="21"/>
                <w:szCs w:val="21"/>
                <w:highlight w:val="none"/>
                <w:lang w:val="en-US" w:eastAsia="zh-CN"/>
              </w:rPr>
              <w:t>Ⅲ</w:t>
            </w:r>
            <w:r>
              <w:rPr>
                <w:rFonts w:hint="eastAsia" w:cs="Times New Roman"/>
                <w:color w:val="auto"/>
                <w:spacing w:val="0"/>
                <w:sz w:val="21"/>
                <w:szCs w:val="21"/>
                <w:highlight w:val="none"/>
                <w:lang w:val="en-US" w:eastAsia="zh-CN"/>
              </w:rPr>
              <w:t>类水体的基本控制项。因此，需要引用其他排放标准对悬浮物进行约束。对于城镇污水处理厂或净水厂排泥水，其专门排放标准为《城镇污水处理厂污染物排放标准》（GB18918-2002），但该标准主要适用于污水处理厂。净水厂排泥水（生产废水）在无行业专用标准时，可参照 《污水综合排放标准》（GB8978-1996），该标准对悬浮物有明确限值（一级标准：70 mg/L）。一级标准适用于排入Ⅲ类水体（GB3838-2002）的污水，与地表水Ⅲ类标准要求相衔接。故本项目</w:t>
            </w:r>
            <w:r>
              <w:rPr>
                <w:rFonts w:hint="eastAsia" w:cs="Times New Roman"/>
                <w:bCs/>
                <w:color w:val="auto"/>
                <w:sz w:val="21"/>
                <w:szCs w:val="21"/>
                <w:highlight w:val="none"/>
                <w:lang w:val="en-US" w:eastAsia="zh-CN"/>
              </w:rPr>
              <w:t>废水污染物</w:t>
            </w:r>
            <w:r>
              <w:rPr>
                <w:rFonts w:hint="eastAsia" w:cs="Times New Roman"/>
                <w:color w:val="auto"/>
                <w:spacing w:val="0"/>
                <w:sz w:val="21"/>
                <w:szCs w:val="21"/>
                <w:highlight w:val="none"/>
                <w:lang w:val="en-US" w:eastAsia="zh-CN"/>
              </w:rPr>
              <w:t>其中悬浮</w:t>
            </w:r>
            <w:r>
              <w:rPr>
                <w:rFonts w:hint="eastAsia" w:cs="Times New Roman"/>
                <w:bCs/>
                <w:color w:val="auto"/>
                <w:sz w:val="21"/>
                <w:szCs w:val="21"/>
                <w:highlight w:val="none"/>
                <w:lang w:val="en-US" w:eastAsia="zh-CN"/>
              </w:rPr>
              <w:t>物排放浓度执行</w:t>
            </w:r>
            <w:r>
              <w:rPr>
                <w:rFonts w:hint="default" w:cs="Times New Roman"/>
                <w:bCs/>
                <w:color w:val="auto"/>
                <w:sz w:val="21"/>
                <w:szCs w:val="21"/>
                <w:highlight w:val="none"/>
                <w:lang w:val="en-US" w:eastAsia="zh-CN"/>
              </w:rPr>
              <w:t>《污水综合排放标准》（GB8978-1996）一级标准</w:t>
            </w:r>
            <w:r>
              <w:rPr>
                <w:rFonts w:hint="eastAsia" w:cs="Times New Roman"/>
                <w:bCs/>
                <w:color w:val="auto"/>
                <w:sz w:val="21"/>
                <w:szCs w:val="21"/>
                <w:highlight w:val="none"/>
                <w:lang w:val="en-US" w:eastAsia="zh-CN"/>
              </w:rPr>
              <w:t>。</w:t>
            </w:r>
          </w:p>
          <w:p w14:paraId="77166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bCs/>
                <w:color w:val="auto"/>
                <w:spacing w:val="0"/>
                <w:sz w:val="21"/>
                <w:szCs w:val="21"/>
                <w:highlight w:val="none"/>
              </w:rPr>
            </w:pPr>
            <w:r>
              <w:rPr>
                <w:rFonts w:hint="eastAsia" w:cs="Times New Roman"/>
                <w:bCs/>
                <w:color w:val="auto"/>
                <w:sz w:val="21"/>
                <w:szCs w:val="21"/>
                <w:highlight w:val="none"/>
                <w:lang w:val="en-US" w:eastAsia="zh-CN"/>
              </w:rPr>
              <w:t>综上所述，本项目</w:t>
            </w:r>
            <w:r>
              <w:rPr>
                <w:rFonts w:hint="eastAsia" w:ascii="Times New Roman" w:hAnsi="Times New Roman" w:eastAsia="宋体" w:cs="Times New Roman"/>
                <w:color w:val="auto"/>
                <w:spacing w:val="0"/>
                <w:kern w:val="21"/>
                <w:sz w:val="21"/>
                <w:szCs w:val="21"/>
                <w:highlight w:val="none"/>
                <w:lang w:val="en-US" w:eastAsia="zh-CN"/>
              </w:rPr>
              <w:t>废水</w:t>
            </w:r>
            <w:r>
              <w:rPr>
                <w:rFonts w:hint="eastAsia" w:cs="Times New Roman"/>
                <w:color w:val="auto"/>
                <w:spacing w:val="0"/>
                <w:kern w:val="21"/>
                <w:sz w:val="21"/>
                <w:szCs w:val="21"/>
                <w:highlight w:val="none"/>
                <w:lang w:val="en-US" w:eastAsia="zh-CN"/>
              </w:rPr>
              <w:t>污染物</w:t>
            </w:r>
            <w:r>
              <w:rPr>
                <w:rFonts w:hint="eastAsia" w:ascii="Times New Roman" w:hAnsi="Times New Roman" w:eastAsia="宋体" w:cs="Times New Roman"/>
                <w:color w:val="auto"/>
                <w:spacing w:val="0"/>
                <w:kern w:val="21"/>
                <w:sz w:val="21"/>
                <w:szCs w:val="21"/>
                <w:highlight w:val="none"/>
                <w:lang w:val="en-US" w:eastAsia="zh-CN"/>
              </w:rPr>
              <w:t>排放</w:t>
            </w:r>
            <w:r>
              <w:rPr>
                <w:rFonts w:hint="eastAsia" w:cs="Times New Roman"/>
                <w:color w:val="auto"/>
                <w:spacing w:val="0"/>
                <w:sz w:val="21"/>
                <w:szCs w:val="21"/>
                <w:highlight w:val="none"/>
                <w:lang w:val="en-US" w:eastAsia="zh-CN"/>
              </w:rPr>
              <w:t>执行《地表水环境质量标准》（GB3838-2002）表1中三类标准，其中悬浮物参照</w:t>
            </w:r>
            <w:r>
              <w:rPr>
                <w:rFonts w:hint="default" w:ascii="Times New Roman" w:hAnsi="Times New Roman" w:eastAsia="宋体" w:cs="Times New Roman"/>
                <w:color w:val="auto"/>
                <w:spacing w:val="0"/>
                <w:sz w:val="21"/>
                <w:szCs w:val="21"/>
                <w:highlight w:val="none"/>
                <w:lang w:val="en-US" w:eastAsia="zh-CN"/>
              </w:rPr>
              <w:t>《污水综合排放标准》</w:t>
            </w:r>
            <w:r>
              <w:rPr>
                <w:rFonts w:hint="eastAsia" w:cs="Times New Roman"/>
                <w:color w:val="auto"/>
                <w:spacing w:val="0"/>
                <w:sz w:val="21"/>
                <w:szCs w:val="21"/>
                <w:highlight w:val="none"/>
                <w:lang w:val="en-US" w:eastAsia="zh-CN"/>
              </w:rPr>
              <w:t>（GB8978-1996）执行一级标准</w:t>
            </w:r>
            <w:r>
              <w:rPr>
                <w:rFonts w:hint="default" w:ascii="Times New Roman" w:hAnsi="Times New Roman" w:eastAsia="宋体" w:cs="Times New Roman"/>
                <w:bCs/>
                <w:color w:val="auto"/>
                <w:spacing w:val="0"/>
                <w:sz w:val="21"/>
                <w:szCs w:val="21"/>
                <w:highlight w:val="none"/>
                <w:lang w:val="en-US" w:eastAsia="zh-CN"/>
              </w:rPr>
              <w:t>，</w:t>
            </w:r>
            <w:r>
              <w:rPr>
                <w:rFonts w:hint="default" w:ascii="Times New Roman" w:hAnsi="Times New Roman" w:eastAsia="宋体" w:cs="Times New Roman"/>
                <w:color w:val="auto"/>
                <w:spacing w:val="0"/>
                <w:sz w:val="21"/>
                <w:szCs w:val="21"/>
                <w:highlight w:val="none"/>
                <w:lang w:val="en-US" w:eastAsia="zh-CN"/>
              </w:rPr>
              <w:t>标</w:t>
            </w:r>
            <w:r>
              <w:rPr>
                <w:rFonts w:hint="default" w:ascii="Times New Roman" w:hAnsi="Times New Roman" w:eastAsia="宋体" w:cs="Times New Roman"/>
                <w:color w:val="auto"/>
                <w:spacing w:val="0"/>
                <w:kern w:val="0"/>
                <w:sz w:val="21"/>
                <w:szCs w:val="21"/>
                <w:highlight w:val="none"/>
              </w:rPr>
              <w:t>值见表</w:t>
            </w:r>
            <w:r>
              <w:rPr>
                <w:rFonts w:hint="default" w:ascii="Times New Roman" w:hAnsi="Times New Roman" w:eastAsia="宋体" w:cs="Times New Roman"/>
                <w:color w:val="auto"/>
                <w:spacing w:val="0"/>
                <w:kern w:val="0"/>
                <w:sz w:val="21"/>
                <w:szCs w:val="21"/>
                <w:highlight w:val="none"/>
                <w:lang w:val="en-US" w:eastAsia="zh-CN"/>
              </w:rPr>
              <w:t>3-</w:t>
            </w:r>
            <w:r>
              <w:rPr>
                <w:rFonts w:hint="eastAsia" w:cs="Times New Roman"/>
                <w:color w:val="auto"/>
                <w:spacing w:val="0"/>
                <w:kern w:val="0"/>
                <w:sz w:val="21"/>
                <w:szCs w:val="21"/>
                <w:highlight w:val="none"/>
                <w:lang w:val="en-US" w:eastAsia="zh-CN"/>
              </w:rPr>
              <w:t>3、3-4</w:t>
            </w:r>
            <w:r>
              <w:rPr>
                <w:rFonts w:hint="default" w:ascii="Times New Roman" w:hAnsi="Times New Roman" w:eastAsia="宋体" w:cs="Times New Roman"/>
                <w:bCs/>
                <w:color w:val="auto"/>
                <w:spacing w:val="0"/>
                <w:sz w:val="21"/>
                <w:szCs w:val="21"/>
                <w:highlight w:val="none"/>
              </w:rPr>
              <w:t>。</w:t>
            </w:r>
          </w:p>
          <w:p w14:paraId="5EB625E6">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color w:val="auto"/>
                <w:kern w:val="0"/>
                <w:position w:val="0"/>
                <w:sz w:val="21"/>
                <w:szCs w:val="21"/>
                <w:highlight w:val="yellow"/>
                <w:lang w:val="en-US" w:eastAsia="zh-CN"/>
              </w:rPr>
            </w:pPr>
            <w:r>
              <w:rPr>
                <w:rFonts w:hint="eastAsia" w:ascii="宋体" w:hAnsi="宋体" w:cs="宋体"/>
                <w:b/>
                <w:color w:val="auto"/>
                <w:kern w:val="0"/>
                <w:position w:val="0"/>
                <w:sz w:val="21"/>
                <w:szCs w:val="21"/>
                <w:highlight w:val="none"/>
              </w:rPr>
              <w:t>表</w:t>
            </w:r>
            <w:r>
              <w:rPr>
                <w:rFonts w:hint="default" w:ascii="Times New Roman" w:hAnsi="Times New Roman" w:cs="Times New Roman"/>
                <w:b/>
                <w:color w:val="auto"/>
                <w:kern w:val="0"/>
                <w:position w:val="0"/>
                <w:sz w:val="21"/>
                <w:szCs w:val="21"/>
                <w:highlight w:val="none"/>
              </w:rPr>
              <w:t>3-</w:t>
            </w:r>
            <w:r>
              <w:rPr>
                <w:rFonts w:hint="eastAsia" w:ascii="Times New Roman" w:hAnsi="Times New Roman" w:cs="Times New Roman"/>
                <w:b/>
                <w:color w:val="auto"/>
                <w:kern w:val="0"/>
                <w:position w:val="0"/>
                <w:sz w:val="21"/>
                <w:szCs w:val="21"/>
                <w:highlight w:val="none"/>
                <w:lang w:val="en-US" w:eastAsia="zh-CN"/>
              </w:rPr>
              <w:t>3</w:t>
            </w:r>
            <w:r>
              <w:rPr>
                <w:rFonts w:hint="default" w:ascii="Times New Roman" w:hAnsi="Times New Roman" w:cs="Times New Roman"/>
                <w:b/>
                <w:bCs/>
                <w:color w:val="auto"/>
                <w:spacing w:val="0"/>
                <w:kern w:val="0"/>
                <w:position w:val="0"/>
                <w:sz w:val="21"/>
                <w:szCs w:val="21"/>
                <w:highlight w:val="none"/>
                <w:lang w:val="en-US" w:eastAsia="zh-CN"/>
              </w:rPr>
              <w:t>《地表水环境质量标准》（GB3838-2002）表1中三类标准</w:t>
            </w:r>
            <w:r>
              <w:rPr>
                <w:rFonts w:hint="eastAsia" w:ascii="宋体" w:hAnsi="宋体" w:cs="宋体"/>
                <w:b/>
                <w:color w:val="auto"/>
                <w:kern w:val="0"/>
                <w:position w:val="0"/>
                <w:sz w:val="21"/>
                <w:szCs w:val="21"/>
                <w:highlight w:val="none"/>
                <w:lang w:val="en-US" w:eastAsia="zh-CN"/>
              </w:rPr>
              <w:t xml:space="preserve">  </w:t>
            </w:r>
            <w:r>
              <w:rPr>
                <w:rFonts w:hint="default" w:ascii="Times New Roman" w:hAnsi="Times New Roman" w:cs="Times New Roman"/>
                <w:b/>
                <w:color w:val="auto"/>
                <w:kern w:val="0"/>
                <w:position w:val="0"/>
                <w:sz w:val="21"/>
                <w:szCs w:val="21"/>
                <w:highlight w:val="none"/>
                <w:lang w:val="en-US" w:eastAsia="zh-CN"/>
              </w:rPr>
              <w:t>单位：mg/L</w:t>
            </w:r>
          </w:p>
          <w:tbl>
            <w:tblPr>
              <w:tblStyle w:val="35"/>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17"/>
              <w:gridCol w:w="2548"/>
              <w:gridCol w:w="2145"/>
              <w:gridCol w:w="2626"/>
            </w:tblGrid>
            <w:tr w14:paraId="00D06F8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760" w:type="dxa"/>
                  <w:vAlign w:val="center"/>
                </w:tcPr>
                <w:p w14:paraId="480C05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序号</w:t>
                  </w:r>
                </w:p>
              </w:tc>
              <w:tc>
                <w:tcPr>
                  <w:tcW w:w="2701" w:type="dxa"/>
                  <w:vAlign w:val="center"/>
                </w:tcPr>
                <w:p w14:paraId="1CDF95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标准号及名称</w:t>
                  </w:r>
                </w:p>
              </w:tc>
              <w:tc>
                <w:tcPr>
                  <w:tcW w:w="2274" w:type="dxa"/>
                  <w:vAlign w:val="center"/>
                </w:tcPr>
                <w:p w14:paraId="66133E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项目</w:t>
                  </w:r>
                </w:p>
              </w:tc>
              <w:tc>
                <w:tcPr>
                  <w:tcW w:w="2784" w:type="dxa"/>
                  <w:vAlign w:val="center"/>
                </w:tcPr>
                <w:p w14:paraId="230A5E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标准限值（mg/L），Ⅲ类</w:t>
                  </w:r>
                </w:p>
              </w:tc>
            </w:tr>
            <w:tr w14:paraId="3639E78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7BE81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1</w:t>
                  </w:r>
                </w:p>
              </w:tc>
              <w:tc>
                <w:tcPr>
                  <w:tcW w:w="2701" w:type="dxa"/>
                  <w:vMerge w:val="restart"/>
                  <w:vAlign w:val="center"/>
                </w:tcPr>
                <w:p w14:paraId="2DB5C3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lang w:val="en-US" w:eastAsia="zh-CN"/>
                    </w:rPr>
                  </w:pPr>
                  <w:r>
                    <w:rPr>
                      <w:rFonts w:hint="default" w:ascii="Times New Roman" w:hAnsi="Times New Roman" w:eastAsia="宋体" w:cs="Times New Roman"/>
                      <w:b w:val="0"/>
                      <w:bCs/>
                      <w:color w:val="auto"/>
                      <w:kern w:val="0"/>
                      <w:sz w:val="18"/>
                      <w:szCs w:val="18"/>
                      <w:highlight w:val="none"/>
                    </w:rPr>
                    <w:t>《地表水环境质量标准》</w:t>
                  </w:r>
                  <w:r>
                    <w:rPr>
                      <w:rFonts w:hint="eastAsia" w:cs="Times New Roman"/>
                      <w:b w:val="0"/>
                      <w:bCs/>
                      <w:color w:val="auto"/>
                      <w:kern w:val="0"/>
                      <w:sz w:val="18"/>
                      <w:szCs w:val="18"/>
                      <w:highlight w:val="none"/>
                      <w:lang w:eastAsia="zh-CN"/>
                    </w:rPr>
                    <w:t>（</w:t>
                  </w:r>
                  <w:r>
                    <w:rPr>
                      <w:rFonts w:hint="default" w:ascii="Times New Roman" w:hAnsi="Times New Roman" w:eastAsia="宋体" w:cs="Times New Roman"/>
                      <w:b w:val="0"/>
                      <w:bCs/>
                      <w:color w:val="auto"/>
                      <w:kern w:val="0"/>
                      <w:sz w:val="18"/>
                      <w:szCs w:val="18"/>
                      <w:highlight w:val="none"/>
                    </w:rPr>
                    <w:t>GB3838-2002</w:t>
                  </w:r>
                  <w:r>
                    <w:rPr>
                      <w:rFonts w:hint="eastAsia" w:cs="Times New Roman"/>
                      <w:b w:val="0"/>
                      <w:bCs/>
                      <w:color w:val="auto"/>
                      <w:kern w:val="0"/>
                      <w:sz w:val="18"/>
                      <w:szCs w:val="18"/>
                      <w:highlight w:val="none"/>
                      <w:lang w:eastAsia="zh-CN"/>
                    </w:rPr>
                    <w:t>）</w:t>
                  </w:r>
                  <w:r>
                    <w:rPr>
                      <w:rFonts w:hint="default" w:ascii="Times New Roman" w:hAnsi="Times New Roman" w:eastAsia="宋体" w:cs="Times New Roman"/>
                      <w:b w:val="0"/>
                      <w:bCs/>
                      <w:color w:val="auto"/>
                      <w:kern w:val="0"/>
                      <w:sz w:val="18"/>
                      <w:szCs w:val="18"/>
                      <w:highlight w:val="none"/>
                    </w:rPr>
                    <w:t>表1</w:t>
                  </w:r>
                  <w:r>
                    <w:rPr>
                      <w:rFonts w:hint="eastAsia" w:ascii="Times New Roman" w:hAnsi="Times New Roman" w:eastAsia="宋体" w:cs="Times New Roman"/>
                      <w:b w:val="0"/>
                      <w:bCs/>
                      <w:color w:val="auto"/>
                      <w:kern w:val="0"/>
                      <w:sz w:val="18"/>
                      <w:szCs w:val="18"/>
                      <w:highlight w:val="none"/>
                      <w:lang w:val="en-US" w:eastAsia="zh-CN"/>
                    </w:rPr>
                    <w:t>中三类</w:t>
                  </w:r>
                </w:p>
              </w:tc>
              <w:tc>
                <w:tcPr>
                  <w:tcW w:w="2274" w:type="dxa"/>
                  <w:vAlign w:val="center"/>
                </w:tcPr>
                <w:p w14:paraId="7E0FAE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pH</w:t>
                  </w:r>
                </w:p>
              </w:tc>
              <w:tc>
                <w:tcPr>
                  <w:tcW w:w="2784" w:type="dxa"/>
                  <w:vAlign w:val="center"/>
                </w:tcPr>
                <w:p w14:paraId="0CF576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6-9（无量纲）</w:t>
                  </w:r>
                </w:p>
              </w:tc>
            </w:tr>
            <w:tr w14:paraId="381B181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773246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2</w:t>
                  </w:r>
                </w:p>
              </w:tc>
              <w:tc>
                <w:tcPr>
                  <w:tcW w:w="2701" w:type="dxa"/>
                  <w:vMerge w:val="continue"/>
                  <w:vAlign w:val="center"/>
                </w:tcPr>
                <w:p w14:paraId="59CFC5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7F149B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溶解氧≥</w:t>
                  </w:r>
                </w:p>
              </w:tc>
              <w:tc>
                <w:tcPr>
                  <w:tcW w:w="2784" w:type="dxa"/>
                  <w:vAlign w:val="center"/>
                </w:tcPr>
                <w:p w14:paraId="6F11BA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5</w:t>
                  </w:r>
                </w:p>
              </w:tc>
            </w:tr>
            <w:tr w14:paraId="1B7845E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4DA7C8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3</w:t>
                  </w:r>
                </w:p>
              </w:tc>
              <w:tc>
                <w:tcPr>
                  <w:tcW w:w="2701" w:type="dxa"/>
                  <w:vMerge w:val="continue"/>
                  <w:vAlign w:val="center"/>
                </w:tcPr>
                <w:p w14:paraId="2707AE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3C9103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高锰酸盐指数</w:t>
                  </w:r>
                </w:p>
              </w:tc>
              <w:tc>
                <w:tcPr>
                  <w:tcW w:w="2784" w:type="dxa"/>
                  <w:vAlign w:val="center"/>
                </w:tcPr>
                <w:p w14:paraId="5F377E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6</w:t>
                  </w:r>
                </w:p>
              </w:tc>
            </w:tr>
            <w:tr w14:paraId="28BA7AA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16B369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4</w:t>
                  </w:r>
                </w:p>
              </w:tc>
              <w:tc>
                <w:tcPr>
                  <w:tcW w:w="2701" w:type="dxa"/>
                  <w:vMerge w:val="continue"/>
                  <w:vAlign w:val="center"/>
                </w:tcPr>
                <w:p w14:paraId="7FBCD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19B09F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COD</w:t>
                  </w:r>
                </w:p>
              </w:tc>
              <w:tc>
                <w:tcPr>
                  <w:tcW w:w="2784" w:type="dxa"/>
                  <w:vAlign w:val="center"/>
                </w:tcPr>
                <w:p w14:paraId="173E9F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20</w:t>
                  </w:r>
                </w:p>
              </w:tc>
            </w:tr>
            <w:tr w14:paraId="3ACE7C0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36E4CF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5</w:t>
                  </w:r>
                </w:p>
              </w:tc>
              <w:tc>
                <w:tcPr>
                  <w:tcW w:w="2701" w:type="dxa"/>
                  <w:vMerge w:val="continue"/>
                  <w:vAlign w:val="center"/>
                </w:tcPr>
                <w:p w14:paraId="33A197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1E1E4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BOD</w:t>
                  </w:r>
                  <w:r>
                    <w:rPr>
                      <w:rFonts w:hint="default" w:ascii="Times New Roman" w:hAnsi="Times New Roman" w:eastAsia="宋体" w:cs="Times New Roman"/>
                      <w:b w:val="0"/>
                      <w:bCs/>
                      <w:color w:val="auto"/>
                      <w:kern w:val="0"/>
                      <w:sz w:val="18"/>
                      <w:szCs w:val="18"/>
                      <w:highlight w:val="none"/>
                      <w:vertAlign w:val="subscript"/>
                    </w:rPr>
                    <w:t>5</w:t>
                  </w:r>
                </w:p>
              </w:tc>
              <w:tc>
                <w:tcPr>
                  <w:tcW w:w="2784" w:type="dxa"/>
                  <w:vAlign w:val="center"/>
                </w:tcPr>
                <w:p w14:paraId="259DE6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4</w:t>
                  </w:r>
                </w:p>
              </w:tc>
            </w:tr>
            <w:tr w14:paraId="5C53995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0554C7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6</w:t>
                  </w:r>
                </w:p>
              </w:tc>
              <w:tc>
                <w:tcPr>
                  <w:tcW w:w="2701" w:type="dxa"/>
                  <w:vMerge w:val="continue"/>
                  <w:vAlign w:val="center"/>
                </w:tcPr>
                <w:p w14:paraId="4AAC20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09ACAB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氨氮</w:t>
                  </w:r>
                </w:p>
              </w:tc>
              <w:tc>
                <w:tcPr>
                  <w:tcW w:w="2784" w:type="dxa"/>
                  <w:vAlign w:val="center"/>
                </w:tcPr>
                <w:p w14:paraId="6B4F96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1.0</w:t>
                  </w:r>
                </w:p>
              </w:tc>
            </w:tr>
            <w:tr w14:paraId="484901F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53EFE1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7</w:t>
                  </w:r>
                </w:p>
              </w:tc>
              <w:tc>
                <w:tcPr>
                  <w:tcW w:w="2701" w:type="dxa"/>
                  <w:vMerge w:val="continue"/>
                  <w:vAlign w:val="center"/>
                </w:tcPr>
                <w:p w14:paraId="2B8000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5F06CB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总磷</w:t>
                  </w:r>
                </w:p>
              </w:tc>
              <w:tc>
                <w:tcPr>
                  <w:tcW w:w="2784" w:type="dxa"/>
                  <w:vAlign w:val="center"/>
                </w:tcPr>
                <w:p w14:paraId="12CEFD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0.2（湖、库0.05）</w:t>
                  </w:r>
                </w:p>
              </w:tc>
            </w:tr>
            <w:tr w14:paraId="4E4CBF6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3566CE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8</w:t>
                  </w:r>
                </w:p>
              </w:tc>
              <w:tc>
                <w:tcPr>
                  <w:tcW w:w="2701" w:type="dxa"/>
                  <w:vMerge w:val="continue"/>
                  <w:vAlign w:val="center"/>
                </w:tcPr>
                <w:p w14:paraId="50E9BB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2D6B75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总氮</w:t>
                  </w:r>
                </w:p>
              </w:tc>
              <w:tc>
                <w:tcPr>
                  <w:tcW w:w="2784" w:type="dxa"/>
                  <w:vAlign w:val="center"/>
                </w:tcPr>
                <w:p w14:paraId="3A22A3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1.0</w:t>
                  </w:r>
                </w:p>
              </w:tc>
            </w:tr>
            <w:tr w14:paraId="7D977F2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0F8E1D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9</w:t>
                  </w:r>
                </w:p>
              </w:tc>
              <w:tc>
                <w:tcPr>
                  <w:tcW w:w="2701" w:type="dxa"/>
                  <w:vMerge w:val="continue"/>
                  <w:vAlign w:val="center"/>
                </w:tcPr>
                <w:p w14:paraId="57C24F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3D1470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铜</w:t>
                  </w:r>
                </w:p>
              </w:tc>
              <w:tc>
                <w:tcPr>
                  <w:tcW w:w="2784" w:type="dxa"/>
                  <w:vAlign w:val="center"/>
                </w:tcPr>
                <w:p w14:paraId="1CA65A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1.0</w:t>
                  </w:r>
                </w:p>
              </w:tc>
            </w:tr>
            <w:tr w14:paraId="3086A0F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4CCFB9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10</w:t>
                  </w:r>
                </w:p>
              </w:tc>
              <w:tc>
                <w:tcPr>
                  <w:tcW w:w="2701" w:type="dxa"/>
                  <w:vMerge w:val="continue"/>
                  <w:vAlign w:val="center"/>
                </w:tcPr>
                <w:p w14:paraId="49F766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53AE74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锌</w:t>
                  </w:r>
                </w:p>
              </w:tc>
              <w:tc>
                <w:tcPr>
                  <w:tcW w:w="2784" w:type="dxa"/>
                  <w:vAlign w:val="center"/>
                </w:tcPr>
                <w:p w14:paraId="23AD39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1.0</w:t>
                  </w:r>
                </w:p>
              </w:tc>
            </w:tr>
            <w:tr w14:paraId="5CBF7D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3C5870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11</w:t>
                  </w:r>
                </w:p>
              </w:tc>
              <w:tc>
                <w:tcPr>
                  <w:tcW w:w="2701" w:type="dxa"/>
                  <w:vMerge w:val="continue"/>
                  <w:vAlign w:val="center"/>
                </w:tcPr>
                <w:p w14:paraId="4105BF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16FB7F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氟化物（以F</w:t>
                  </w:r>
                  <w:r>
                    <w:rPr>
                      <w:rFonts w:hint="default" w:ascii="Times New Roman" w:hAnsi="Times New Roman" w:eastAsia="宋体" w:cs="Times New Roman"/>
                      <w:b w:val="0"/>
                      <w:bCs/>
                      <w:color w:val="auto"/>
                      <w:kern w:val="0"/>
                      <w:sz w:val="18"/>
                      <w:szCs w:val="18"/>
                      <w:highlight w:val="none"/>
                      <w:vertAlign w:val="superscript"/>
                    </w:rPr>
                    <w:t>-</w:t>
                  </w:r>
                  <w:r>
                    <w:rPr>
                      <w:rFonts w:hint="default" w:ascii="Times New Roman" w:hAnsi="Times New Roman" w:eastAsia="宋体" w:cs="Times New Roman"/>
                      <w:b w:val="0"/>
                      <w:bCs/>
                      <w:color w:val="auto"/>
                      <w:kern w:val="0"/>
                      <w:sz w:val="18"/>
                      <w:szCs w:val="18"/>
                      <w:highlight w:val="none"/>
                    </w:rPr>
                    <w:t>计）</w:t>
                  </w:r>
                </w:p>
              </w:tc>
              <w:tc>
                <w:tcPr>
                  <w:tcW w:w="2784" w:type="dxa"/>
                  <w:vAlign w:val="center"/>
                </w:tcPr>
                <w:p w14:paraId="3CD7DD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1.0</w:t>
                  </w:r>
                </w:p>
              </w:tc>
            </w:tr>
            <w:tr w14:paraId="0EB484D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13A02E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12</w:t>
                  </w:r>
                </w:p>
              </w:tc>
              <w:tc>
                <w:tcPr>
                  <w:tcW w:w="2701" w:type="dxa"/>
                  <w:vMerge w:val="continue"/>
                  <w:vAlign w:val="center"/>
                </w:tcPr>
                <w:p w14:paraId="4F27ED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308573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硒</w:t>
                  </w:r>
                </w:p>
              </w:tc>
              <w:tc>
                <w:tcPr>
                  <w:tcW w:w="2784" w:type="dxa"/>
                  <w:vAlign w:val="center"/>
                </w:tcPr>
                <w:p w14:paraId="21D5EB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0.01</w:t>
                  </w:r>
                </w:p>
              </w:tc>
            </w:tr>
            <w:tr w14:paraId="78BA07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184A0B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13</w:t>
                  </w:r>
                </w:p>
              </w:tc>
              <w:tc>
                <w:tcPr>
                  <w:tcW w:w="2701" w:type="dxa"/>
                  <w:vMerge w:val="continue"/>
                  <w:vAlign w:val="center"/>
                </w:tcPr>
                <w:p w14:paraId="1661A4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6F4ECA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砷</w:t>
                  </w:r>
                </w:p>
              </w:tc>
              <w:tc>
                <w:tcPr>
                  <w:tcW w:w="2784" w:type="dxa"/>
                  <w:vAlign w:val="center"/>
                </w:tcPr>
                <w:p w14:paraId="4C3671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0.05</w:t>
                  </w:r>
                </w:p>
              </w:tc>
            </w:tr>
            <w:tr w14:paraId="681B44A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735235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14</w:t>
                  </w:r>
                </w:p>
              </w:tc>
              <w:tc>
                <w:tcPr>
                  <w:tcW w:w="2701" w:type="dxa"/>
                  <w:vMerge w:val="continue"/>
                  <w:vAlign w:val="center"/>
                </w:tcPr>
                <w:p w14:paraId="14E3F5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3D4DEE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汞</w:t>
                  </w:r>
                </w:p>
              </w:tc>
              <w:tc>
                <w:tcPr>
                  <w:tcW w:w="2784" w:type="dxa"/>
                  <w:vAlign w:val="center"/>
                </w:tcPr>
                <w:p w14:paraId="6AEEAC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0.0001</w:t>
                  </w:r>
                </w:p>
              </w:tc>
            </w:tr>
            <w:tr w14:paraId="02A5AD4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49CAC8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15</w:t>
                  </w:r>
                </w:p>
              </w:tc>
              <w:tc>
                <w:tcPr>
                  <w:tcW w:w="2701" w:type="dxa"/>
                  <w:vMerge w:val="continue"/>
                  <w:vAlign w:val="center"/>
                </w:tcPr>
                <w:p w14:paraId="69006D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229AA3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镉</w:t>
                  </w:r>
                </w:p>
              </w:tc>
              <w:tc>
                <w:tcPr>
                  <w:tcW w:w="2784" w:type="dxa"/>
                  <w:vAlign w:val="center"/>
                </w:tcPr>
                <w:p w14:paraId="6624C2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0.005</w:t>
                  </w:r>
                </w:p>
              </w:tc>
            </w:tr>
            <w:tr w14:paraId="7EAF7EA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1ED786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16</w:t>
                  </w:r>
                </w:p>
              </w:tc>
              <w:tc>
                <w:tcPr>
                  <w:tcW w:w="2701" w:type="dxa"/>
                  <w:vMerge w:val="continue"/>
                  <w:vAlign w:val="center"/>
                </w:tcPr>
                <w:p w14:paraId="1887DC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24CD0E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铬（六价）</w:t>
                  </w:r>
                </w:p>
              </w:tc>
              <w:tc>
                <w:tcPr>
                  <w:tcW w:w="2784" w:type="dxa"/>
                  <w:vAlign w:val="center"/>
                </w:tcPr>
                <w:p w14:paraId="205E2A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0.05</w:t>
                  </w:r>
                </w:p>
              </w:tc>
            </w:tr>
            <w:tr w14:paraId="6F40244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6A7C59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17</w:t>
                  </w:r>
                </w:p>
              </w:tc>
              <w:tc>
                <w:tcPr>
                  <w:tcW w:w="2701" w:type="dxa"/>
                  <w:vMerge w:val="continue"/>
                  <w:vAlign w:val="center"/>
                </w:tcPr>
                <w:p w14:paraId="6CB1CA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741301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铅</w:t>
                  </w:r>
                </w:p>
              </w:tc>
              <w:tc>
                <w:tcPr>
                  <w:tcW w:w="2784" w:type="dxa"/>
                  <w:vAlign w:val="center"/>
                </w:tcPr>
                <w:p w14:paraId="15C7AD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0.05</w:t>
                  </w:r>
                </w:p>
              </w:tc>
            </w:tr>
            <w:tr w14:paraId="65D1791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34BA9C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18</w:t>
                  </w:r>
                </w:p>
              </w:tc>
              <w:tc>
                <w:tcPr>
                  <w:tcW w:w="2701" w:type="dxa"/>
                  <w:vMerge w:val="continue"/>
                  <w:vAlign w:val="center"/>
                </w:tcPr>
                <w:p w14:paraId="16F8D8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65A6D5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氰化物</w:t>
                  </w:r>
                </w:p>
              </w:tc>
              <w:tc>
                <w:tcPr>
                  <w:tcW w:w="2784" w:type="dxa"/>
                  <w:vAlign w:val="center"/>
                </w:tcPr>
                <w:p w14:paraId="3379CC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0.2</w:t>
                  </w:r>
                </w:p>
              </w:tc>
            </w:tr>
            <w:tr w14:paraId="7866600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095194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19</w:t>
                  </w:r>
                </w:p>
              </w:tc>
              <w:tc>
                <w:tcPr>
                  <w:tcW w:w="2701" w:type="dxa"/>
                  <w:vMerge w:val="continue"/>
                  <w:vAlign w:val="center"/>
                </w:tcPr>
                <w:p w14:paraId="2690EA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13C78E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挥发酚</w:t>
                  </w:r>
                </w:p>
              </w:tc>
              <w:tc>
                <w:tcPr>
                  <w:tcW w:w="2784" w:type="dxa"/>
                  <w:vAlign w:val="center"/>
                </w:tcPr>
                <w:p w14:paraId="0C54FB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0.005</w:t>
                  </w:r>
                </w:p>
              </w:tc>
            </w:tr>
            <w:tr w14:paraId="51AEFEB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63C928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20</w:t>
                  </w:r>
                </w:p>
              </w:tc>
              <w:tc>
                <w:tcPr>
                  <w:tcW w:w="2701" w:type="dxa"/>
                  <w:vMerge w:val="continue"/>
                  <w:vAlign w:val="center"/>
                </w:tcPr>
                <w:p w14:paraId="2D14C2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451D7F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石油类</w:t>
                  </w:r>
                </w:p>
              </w:tc>
              <w:tc>
                <w:tcPr>
                  <w:tcW w:w="2784" w:type="dxa"/>
                  <w:vAlign w:val="center"/>
                </w:tcPr>
                <w:p w14:paraId="377954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0.05</w:t>
                  </w:r>
                </w:p>
              </w:tc>
            </w:tr>
            <w:tr w14:paraId="2BD5D6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2B1D14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21</w:t>
                  </w:r>
                </w:p>
              </w:tc>
              <w:tc>
                <w:tcPr>
                  <w:tcW w:w="2701" w:type="dxa"/>
                  <w:vMerge w:val="continue"/>
                  <w:vAlign w:val="center"/>
                </w:tcPr>
                <w:p w14:paraId="751857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1C6301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阴离子表面活性剂</w:t>
                  </w:r>
                </w:p>
              </w:tc>
              <w:tc>
                <w:tcPr>
                  <w:tcW w:w="2784" w:type="dxa"/>
                  <w:vAlign w:val="center"/>
                </w:tcPr>
                <w:p w14:paraId="4E195C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0.2</w:t>
                  </w:r>
                </w:p>
              </w:tc>
            </w:tr>
            <w:tr w14:paraId="6122205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221B51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22</w:t>
                  </w:r>
                </w:p>
              </w:tc>
              <w:tc>
                <w:tcPr>
                  <w:tcW w:w="2701" w:type="dxa"/>
                  <w:vMerge w:val="continue"/>
                  <w:vAlign w:val="center"/>
                </w:tcPr>
                <w:p w14:paraId="73CB6B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113651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硫化物</w:t>
                  </w:r>
                </w:p>
              </w:tc>
              <w:tc>
                <w:tcPr>
                  <w:tcW w:w="2784" w:type="dxa"/>
                  <w:vAlign w:val="center"/>
                </w:tcPr>
                <w:p w14:paraId="21D1BC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0.2</w:t>
                  </w:r>
                </w:p>
              </w:tc>
            </w:tr>
            <w:tr w14:paraId="29CC389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0" w:type="dxa"/>
                  <w:vAlign w:val="center"/>
                </w:tcPr>
                <w:p w14:paraId="068C71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23</w:t>
                  </w:r>
                </w:p>
              </w:tc>
              <w:tc>
                <w:tcPr>
                  <w:tcW w:w="2701" w:type="dxa"/>
                  <w:vMerge w:val="continue"/>
                  <w:vAlign w:val="center"/>
                </w:tcPr>
                <w:p w14:paraId="232266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p>
              </w:tc>
              <w:tc>
                <w:tcPr>
                  <w:tcW w:w="2274" w:type="dxa"/>
                  <w:vAlign w:val="center"/>
                </w:tcPr>
                <w:p w14:paraId="220742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粪大肠菌群（个/L）</w:t>
                  </w:r>
                </w:p>
              </w:tc>
              <w:tc>
                <w:tcPr>
                  <w:tcW w:w="2784" w:type="dxa"/>
                  <w:vAlign w:val="center"/>
                </w:tcPr>
                <w:p w14:paraId="3E6AB8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kern w:val="0"/>
                      <w:sz w:val="18"/>
                      <w:szCs w:val="18"/>
                      <w:highlight w:val="none"/>
                    </w:rPr>
                  </w:pPr>
                  <w:r>
                    <w:rPr>
                      <w:rFonts w:hint="default" w:ascii="Times New Roman" w:hAnsi="Times New Roman" w:eastAsia="宋体" w:cs="Times New Roman"/>
                      <w:b w:val="0"/>
                      <w:bCs/>
                      <w:color w:val="auto"/>
                      <w:kern w:val="0"/>
                      <w:sz w:val="18"/>
                      <w:szCs w:val="18"/>
                      <w:highlight w:val="none"/>
                    </w:rPr>
                    <w:t>10000</w:t>
                  </w:r>
                </w:p>
              </w:tc>
            </w:tr>
          </w:tbl>
          <w:p w14:paraId="75867646">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eastAsia="宋体" w:cs="Times New Roman"/>
                <w:b/>
                <w:bCs w:val="0"/>
                <w:color w:val="auto"/>
                <w:position w:val="0"/>
                <w:sz w:val="21"/>
                <w:szCs w:val="21"/>
                <w:highlight w:val="none"/>
                <w:lang w:val="en-US" w:eastAsia="zh-CN"/>
              </w:rPr>
            </w:pPr>
            <w:r>
              <w:rPr>
                <w:rFonts w:hint="default" w:ascii="Times New Roman" w:hAnsi="Times New Roman" w:cs="Times New Roman"/>
                <w:b/>
                <w:bCs w:val="0"/>
                <w:color w:val="auto"/>
                <w:kern w:val="0"/>
                <w:position w:val="0"/>
                <w:sz w:val="21"/>
                <w:szCs w:val="21"/>
                <w:highlight w:val="none"/>
              </w:rPr>
              <w:t>表3-</w:t>
            </w:r>
            <w:r>
              <w:rPr>
                <w:rFonts w:hint="eastAsia" w:ascii="Times New Roman" w:hAnsi="Times New Roman" w:cs="Times New Roman"/>
                <w:b/>
                <w:bCs w:val="0"/>
                <w:color w:val="auto"/>
                <w:kern w:val="0"/>
                <w:position w:val="0"/>
                <w:sz w:val="21"/>
                <w:szCs w:val="21"/>
                <w:highlight w:val="none"/>
                <w:lang w:val="en-US" w:eastAsia="zh-CN"/>
              </w:rPr>
              <w:t>4</w:t>
            </w:r>
            <w:r>
              <w:rPr>
                <w:rFonts w:hint="default" w:ascii="Times New Roman" w:hAnsi="Times New Roman" w:eastAsia="宋体" w:cs="Times New Roman"/>
                <w:b/>
                <w:bCs w:val="0"/>
                <w:color w:val="auto"/>
                <w:kern w:val="0"/>
                <w:position w:val="0"/>
                <w:sz w:val="21"/>
                <w:szCs w:val="21"/>
                <w:highlight w:val="none"/>
              </w:rPr>
              <w:t>污水综合排放标准</w:t>
            </w:r>
            <w:r>
              <w:rPr>
                <w:rFonts w:hint="default" w:ascii="Times New Roman" w:hAnsi="Times New Roman" w:cs="Times New Roman"/>
                <w:b/>
                <w:bCs w:val="0"/>
                <w:color w:val="auto"/>
                <w:kern w:val="0"/>
                <w:position w:val="0"/>
                <w:sz w:val="21"/>
                <w:szCs w:val="21"/>
                <w:highlight w:val="none"/>
                <w:lang w:val="en-US" w:eastAsia="zh-CN"/>
              </w:rPr>
              <w:t>（GB8978-1996）</w:t>
            </w:r>
            <w:r>
              <w:rPr>
                <w:rFonts w:hint="default" w:ascii="Times New Roman" w:hAnsi="Times New Roman" w:eastAsia="宋体" w:cs="Times New Roman"/>
                <w:b/>
                <w:bCs w:val="0"/>
                <w:color w:val="auto"/>
                <w:kern w:val="0"/>
                <w:position w:val="0"/>
                <w:sz w:val="21"/>
                <w:szCs w:val="21"/>
                <w:highlight w:val="none"/>
                <w:lang w:val="en-US" w:eastAsia="zh-CN"/>
              </w:rPr>
              <w:t xml:space="preserve"> </w:t>
            </w:r>
            <w:r>
              <w:rPr>
                <w:rFonts w:hint="default" w:ascii="Times New Roman" w:hAnsi="Times New Roman" w:cs="Times New Roman"/>
                <w:b/>
                <w:bCs w:val="0"/>
                <w:color w:val="auto"/>
                <w:kern w:val="0"/>
                <w:position w:val="0"/>
                <w:sz w:val="21"/>
                <w:szCs w:val="21"/>
                <w:highlight w:val="none"/>
                <w:lang w:val="en-US" w:eastAsia="zh-CN"/>
              </w:rPr>
              <w:t xml:space="preserve"> 单位：mg/L</w:t>
            </w:r>
          </w:p>
          <w:tbl>
            <w:tblPr>
              <w:tblStyle w:val="36"/>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06"/>
              <w:gridCol w:w="2693"/>
              <w:gridCol w:w="3838"/>
            </w:tblGrid>
            <w:tr w14:paraId="12D5BD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06" w:type="dxa"/>
                  <w:vAlign w:val="center"/>
                </w:tcPr>
                <w:p w14:paraId="175B0B4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b w:val="0"/>
                      <w:bCs/>
                      <w:color w:val="auto"/>
                      <w:position w:val="0"/>
                      <w:sz w:val="18"/>
                      <w:szCs w:val="18"/>
                      <w:highlight w:val="none"/>
                      <w:vertAlign w:val="baseline"/>
                      <w:lang w:val="en-US" w:eastAsia="zh-CN"/>
                    </w:rPr>
                  </w:pPr>
                  <w:r>
                    <w:rPr>
                      <w:rFonts w:hint="default" w:ascii="Times New Roman" w:hAnsi="Times New Roman" w:eastAsia="宋体" w:cs="Times New Roman"/>
                      <w:b w:val="0"/>
                      <w:bCs/>
                      <w:color w:val="auto"/>
                      <w:position w:val="0"/>
                      <w:sz w:val="18"/>
                      <w:szCs w:val="18"/>
                      <w:highlight w:val="none"/>
                      <w:vertAlign w:val="baseline"/>
                      <w:lang w:val="en-US" w:eastAsia="zh-CN"/>
                    </w:rPr>
                    <w:t>序号</w:t>
                  </w:r>
                </w:p>
              </w:tc>
              <w:tc>
                <w:tcPr>
                  <w:tcW w:w="2693" w:type="dxa"/>
                  <w:vAlign w:val="center"/>
                </w:tcPr>
                <w:p w14:paraId="0905E22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b w:val="0"/>
                      <w:bCs/>
                      <w:color w:val="auto"/>
                      <w:position w:val="0"/>
                      <w:sz w:val="18"/>
                      <w:szCs w:val="18"/>
                      <w:highlight w:val="none"/>
                      <w:vertAlign w:val="baseline"/>
                      <w:lang w:val="en-US" w:eastAsia="zh-CN"/>
                    </w:rPr>
                  </w:pPr>
                  <w:r>
                    <w:rPr>
                      <w:rFonts w:hint="default" w:ascii="Times New Roman" w:hAnsi="Times New Roman" w:eastAsia="宋体" w:cs="Times New Roman"/>
                      <w:b w:val="0"/>
                      <w:bCs/>
                      <w:color w:val="auto"/>
                      <w:position w:val="0"/>
                      <w:sz w:val="18"/>
                      <w:szCs w:val="18"/>
                      <w:highlight w:val="none"/>
                      <w:vertAlign w:val="baseline"/>
                      <w:lang w:val="en-US" w:eastAsia="zh-CN"/>
                    </w:rPr>
                    <w:t>污染物种类</w:t>
                  </w:r>
                </w:p>
              </w:tc>
              <w:tc>
                <w:tcPr>
                  <w:tcW w:w="3838" w:type="dxa"/>
                  <w:vAlign w:val="center"/>
                </w:tcPr>
                <w:p w14:paraId="2007700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b w:val="0"/>
                      <w:bCs/>
                      <w:color w:val="auto"/>
                      <w:position w:val="0"/>
                      <w:sz w:val="18"/>
                      <w:szCs w:val="18"/>
                      <w:highlight w:val="none"/>
                      <w:vertAlign w:val="baseline"/>
                      <w:lang w:val="en-US" w:eastAsia="zh-CN"/>
                    </w:rPr>
                  </w:pPr>
                  <w:r>
                    <w:rPr>
                      <w:rFonts w:hint="default" w:ascii="Times New Roman" w:hAnsi="Times New Roman" w:eastAsia="宋体" w:cs="Times New Roman"/>
                      <w:b w:val="0"/>
                      <w:bCs/>
                      <w:color w:val="auto"/>
                      <w:position w:val="0"/>
                      <w:sz w:val="18"/>
                      <w:szCs w:val="18"/>
                      <w:highlight w:val="none"/>
                      <w:vertAlign w:val="baseline"/>
                      <w:lang w:val="en-US" w:eastAsia="zh-CN"/>
                    </w:rPr>
                    <w:t>排泥水悬浮物执行污水综合排放标准一级标准</w:t>
                  </w:r>
                </w:p>
              </w:tc>
            </w:tr>
            <w:tr w14:paraId="3368168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06" w:type="dxa"/>
                  <w:vAlign w:val="center"/>
                </w:tcPr>
                <w:p w14:paraId="3B0C447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b w:val="0"/>
                      <w:bCs/>
                      <w:color w:val="auto"/>
                      <w:position w:val="0"/>
                      <w:sz w:val="18"/>
                      <w:szCs w:val="18"/>
                      <w:highlight w:val="none"/>
                      <w:vertAlign w:val="baseline"/>
                      <w:lang w:val="en-US" w:eastAsia="zh-CN"/>
                    </w:rPr>
                  </w:pPr>
                  <w:r>
                    <w:rPr>
                      <w:rFonts w:hint="default" w:ascii="Times New Roman" w:hAnsi="Times New Roman" w:eastAsia="宋体" w:cs="Times New Roman"/>
                      <w:b w:val="0"/>
                      <w:bCs/>
                      <w:color w:val="auto"/>
                      <w:position w:val="0"/>
                      <w:sz w:val="18"/>
                      <w:szCs w:val="18"/>
                      <w:highlight w:val="none"/>
                      <w:vertAlign w:val="baseline"/>
                      <w:lang w:val="en-US" w:eastAsia="zh-CN"/>
                    </w:rPr>
                    <w:t>1</w:t>
                  </w:r>
                </w:p>
              </w:tc>
              <w:tc>
                <w:tcPr>
                  <w:tcW w:w="2693" w:type="dxa"/>
                  <w:vAlign w:val="center"/>
                </w:tcPr>
                <w:p w14:paraId="2C75C1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color w:val="auto"/>
                      <w:position w:val="0"/>
                      <w:sz w:val="18"/>
                      <w:szCs w:val="18"/>
                      <w:highlight w:val="none"/>
                      <w:vertAlign w:val="baseline"/>
                      <w:lang w:val="en-US" w:eastAsia="zh-CN"/>
                    </w:rPr>
                  </w:pPr>
                  <w:r>
                    <w:rPr>
                      <w:rFonts w:hint="default" w:ascii="Times New Roman" w:hAnsi="Times New Roman" w:eastAsia="宋体" w:cs="Times New Roman"/>
                      <w:b w:val="0"/>
                      <w:bCs/>
                      <w:color w:val="auto"/>
                      <w:position w:val="0"/>
                      <w:sz w:val="18"/>
                      <w:szCs w:val="18"/>
                      <w:highlight w:val="none"/>
                    </w:rPr>
                    <w:t>SS</w:t>
                  </w:r>
                </w:p>
              </w:tc>
              <w:tc>
                <w:tcPr>
                  <w:tcW w:w="3838" w:type="dxa"/>
                  <w:vAlign w:val="center"/>
                </w:tcPr>
                <w:p w14:paraId="46FA80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color w:val="auto"/>
                      <w:position w:val="0"/>
                      <w:sz w:val="18"/>
                      <w:szCs w:val="18"/>
                      <w:highlight w:val="none"/>
                      <w:lang w:val="en-US" w:eastAsia="zh-CN"/>
                    </w:rPr>
                  </w:pPr>
                  <w:r>
                    <w:rPr>
                      <w:rFonts w:hint="default" w:ascii="Times New Roman" w:hAnsi="Times New Roman" w:eastAsia="宋体" w:cs="Times New Roman"/>
                      <w:b w:val="0"/>
                      <w:bCs/>
                      <w:color w:val="auto"/>
                      <w:position w:val="0"/>
                      <w:sz w:val="18"/>
                      <w:szCs w:val="18"/>
                      <w:highlight w:val="none"/>
                      <w:lang w:val="en-US" w:eastAsia="zh-CN"/>
                    </w:rPr>
                    <w:t>70</w:t>
                  </w:r>
                </w:p>
              </w:tc>
            </w:tr>
          </w:tbl>
          <w:p w14:paraId="1FE5BB44">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2" w:firstLineChars="200"/>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噪声</w:t>
            </w:r>
          </w:p>
          <w:p w14:paraId="724902B6">
            <w:pPr>
              <w:keepNext w:val="0"/>
              <w:keepLines w:val="0"/>
              <w:widowControl/>
              <w:suppressLineNumbers w:val="0"/>
              <w:spacing w:before="0" w:beforeAutospacing="0" w:after="0" w:afterAutospacing="0" w:line="360" w:lineRule="auto"/>
              <w:ind w:left="0" w:right="0" w:firstLine="420" w:firstLineChars="200"/>
              <w:rPr>
                <w:rFonts w:hint="default"/>
                <w:b/>
                <w:color w:val="auto"/>
                <w:szCs w:val="21"/>
                <w:highlight w:val="none"/>
              </w:rPr>
            </w:pPr>
            <w:r>
              <w:rPr>
                <w:rFonts w:hint="default"/>
                <w:color w:val="auto"/>
                <w:szCs w:val="21"/>
                <w:highlight w:val="none"/>
              </w:rPr>
              <w:t>施工期</w:t>
            </w:r>
            <w:r>
              <w:rPr>
                <w:rFonts w:hint="eastAsia"/>
                <w:color w:val="auto"/>
                <w:szCs w:val="21"/>
                <w:highlight w:val="none"/>
              </w:rPr>
              <w:t>：</w:t>
            </w:r>
            <w:r>
              <w:rPr>
                <w:rFonts w:hint="default"/>
                <w:color w:val="auto"/>
                <w:szCs w:val="21"/>
                <w:highlight w:val="none"/>
              </w:rPr>
              <w:t>噪声执行</w:t>
            </w:r>
            <w:r>
              <w:rPr>
                <w:rFonts w:hint="eastAsia"/>
                <w:color w:val="auto"/>
                <w:szCs w:val="21"/>
                <w:highlight w:val="none"/>
              </w:rPr>
              <w:t>《建筑施工噪声排放标准》（GB12523-2025）</w:t>
            </w:r>
            <w:r>
              <w:rPr>
                <w:rFonts w:hint="default"/>
                <w:color w:val="auto"/>
                <w:szCs w:val="21"/>
                <w:highlight w:val="none"/>
              </w:rPr>
              <w:t>中噪声排放限值，具体标准见表3-</w:t>
            </w:r>
            <w:r>
              <w:rPr>
                <w:rFonts w:hint="eastAsia"/>
                <w:color w:val="auto"/>
                <w:szCs w:val="21"/>
                <w:highlight w:val="none"/>
                <w:lang w:val="en-US" w:eastAsia="zh-CN"/>
              </w:rPr>
              <w:t>10</w:t>
            </w:r>
            <w:r>
              <w:rPr>
                <w:rFonts w:hint="default"/>
                <w:color w:val="auto"/>
                <w:szCs w:val="21"/>
                <w:highlight w:val="none"/>
              </w:rPr>
              <w:t>。</w:t>
            </w:r>
          </w:p>
          <w:p w14:paraId="60D65E5D">
            <w:pPr>
              <w:keepNext w:val="0"/>
              <w:keepLines w:val="0"/>
              <w:suppressLineNumbers w:val="0"/>
              <w:spacing w:before="0" w:beforeAutospacing="0" w:after="0" w:afterAutospacing="0"/>
              <w:ind w:left="0" w:right="0"/>
              <w:jc w:val="center"/>
              <w:rPr>
                <w:rFonts w:hint="default"/>
                <w:color w:val="auto"/>
                <w:highlight w:val="none"/>
              </w:rPr>
            </w:pPr>
            <w:r>
              <w:rPr>
                <w:rFonts w:hint="default"/>
                <w:b/>
                <w:color w:val="auto"/>
                <w:szCs w:val="21"/>
                <w:highlight w:val="none"/>
              </w:rPr>
              <w:t>表3-</w:t>
            </w:r>
            <w:r>
              <w:rPr>
                <w:rFonts w:hint="eastAsia"/>
                <w:b/>
                <w:color w:val="auto"/>
                <w:szCs w:val="21"/>
                <w:highlight w:val="none"/>
                <w:lang w:val="en-US" w:eastAsia="zh-CN"/>
              </w:rPr>
              <w:t>10</w:t>
            </w:r>
            <w:r>
              <w:rPr>
                <w:rFonts w:hint="eastAsia"/>
                <w:b/>
                <w:color w:val="auto"/>
                <w:szCs w:val="21"/>
                <w:highlight w:val="none"/>
              </w:rPr>
              <w:t>《建筑施工噪声排放标准》（GB12523-2025）</w:t>
            </w:r>
            <w:r>
              <w:rPr>
                <w:rFonts w:hint="default"/>
                <w:b/>
                <w:color w:val="auto"/>
                <w:szCs w:val="21"/>
                <w:highlight w:val="none"/>
              </w:rPr>
              <w:t>单位：dB(A)</w:t>
            </w:r>
          </w:p>
          <w:tbl>
            <w:tblPr>
              <w:tblStyle w:val="35"/>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044"/>
              <w:gridCol w:w="3993"/>
            </w:tblGrid>
            <w:tr w14:paraId="236566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40" w:hRule="atLeast"/>
                <w:jc w:val="center"/>
              </w:trPr>
              <w:tc>
                <w:tcPr>
                  <w:tcW w:w="3837" w:type="dxa"/>
                  <w:tcBorders>
                    <w:tl2br w:val="nil"/>
                    <w:tr2bl w:val="nil"/>
                  </w:tcBorders>
                  <w:noWrap w:val="0"/>
                  <w:vAlign w:val="center"/>
                </w:tcPr>
                <w:p w14:paraId="3CAADC1E">
                  <w:pPr>
                    <w:keepNext w:val="0"/>
                    <w:keepLines w:val="0"/>
                    <w:suppressLineNumbers w:val="0"/>
                    <w:adjustRightInd w:val="0"/>
                    <w:snapToGrid w:val="0"/>
                    <w:spacing w:before="0" w:beforeAutospacing="0" w:after="0" w:afterAutospacing="0"/>
                    <w:ind w:left="0" w:right="0"/>
                    <w:jc w:val="center"/>
                    <w:textAlignment w:val="baseline"/>
                    <w:rPr>
                      <w:rFonts w:hint="default"/>
                      <w:color w:val="auto"/>
                      <w:sz w:val="18"/>
                      <w:szCs w:val="18"/>
                      <w:highlight w:val="none"/>
                    </w:rPr>
                  </w:pPr>
                  <w:r>
                    <w:rPr>
                      <w:rFonts w:hint="default"/>
                      <w:color w:val="auto"/>
                      <w:sz w:val="18"/>
                      <w:szCs w:val="18"/>
                      <w:highlight w:val="none"/>
                    </w:rPr>
                    <w:t>昼间</w:t>
                  </w:r>
                </w:p>
              </w:tc>
              <w:tc>
                <w:tcPr>
                  <w:tcW w:w="3789" w:type="dxa"/>
                  <w:tcBorders>
                    <w:tl2br w:val="nil"/>
                    <w:tr2bl w:val="nil"/>
                  </w:tcBorders>
                  <w:noWrap w:val="0"/>
                  <w:vAlign w:val="center"/>
                </w:tcPr>
                <w:p w14:paraId="77080382">
                  <w:pPr>
                    <w:keepNext w:val="0"/>
                    <w:keepLines w:val="0"/>
                    <w:suppressLineNumbers w:val="0"/>
                    <w:adjustRightInd w:val="0"/>
                    <w:snapToGrid w:val="0"/>
                    <w:spacing w:before="0" w:beforeAutospacing="0" w:after="0" w:afterAutospacing="0"/>
                    <w:ind w:left="0" w:right="0"/>
                    <w:jc w:val="center"/>
                    <w:textAlignment w:val="baseline"/>
                    <w:rPr>
                      <w:rFonts w:hint="default"/>
                      <w:color w:val="auto"/>
                      <w:sz w:val="18"/>
                      <w:szCs w:val="18"/>
                      <w:highlight w:val="none"/>
                    </w:rPr>
                  </w:pPr>
                  <w:r>
                    <w:rPr>
                      <w:rFonts w:hint="default"/>
                      <w:color w:val="auto"/>
                      <w:sz w:val="18"/>
                      <w:szCs w:val="18"/>
                      <w:highlight w:val="none"/>
                    </w:rPr>
                    <w:t>夜间</w:t>
                  </w:r>
                </w:p>
              </w:tc>
            </w:tr>
            <w:tr w14:paraId="2583F3D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37" w:type="dxa"/>
                  <w:tcBorders>
                    <w:tl2br w:val="nil"/>
                    <w:tr2bl w:val="nil"/>
                  </w:tcBorders>
                  <w:noWrap w:val="0"/>
                  <w:vAlign w:val="center"/>
                </w:tcPr>
                <w:p w14:paraId="03AB4CE7">
                  <w:pPr>
                    <w:keepNext w:val="0"/>
                    <w:keepLines w:val="0"/>
                    <w:suppressLineNumbers w:val="0"/>
                    <w:adjustRightInd w:val="0"/>
                    <w:snapToGrid w:val="0"/>
                    <w:spacing w:before="0" w:beforeAutospacing="0" w:after="0" w:afterAutospacing="0"/>
                    <w:ind w:left="0" w:right="0"/>
                    <w:jc w:val="center"/>
                    <w:textAlignment w:val="baseline"/>
                    <w:rPr>
                      <w:rFonts w:hint="default"/>
                      <w:color w:val="auto"/>
                      <w:sz w:val="18"/>
                      <w:szCs w:val="18"/>
                      <w:highlight w:val="none"/>
                    </w:rPr>
                  </w:pPr>
                  <w:r>
                    <w:rPr>
                      <w:rFonts w:hint="default"/>
                      <w:color w:val="auto"/>
                      <w:sz w:val="18"/>
                      <w:szCs w:val="18"/>
                      <w:highlight w:val="none"/>
                    </w:rPr>
                    <w:t>70</w:t>
                  </w:r>
                </w:p>
              </w:tc>
              <w:tc>
                <w:tcPr>
                  <w:tcW w:w="3789" w:type="dxa"/>
                  <w:tcBorders>
                    <w:tl2br w:val="nil"/>
                    <w:tr2bl w:val="nil"/>
                  </w:tcBorders>
                  <w:noWrap w:val="0"/>
                  <w:vAlign w:val="center"/>
                </w:tcPr>
                <w:p w14:paraId="531CE2A4">
                  <w:pPr>
                    <w:keepNext w:val="0"/>
                    <w:keepLines w:val="0"/>
                    <w:suppressLineNumbers w:val="0"/>
                    <w:adjustRightInd w:val="0"/>
                    <w:snapToGrid w:val="0"/>
                    <w:spacing w:before="0" w:beforeAutospacing="0" w:after="0" w:afterAutospacing="0"/>
                    <w:ind w:left="0" w:right="0"/>
                    <w:jc w:val="center"/>
                    <w:textAlignment w:val="baseline"/>
                    <w:rPr>
                      <w:rFonts w:hint="default"/>
                      <w:color w:val="auto"/>
                      <w:sz w:val="18"/>
                      <w:szCs w:val="18"/>
                      <w:highlight w:val="none"/>
                    </w:rPr>
                  </w:pPr>
                  <w:r>
                    <w:rPr>
                      <w:rFonts w:hint="default"/>
                      <w:color w:val="auto"/>
                      <w:sz w:val="18"/>
                      <w:szCs w:val="18"/>
                      <w:highlight w:val="none"/>
                    </w:rPr>
                    <w:t>55</w:t>
                  </w:r>
                </w:p>
              </w:tc>
            </w:tr>
          </w:tbl>
          <w:p w14:paraId="495E3EA3">
            <w:pPr>
              <w:pStyle w:val="10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firstLine="420" w:firstLineChars="200"/>
              <w:jc w:val="both"/>
              <w:textAlignment w:val="auto"/>
              <w:rPr>
                <w:rFonts w:hint="default" w:ascii="Times New Roman" w:hAnsi="Times New Roman" w:cs="Times New Roman"/>
                <w:color w:val="auto"/>
                <w:szCs w:val="21"/>
                <w:highlight w:val="none"/>
                <w:lang w:val="en-US"/>
              </w:rPr>
            </w:pPr>
            <w:r>
              <w:rPr>
                <w:rFonts w:hint="eastAsia" w:cs="Times New Roman"/>
                <w:color w:val="auto"/>
                <w:sz w:val="21"/>
                <w:szCs w:val="21"/>
                <w:highlight w:val="none"/>
                <w:lang w:val="en-US" w:eastAsia="zh-CN"/>
              </w:rPr>
              <w:t>运营期：</w:t>
            </w:r>
            <w:r>
              <w:rPr>
                <w:rFonts w:hint="eastAsia"/>
                <w:color w:val="auto"/>
                <w:sz w:val="21"/>
                <w:szCs w:val="21"/>
                <w:highlight w:val="none"/>
                <w:lang w:val="en-US" w:eastAsia="zh-CN"/>
              </w:rPr>
              <w:t>厂界</w:t>
            </w:r>
            <w:r>
              <w:rPr>
                <w:rFonts w:hint="default" w:ascii="Times New Roman" w:hAnsi="Times New Roman" w:cs="Times New Roman"/>
                <w:color w:val="auto"/>
                <w:sz w:val="21"/>
                <w:szCs w:val="21"/>
                <w:highlight w:val="none"/>
              </w:rPr>
              <w:t>噪声执行《工业企业厂界环境噪声排放标准》</w:t>
            </w:r>
            <w:r>
              <w:rPr>
                <w:rFonts w:hint="eastAsia" w:cs="Times New Roman"/>
                <w:color w:val="auto"/>
                <w:sz w:val="21"/>
                <w:szCs w:val="21"/>
                <w:highlight w:val="none"/>
                <w:lang w:eastAsia="zh-CN"/>
              </w:rPr>
              <w:t>（</w:t>
            </w:r>
            <w:r>
              <w:rPr>
                <w:rFonts w:hint="default" w:ascii="Times New Roman" w:hAnsi="Times New Roman" w:cs="Times New Roman"/>
                <w:color w:val="auto"/>
                <w:sz w:val="21"/>
                <w:szCs w:val="21"/>
                <w:highlight w:val="none"/>
              </w:rPr>
              <w:t>GB12348-2008</w:t>
            </w:r>
            <w:r>
              <w:rPr>
                <w:rFonts w:hint="eastAsia" w:cs="Times New Roman"/>
                <w:color w:val="auto"/>
                <w:sz w:val="21"/>
                <w:szCs w:val="21"/>
                <w:highlight w:val="none"/>
                <w:lang w:eastAsia="zh-CN"/>
              </w:rPr>
              <w:t>）</w:t>
            </w:r>
            <w:r>
              <w:rPr>
                <w:rFonts w:hint="default" w:ascii="Times New Roman" w:hAnsi="Times New Roman" w:cs="Times New Roman"/>
                <w:color w:val="auto"/>
                <w:sz w:val="21"/>
                <w:szCs w:val="21"/>
                <w:highlight w:val="none"/>
              </w:rPr>
              <w:t>表1中</w:t>
            </w:r>
            <w:r>
              <w:rPr>
                <w:rFonts w:hint="eastAsia" w:cs="Times New Roman"/>
                <w:color w:val="auto"/>
                <w:sz w:val="21"/>
                <w:szCs w:val="21"/>
                <w:highlight w:val="none"/>
                <w:lang w:val="en-US" w:eastAsia="zh-CN"/>
              </w:rPr>
              <w:t>2</w:t>
            </w:r>
            <w:r>
              <w:rPr>
                <w:rFonts w:hint="default"/>
                <w:color w:val="auto"/>
                <w:sz w:val="21"/>
                <w:szCs w:val="21"/>
                <w:highlight w:val="none"/>
              </w:rPr>
              <w:t>类标准</w:t>
            </w:r>
            <w:r>
              <w:rPr>
                <w:rFonts w:hint="eastAsia"/>
                <w:color w:val="auto"/>
                <w:kern w:val="0"/>
                <w:sz w:val="21"/>
                <w:szCs w:val="21"/>
                <w:highlight w:val="none"/>
                <w:lang w:val="en-US" w:eastAsia="zh-CN"/>
              </w:rPr>
              <w:t>。</w:t>
            </w:r>
          </w:p>
          <w:p w14:paraId="3508B0CE">
            <w:pPr>
              <w:pStyle w:val="74"/>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textAlignment w:val="baseline"/>
              <w:rPr>
                <w:rFonts w:hint="default" w:ascii="Times New Roman" w:hAnsi="Times New Roman" w:cs="Times New Roman"/>
                <w:snapToGrid w:val="0"/>
                <w:color w:val="auto"/>
                <w:spacing w:val="0"/>
                <w:sz w:val="21"/>
                <w:szCs w:val="21"/>
                <w:highlight w:val="none"/>
              </w:rPr>
            </w:pPr>
            <w:r>
              <w:rPr>
                <w:rFonts w:hint="default" w:ascii="Times New Roman" w:hAnsi="Times New Roman" w:eastAsia="宋体" w:cs="Times New Roman"/>
                <w:b/>
                <w:bCs/>
                <w:snapToGrid w:val="0"/>
                <w:color w:val="auto"/>
                <w:spacing w:val="0"/>
                <w:sz w:val="21"/>
                <w:szCs w:val="21"/>
                <w:highlight w:val="none"/>
              </w:rPr>
              <w:t>表3-</w:t>
            </w:r>
            <w:r>
              <w:rPr>
                <w:rFonts w:hint="eastAsia" w:ascii="Times New Roman" w:hAnsi="Times New Roman" w:eastAsia="宋体" w:cs="Times New Roman"/>
                <w:b/>
                <w:bCs/>
                <w:snapToGrid w:val="0"/>
                <w:color w:val="auto"/>
                <w:spacing w:val="0"/>
                <w:sz w:val="21"/>
                <w:szCs w:val="21"/>
                <w:highlight w:val="none"/>
                <w:lang w:val="en-US" w:eastAsia="zh-CN"/>
              </w:rPr>
              <w:t>5</w:t>
            </w:r>
            <w:r>
              <w:rPr>
                <w:rFonts w:hint="default" w:ascii="Times New Roman" w:hAnsi="Times New Roman" w:eastAsia="宋体" w:cs="Times New Roman"/>
                <w:b/>
                <w:bCs/>
                <w:snapToGrid w:val="0"/>
                <w:color w:val="auto"/>
                <w:spacing w:val="0"/>
                <w:sz w:val="21"/>
                <w:szCs w:val="21"/>
                <w:highlight w:val="none"/>
              </w:rPr>
              <w:t>工业企业厂界环境噪声排放标准</w:t>
            </w:r>
          </w:p>
          <w:tbl>
            <w:tblPr>
              <w:tblStyle w:val="35"/>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390"/>
              <w:gridCol w:w="2804"/>
              <w:gridCol w:w="2843"/>
            </w:tblGrid>
            <w:tr w14:paraId="73CE1E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87" w:type="pct"/>
                  <w:vMerge w:val="restart"/>
                  <w:vAlign w:val="center"/>
                </w:tcPr>
                <w:p w14:paraId="30ACD628">
                  <w:pPr>
                    <w:pStyle w:val="8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18"/>
                      <w:szCs w:val="18"/>
                      <w:highlight w:val="none"/>
                    </w:rPr>
                  </w:pPr>
                  <w:r>
                    <w:rPr>
                      <w:rFonts w:hint="default" w:ascii="Times New Roman" w:hAnsi="Times New Roman" w:cs="Times New Roman" w:eastAsiaTheme="minorEastAsia"/>
                      <w:color w:val="auto"/>
                      <w:sz w:val="18"/>
                      <w:szCs w:val="18"/>
                      <w:highlight w:val="none"/>
                    </w:rPr>
                    <w:t>类别</w:t>
                  </w:r>
                </w:p>
              </w:tc>
              <w:tc>
                <w:tcPr>
                  <w:tcW w:w="3512" w:type="pct"/>
                  <w:gridSpan w:val="2"/>
                  <w:vAlign w:val="center"/>
                </w:tcPr>
                <w:p w14:paraId="7B11E554">
                  <w:pPr>
                    <w:pStyle w:val="8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18"/>
                      <w:szCs w:val="18"/>
                      <w:highlight w:val="none"/>
                    </w:rPr>
                  </w:pPr>
                  <w:r>
                    <w:rPr>
                      <w:rFonts w:hint="default" w:ascii="Times New Roman" w:hAnsi="Times New Roman" w:cs="Times New Roman" w:eastAsiaTheme="minorEastAsia"/>
                      <w:color w:val="auto"/>
                      <w:sz w:val="18"/>
                      <w:szCs w:val="18"/>
                      <w:highlight w:val="none"/>
                    </w:rPr>
                    <w:t>标准值（dB（A））</w:t>
                  </w:r>
                </w:p>
              </w:tc>
            </w:tr>
            <w:tr w14:paraId="030B062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87" w:type="pct"/>
                  <w:vMerge w:val="continue"/>
                  <w:vAlign w:val="center"/>
                </w:tcPr>
                <w:p w14:paraId="49A9604A">
                  <w:pPr>
                    <w:pStyle w:val="8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18"/>
                      <w:szCs w:val="18"/>
                      <w:highlight w:val="none"/>
                    </w:rPr>
                  </w:pPr>
                </w:p>
              </w:tc>
              <w:tc>
                <w:tcPr>
                  <w:tcW w:w="1744" w:type="pct"/>
                  <w:vAlign w:val="center"/>
                </w:tcPr>
                <w:p w14:paraId="3626C3A8">
                  <w:pPr>
                    <w:pStyle w:val="8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18"/>
                      <w:szCs w:val="18"/>
                      <w:highlight w:val="none"/>
                    </w:rPr>
                  </w:pPr>
                  <w:r>
                    <w:rPr>
                      <w:rFonts w:hint="default" w:ascii="Times New Roman" w:hAnsi="Times New Roman" w:cs="Times New Roman" w:eastAsiaTheme="minorEastAsia"/>
                      <w:color w:val="auto"/>
                      <w:sz w:val="18"/>
                      <w:szCs w:val="18"/>
                      <w:highlight w:val="none"/>
                    </w:rPr>
                    <w:t>昼间</w:t>
                  </w:r>
                </w:p>
              </w:tc>
              <w:tc>
                <w:tcPr>
                  <w:tcW w:w="1768" w:type="pct"/>
                  <w:vAlign w:val="center"/>
                </w:tcPr>
                <w:p w14:paraId="02981B89">
                  <w:pPr>
                    <w:pStyle w:val="8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18"/>
                      <w:szCs w:val="18"/>
                      <w:highlight w:val="none"/>
                    </w:rPr>
                  </w:pPr>
                  <w:r>
                    <w:rPr>
                      <w:rFonts w:hint="default" w:ascii="Times New Roman" w:hAnsi="Times New Roman" w:cs="Times New Roman" w:eastAsiaTheme="minorEastAsia"/>
                      <w:color w:val="auto"/>
                      <w:sz w:val="18"/>
                      <w:szCs w:val="18"/>
                      <w:highlight w:val="none"/>
                    </w:rPr>
                    <w:t>夜间</w:t>
                  </w:r>
                </w:p>
              </w:tc>
            </w:tr>
            <w:tr w14:paraId="625B01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87" w:type="pct"/>
                  <w:vAlign w:val="center"/>
                </w:tcPr>
                <w:p w14:paraId="732454E0">
                  <w:pPr>
                    <w:pStyle w:val="8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18"/>
                      <w:szCs w:val="18"/>
                      <w:highlight w:val="none"/>
                    </w:rPr>
                  </w:pPr>
                  <w:r>
                    <w:rPr>
                      <w:rFonts w:hint="eastAsia" w:cs="Times New Roman" w:eastAsiaTheme="minorEastAsia"/>
                      <w:color w:val="auto"/>
                      <w:sz w:val="18"/>
                      <w:szCs w:val="18"/>
                      <w:highlight w:val="none"/>
                      <w:lang w:val="en-US" w:eastAsia="zh-CN"/>
                    </w:rPr>
                    <w:t>2</w:t>
                  </w:r>
                  <w:r>
                    <w:rPr>
                      <w:rFonts w:hint="default" w:ascii="Times New Roman" w:hAnsi="Times New Roman" w:cs="Times New Roman" w:eastAsiaTheme="minorEastAsia"/>
                      <w:color w:val="auto"/>
                      <w:sz w:val="18"/>
                      <w:szCs w:val="18"/>
                      <w:highlight w:val="none"/>
                    </w:rPr>
                    <w:t>类</w:t>
                  </w:r>
                </w:p>
              </w:tc>
              <w:tc>
                <w:tcPr>
                  <w:tcW w:w="1744" w:type="pct"/>
                  <w:vAlign w:val="center"/>
                </w:tcPr>
                <w:p w14:paraId="0131969C">
                  <w:pPr>
                    <w:pStyle w:val="8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18"/>
                      <w:szCs w:val="18"/>
                      <w:highlight w:val="none"/>
                      <w:lang w:val="en-US" w:eastAsia="zh-CN"/>
                    </w:rPr>
                  </w:pPr>
                  <w:r>
                    <w:rPr>
                      <w:rFonts w:hint="eastAsia" w:cs="Times New Roman" w:eastAsiaTheme="minorEastAsia"/>
                      <w:color w:val="auto"/>
                      <w:sz w:val="18"/>
                      <w:szCs w:val="18"/>
                      <w:highlight w:val="none"/>
                      <w:lang w:val="en-US" w:eastAsia="zh-CN"/>
                    </w:rPr>
                    <w:t>60</w:t>
                  </w:r>
                </w:p>
              </w:tc>
              <w:tc>
                <w:tcPr>
                  <w:tcW w:w="1768" w:type="pct"/>
                  <w:vAlign w:val="center"/>
                </w:tcPr>
                <w:p w14:paraId="2F535E3C">
                  <w:pPr>
                    <w:pStyle w:val="8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18"/>
                      <w:szCs w:val="18"/>
                      <w:highlight w:val="none"/>
                      <w:lang w:val="en-US" w:eastAsia="zh-CN"/>
                    </w:rPr>
                  </w:pPr>
                  <w:r>
                    <w:rPr>
                      <w:rFonts w:hint="eastAsia" w:cs="Times New Roman" w:eastAsiaTheme="minorEastAsia"/>
                      <w:color w:val="auto"/>
                      <w:sz w:val="18"/>
                      <w:szCs w:val="18"/>
                      <w:highlight w:val="none"/>
                      <w:lang w:val="en-US" w:eastAsia="zh-CN"/>
                    </w:rPr>
                    <w:t>50</w:t>
                  </w:r>
                </w:p>
              </w:tc>
            </w:tr>
          </w:tbl>
          <w:p w14:paraId="00D9A3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Times New Roman" w:hAnsi="Times New Roman" w:cs="Times New Roman"/>
                <w:color w:val="auto"/>
                <w:kern w:val="0"/>
                <w:sz w:val="21"/>
                <w:szCs w:val="21"/>
                <w:highlight w:val="none"/>
              </w:rPr>
            </w:pPr>
            <w:r>
              <w:rPr>
                <w:rFonts w:hint="eastAsia" w:cs="Times New Roman"/>
                <w:b/>
                <w:bCs/>
                <w:color w:val="auto"/>
                <w:kern w:val="0"/>
                <w:sz w:val="21"/>
                <w:szCs w:val="21"/>
                <w:highlight w:val="none"/>
                <w:lang w:val="en-US" w:eastAsia="zh-CN"/>
              </w:rPr>
              <w:t>3</w:t>
            </w:r>
            <w:r>
              <w:rPr>
                <w:rFonts w:hint="default" w:ascii="Times New Roman" w:hAnsi="Times New Roman" w:cs="Times New Roman"/>
                <w:b/>
                <w:bCs/>
                <w:color w:val="auto"/>
                <w:kern w:val="0"/>
                <w:sz w:val="21"/>
                <w:szCs w:val="21"/>
                <w:highlight w:val="none"/>
              </w:rPr>
              <w:t>、固体废物</w:t>
            </w:r>
          </w:p>
          <w:p w14:paraId="5B0289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rPr>
              <w:t>一般固体废物处置执行《一般工业固体废物贮存和填埋污染控制标准》（GB18599-20</w:t>
            </w:r>
            <w:r>
              <w:rPr>
                <w:rFonts w:hint="default" w:ascii="Times New Roman" w:hAnsi="Times New Roman" w:eastAsia="宋体" w:cs="Times New Roman"/>
                <w:color w:val="auto"/>
                <w:kern w:val="0"/>
                <w:sz w:val="21"/>
                <w:szCs w:val="21"/>
                <w:highlight w:val="none"/>
              </w:rPr>
              <w:t>20）</w:t>
            </w:r>
            <w:r>
              <w:rPr>
                <w:rFonts w:hint="eastAsia" w:ascii="Times New Roman" w:hAnsi="Times New Roman" w:eastAsia="宋体" w:cs="Times New Roman"/>
                <w:color w:val="auto"/>
                <w:kern w:val="0"/>
                <w:sz w:val="21"/>
                <w:szCs w:val="21"/>
                <w:highlight w:val="none"/>
                <w:lang w:val="en-US" w:eastAsia="zh-CN"/>
              </w:rPr>
              <w:t>、</w:t>
            </w:r>
            <w:r>
              <w:rPr>
                <w:rFonts w:hint="eastAsia" w:ascii="Times New Roman" w:hAnsi="Times New Roman" w:eastAsia="宋体" w:cs="Times New Roman"/>
                <w:color w:val="auto"/>
                <w:kern w:val="0"/>
                <w:sz w:val="21"/>
                <w:szCs w:val="21"/>
                <w:highlight w:val="none"/>
              </w:rPr>
              <w:t>《固体废物分类与代码</w:t>
            </w:r>
            <w:r>
              <w:rPr>
                <w:rFonts w:hint="eastAsia" w:ascii="Times New Roman" w:hAnsi="Times New Roman" w:eastAsia="宋体" w:cs="Times New Roman"/>
                <w:color w:val="auto"/>
                <w:kern w:val="0"/>
                <w:sz w:val="21"/>
                <w:szCs w:val="21"/>
                <w:highlight w:val="none"/>
                <w:lang w:eastAsia="zh-CN"/>
              </w:rPr>
              <w:t>目录</w:t>
            </w:r>
            <w:r>
              <w:rPr>
                <w:rFonts w:hint="eastAsia" w:ascii="Times New Roman" w:hAnsi="Times New Roman" w:eastAsia="宋体" w:cs="Times New Roman"/>
                <w:color w:val="auto"/>
                <w:kern w:val="0"/>
                <w:sz w:val="21"/>
                <w:szCs w:val="21"/>
                <w:highlight w:val="none"/>
              </w:rPr>
              <w:t>》（</w:t>
            </w:r>
            <w:r>
              <w:rPr>
                <w:rFonts w:hint="eastAsia" w:ascii="Times New Roman" w:hAnsi="Times New Roman" w:eastAsia="宋体" w:cs="Times New Roman"/>
                <w:color w:val="auto"/>
                <w:kern w:val="0"/>
                <w:sz w:val="21"/>
                <w:szCs w:val="21"/>
                <w:highlight w:val="none"/>
                <w:lang w:eastAsia="zh-CN"/>
              </w:rPr>
              <w:t>公告</w:t>
            </w:r>
            <w:r>
              <w:rPr>
                <w:rFonts w:hint="eastAsia" w:ascii="Times New Roman" w:hAnsi="Times New Roman" w:eastAsia="宋体" w:cs="Times New Roman"/>
                <w:color w:val="auto"/>
                <w:kern w:val="0"/>
                <w:sz w:val="21"/>
                <w:szCs w:val="21"/>
                <w:highlight w:val="none"/>
                <w:lang w:val="en-US" w:eastAsia="zh-CN"/>
              </w:rPr>
              <w:t>2024年第4号</w:t>
            </w:r>
            <w:r>
              <w:rPr>
                <w:rFonts w:hint="eastAsia" w:ascii="Times New Roman" w:hAnsi="Times New Roman" w:eastAsia="宋体" w:cs="Times New Roman"/>
                <w:color w:val="auto"/>
                <w:kern w:val="0"/>
                <w:sz w:val="21"/>
                <w:szCs w:val="21"/>
                <w:highlight w:val="none"/>
              </w:rPr>
              <w:t>）</w:t>
            </w:r>
            <w:r>
              <w:rPr>
                <w:rFonts w:hint="eastAsia" w:ascii="Times New Roman" w:hAnsi="Times New Roman" w:eastAsia="宋体" w:cs="Times New Roman"/>
                <w:color w:val="auto"/>
                <w:kern w:val="0"/>
                <w:sz w:val="21"/>
                <w:szCs w:val="21"/>
                <w:highlight w:val="none"/>
                <w:lang w:eastAsia="zh-CN"/>
              </w:rPr>
              <w:t>。</w:t>
            </w:r>
          </w:p>
          <w:p w14:paraId="552905C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2" w:firstLineChars="200"/>
              <w:textAlignment w:val="auto"/>
              <w:rPr>
                <w:rFonts w:hint="default" w:ascii="Times New Roman" w:hAnsi="Times New Roman" w:eastAsia="宋体" w:cs="Times New Roman"/>
                <w:b/>
                <w:bCs/>
                <w:color w:val="auto"/>
                <w:spacing w:val="0"/>
                <w:kern w:val="21"/>
                <w:sz w:val="21"/>
                <w:szCs w:val="21"/>
                <w:highlight w:val="none"/>
                <w:lang w:val="en-US" w:eastAsia="zh-CN"/>
              </w:rPr>
            </w:pPr>
            <w:r>
              <w:rPr>
                <w:rFonts w:hint="eastAsia" w:cs="Times New Roman"/>
                <w:b/>
                <w:bCs/>
                <w:color w:val="auto"/>
                <w:spacing w:val="0"/>
                <w:kern w:val="21"/>
                <w:sz w:val="21"/>
                <w:szCs w:val="21"/>
                <w:lang w:val="en-US" w:eastAsia="zh-CN" w:bidi="ar-SA"/>
              </w:rPr>
              <w:t>4</w:t>
            </w:r>
            <w:r>
              <w:rPr>
                <w:rFonts w:hint="default" w:ascii="Times New Roman" w:hAnsi="Times New Roman" w:eastAsia="宋体" w:cs="Times New Roman"/>
                <w:b/>
                <w:bCs/>
                <w:color w:val="auto"/>
                <w:spacing w:val="0"/>
                <w:kern w:val="21"/>
                <w:sz w:val="21"/>
                <w:szCs w:val="21"/>
                <w:lang w:val="en-US" w:eastAsia="zh-CN" w:bidi="ar-SA"/>
              </w:rPr>
              <w:t>、</w:t>
            </w:r>
            <w:r>
              <w:rPr>
                <w:rFonts w:hint="default" w:ascii="Times New Roman" w:hAnsi="Times New Roman" w:eastAsia="宋体" w:cs="Times New Roman"/>
                <w:b/>
                <w:bCs/>
                <w:color w:val="auto"/>
                <w:spacing w:val="0"/>
                <w:kern w:val="21"/>
                <w:sz w:val="21"/>
                <w:szCs w:val="21"/>
                <w:highlight w:val="none"/>
                <w:lang w:val="en-US" w:eastAsia="zh-CN"/>
              </w:rPr>
              <w:t>废气</w:t>
            </w:r>
          </w:p>
          <w:p w14:paraId="0110D432">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textAlignment w:val="auto"/>
              <w:rPr>
                <w:rFonts w:hint="eastAsia"/>
                <w:color w:val="auto"/>
                <w:lang w:val="en-US" w:eastAsia="zh-CN"/>
              </w:rPr>
            </w:pPr>
            <w:r>
              <w:rPr>
                <w:rFonts w:hint="default" w:ascii="Times New Roman" w:hAnsi="Times New Roman" w:eastAsia="宋体" w:cs="Times New Roman"/>
                <w:color w:val="auto"/>
                <w:spacing w:val="0"/>
                <w:sz w:val="21"/>
                <w:szCs w:val="21"/>
                <w:lang w:val="en-US" w:eastAsia="zh-CN"/>
              </w:rPr>
              <w:t>本项目无新增废气，净</w:t>
            </w:r>
            <w:r>
              <w:rPr>
                <w:rFonts w:hint="default" w:ascii="Times New Roman" w:hAnsi="Times New Roman" w:eastAsia="宋体" w:cs="Times New Roman"/>
                <w:color w:val="auto"/>
                <w:spacing w:val="0"/>
                <w:kern w:val="0"/>
                <w:sz w:val="21"/>
                <w:szCs w:val="21"/>
              </w:rPr>
              <w:t>水厂生产过程中不会排放生产废气，加氯间仅有少量游离的Cl产生；在污泥处理区的贮泥池、浓缩池、</w:t>
            </w:r>
            <w:r>
              <w:rPr>
                <w:rFonts w:hint="default" w:ascii="Times New Roman" w:hAnsi="Times New Roman" w:eastAsia="宋体" w:cs="Times New Roman"/>
                <w:color w:val="auto"/>
                <w:spacing w:val="0"/>
                <w:kern w:val="0"/>
                <w:sz w:val="21"/>
                <w:szCs w:val="21"/>
              </w:rPr>
              <w:t>污泥浓缩脱水间</w:t>
            </w:r>
            <w:r>
              <w:rPr>
                <w:rFonts w:hint="eastAsia" w:cs="Times New Roman"/>
                <w:color w:val="auto"/>
                <w:spacing w:val="0"/>
                <w:kern w:val="0"/>
                <w:sz w:val="21"/>
                <w:szCs w:val="21"/>
                <w:lang w:eastAsia="zh-CN"/>
              </w:rPr>
              <w:t>（</w:t>
            </w:r>
            <w:r>
              <w:rPr>
                <w:rFonts w:hint="eastAsia" w:cs="Times New Roman"/>
                <w:color w:val="auto"/>
                <w:spacing w:val="0"/>
                <w:kern w:val="0"/>
                <w:sz w:val="21"/>
                <w:szCs w:val="21"/>
                <w:lang w:val="en-US" w:eastAsia="zh-CN"/>
              </w:rPr>
              <w:t>包括污泥暂存库</w:t>
            </w:r>
            <w:r>
              <w:rPr>
                <w:rFonts w:hint="eastAsia"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等会产生轻微的臭味，因比较轻微，加强通风及厂区绿化</w:t>
            </w:r>
            <w:r>
              <w:rPr>
                <w:rFonts w:hint="default" w:ascii="Times New Roman" w:hAnsi="Times New Roman" w:eastAsia="宋体" w:cs="Times New Roman"/>
                <w:color w:val="auto"/>
                <w:spacing w:val="0"/>
                <w:kern w:val="0"/>
                <w:sz w:val="21"/>
                <w:szCs w:val="21"/>
                <w:lang w:val="en-US" w:eastAsia="zh-CN"/>
              </w:rPr>
              <w:t>隔离稀释</w:t>
            </w:r>
            <w:r>
              <w:rPr>
                <w:rFonts w:hint="default" w:ascii="Times New Roman" w:hAnsi="Times New Roman" w:eastAsia="宋体" w:cs="Times New Roman"/>
                <w:color w:val="auto"/>
                <w:spacing w:val="0"/>
                <w:kern w:val="0"/>
                <w:sz w:val="21"/>
                <w:szCs w:val="21"/>
              </w:rPr>
              <w:t>，游离氯厂界浓度</w:t>
            </w:r>
            <w:r>
              <w:rPr>
                <w:rFonts w:hint="default" w:ascii="Times New Roman" w:hAnsi="Times New Roman" w:eastAsia="宋体" w:cs="Times New Roman"/>
                <w:color w:val="auto"/>
                <w:spacing w:val="0"/>
                <w:kern w:val="0"/>
                <w:sz w:val="21"/>
                <w:szCs w:val="21"/>
                <w:lang w:val="en-US" w:eastAsia="zh-CN"/>
              </w:rPr>
              <w:t>执行</w:t>
            </w:r>
            <w:r>
              <w:rPr>
                <w:rFonts w:hint="default" w:ascii="Times New Roman" w:hAnsi="Times New Roman" w:eastAsia="宋体" w:cs="Times New Roman"/>
                <w:color w:val="auto"/>
                <w:spacing w:val="0"/>
                <w:kern w:val="0"/>
                <w:sz w:val="21"/>
                <w:szCs w:val="21"/>
              </w:rPr>
              <w:t>《大气污染物综合排放标准》</w:t>
            </w:r>
            <w:r>
              <w:rPr>
                <w:rFonts w:hint="eastAsia"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GB16297-1996</w:t>
            </w:r>
            <w:r>
              <w:rPr>
                <w:rFonts w:hint="eastAsia"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中无组织排放监控浓度限值要求</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氨、硫化氢、臭气浓度</w:t>
            </w:r>
            <w:r>
              <w:rPr>
                <w:rFonts w:hint="default" w:ascii="Times New Roman" w:hAnsi="Times New Roman" w:eastAsia="宋体" w:cs="Times New Roman"/>
                <w:color w:val="auto"/>
                <w:spacing w:val="0"/>
                <w:kern w:val="0"/>
                <w:sz w:val="21"/>
                <w:szCs w:val="21"/>
                <w:lang w:val="en-US" w:eastAsia="zh-CN"/>
              </w:rPr>
              <w:t>执行</w:t>
            </w:r>
            <w:r>
              <w:rPr>
                <w:rFonts w:hint="default" w:ascii="Times New Roman" w:hAnsi="Times New Roman" w:eastAsia="宋体" w:cs="Times New Roman"/>
                <w:color w:val="auto"/>
                <w:spacing w:val="0"/>
                <w:kern w:val="0"/>
                <w:sz w:val="21"/>
                <w:szCs w:val="21"/>
              </w:rPr>
              <w:t>《恶臭污染物排放标准》</w:t>
            </w:r>
            <w:r>
              <w:rPr>
                <w:rFonts w:hint="eastAsia"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GB14554-93</w:t>
            </w:r>
            <w:r>
              <w:rPr>
                <w:rFonts w:hint="eastAsia"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表一限值要求</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lang w:val="en-US" w:eastAsia="zh-CN"/>
              </w:rPr>
              <w:t>食堂油烟经油烟净化器（</w:t>
            </w:r>
            <w:r>
              <w:rPr>
                <w:rFonts w:hint="eastAsia" w:ascii="Times New Roman" w:hAnsi="Times New Roman" w:eastAsia="宋体" w:cs="Times New Roman"/>
                <w:color w:val="auto"/>
                <w:spacing w:val="0"/>
                <w:kern w:val="0"/>
                <w:sz w:val="21"/>
                <w:szCs w:val="21"/>
                <w:lang w:val="en-US" w:eastAsia="zh-CN"/>
              </w:rPr>
              <w:t>中型规模</w:t>
            </w:r>
            <w:r>
              <w:rPr>
                <w:rFonts w:hint="default" w:ascii="Times New Roman" w:hAnsi="Times New Roman" w:eastAsia="宋体" w:cs="Times New Roman"/>
                <w:color w:val="auto"/>
                <w:spacing w:val="0"/>
                <w:kern w:val="0"/>
                <w:sz w:val="21"/>
                <w:szCs w:val="21"/>
                <w:lang w:val="en-US" w:eastAsia="zh-CN"/>
              </w:rPr>
              <w:t>处理效率75%）处理后</w:t>
            </w:r>
            <w:r>
              <w:rPr>
                <w:rFonts w:hint="default" w:ascii="Times New Roman" w:hAnsi="Times New Roman" w:eastAsia="宋体" w:cs="Times New Roman"/>
                <w:color w:val="auto"/>
                <w:spacing w:val="0"/>
                <w:sz w:val="21"/>
                <w:szCs w:val="21"/>
              </w:rPr>
              <w:t>由专用烟道高于楼顶排放</w:t>
            </w: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油烟排放</w:t>
            </w:r>
            <w:r>
              <w:rPr>
                <w:rFonts w:hint="default" w:ascii="Times New Roman" w:hAnsi="Times New Roman" w:eastAsia="宋体" w:cs="Times New Roman"/>
                <w:color w:val="auto"/>
                <w:spacing w:val="0"/>
                <w:sz w:val="21"/>
                <w:szCs w:val="21"/>
                <w:lang w:val="en-US" w:eastAsia="zh-CN"/>
              </w:rPr>
              <w:t>满足</w:t>
            </w:r>
            <w:r>
              <w:rPr>
                <w:rFonts w:hint="default" w:ascii="Times New Roman" w:hAnsi="Times New Roman" w:eastAsia="宋体" w:cs="Times New Roman"/>
                <w:color w:val="auto"/>
                <w:spacing w:val="0"/>
                <w:sz w:val="21"/>
                <w:szCs w:val="21"/>
              </w:rPr>
              <w:t>《饮食业油烟排放标准》</w:t>
            </w:r>
            <w:r>
              <w:rPr>
                <w:rFonts w:hint="eastAsia"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试行GB18483-2001</w:t>
            </w:r>
            <w:r>
              <w:rPr>
                <w:rFonts w:hint="eastAsia"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中最高允许排放浓度2.0mg/m³。</w:t>
            </w:r>
          </w:p>
          <w:p w14:paraId="1AD2AC8E">
            <w:pPr>
              <w:pStyle w:val="74"/>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textAlignment w:val="baseline"/>
              <w:rPr>
                <w:rFonts w:hint="default" w:ascii="Times New Roman" w:hAnsi="Times New Roman" w:eastAsia="宋体" w:cs="Times New Roman"/>
                <w:b/>
                <w:bCs/>
                <w:snapToGrid w:val="0"/>
                <w:color w:val="auto"/>
                <w:spacing w:val="0"/>
                <w:sz w:val="21"/>
                <w:szCs w:val="21"/>
                <w:highlight w:val="none"/>
              </w:rPr>
            </w:pPr>
            <w:r>
              <w:rPr>
                <w:rFonts w:hint="default" w:ascii="Times New Roman" w:hAnsi="Times New Roman" w:eastAsia="宋体" w:cs="Times New Roman"/>
                <w:b/>
                <w:bCs/>
                <w:snapToGrid w:val="0"/>
                <w:color w:val="auto"/>
                <w:spacing w:val="0"/>
                <w:sz w:val="21"/>
                <w:szCs w:val="21"/>
                <w:highlight w:val="none"/>
              </w:rPr>
              <w:t>表3-</w:t>
            </w:r>
            <w:r>
              <w:rPr>
                <w:rFonts w:hint="eastAsia" w:ascii="Times New Roman" w:hAnsi="Times New Roman" w:eastAsia="宋体" w:cs="Times New Roman"/>
                <w:b/>
                <w:bCs/>
                <w:snapToGrid w:val="0"/>
                <w:color w:val="auto"/>
                <w:spacing w:val="0"/>
                <w:sz w:val="21"/>
                <w:szCs w:val="21"/>
                <w:highlight w:val="none"/>
                <w:lang w:val="en-US" w:eastAsia="zh-CN"/>
              </w:rPr>
              <w:t>6</w:t>
            </w:r>
            <w:r>
              <w:rPr>
                <w:rFonts w:hint="default" w:ascii="Times New Roman" w:hAnsi="Times New Roman" w:eastAsia="宋体" w:cs="Times New Roman"/>
                <w:b/>
                <w:bCs/>
                <w:snapToGrid w:val="0"/>
                <w:color w:val="auto"/>
                <w:spacing w:val="0"/>
                <w:sz w:val="21"/>
                <w:szCs w:val="21"/>
                <w:highlight w:val="none"/>
                <w:lang w:val="en-US" w:eastAsia="zh-CN"/>
              </w:rPr>
              <w:t>恶臭污染物排放标准</w:t>
            </w:r>
          </w:p>
          <w:tbl>
            <w:tblPr>
              <w:tblStyle w:val="36"/>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45"/>
              <w:gridCol w:w="2715"/>
              <w:gridCol w:w="2477"/>
            </w:tblGrid>
            <w:tr w14:paraId="6C61708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5" w:type="dxa"/>
                  <w:tcBorders>
                    <w:tl2br w:val="nil"/>
                    <w:tr2bl w:val="nil"/>
                  </w:tcBorders>
                  <w:vAlign w:val="center"/>
                </w:tcPr>
                <w:p w14:paraId="78BFF7E5">
                  <w:pPr>
                    <w:pStyle w:val="8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default" w:ascii="Times New Roman" w:hAnsi="Times New Roman" w:eastAsia="宋体" w:cs="Times New Roman"/>
                      <w:color w:val="auto"/>
                      <w:spacing w:val="0"/>
                      <w:sz w:val="18"/>
                      <w:szCs w:val="18"/>
                      <w:highlight w:val="none"/>
                      <w:lang w:val="en-US" w:eastAsia="zh-CN"/>
                    </w:rPr>
                    <w:t>类别</w:t>
                  </w:r>
                </w:p>
              </w:tc>
              <w:tc>
                <w:tcPr>
                  <w:tcW w:w="2715" w:type="dxa"/>
                  <w:tcBorders>
                    <w:tl2br w:val="nil"/>
                    <w:tr2bl w:val="nil"/>
                  </w:tcBorders>
                  <w:vAlign w:val="center"/>
                </w:tcPr>
                <w:p w14:paraId="40F8AAB6">
                  <w:pPr>
                    <w:pStyle w:val="8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default" w:ascii="Times New Roman" w:hAnsi="Times New Roman" w:eastAsia="宋体" w:cs="Times New Roman"/>
                      <w:color w:val="auto"/>
                      <w:spacing w:val="0"/>
                      <w:sz w:val="18"/>
                      <w:szCs w:val="18"/>
                      <w:highlight w:val="none"/>
                      <w:lang w:val="en-US" w:eastAsia="zh-CN"/>
                    </w:rPr>
                    <w:t>控制项目</w:t>
                  </w:r>
                </w:p>
              </w:tc>
              <w:tc>
                <w:tcPr>
                  <w:tcW w:w="2477" w:type="dxa"/>
                  <w:tcBorders>
                    <w:tl2br w:val="nil"/>
                    <w:tr2bl w:val="nil"/>
                  </w:tcBorders>
                  <w:vAlign w:val="center"/>
                </w:tcPr>
                <w:p w14:paraId="28A3109D">
                  <w:pPr>
                    <w:pStyle w:val="8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default" w:ascii="Times New Roman" w:hAnsi="Times New Roman" w:eastAsia="宋体" w:cs="Times New Roman"/>
                      <w:color w:val="auto"/>
                      <w:spacing w:val="0"/>
                      <w:sz w:val="18"/>
                      <w:szCs w:val="18"/>
                      <w:highlight w:val="none"/>
                      <w:lang w:val="en-US" w:eastAsia="zh-CN"/>
                    </w:rPr>
                    <w:t>标准值（</w:t>
                  </w:r>
                  <w:r>
                    <w:rPr>
                      <w:rFonts w:hint="default" w:ascii="Times New Roman" w:hAnsi="Times New Roman" w:eastAsia="宋体" w:cs="Times New Roman"/>
                      <w:color w:val="auto"/>
                      <w:spacing w:val="0"/>
                      <w:sz w:val="18"/>
                      <w:szCs w:val="18"/>
                    </w:rPr>
                    <w:t>mg/m³</w:t>
                  </w:r>
                  <w:r>
                    <w:rPr>
                      <w:rFonts w:hint="default" w:ascii="Times New Roman" w:hAnsi="Times New Roman" w:eastAsia="宋体" w:cs="Times New Roman"/>
                      <w:color w:val="auto"/>
                      <w:spacing w:val="0"/>
                      <w:sz w:val="18"/>
                      <w:szCs w:val="18"/>
                      <w:highlight w:val="none"/>
                      <w:lang w:val="en-US" w:eastAsia="zh-CN"/>
                    </w:rPr>
                    <w:t>）</w:t>
                  </w:r>
                </w:p>
              </w:tc>
            </w:tr>
            <w:tr w14:paraId="5EF3D91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5" w:type="dxa"/>
                  <w:vMerge w:val="restart"/>
                  <w:tcBorders>
                    <w:tl2br w:val="nil"/>
                    <w:tr2bl w:val="nil"/>
                  </w:tcBorders>
                  <w:vAlign w:val="center"/>
                </w:tcPr>
                <w:p w14:paraId="6D32F910">
                  <w:pPr>
                    <w:pStyle w:val="8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default" w:ascii="Times New Roman" w:hAnsi="Times New Roman" w:eastAsia="宋体" w:cs="Times New Roman"/>
                      <w:color w:val="auto"/>
                      <w:spacing w:val="0"/>
                      <w:sz w:val="18"/>
                      <w:szCs w:val="18"/>
                      <w:highlight w:val="none"/>
                      <w:lang w:val="en-US" w:eastAsia="zh-CN"/>
                    </w:rPr>
                    <w:t>二级新扩改建</w:t>
                  </w:r>
                </w:p>
              </w:tc>
              <w:tc>
                <w:tcPr>
                  <w:tcW w:w="2715" w:type="dxa"/>
                  <w:tcBorders>
                    <w:tl2br w:val="nil"/>
                    <w:tr2bl w:val="nil"/>
                  </w:tcBorders>
                  <w:vAlign w:val="center"/>
                </w:tcPr>
                <w:p w14:paraId="1CFE7C27">
                  <w:pPr>
                    <w:pStyle w:val="8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default" w:ascii="Times New Roman" w:hAnsi="Times New Roman" w:eastAsia="宋体" w:cs="Times New Roman"/>
                      <w:color w:val="auto"/>
                      <w:spacing w:val="0"/>
                      <w:sz w:val="18"/>
                      <w:szCs w:val="18"/>
                      <w:highlight w:val="none"/>
                      <w:lang w:val="en-US" w:eastAsia="zh-CN"/>
                    </w:rPr>
                    <w:t>臭气浓度</w:t>
                  </w:r>
                </w:p>
              </w:tc>
              <w:tc>
                <w:tcPr>
                  <w:tcW w:w="2477" w:type="dxa"/>
                  <w:tcBorders>
                    <w:tl2br w:val="nil"/>
                    <w:tr2bl w:val="nil"/>
                  </w:tcBorders>
                  <w:vAlign w:val="center"/>
                </w:tcPr>
                <w:p w14:paraId="2AC3731B">
                  <w:pPr>
                    <w:pStyle w:val="8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default" w:ascii="Times New Roman" w:hAnsi="Times New Roman" w:eastAsia="宋体" w:cs="Times New Roman"/>
                      <w:color w:val="auto"/>
                      <w:spacing w:val="0"/>
                      <w:sz w:val="18"/>
                      <w:szCs w:val="18"/>
                      <w:highlight w:val="none"/>
                      <w:lang w:val="en-US" w:eastAsia="zh-CN"/>
                    </w:rPr>
                    <w:t>20（无量纲）</w:t>
                  </w:r>
                </w:p>
              </w:tc>
            </w:tr>
            <w:tr w14:paraId="5AB5C17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5" w:type="dxa"/>
                  <w:vMerge w:val="continue"/>
                  <w:tcBorders>
                    <w:tl2br w:val="nil"/>
                    <w:tr2bl w:val="nil"/>
                  </w:tcBorders>
                  <w:vAlign w:val="center"/>
                </w:tcPr>
                <w:p w14:paraId="08F385D1">
                  <w:pPr>
                    <w:pStyle w:val="8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lang w:val="en-US" w:eastAsia="zh-CN"/>
                    </w:rPr>
                  </w:pPr>
                </w:p>
              </w:tc>
              <w:tc>
                <w:tcPr>
                  <w:tcW w:w="2715" w:type="dxa"/>
                  <w:tcBorders>
                    <w:tl2br w:val="nil"/>
                    <w:tr2bl w:val="nil"/>
                  </w:tcBorders>
                  <w:vAlign w:val="center"/>
                </w:tcPr>
                <w:p w14:paraId="57380ED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default" w:ascii="Times New Roman" w:hAnsi="Times New Roman" w:eastAsia="宋体" w:cs="Times New Roman"/>
                      <w:color w:val="auto"/>
                      <w:spacing w:val="0"/>
                      <w:sz w:val="18"/>
                      <w:szCs w:val="18"/>
                    </w:rPr>
                    <w:t>硫化氢</w:t>
                  </w:r>
                </w:p>
              </w:tc>
              <w:tc>
                <w:tcPr>
                  <w:tcW w:w="2477" w:type="dxa"/>
                  <w:tcBorders>
                    <w:tl2br w:val="nil"/>
                    <w:tr2bl w:val="nil"/>
                  </w:tcBorders>
                  <w:vAlign w:val="center"/>
                </w:tcPr>
                <w:p w14:paraId="0735B0A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default" w:ascii="Times New Roman" w:hAnsi="Times New Roman" w:eastAsia="宋体" w:cs="Times New Roman"/>
                      <w:color w:val="auto"/>
                      <w:spacing w:val="0"/>
                      <w:sz w:val="18"/>
                      <w:szCs w:val="18"/>
                    </w:rPr>
                    <w:t>0.06</w:t>
                  </w:r>
                </w:p>
              </w:tc>
            </w:tr>
            <w:tr w14:paraId="7916E1C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5" w:type="dxa"/>
                  <w:vMerge w:val="continue"/>
                  <w:tcBorders>
                    <w:tl2br w:val="nil"/>
                    <w:tr2bl w:val="nil"/>
                  </w:tcBorders>
                  <w:vAlign w:val="center"/>
                </w:tcPr>
                <w:p w14:paraId="27703863">
                  <w:pPr>
                    <w:pStyle w:val="8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lang w:val="en-US" w:eastAsia="zh-CN"/>
                    </w:rPr>
                  </w:pPr>
                </w:p>
              </w:tc>
              <w:tc>
                <w:tcPr>
                  <w:tcW w:w="2715" w:type="dxa"/>
                  <w:tcBorders>
                    <w:tl2br w:val="nil"/>
                    <w:tr2bl w:val="nil"/>
                  </w:tcBorders>
                  <w:vAlign w:val="center"/>
                </w:tcPr>
                <w:p w14:paraId="035C5A3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eastAsia" w:ascii="Times New Roman" w:hAnsi="Times New Roman" w:eastAsia="宋体" w:cs="Times New Roman"/>
                      <w:color w:val="auto"/>
                      <w:spacing w:val="0"/>
                      <w:sz w:val="18"/>
                      <w:szCs w:val="18"/>
                      <w:highlight w:val="none"/>
                      <w:lang w:val="en-US" w:eastAsia="zh-CN"/>
                    </w:rPr>
                  </w:pPr>
                  <w:r>
                    <w:rPr>
                      <w:rFonts w:hint="eastAsia" w:ascii="Times New Roman" w:hAnsi="Times New Roman" w:cs="Times New Roman"/>
                      <w:color w:val="auto"/>
                      <w:spacing w:val="0"/>
                      <w:sz w:val="18"/>
                      <w:szCs w:val="18"/>
                      <w:lang w:val="en-US" w:eastAsia="zh-CN"/>
                    </w:rPr>
                    <w:t>氨</w:t>
                  </w:r>
                </w:p>
              </w:tc>
              <w:tc>
                <w:tcPr>
                  <w:tcW w:w="2477" w:type="dxa"/>
                  <w:tcBorders>
                    <w:tl2br w:val="nil"/>
                    <w:tr2bl w:val="nil"/>
                  </w:tcBorders>
                  <w:vAlign w:val="center"/>
                </w:tcPr>
                <w:p w14:paraId="4190B6E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ascii="Times New Roman" w:hAnsi="Times New Roman" w:cs="Times New Roman"/>
                      <w:color w:val="auto"/>
                      <w:spacing w:val="0"/>
                      <w:sz w:val="18"/>
                      <w:szCs w:val="18"/>
                      <w:lang w:val="en-US" w:eastAsia="zh-CN"/>
                    </w:rPr>
                    <w:t>1.5</w:t>
                  </w:r>
                </w:p>
              </w:tc>
            </w:tr>
          </w:tbl>
          <w:p w14:paraId="5CD982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color w:val="auto"/>
                <w:lang w:val="en-US" w:eastAsia="zh-CN"/>
              </w:rPr>
            </w:pPr>
            <w:r>
              <w:rPr>
                <w:rFonts w:hint="default" w:ascii="Times New Roman" w:hAnsi="Times New Roman" w:eastAsia="宋体" w:cs="Times New Roman"/>
                <w:b/>
                <w:bCs/>
                <w:color w:val="auto"/>
                <w:spacing w:val="0"/>
                <w:kern w:val="0"/>
                <w:sz w:val="21"/>
                <w:szCs w:val="21"/>
              </w:rPr>
              <w:t>表</w:t>
            </w:r>
            <w:r>
              <w:rPr>
                <w:rFonts w:hint="default" w:ascii="Times New Roman" w:hAnsi="Times New Roman" w:eastAsia="宋体" w:cs="Times New Roman"/>
                <w:b/>
                <w:bCs/>
                <w:color w:val="auto"/>
                <w:spacing w:val="0"/>
                <w:kern w:val="0"/>
                <w:sz w:val="21"/>
                <w:szCs w:val="21"/>
                <w:lang w:val="en-US" w:eastAsia="zh-CN"/>
              </w:rPr>
              <w:t>3-</w:t>
            </w:r>
            <w:r>
              <w:rPr>
                <w:rFonts w:hint="eastAsia" w:ascii="Times New Roman" w:hAnsi="Times New Roman" w:eastAsia="宋体" w:cs="Times New Roman"/>
                <w:b/>
                <w:bCs/>
                <w:color w:val="auto"/>
                <w:spacing w:val="0"/>
                <w:kern w:val="0"/>
                <w:sz w:val="21"/>
                <w:szCs w:val="21"/>
                <w:lang w:val="en-US" w:eastAsia="zh-CN"/>
              </w:rPr>
              <w:t>7</w:t>
            </w:r>
            <w:r>
              <w:rPr>
                <w:rFonts w:hint="default" w:ascii="Times New Roman" w:hAnsi="Times New Roman" w:eastAsia="宋体" w:cs="Times New Roman"/>
                <w:b/>
                <w:bCs/>
                <w:color w:val="auto"/>
                <w:spacing w:val="0"/>
                <w:kern w:val="0"/>
                <w:sz w:val="21"/>
                <w:szCs w:val="21"/>
              </w:rPr>
              <w:t>大气污染物综合排放标准</w:t>
            </w:r>
          </w:p>
          <w:tbl>
            <w:tblPr>
              <w:tblStyle w:val="14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8"/>
              <w:gridCol w:w="5609"/>
            </w:tblGrid>
            <w:tr w14:paraId="0C954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40" w:type="dxa"/>
                  <w:vMerge w:val="restart"/>
                  <w:tcBorders>
                    <w:left w:val="nil"/>
                    <w:bottom w:val="nil"/>
                  </w:tcBorders>
                  <w:vAlign w:val="center"/>
                </w:tcPr>
                <w:p w14:paraId="0611616A">
                  <w:pPr>
                    <w:pStyle w:val="150"/>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cs="Times New Roman"/>
                      <w:color w:val="auto"/>
                      <w:spacing w:val="0"/>
                      <w:sz w:val="18"/>
                      <w:szCs w:val="18"/>
                    </w:rPr>
                  </w:pPr>
                  <w:r>
                    <w:rPr>
                      <w:rFonts w:hint="default" w:ascii="Times New Roman" w:hAnsi="Times New Roman" w:cs="Times New Roman"/>
                      <w:color w:val="auto"/>
                      <w:spacing w:val="0"/>
                      <w:sz w:val="18"/>
                      <w:szCs w:val="18"/>
                    </w:rPr>
                    <w:t>污染物</w:t>
                  </w:r>
                </w:p>
              </w:tc>
              <w:tc>
                <w:tcPr>
                  <w:tcW w:w="2180" w:type="dxa"/>
                  <w:vMerge w:val="restart"/>
                  <w:tcBorders>
                    <w:bottom w:val="nil"/>
                    <w:right w:val="nil"/>
                  </w:tcBorders>
                  <w:vAlign w:val="center"/>
                </w:tcPr>
                <w:p w14:paraId="6B001776">
                  <w:pPr>
                    <w:pStyle w:val="150"/>
                    <w:keepNext w:val="0"/>
                    <w:keepLines w:val="0"/>
                    <w:pageBreakBefore w:val="0"/>
                    <w:widowControl/>
                    <w:kinsoku/>
                    <w:wordWrap/>
                    <w:overflowPunct/>
                    <w:topLinePunct w:val="0"/>
                    <w:autoSpaceDE/>
                    <w:autoSpaceDN/>
                    <w:bidi w:val="0"/>
                    <w:adjustRightInd/>
                    <w:snapToGrid/>
                    <w:spacing w:line="240" w:lineRule="auto"/>
                    <w:ind w:left="0" w:right="0" w:firstLine="100"/>
                    <w:jc w:val="center"/>
                    <w:textAlignment w:val="auto"/>
                    <w:rPr>
                      <w:rFonts w:hint="default" w:ascii="Times New Roman" w:hAnsi="Times New Roman" w:cs="Times New Roman"/>
                      <w:color w:val="auto"/>
                      <w:spacing w:val="0"/>
                      <w:sz w:val="18"/>
                      <w:szCs w:val="18"/>
                    </w:rPr>
                  </w:pPr>
                  <w:r>
                    <w:rPr>
                      <w:rFonts w:hint="default" w:ascii="Times New Roman" w:hAnsi="Times New Roman" w:cs="Times New Roman"/>
                      <w:color w:val="auto"/>
                      <w:spacing w:val="0"/>
                      <w:sz w:val="18"/>
                      <w:szCs w:val="18"/>
                    </w:rPr>
                    <w:t>无组织排放监控浓度限值</w:t>
                  </w:r>
                </w:p>
              </w:tc>
            </w:tr>
            <w:tr w14:paraId="57762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40" w:type="dxa"/>
                  <w:vMerge w:val="continue"/>
                  <w:tcBorders>
                    <w:top w:val="nil"/>
                    <w:left w:val="nil"/>
                  </w:tcBorders>
                  <w:vAlign w:val="center"/>
                </w:tcPr>
                <w:p w14:paraId="56F0F107">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cs="Times New Roman"/>
                      <w:color w:val="auto"/>
                      <w:spacing w:val="0"/>
                      <w:sz w:val="18"/>
                      <w:szCs w:val="18"/>
                    </w:rPr>
                  </w:pPr>
                </w:p>
              </w:tc>
              <w:tc>
                <w:tcPr>
                  <w:tcW w:w="2180" w:type="dxa"/>
                  <w:vMerge w:val="continue"/>
                  <w:tcBorders>
                    <w:top w:val="nil"/>
                    <w:right w:val="nil"/>
                  </w:tcBorders>
                  <w:vAlign w:val="center"/>
                </w:tcPr>
                <w:p w14:paraId="547B9C5D">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cs="Times New Roman"/>
                      <w:color w:val="auto"/>
                      <w:spacing w:val="0"/>
                      <w:sz w:val="18"/>
                      <w:szCs w:val="18"/>
                    </w:rPr>
                  </w:pPr>
                </w:p>
              </w:tc>
            </w:tr>
            <w:tr w14:paraId="4FDB7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 w:hRule="atLeast"/>
              </w:trPr>
              <w:tc>
                <w:tcPr>
                  <w:tcW w:w="940" w:type="dxa"/>
                  <w:tcBorders>
                    <w:left w:val="nil"/>
                  </w:tcBorders>
                  <w:vAlign w:val="center"/>
                </w:tcPr>
                <w:p w14:paraId="1268D2CC">
                  <w:pPr>
                    <w:pStyle w:val="150"/>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cs="Times New Roman"/>
                      <w:color w:val="auto"/>
                      <w:spacing w:val="0"/>
                      <w:sz w:val="18"/>
                      <w:szCs w:val="18"/>
                    </w:rPr>
                  </w:pPr>
                  <w:r>
                    <w:rPr>
                      <w:rFonts w:hint="default" w:ascii="Times New Roman" w:hAnsi="Times New Roman" w:cs="Times New Roman"/>
                      <w:color w:val="auto"/>
                      <w:spacing w:val="0"/>
                      <w:sz w:val="18"/>
                      <w:szCs w:val="18"/>
                    </w:rPr>
                    <w:t>氯</w:t>
                  </w:r>
                </w:p>
              </w:tc>
              <w:tc>
                <w:tcPr>
                  <w:tcW w:w="2180" w:type="dxa"/>
                  <w:tcBorders>
                    <w:right w:val="nil"/>
                  </w:tcBorders>
                  <w:vAlign w:val="center"/>
                </w:tcPr>
                <w:p w14:paraId="42F3F941">
                  <w:pPr>
                    <w:pStyle w:val="150"/>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cs="Times New Roman"/>
                      <w:color w:val="auto"/>
                      <w:spacing w:val="0"/>
                      <w:sz w:val="18"/>
                      <w:szCs w:val="18"/>
                    </w:rPr>
                  </w:pPr>
                  <w:r>
                    <w:rPr>
                      <w:rFonts w:hint="default" w:ascii="Times New Roman" w:hAnsi="Times New Roman" w:cs="Times New Roman"/>
                      <w:color w:val="auto"/>
                      <w:spacing w:val="0"/>
                      <w:sz w:val="18"/>
                      <w:szCs w:val="18"/>
                    </w:rPr>
                    <w:t>0.40</w:t>
                  </w:r>
                  <w:r>
                    <w:rPr>
                      <w:rFonts w:hint="default" w:ascii="Times New Roman" w:hAnsi="Times New Roman" w:eastAsia="宋体" w:cs="Times New Roman"/>
                      <w:color w:val="auto"/>
                      <w:spacing w:val="0"/>
                      <w:sz w:val="18"/>
                      <w:szCs w:val="18"/>
                    </w:rPr>
                    <w:t>mg/m³</w:t>
                  </w:r>
                </w:p>
              </w:tc>
            </w:tr>
          </w:tbl>
          <w:p w14:paraId="1E2B5E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cs="宋体"/>
                <w:color w:val="auto"/>
                <w:szCs w:val="21"/>
                <w:highlight w:val="none"/>
              </w:rPr>
            </w:pPr>
            <w:r>
              <w:rPr>
                <w:rFonts w:hint="eastAsia" w:ascii="宋体" w:hAnsi="宋体" w:cs="宋体"/>
                <w:b/>
                <w:bCs/>
                <w:color w:val="auto"/>
                <w:szCs w:val="21"/>
                <w:highlight w:val="none"/>
              </w:rPr>
              <w:t>表</w:t>
            </w:r>
            <w:r>
              <w:rPr>
                <w:rFonts w:hint="default"/>
                <w:b/>
                <w:bCs/>
                <w:color w:val="auto"/>
                <w:szCs w:val="21"/>
                <w:highlight w:val="none"/>
              </w:rPr>
              <w:t>3-</w:t>
            </w:r>
            <w:r>
              <w:rPr>
                <w:rFonts w:hint="eastAsia"/>
                <w:b/>
                <w:bCs/>
                <w:color w:val="auto"/>
                <w:szCs w:val="21"/>
                <w:highlight w:val="none"/>
                <w:lang w:val="en-US" w:eastAsia="zh-CN"/>
              </w:rPr>
              <w:t>8</w:t>
            </w:r>
            <w:r>
              <w:rPr>
                <w:rFonts w:hint="eastAsia" w:ascii="宋体" w:hAnsi="宋体" w:cs="宋体"/>
                <w:b/>
                <w:bCs/>
                <w:color w:val="auto"/>
                <w:szCs w:val="21"/>
                <w:highlight w:val="none"/>
              </w:rPr>
              <w:t>《饮食业油烟排放标准》（</w:t>
            </w:r>
            <w:r>
              <w:rPr>
                <w:rFonts w:hint="default"/>
                <w:b/>
                <w:bCs/>
                <w:color w:val="auto"/>
                <w:szCs w:val="21"/>
                <w:highlight w:val="none"/>
              </w:rPr>
              <w:t>GB18483-2001</w:t>
            </w:r>
            <w:r>
              <w:rPr>
                <w:rFonts w:hint="eastAsia" w:ascii="宋体" w:hAnsi="宋体" w:cs="宋体"/>
                <w:b/>
                <w:bCs/>
                <w:color w:val="auto"/>
                <w:szCs w:val="21"/>
                <w:highlight w:val="none"/>
              </w:rPr>
              <w:t>）</w:t>
            </w:r>
          </w:p>
          <w:tbl>
            <w:tblPr>
              <w:tblStyle w:val="36"/>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341"/>
              <w:gridCol w:w="1673"/>
              <w:gridCol w:w="1901"/>
              <w:gridCol w:w="1122"/>
            </w:tblGrid>
            <w:tr w14:paraId="457ACC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61" w:type="dxa"/>
                  <w:vAlign w:val="center"/>
                </w:tcPr>
                <w:p w14:paraId="20AE5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cs="宋体"/>
                      <w:color w:val="auto"/>
                      <w:sz w:val="18"/>
                      <w:szCs w:val="18"/>
                      <w:highlight w:val="none"/>
                    </w:rPr>
                  </w:pPr>
                  <w:r>
                    <w:rPr>
                      <w:rFonts w:hint="eastAsia" w:ascii="宋体" w:hAnsi="宋体" w:cs="宋体"/>
                      <w:color w:val="auto"/>
                      <w:sz w:val="18"/>
                      <w:szCs w:val="18"/>
                      <w:highlight w:val="none"/>
                    </w:rPr>
                    <w:t>规模</w:t>
                  </w:r>
                </w:p>
              </w:tc>
              <w:tc>
                <w:tcPr>
                  <w:tcW w:w="1583" w:type="dxa"/>
                  <w:vAlign w:val="center"/>
                </w:tcPr>
                <w:p w14:paraId="1FE064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cs="宋体"/>
                      <w:color w:val="auto"/>
                      <w:sz w:val="18"/>
                      <w:szCs w:val="18"/>
                      <w:highlight w:val="none"/>
                    </w:rPr>
                  </w:pPr>
                  <w:r>
                    <w:rPr>
                      <w:rFonts w:hint="eastAsia" w:ascii="宋体" w:hAnsi="宋体" w:cs="宋体"/>
                      <w:color w:val="auto"/>
                      <w:sz w:val="18"/>
                      <w:szCs w:val="18"/>
                      <w:highlight w:val="none"/>
                    </w:rPr>
                    <w:t>小型</w:t>
                  </w:r>
                </w:p>
              </w:tc>
              <w:tc>
                <w:tcPr>
                  <w:tcW w:w="1799" w:type="dxa"/>
                  <w:vAlign w:val="center"/>
                </w:tcPr>
                <w:p w14:paraId="6B3022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cs="宋体"/>
                      <w:color w:val="auto"/>
                      <w:sz w:val="18"/>
                      <w:szCs w:val="18"/>
                      <w:highlight w:val="none"/>
                    </w:rPr>
                  </w:pPr>
                  <w:r>
                    <w:rPr>
                      <w:rFonts w:hint="eastAsia" w:ascii="宋体" w:hAnsi="宋体" w:cs="宋体"/>
                      <w:color w:val="auto"/>
                      <w:sz w:val="18"/>
                      <w:szCs w:val="18"/>
                      <w:highlight w:val="none"/>
                    </w:rPr>
                    <w:t>中型</w:t>
                  </w:r>
                </w:p>
              </w:tc>
              <w:tc>
                <w:tcPr>
                  <w:tcW w:w="1061" w:type="dxa"/>
                  <w:vAlign w:val="center"/>
                </w:tcPr>
                <w:p w14:paraId="11D563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cs="宋体"/>
                      <w:color w:val="auto"/>
                      <w:sz w:val="18"/>
                      <w:szCs w:val="18"/>
                      <w:highlight w:val="none"/>
                    </w:rPr>
                  </w:pPr>
                  <w:r>
                    <w:rPr>
                      <w:rFonts w:hint="eastAsia" w:ascii="宋体" w:hAnsi="宋体" w:cs="宋体"/>
                      <w:color w:val="auto"/>
                      <w:sz w:val="18"/>
                      <w:szCs w:val="18"/>
                      <w:highlight w:val="none"/>
                    </w:rPr>
                    <w:t>大型</w:t>
                  </w:r>
                </w:p>
              </w:tc>
            </w:tr>
            <w:tr w14:paraId="0BA0016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61" w:type="dxa"/>
                  <w:vAlign w:val="center"/>
                </w:tcPr>
                <w:p w14:paraId="4EDF78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cs="宋体"/>
                      <w:color w:val="auto"/>
                      <w:sz w:val="18"/>
                      <w:szCs w:val="18"/>
                      <w:highlight w:val="none"/>
                    </w:rPr>
                  </w:pPr>
                  <w:r>
                    <w:rPr>
                      <w:rFonts w:hint="eastAsia" w:ascii="宋体" w:hAnsi="宋体" w:cs="宋体"/>
                      <w:color w:val="auto"/>
                      <w:sz w:val="18"/>
                      <w:szCs w:val="18"/>
                      <w:highlight w:val="none"/>
                    </w:rPr>
                    <w:t>基准灶头数</w:t>
                  </w:r>
                </w:p>
              </w:tc>
              <w:tc>
                <w:tcPr>
                  <w:tcW w:w="1583" w:type="dxa"/>
                  <w:vAlign w:val="center"/>
                </w:tcPr>
                <w:p w14:paraId="310A26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sz w:val="18"/>
                      <w:szCs w:val="18"/>
                      <w:highlight w:val="none"/>
                    </w:rPr>
                  </w:pPr>
                  <w:r>
                    <w:rPr>
                      <w:rFonts w:hint="default"/>
                      <w:color w:val="auto"/>
                      <w:sz w:val="18"/>
                      <w:szCs w:val="18"/>
                      <w:highlight w:val="none"/>
                    </w:rPr>
                    <w:t>≥1</w:t>
                  </w:r>
                  <w:r>
                    <w:rPr>
                      <w:rFonts w:hint="eastAsia"/>
                      <w:color w:val="auto"/>
                      <w:sz w:val="18"/>
                      <w:szCs w:val="18"/>
                      <w:highlight w:val="none"/>
                      <w:lang w:eastAsia="zh-CN"/>
                    </w:rPr>
                    <w:t>,&lt;</w:t>
                  </w:r>
                  <w:r>
                    <w:rPr>
                      <w:rFonts w:hint="default"/>
                      <w:color w:val="auto"/>
                      <w:sz w:val="18"/>
                      <w:szCs w:val="18"/>
                      <w:highlight w:val="none"/>
                    </w:rPr>
                    <w:t>3</w:t>
                  </w:r>
                </w:p>
              </w:tc>
              <w:tc>
                <w:tcPr>
                  <w:tcW w:w="1799" w:type="dxa"/>
                  <w:vAlign w:val="center"/>
                </w:tcPr>
                <w:p w14:paraId="1A5410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sz w:val="18"/>
                      <w:szCs w:val="18"/>
                      <w:highlight w:val="none"/>
                    </w:rPr>
                  </w:pPr>
                  <w:r>
                    <w:rPr>
                      <w:rFonts w:hint="default"/>
                      <w:color w:val="auto"/>
                      <w:sz w:val="18"/>
                      <w:szCs w:val="18"/>
                      <w:highlight w:val="none"/>
                    </w:rPr>
                    <w:t>≥3</w:t>
                  </w:r>
                  <w:r>
                    <w:rPr>
                      <w:rFonts w:hint="eastAsia"/>
                      <w:color w:val="auto"/>
                      <w:sz w:val="18"/>
                      <w:szCs w:val="18"/>
                      <w:highlight w:val="none"/>
                      <w:lang w:eastAsia="zh-CN"/>
                    </w:rPr>
                    <w:t>,&lt;</w:t>
                  </w:r>
                  <w:r>
                    <w:rPr>
                      <w:rFonts w:hint="default"/>
                      <w:color w:val="auto"/>
                      <w:sz w:val="18"/>
                      <w:szCs w:val="18"/>
                      <w:highlight w:val="none"/>
                    </w:rPr>
                    <w:t>6</w:t>
                  </w:r>
                </w:p>
              </w:tc>
              <w:tc>
                <w:tcPr>
                  <w:tcW w:w="1061" w:type="dxa"/>
                  <w:vAlign w:val="center"/>
                </w:tcPr>
                <w:p w14:paraId="253D65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sz w:val="18"/>
                      <w:szCs w:val="18"/>
                      <w:highlight w:val="none"/>
                    </w:rPr>
                  </w:pPr>
                  <w:r>
                    <w:rPr>
                      <w:rFonts w:hint="default"/>
                      <w:color w:val="auto"/>
                      <w:sz w:val="18"/>
                      <w:szCs w:val="18"/>
                      <w:highlight w:val="none"/>
                    </w:rPr>
                    <w:t>≥6</w:t>
                  </w:r>
                </w:p>
              </w:tc>
            </w:tr>
            <w:tr w14:paraId="5B327E3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61" w:type="dxa"/>
                  <w:vAlign w:val="center"/>
                </w:tcPr>
                <w:p w14:paraId="723428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cs="宋体"/>
                      <w:color w:val="auto"/>
                      <w:sz w:val="18"/>
                      <w:szCs w:val="18"/>
                      <w:highlight w:val="none"/>
                    </w:rPr>
                  </w:pPr>
                  <w:r>
                    <w:rPr>
                      <w:rFonts w:hint="eastAsia" w:ascii="宋体" w:hAnsi="宋体" w:cs="宋体"/>
                      <w:color w:val="auto"/>
                      <w:sz w:val="18"/>
                      <w:szCs w:val="18"/>
                      <w:highlight w:val="none"/>
                    </w:rPr>
                    <w:t>对应灶头总功率（</w:t>
                  </w:r>
                  <w:r>
                    <w:rPr>
                      <w:rFonts w:hint="default"/>
                      <w:color w:val="auto"/>
                      <w:sz w:val="18"/>
                      <w:szCs w:val="18"/>
                      <w:highlight w:val="none"/>
                    </w:rPr>
                    <w:t>108 J/h</w:t>
                  </w:r>
                  <w:r>
                    <w:rPr>
                      <w:rFonts w:hint="eastAsia" w:ascii="宋体" w:hAnsi="宋体" w:cs="宋体"/>
                      <w:color w:val="auto"/>
                      <w:sz w:val="18"/>
                      <w:szCs w:val="18"/>
                      <w:highlight w:val="none"/>
                    </w:rPr>
                    <w:t>）</w:t>
                  </w:r>
                </w:p>
              </w:tc>
              <w:tc>
                <w:tcPr>
                  <w:tcW w:w="1583" w:type="dxa"/>
                  <w:vAlign w:val="center"/>
                </w:tcPr>
                <w:p w14:paraId="0C6A2B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sz w:val="18"/>
                      <w:szCs w:val="18"/>
                      <w:highlight w:val="none"/>
                    </w:rPr>
                  </w:pPr>
                  <w:r>
                    <w:rPr>
                      <w:rFonts w:hint="default"/>
                      <w:color w:val="auto"/>
                      <w:sz w:val="18"/>
                      <w:szCs w:val="18"/>
                      <w:highlight w:val="none"/>
                    </w:rPr>
                    <w:t>≥1.67</w:t>
                  </w:r>
                  <w:r>
                    <w:rPr>
                      <w:rFonts w:hint="eastAsia"/>
                      <w:color w:val="auto"/>
                      <w:sz w:val="18"/>
                      <w:szCs w:val="18"/>
                      <w:highlight w:val="none"/>
                      <w:lang w:eastAsia="zh-CN"/>
                    </w:rPr>
                    <w:t>,&lt;</w:t>
                  </w:r>
                  <w:r>
                    <w:rPr>
                      <w:rFonts w:hint="default"/>
                      <w:color w:val="auto"/>
                      <w:sz w:val="18"/>
                      <w:szCs w:val="18"/>
                      <w:highlight w:val="none"/>
                    </w:rPr>
                    <w:t>5.00</w:t>
                  </w:r>
                </w:p>
              </w:tc>
              <w:tc>
                <w:tcPr>
                  <w:tcW w:w="1799" w:type="dxa"/>
                  <w:vAlign w:val="center"/>
                </w:tcPr>
                <w:p w14:paraId="2F6DEE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sz w:val="18"/>
                      <w:szCs w:val="18"/>
                      <w:highlight w:val="none"/>
                    </w:rPr>
                  </w:pPr>
                  <w:r>
                    <w:rPr>
                      <w:rFonts w:hint="default"/>
                      <w:color w:val="auto"/>
                      <w:sz w:val="18"/>
                      <w:szCs w:val="18"/>
                      <w:highlight w:val="none"/>
                    </w:rPr>
                    <w:t>≥5.00</w:t>
                  </w:r>
                  <w:r>
                    <w:rPr>
                      <w:rFonts w:hint="eastAsia"/>
                      <w:color w:val="auto"/>
                      <w:sz w:val="18"/>
                      <w:szCs w:val="18"/>
                      <w:highlight w:val="none"/>
                      <w:lang w:eastAsia="zh-CN"/>
                    </w:rPr>
                    <w:t>,&lt;</w:t>
                  </w:r>
                  <w:r>
                    <w:rPr>
                      <w:rFonts w:hint="default"/>
                      <w:color w:val="auto"/>
                      <w:sz w:val="18"/>
                      <w:szCs w:val="18"/>
                      <w:highlight w:val="none"/>
                    </w:rPr>
                    <w:t>10.00</w:t>
                  </w:r>
                </w:p>
              </w:tc>
              <w:tc>
                <w:tcPr>
                  <w:tcW w:w="1061" w:type="dxa"/>
                  <w:vAlign w:val="center"/>
                </w:tcPr>
                <w:p w14:paraId="1731F6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sz w:val="18"/>
                      <w:szCs w:val="18"/>
                      <w:highlight w:val="none"/>
                    </w:rPr>
                  </w:pPr>
                  <w:r>
                    <w:rPr>
                      <w:rFonts w:hint="default"/>
                      <w:color w:val="auto"/>
                      <w:sz w:val="18"/>
                      <w:szCs w:val="18"/>
                      <w:highlight w:val="none"/>
                    </w:rPr>
                    <w:t>≥10.00</w:t>
                  </w:r>
                </w:p>
              </w:tc>
            </w:tr>
            <w:tr w14:paraId="3D8D690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61" w:type="dxa"/>
                  <w:vAlign w:val="center"/>
                </w:tcPr>
                <w:p w14:paraId="25BF02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cs="宋体"/>
                      <w:color w:val="auto"/>
                      <w:sz w:val="18"/>
                      <w:szCs w:val="18"/>
                      <w:highlight w:val="none"/>
                    </w:rPr>
                  </w:pPr>
                  <w:r>
                    <w:rPr>
                      <w:rFonts w:hint="eastAsia" w:ascii="宋体" w:hAnsi="宋体" w:cs="宋体"/>
                      <w:color w:val="auto"/>
                      <w:sz w:val="18"/>
                      <w:szCs w:val="18"/>
                      <w:highlight w:val="none"/>
                    </w:rPr>
                    <w:t>对应排气罩灶面总投影面积（</w:t>
                  </w:r>
                  <w:r>
                    <w:rPr>
                      <w:rFonts w:hint="default"/>
                      <w:color w:val="auto"/>
                      <w:sz w:val="18"/>
                      <w:szCs w:val="18"/>
                      <w:highlight w:val="none"/>
                    </w:rPr>
                    <w:t>m</w:t>
                  </w:r>
                  <w:r>
                    <w:rPr>
                      <w:rFonts w:hint="default"/>
                      <w:color w:val="auto"/>
                      <w:sz w:val="18"/>
                      <w:szCs w:val="18"/>
                      <w:highlight w:val="none"/>
                      <w:vertAlign w:val="superscript"/>
                    </w:rPr>
                    <w:t>2</w:t>
                  </w:r>
                  <w:r>
                    <w:rPr>
                      <w:rFonts w:hint="eastAsia" w:ascii="宋体" w:hAnsi="宋体" w:cs="宋体"/>
                      <w:color w:val="auto"/>
                      <w:sz w:val="18"/>
                      <w:szCs w:val="18"/>
                      <w:highlight w:val="none"/>
                    </w:rPr>
                    <w:t>）</w:t>
                  </w:r>
                </w:p>
              </w:tc>
              <w:tc>
                <w:tcPr>
                  <w:tcW w:w="1583" w:type="dxa"/>
                  <w:vAlign w:val="center"/>
                </w:tcPr>
                <w:p w14:paraId="57F627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sz w:val="18"/>
                      <w:szCs w:val="18"/>
                      <w:highlight w:val="none"/>
                    </w:rPr>
                  </w:pPr>
                  <w:r>
                    <w:rPr>
                      <w:rFonts w:hint="default"/>
                      <w:color w:val="auto"/>
                      <w:sz w:val="18"/>
                      <w:szCs w:val="18"/>
                      <w:highlight w:val="none"/>
                    </w:rPr>
                    <w:t>≥1.1</w:t>
                  </w:r>
                  <w:r>
                    <w:rPr>
                      <w:rFonts w:hint="eastAsia"/>
                      <w:color w:val="auto"/>
                      <w:sz w:val="18"/>
                      <w:szCs w:val="18"/>
                      <w:highlight w:val="none"/>
                      <w:lang w:eastAsia="zh-CN"/>
                    </w:rPr>
                    <w:t>,&lt;</w:t>
                  </w:r>
                  <w:r>
                    <w:rPr>
                      <w:rFonts w:hint="default"/>
                      <w:color w:val="auto"/>
                      <w:sz w:val="18"/>
                      <w:szCs w:val="18"/>
                      <w:highlight w:val="none"/>
                    </w:rPr>
                    <w:t>3.3</w:t>
                  </w:r>
                </w:p>
              </w:tc>
              <w:tc>
                <w:tcPr>
                  <w:tcW w:w="1799" w:type="dxa"/>
                  <w:vAlign w:val="center"/>
                </w:tcPr>
                <w:p w14:paraId="593F6C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sz w:val="18"/>
                      <w:szCs w:val="18"/>
                      <w:highlight w:val="none"/>
                    </w:rPr>
                  </w:pPr>
                  <w:r>
                    <w:rPr>
                      <w:rFonts w:hint="default"/>
                      <w:color w:val="auto"/>
                      <w:sz w:val="18"/>
                      <w:szCs w:val="18"/>
                      <w:highlight w:val="none"/>
                    </w:rPr>
                    <w:t xml:space="preserve">≥3.3 </w:t>
                  </w:r>
                  <w:r>
                    <w:rPr>
                      <w:rFonts w:hint="eastAsia"/>
                      <w:color w:val="auto"/>
                      <w:sz w:val="18"/>
                      <w:szCs w:val="18"/>
                      <w:highlight w:val="none"/>
                      <w:lang w:eastAsia="zh-CN"/>
                    </w:rPr>
                    <w:t>,&lt;</w:t>
                  </w:r>
                  <w:r>
                    <w:rPr>
                      <w:rFonts w:hint="default"/>
                      <w:color w:val="auto"/>
                      <w:sz w:val="18"/>
                      <w:szCs w:val="18"/>
                      <w:highlight w:val="none"/>
                    </w:rPr>
                    <w:t>6.6</w:t>
                  </w:r>
                </w:p>
              </w:tc>
              <w:tc>
                <w:tcPr>
                  <w:tcW w:w="1061" w:type="dxa"/>
                  <w:vAlign w:val="center"/>
                </w:tcPr>
                <w:p w14:paraId="4AECE7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sz w:val="18"/>
                      <w:szCs w:val="18"/>
                      <w:highlight w:val="none"/>
                    </w:rPr>
                  </w:pPr>
                  <w:r>
                    <w:rPr>
                      <w:rFonts w:hint="default"/>
                      <w:color w:val="auto"/>
                      <w:sz w:val="18"/>
                      <w:szCs w:val="18"/>
                      <w:highlight w:val="none"/>
                    </w:rPr>
                    <w:t>≥6.6</w:t>
                  </w:r>
                </w:p>
              </w:tc>
            </w:tr>
            <w:tr w14:paraId="09354BD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61" w:type="dxa"/>
                  <w:vAlign w:val="center"/>
                </w:tcPr>
                <w:p w14:paraId="6326C1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cs="宋体"/>
                      <w:color w:val="auto"/>
                      <w:sz w:val="18"/>
                      <w:szCs w:val="18"/>
                      <w:highlight w:val="none"/>
                    </w:rPr>
                  </w:pPr>
                  <w:r>
                    <w:rPr>
                      <w:rFonts w:hint="eastAsia" w:ascii="宋体" w:hAnsi="宋体" w:cs="宋体"/>
                      <w:color w:val="auto"/>
                      <w:sz w:val="18"/>
                      <w:szCs w:val="18"/>
                      <w:highlight w:val="none"/>
                    </w:rPr>
                    <w:t>最高允许排放浓度（</w:t>
                  </w:r>
                  <w:r>
                    <w:rPr>
                      <w:rFonts w:hint="default"/>
                      <w:color w:val="auto"/>
                      <w:sz w:val="18"/>
                      <w:szCs w:val="18"/>
                      <w:highlight w:val="none"/>
                    </w:rPr>
                    <w:t>mg/m</w:t>
                  </w:r>
                  <w:r>
                    <w:rPr>
                      <w:rFonts w:hint="default"/>
                      <w:color w:val="auto"/>
                      <w:sz w:val="18"/>
                      <w:szCs w:val="18"/>
                      <w:highlight w:val="none"/>
                      <w:vertAlign w:val="superscript"/>
                    </w:rPr>
                    <w:t>3</w:t>
                  </w:r>
                  <w:r>
                    <w:rPr>
                      <w:rFonts w:hint="eastAsia" w:ascii="宋体" w:hAnsi="宋体" w:cs="宋体"/>
                      <w:color w:val="auto"/>
                      <w:sz w:val="18"/>
                      <w:szCs w:val="18"/>
                      <w:highlight w:val="none"/>
                    </w:rPr>
                    <w:t>）</w:t>
                  </w:r>
                </w:p>
              </w:tc>
              <w:tc>
                <w:tcPr>
                  <w:tcW w:w="4443" w:type="dxa"/>
                  <w:gridSpan w:val="3"/>
                  <w:vAlign w:val="center"/>
                </w:tcPr>
                <w:p w14:paraId="55A1D2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sz w:val="18"/>
                      <w:szCs w:val="18"/>
                      <w:highlight w:val="none"/>
                    </w:rPr>
                  </w:pPr>
                  <w:r>
                    <w:rPr>
                      <w:rFonts w:hint="default"/>
                      <w:color w:val="auto"/>
                      <w:sz w:val="18"/>
                      <w:szCs w:val="18"/>
                      <w:highlight w:val="none"/>
                    </w:rPr>
                    <w:t>2.0</w:t>
                  </w:r>
                </w:p>
              </w:tc>
            </w:tr>
            <w:tr w14:paraId="71442D9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61" w:type="dxa"/>
                  <w:vAlign w:val="center"/>
                </w:tcPr>
                <w:p w14:paraId="74192A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宋体" w:hAnsi="宋体" w:cs="宋体"/>
                      <w:color w:val="auto"/>
                      <w:sz w:val="18"/>
                      <w:szCs w:val="18"/>
                      <w:highlight w:val="none"/>
                    </w:rPr>
                  </w:pPr>
                  <w:r>
                    <w:rPr>
                      <w:rFonts w:hint="eastAsia" w:ascii="宋体" w:hAnsi="宋体" w:cs="宋体"/>
                      <w:color w:val="auto"/>
                      <w:sz w:val="18"/>
                      <w:szCs w:val="18"/>
                      <w:highlight w:val="none"/>
                    </w:rPr>
                    <w:t>净化设备最低去除率（</w:t>
                  </w:r>
                  <w:r>
                    <w:rPr>
                      <w:rFonts w:hint="default"/>
                      <w:color w:val="auto"/>
                      <w:sz w:val="18"/>
                      <w:szCs w:val="18"/>
                      <w:highlight w:val="none"/>
                    </w:rPr>
                    <w:t>%</w:t>
                  </w:r>
                  <w:r>
                    <w:rPr>
                      <w:rFonts w:hint="eastAsia" w:ascii="宋体" w:hAnsi="宋体" w:cs="宋体"/>
                      <w:color w:val="auto"/>
                      <w:sz w:val="18"/>
                      <w:szCs w:val="18"/>
                      <w:highlight w:val="none"/>
                    </w:rPr>
                    <w:t>）</w:t>
                  </w:r>
                </w:p>
              </w:tc>
              <w:tc>
                <w:tcPr>
                  <w:tcW w:w="1583" w:type="dxa"/>
                  <w:vAlign w:val="center"/>
                </w:tcPr>
                <w:p w14:paraId="5E4824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sz w:val="18"/>
                      <w:szCs w:val="18"/>
                      <w:highlight w:val="none"/>
                    </w:rPr>
                  </w:pPr>
                  <w:r>
                    <w:rPr>
                      <w:rFonts w:hint="default"/>
                      <w:color w:val="auto"/>
                      <w:sz w:val="18"/>
                      <w:szCs w:val="18"/>
                      <w:highlight w:val="none"/>
                    </w:rPr>
                    <w:t>60</w:t>
                  </w:r>
                </w:p>
              </w:tc>
              <w:tc>
                <w:tcPr>
                  <w:tcW w:w="1799" w:type="dxa"/>
                  <w:vAlign w:val="center"/>
                </w:tcPr>
                <w:p w14:paraId="66E1EE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sz w:val="18"/>
                      <w:szCs w:val="18"/>
                      <w:highlight w:val="none"/>
                    </w:rPr>
                  </w:pPr>
                  <w:r>
                    <w:rPr>
                      <w:rFonts w:hint="default"/>
                      <w:color w:val="auto"/>
                      <w:sz w:val="18"/>
                      <w:szCs w:val="18"/>
                      <w:highlight w:val="none"/>
                    </w:rPr>
                    <w:t>75</w:t>
                  </w:r>
                </w:p>
              </w:tc>
              <w:tc>
                <w:tcPr>
                  <w:tcW w:w="1061" w:type="dxa"/>
                  <w:vAlign w:val="center"/>
                </w:tcPr>
                <w:p w14:paraId="48B500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color w:val="auto"/>
                      <w:sz w:val="18"/>
                      <w:szCs w:val="18"/>
                      <w:highlight w:val="none"/>
                    </w:rPr>
                  </w:pPr>
                  <w:r>
                    <w:rPr>
                      <w:rFonts w:hint="default"/>
                      <w:color w:val="auto"/>
                      <w:sz w:val="18"/>
                      <w:szCs w:val="18"/>
                      <w:highlight w:val="none"/>
                    </w:rPr>
                    <w:t>85</w:t>
                  </w:r>
                </w:p>
              </w:tc>
            </w:tr>
          </w:tbl>
          <w:p w14:paraId="5EBE6609">
            <w:pPr>
              <w:keepNext w:val="0"/>
              <w:keepLines w:val="0"/>
              <w:suppressLineNumbers w:val="0"/>
              <w:spacing w:before="0" w:beforeAutospacing="0" w:after="0" w:afterAutospacing="0"/>
              <w:ind w:left="0" w:right="0"/>
              <w:rPr>
                <w:rFonts w:hint="default"/>
                <w:color w:val="auto"/>
                <w:lang w:val="en-US" w:eastAsia="zh-CN"/>
              </w:rPr>
            </w:pPr>
          </w:p>
        </w:tc>
      </w:tr>
      <w:tr w14:paraId="7A93A8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452" w:type="pct"/>
            <w:tcBorders>
              <w:bottom w:val="single" w:color="auto" w:sz="4" w:space="0"/>
            </w:tcBorders>
            <w:vAlign w:val="center"/>
          </w:tcPr>
          <w:p w14:paraId="3320344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总量控制指标</w:t>
            </w:r>
          </w:p>
        </w:tc>
        <w:tc>
          <w:tcPr>
            <w:tcW w:w="4547" w:type="pct"/>
            <w:tcBorders>
              <w:bottom w:val="single" w:color="auto" w:sz="4" w:space="0"/>
            </w:tcBorders>
            <w:vAlign w:val="center"/>
          </w:tcPr>
          <w:p w14:paraId="393AC4C9">
            <w:pPr>
              <w:keepNext w:val="0"/>
              <w:keepLines w:val="0"/>
              <w:widowControl/>
              <w:suppressLineNumbers w:val="0"/>
              <w:spacing w:before="0" w:beforeAutospacing="0" w:after="0" w:afterAutospacing="0" w:line="240" w:lineRule="auto"/>
              <w:ind w:left="0" w:right="0" w:firstLine="422" w:firstLineChars="200"/>
              <w:jc w:val="center"/>
              <w:rPr>
                <w:rFonts w:hint="default"/>
                <w:b/>
                <w:color w:val="auto"/>
                <w:szCs w:val="21"/>
                <w:highlight w:val="none"/>
              </w:rPr>
            </w:pPr>
            <w:r>
              <w:rPr>
                <w:rFonts w:hint="eastAsia"/>
                <w:b/>
                <w:color w:val="auto"/>
                <w:szCs w:val="21"/>
                <w:highlight w:val="none"/>
              </w:rPr>
              <w:t>表</w:t>
            </w:r>
            <w:r>
              <w:rPr>
                <w:rFonts w:hint="default"/>
                <w:b/>
                <w:color w:val="auto"/>
                <w:szCs w:val="21"/>
                <w:highlight w:val="none"/>
              </w:rPr>
              <w:t>3</w:t>
            </w:r>
            <w:r>
              <w:rPr>
                <w:rFonts w:hint="eastAsia"/>
                <w:b/>
                <w:color w:val="auto"/>
                <w:szCs w:val="21"/>
                <w:highlight w:val="none"/>
                <w:lang w:val="en-US" w:eastAsia="zh-CN"/>
              </w:rPr>
              <w:t>-9三本账</w:t>
            </w:r>
            <w:r>
              <w:rPr>
                <w:rFonts w:hint="default" w:ascii="Times New Roman" w:hAnsi="Times New Roman" w:eastAsia="宋体" w:cs="Times New Roman"/>
                <w:b/>
                <w:bCs/>
                <w:caps w:val="0"/>
                <w:color w:val="auto"/>
                <w:spacing w:val="0"/>
                <w:kern w:val="0"/>
                <w:position w:val="0"/>
                <w:sz w:val="21"/>
                <w:szCs w:val="21"/>
                <w:highlight w:val="none"/>
              </w:rPr>
              <w:t>及总量控制指标</w:t>
            </w:r>
            <w:r>
              <w:rPr>
                <w:rFonts w:hint="default"/>
                <w:b/>
                <w:color w:val="auto"/>
                <w:szCs w:val="21"/>
                <w:highlight w:val="none"/>
              </w:rPr>
              <w:t xml:space="preserve">  </w:t>
            </w:r>
            <w:r>
              <w:rPr>
                <w:rFonts w:hint="eastAsia"/>
                <w:b/>
                <w:color w:val="auto"/>
                <w:szCs w:val="21"/>
                <w:highlight w:val="none"/>
              </w:rPr>
              <w:t>单位：</w:t>
            </w:r>
            <w:r>
              <w:rPr>
                <w:rFonts w:hint="default"/>
                <w:b/>
                <w:color w:val="auto"/>
                <w:szCs w:val="21"/>
                <w:highlight w:val="none"/>
              </w:rPr>
              <w:t>t/a</w:t>
            </w:r>
          </w:p>
          <w:tbl>
            <w:tblPr>
              <w:tblStyle w:val="35"/>
              <w:tblW w:w="8137"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18"/>
              <w:gridCol w:w="1139"/>
              <w:gridCol w:w="1156"/>
              <w:gridCol w:w="1062"/>
              <w:gridCol w:w="1153"/>
              <w:gridCol w:w="1154"/>
              <w:gridCol w:w="1155"/>
            </w:tblGrid>
            <w:tr w14:paraId="07A8248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1318" w:type="dxa"/>
                  <w:vAlign w:val="center"/>
                </w:tcPr>
                <w:p w14:paraId="0B1B626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bCs/>
                      <w:color w:val="auto"/>
                      <w:sz w:val="18"/>
                      <w:szCs w:val="18"/>
                      <w:highlight w:val="none"/>
                    </w:rPr>
                    <w:t>名称</w:t>
                  </w:r>
                </w:p>
              </w:tc>
              <w:tc>
                <w:tcPr>
                  <w:tcW w:w="1139" w:type="dxa"/>
                  <w:vAlign w:val="center"/>
                </w:tcPr>
                <w:p w14:paraId="7698F3D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现有工程实际排放量（t/a）</w:t>
                  </w:r>
                </w:p>
              </w:tc>
              <w:tc>
                <w:tcPr>
                  <w:tcW w:w="1156" w:type="dxa"/>
                  <w:vAlign w:val="center"/>
                </w:tcPr>
                <w:p w14:paraId="1C40231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本工程预测排放量（t/a）</w:t>
                  </w:r>
                </w:p>
              </w:tc>
              <w:tc>
                <w:tcPr>
                  <w:tcW w:w="1062" w:type="dxa"/>
                  <w:vAlign w:val="center"/>
                </w:tcPr>
                <w:p w14:paraId="1DED078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sz w:val="18"/>
                      <w:szCs w:val="18"/>
                      <w:highlight w:val="none"/>
                    </w:rPr>
                    <w:t>“以新带老”削</w:t>
                  </w:r>
                  <w:r>
                    <w:rPr>
                      <w:rFonts w:hint="default" w:ascii="Times New Roman" w:hAnsi="Times New Roman" w:cs="Times New Roman"/>
                      <w:color w:val="auto"/>
                      <w:sz w:val="18"/>
                      <w:szCs w:val="18"/>
                      <w:highlight w:val="none"/>
                    </w:rPr>
                    <w:t>减</w:t>
                  </w:r>
                </w:p>
                <w:p w14:paraId="0313E7C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量（t/a）</w:t>
                  </w:r>
                </w:p>
              </w:tc>
              <w:tc>
                <w:tcPr>
                  <w:tcW w:w="1153" w:type="dxa"/>
                  <w:vAlign w:val="center"/>
                </w:tcPr>
                <w:p w14:paraId="3F5B30E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总体工程预测排放总量（t/a）</w:t>
                  </w:r>
                </w:p>
              </w:tc>
              <w:tc>
                <w:tcPr>
                  <w:tcW w:w="1154" w:type="dxa"/>
                  <w:tcBorders>
                    <w:right w:val="nil"/>
                  </w:tcBorders>
                  <w:vAlign w:val="center"/>
                </w:tcPr>
                <w:p w14:paraId="063E128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总体工程排放增减量（t/a）</w:t>
                  </w:r>
                </w:p>
              </w:tc>
              <w:tc>
                <w:tcPr>
                  <w:tcW w:w="1155" w:type="dxa"/>
                  <w:vAlign w:val="center"/>
                </w:tcPr>
                <w:p w14:paraId="5469ED7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本工程核定排放总量（t/a）</w:t>
                  </w:r>
                </w:p>
              </w:tc>
            </w:tr>
            <w:tr w14:paraId="5049A2E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318" w:type="dxa"/>
                  <w:vAlign w:val="center"/>
                </w:tcPr>
                <w:p w14:paraId="52802A07">
                  <w:pPr>
                    <w:keepNext w:val="0"/>
                    <w:keepLines w:val="0"/>
                    <w:pageBreakBefore w:val="0"/>
                    <w:widowControl w:val="0"/>
                    <w:suppressLineNumbers w:val="0"/>
                    <w:kinsoku/>
                    <w:wordWrap/>
                    <w:overflowPunct/>
                    <w:topLinePunct w:val="0"/>
                    <w:autoSpaceDE/>
                    <w:autoSpaceDN/>
                    <w:bidi w:val="0"/>
                    <w:spacing w:before="0" w:beforeAutospacing="0" w:after="0" w:afterAutospacing="0"/>
                    <w:ind w:left="0" w:leftChars="0" w:right="0" w:right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snapToGrid w:val="0"/>
                      <w:color w:val="auto"/>
                      <w:kern w:val="0"/>
                      <w:sz w:val="18"/>
                      <w:szCs w:val="18"/>
                      <w:highlight w:val="none"/>
                      <w:lang w:val="en-US" w:eastAsia="zh-CN"/>
                    </w:rPr>
                    <w:t>COD</w:t>
                  </w:r>
                </w:p>
              </w:tc>
              <w:tc>
                <w:tcPr>
                  <w:tcW w:w="1139" w:type="dxa"/>
                  <w:vAlign w:val="center"/>
                </w:tcPr>
                <w:p w14:paraId="55BEBA9D">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kern w:val="0"/>
                      <w:sz w:val="18"/>
                      <w:szCs w:val="18"/>
                      <w:highlight w:val="none"/>
                      <w:lang w:val="en-US"/>
                    </w:rPr>
                  </w:pPr>
                  <w:r>
                    <w:rPr>
                      <w:rFonts w:hint="default" w:ascii="Times New Roman" w:hAnsi="Times New Roman" w:cs="Times New Roman"/>
                      <w:color w:val="auto"/>
                      <w:sz w:val="18"/>
                      <w:szCs w:val="18"/>
                      <w:highlight w:val="none"/>
                      <w:lang w:val="en-US" w:eastAsia="zh-CN"/>
                    </w:rPr>
                    <w:t>0.504</w:t>
                  </w:r>
                </w:p>
              </w:tc>
              <w:tc>
                <w:tcPr>
                  <w:tcW w:w="1156" w:type="dxa"/>
                  <w:vAlign w:val="center"/>
                </w:tcPr>
                <w:p w14:paraId="39F4DC80">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18"/>
                      <w:szCs w:val="18"/>
                      <w:highlight w:val="none"/>
                      <w:lang w:val="en-US" w:eastAsia="zh-CN"/>
                    </w:rPr>
                  </w:pPr>
                  <w:r>
                    <w:rPr>
                      <w:rFonts w:hint="eastAsia" w:cs="Times New Roman"/>
                      <w:color w:val="auto"/>
                      <w:sz w:val="18"/>
                      <w:szCs w:val="18"/>
                      <w:highlight w:val="none"/>
                      <w:lang w:val="en-US" w:eastAsia="zh-CN"/>
                    </w:rPr>
                    <w:t>4.65</w:t>
                  </w:r>
                </w:p>
              </w:tc>
              <w:tc>
                <w:tcPr>
                  <w:tcW w:w="1062" w:type="dxa"/>
                  <w:vAlign w:val="center"/>
                </w:tcPr>
                <w:p w14:paraId="4A00E0FF">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w:t>
                  </w:r>
                </w:p>
              </w:tc>
              <w:tc>
                <w:tcPr>
                  <w:tcW w:w="1153" w:type="dxa"/>
                  <w:vAlign w:val="center"/>
                </w:tcPr>
                <w:p w14:paraId="3AFD411C">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5.154</w:t>
                  </w:r>
                </w:p>
              </w:tc>
              <w:tc>
                <w:tcPr>
                  <w:tcW w:w="1154" w:type="dxa"/>
                  <w:vAlign w:val="center"/>
                </w:tcPr>
                <w:p w14:paraId="16FA5F6B">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+4.65</w:t>
                  </w:r>
                </w:p>
              </w:tc>
              <w:tc>
                <w:tcPr>
                  <w:tcW w:w="1155" w:type="dxa"/>
                  <w:vAlign w:val="center"/>
                </w:tcPr>
                <w:p w14:paraId="2BCFA02C">
                  <w:pPr>
                    <w:pStyle w:val="33"/>
                    <w:keepNext w:val="0"/>
                    <w:keepLines w:val="0"/>
                    <w:widowControl/>
                    <w:suppressLineNumbers w:val="0"/>
                    <w:spacing w:before="0" w:beforeAutospacing="0" w:after="0" w:afterAutospacing="0"/>
                    <w:ind w:left="0" w:right="113" w:firstLine="0" w:firstLineChars="0"/>
                    <w:jc w:val="center"/>
                    <w:rPr>
                      <w:rFonts w:hint="default" w:ascii="Times New Roman" w:hAnsi="Times New Roman" w:eastAsia="宋体" w:cs="Times New Roman"/>
                      <w:color w:val="auto"/>
                      <w:kern w:val="0"/>
                      <w:sz w:val="18"/>
                      <w:szCs w:val="18"/>
                      <w:highlight w:val="none"/>
                      <w:lang w:val="en-US" w:eastAsia="zh-CN"/>
                    </w:rPr>
                  </w:pPr>
                  <w:r>
                    <w:rPr>
                      <w:rFonts w:hint="eastAsia" w:cs="Times New Roman"/>
                      <w:color w:val="auto"/>
                      <w:sz w:val="18"/>
                      <w:szCs w:val="18"/>
                      <w:highlight w:val="none"/>
                      <w:lang w:val="en-US" w:eastAsia="zh-CN"/>
                    </w:rPr>
                    <w:t>5.172</w:t>
                  </w:r>
                </w:p>
              </w:tc>
            </w:tr>
            <w:tr w14:paraId="7D6EC0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318" w:type="dxa"/>
                  <w:vAlign w:val="center"/>
                </w:tcPr>
                <w:p w14:paraId="001C5E76">
                  <w:pPr>
                    <w:keepNext w:val="0"/>
                    <w:keepLines w:val="0"/>
                    <w:pageBreakBefore w:val="0"/>
                    <w:widowControl w:val="0"/>
                    <w:suppressLineNumbers w:val="0"/>
                    <w:kinsoku/>
                    <w:wordWrap/>
                    <w:overflowPunct/>
                    <w:topLinePunct w:val="0"/>
                    <w:autoSpaceDE/>
                    <w:autoSpaceDN/>
                    <w:bidi w:val="0"/>
                    <w:spacing w:before="0" w:beforeAutospacing="0" w:after="0" w:afterAutospacing="0"/>
                    <w:ind w:left="0" w:leftChars="0" w:right="0" w:rightChars="0"/>
                    <w:jc w:val="center"/>
                    <w:textAlignment w:val="auto"/>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lang w:val="en-US" w:eastAsia="zh-CN"/>
                    </w:rPr>
                    <w:t>氨氮</w:t>
                  </w:r>
                </w:p>
              </w:tc>
              <w:tc>
                <w:tcPr>
                  <w:tcW w:w="1139" w:type="dxa"/>
                  <w:vAlign w:val="center"/>
                </w:tcPr>
                <w:p w14:paraId="719B8103">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kern w:val="0"/>
                      <w:sz w:val="18"/>
                      <w:szCs w:val="18"/>
                      <w:highlight w:val="none"/>
                      <w:lang w:val="en-US"/>
                    </w:rPr>
                  </w:pPr>
                  <w:r>
                    <w:rPr>
                      <w:rFonts w:hint="default" w:ascii="Times New Roman" w:hAnsi="Times New Roman" w:cs="Times New Roman"/>
                      <w:bCs/>
                      <w:color w:val="auto"/>
                      <w:sz w:val="18"/>
                      <w:szCs w:val="18"/>
                      <w:highlight w:val="none"/>
                      <w:lang w:val="en-US" w:eastAsia="zh-CN"/>
                    </w:rPr>
                    <w:t>0.05</w:t>
                  </w:r>
                </w:p>
              </w:tc>
              <w:tc>
                <w:tcPr>
                  <w:tcW w:w="1156" w:type="dxa"/>
                  <w:vAlign w:val="center"/>
                </w:tcPr>
                <w:p w14:paraId="1F6D739C">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18"/>
                      <w:szCs w:val="18"/>
                      <w:highlight w:val="none"/>
                      <w:lang w:val="en-US" w:eastAsia="zh-CN"/>
                    </w:rPr>
                  </w:pPr>
                  <w:r>
                    <w:rPr>
                      <w:rFonts w:hint="eastAsia" w:cs="Times New Roman"/>
                      <w:color w:val="auto"/>
                      <w:sz w:val="18"/>
                      <w:szCs w:val="18"/>
                      <w:highlight w:val="none"/>
                      <w:lang w:val="en-US" w:eastAsia="zh-CN"/>
                    </w:rPr>
                    <w:t>0.13</w:t>
                  </w:r>
                </w:p>
              </w:tc>
              <w:tc>
                <w:tcPr>
                  <w:tcW w:w="1062" w:type="dxa"/>
                  <w:vAlign w:val="center"/>
                </w:tcPr>
                <w:p w14:paraId="5B0099E4">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w:t>
                  </w:r>
                </w:p>
              </w:tc>
              <w:tc>
                <w:tcPr>
                  <w:tcW w:w="1153" w:type="dxa"/>
                  <w:vAlign w:val="center"/>
                </w:tcPr>
                <w:p w14:paraId="57502BB1">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kern w:val="0"/>
                      <w:sz w:val="18"/>
                      <w:szCs w:val="18"/>
                      <w:highlight w:val="none"/>
                      <w:lang w:val="en-US"/>
                    </w:rPr>
                  </w:pPr>
                  <w:r>
                    <w:rPr>
                      <w:rFonts w:hint="eastAsia" w:cs="Times New Roman"/>
                      <w:color w:val="auto"/>
                      <w:position w:val="0"/>
                      <w:sz w:val="18"/>
                      <w:szCs w:val="18"/>
                      <w:highlight w:val="none"/>
                      <w:lang w:val="en-US" w:eastAsia="zh-CN"/>
                    </w:rPr>
                    <w:t>0.18</w:t>
                  </w:r>
                </w:p>
              </w:tc>
              <w:tc>
                <w:tcPr>
                  <w:tcW w:w="1154" w:type="dxa"/>
                  <w:vAlign w:val="center"/>
                </w:tcPr>
                <w:p w14:paraId="40BD8254">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0"/>
                      <w:sz w:val="18"/>
                      <w:szCs w:val="18"/>
                      <w:highlight w:val="none"/>
                      <w:lang w:val="en-US" w:eastAsia="zh-CN"/>
                    </w:rPr>
                  </w:pPr>
                  <w:r>
                    <w:rPr>
                      <w:rFonts w:hint="eastAsia" w:cs="Times New Roman"/>
                      <w:color w:val="auto"/>
                      <w:sz w:val="18"/>
                      <w:szCs w:val="18"/>
                      <w:highlight w:val="none"/>
                      <w:lang w:val="en-US" w:eastAsia="zh-CN"/>
                    </w:rPr>
                    <w:t>+0.13</w:t>
                  </w:r>
                </w:p>
              </w:tc>
              <w:tc>
                <w:tcPr>
                  <w:tcW w:w="1155" w:type="dxa"/>
                  <w:vAlign w:val="center"/>
                </w:tcPr>
                <w:p w14:paraId="7E9E87DA">
                  <w:pPr>
                    <w:pStyle w:val="33"/>
                    <w:keepNext w:val="0"/>
                    <w:keepLines w:val="0"/>
                    <w:widowControl/>
                    <w:suppressLineNumbers w:val="0"/>
                    <w:spacing w:before="0" w:beforeAutospacing="0" w:after="0" w:afterAutospacing="0"/>
                    <w:ind w:left="0" w:right="113" w:firstLine="0" w:firstLineChars="0"/>
                    <w:jc w:val="center"/>
                    <w:rPr>
                      <w:rFonts w:hint="default" w:ascii="Times New Roman" w:hAnsi="Times New Roman" w:eastAsia="宋体"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0.2659</w:t>
                  </w:r>
                </w:p>
              </w:tc>
            </w:tr>
          </w:tbl>
          <w:p w14:paraId="2C323105">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color w:val="auto"/>
                <w:kern w:val="0"/>
                <w:szCs w:val="21"/>
                <w:highlight w:val="none"/>
                <w:lang w:val="en-US" w:eastAsia="zh-CN"/>
              </w:rPr>
            </w:pPr>
            <w:r>
              <w:rPr>
                <w:rFonts w:hint="eastAsia" w:cs="Times New Roman"/>
                <w:color w:val="auto"/>
                <w:kern w:val="0"/>
                <w:sz w:val="21"/>
                <w:szCs w:val="21"/>
                <w:highlight w:val="none"/>
                <w:lang w:val="en-US" w:eastAsia="zh-CN"/>
              </w:rPr>
              <w:t>入河排污口许可排放标准为</w:t>
            </w:r>
            <w:r>
              <w:rPr>
                <w:rFonts w:hint="eastAsia" w:ascii="Times New Roman" w:hAnsi="Times New Roman" w:eastAsia="宋体" w:cs="Times New Roman"/>
                <w:color w:val="auto"/>
                <w:spacing w:val="0"/>
                <w:kern w:val="21"/>
                <w:sz w:val="21"/>
                <w:szCs w:val="21"/>
                <w:highlight w:val="none"/>
                <w:lang w:val="en-US" w:eastAsia="zh-CN"/>
              </w:rPr>
              <w:t>废水</w:t>
            </w:r>
            <w:r>
              <w:rPr>
                <w:rFonts w:hint="eastAsia" w:cs="Times New Roman"/>
                <w:color w:val="auto"/>
                <w:spacing w:val="0"/>
                <w:kern w:val="21"/>
                <w:sz w:val="21"/>
                <w:szCs w:val="21"/>
                <w:highlight w:val="none"/>
                <w:lang w:val="en-US" w:eastAsia="zh-CN"/>
              </w:rPr>
              <w:t>污染物</w:t>
            </w:r>
            <w:r>
              <w:rPr>
                <w:rFonts w:hint="eastAsia" w:ascii="Times New Roman" w:hAnsi="Times New Roman" w:eastAsia="宋体" w:cs="Times New Roman"/>
                <w:color w:val="auto"/>
                <w:spacing w:val="0"/>
                <w:kern w:val="21"/>
                <w:sz w:val="21"/>
                <w:szCs w:val="21"/>
                <w:highlight w:val="none"/>
                <w:lang w:val="en-US" w:eastAsia="zh-CN"/>
              </w:rPr>
              <w:t>排放</w:t>
            </w:r>
            <w:r>
              <w:rPr>
                <w:rFonts w:hint="eastAsia" w:cs="Times New Roman"/>
                <w:color w:val="auto"/>
                <w:spacing w:val="0"/>
                <w:sz w:val="21"/>
                <w:szCs w:val="21"/>
                <w:highlight w:val="none"/>
                <w:lang w:val="en-US" w:eastAsia="zh-CN"/>
              </w:rPr>
              <w:t>执行《地表水环境质量标准》（GB3838-2002）表1中三类标准，其中悬浮物参照</w:t>
            </w:r>
            <w:r>
              <w:rPr>
                <w:rFonts w:hint="default" w:ascii="Times New Roman" w:hAnsi="Times New Roman" w:eastAsia="宋体" w:cs="Times New Roman"/>
                <w:color w:val="auto"/>
                <w:spacing w:val="0"/>
                <w:sz w:val="21"/>
                <w:szCs w:val="21"/>
                <w:highlight w:val="none"/>
                <w:lang w:val="en-US" w:eastAsia="zh-CN"/>
              </w:rPr>
              <w:t>《污水综合排放标准》</w:t>
            </w:r>
            <w:r>
              <w:rPr>
                <w:rFonts w:hint="eastAsia" w:cs="Times New Roman"/>
                <w:color w:val="auto"/>
                <w:spacing w:val="0"/>
                <w:sz w:val="21"/>
                <w:szCs w:val="21"/>
                <w:highlight w:val="none"/>
                <w:lang w:val="en-US" w:eastAsia="zh-CN"/>
              </w:rPr>
              <w:t>（GB8978-1996）执行一级标准，许可排放总量为COD5.514t/a、氨氮0.18t/a。</w:t>
            </w:r>
          </w:p>
        </w:tc>
      </w:tr>
    </w:tbl>
    <w:p w14:paraId="58B487A2">
      <w:pPr>
        <w:pStyle w:val="30"/>
        <w:spacing w:before="0" w:beforeAutospacing="0" w:after="158" w:afterLines="50" w:afterAutospacing="0"/>
        <w:jc w:val="center"/>
        <w:outlineLvl w:val="0"/>
        <w:rPr>
          <w:rFonts w:hint="default" w:ascii="Times New Roman" w:hAnsi="Times New Roman" w:eastAsia="黑体" w:cs="Times New Roman"/>
          <w:snapToGrid w:val="0"/>
          <w:color w:val="auto"/>
          <w:kern w:val="21"/>
          <w:sz w:val="30"/>
          <w:szCs w:val="30"/>
          <w:highlight w:val="none"/>
        </w:rPr>
      </w:pPr>
      <w:r>
        <w:rPr>
          <w:rFonts w:hint="default" w:ascii="Times New Roman" w:hAnsi="Times New Roman" w:eastAsia="黑体" w:cs="Times New Roman"/>
          <w:snapToGrid w:val="0"/>
          <w:color w:val="auto"/>
          <w:kern w:val="2"/>
          <w:sz w:val="36"/>
          <w:szCs w:val="36"/>
          <w:highlight w:val="none"/>
        </w:rPr>
        <w:br w:type="page"/>
      </w:r>
      <w:bookmarkStart w:id="20" w:name="_Toc17537"/>
      <w:r>
        <w:rPr>
          <w:rFonts w:hint="default" w:ascii="Times New Roman" w:hAnsi="Times New Roman" w:eastAsia="黑体" w:cs="Times New Roman"/>
          <w:snapToGrid w:val="0"/>
          <w:color w:val="auto"/>
          <w:kern w:val="21"/>
          <w:sz w:val="30"/>
          <w:szCs w:val="30"/>
          <w:highlight w:val="none"/>
        </w:rPr>
        <w:t>四、主要环境影响和保护措施</w:t>
      </w:r>
      <w:bookmarkEnd w:id="20"/>
    </w:p>
    <w:tbl>
      <w:tblPr>
        <w:tblStyle w:val="35"/>
        <w:tblW w:w="905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8254"/>
      </w:tblGrid>
      <w:tr w14:paraId="61EFCF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11" w:hRule="atLeast"/>
          <w:jc w:val="center"/>
        </w:trPr>
        <w:tc>
          <w:tcPr>
            <w:tcW w:w="799" w:type="dxa"/>
            <w:noWrap w:val="0"/>
            <w:tcMar>
              <w:left w:w="28" w:type="dxa"/>
              <w:right w:w="28" w:type="dxa"/>
            </w:tcMar>
            <w:vAlign w:val="center"/>
          </w:tcPr>
          <w:p w14:paraId="73423E99">
            <w:pPr>
              <w:pStyle w:val="30"/>
              <w:keepNext w:val="0"/>
              <w:keepLines w:val="0"/>
              <w:suppressLineNumbers w:val="0"/>
              <w:adjustRightInd w:val="0"/>
              <w:snapToGrid w:val="0"/>
              <w:spacing w:before="0" w:beforeAutospacing="0" w:after="0" w:afterAutospacing="0"/>
              <w:ind w:left="0" w:right="0"/>
              <w:jc w:val="center"/>
              <w:rPr>
                <w:rFonts w:hint="default" w:ascii="Times New Roman" w:hAnsi="Times New Roman"/>
                <w:color w:val="auto"/>
                <w:kern w:val="2"/>
                <w:sz w:val="21"/>
                <w:szCs w:val="21"/>
                <w:highlight w:val="none"/>
              </w:rPr>
            </w:pPr>
            <w:r>
              <w:rPr>
                <w:rFonts w:hint="default" w:ascii="Times New Roman" w:hAnsi="Times New Roman"/>
                <w:color w:val="auto"/>
                <w:kern w:val="2"/>
                <w:sz w:val="21"/>
                <w:szCs w:val="21"/>
                <w:highlight w:val="none"/>
              </w:rPr>
              <w:t>施工</w:t>
            </w:r>
          </w:p>
          <w:p w14:paraId="19204E9C">
            <w:pPr>
              <w:pStyle w:val="30"/>
              <w:keepNext w:val="0"/>
              <w:keepLines w:val="0"/>
              <w:suppressLineNumbers w:val="0"/>
              <w:adjustRightInd w:val="0"/>
              <w:snapToGrid w:val="0"/>
              <w:spacing w:before="0" w:beforeAutospacing="0" w:after="0" w:afterAutospacing="0"/>
              <w:ind w:left="0" w:right="0"/>
              <w:jc w:val="center"/>
              <w:rPr>
                <w:rFonts w:hint="default" w:ascii="Times New Roman" w:hAnsi="Times New Roman"/>
                <w:color w:val="auto"/>
                <w:kern w:val="2"/>
                <w:sz w:val="21"/>
                <w:szCs w:val="21"/>
                <w:highlight w:val="none"/>
              </w:rPr>
            </w:pPr>
            <w:r>
              <w:rPr>
                <w:rFonts w:hint="default" w:ascii="Times New Roman" w:hAnsi="Times New Roman"/>
                <w:color w:val="auto"/>
                <w:kern w:val="2"/>
                <w:sz w:val="21"/>
                <w:szCs w:val="21"/>
                <w:highlight w:val="none"/>
              </w:rPr>
              <w:t>期环</w:t>
            </w:r>
          </w:p>
          <w:p w14:paraId="634AACFF">
            <w:pPr>
              <w:pStyle w:val="30"/>
              <w:keepNext w:val="0"/>
              <w:keepLines w:val="0"/>
              <w:suppressLineNumbers w:val="0"/>
              <w:adjustRightInd w:val="0"/>
              <w:snapToGrid w:val="0"/>
              <w:spacing w:before="0" w:beforeAutospacing="0" w:after="0" w:afterAutospacing="0"/>
              <w:ind w:left="0" w:right="0"/>
              <w:jc w:val="center"/>
              <w:rPr>
                <w:rFonts w:hint="default" w:ascii="Times New Roman" w:hAnsi="Times New Roman"/>
                <w:color w:val="auto"/>
                <w:kern w:val="2"/>
                <w:sz w:val="21"/>
                <w:szCs w:val="21"/>
                <w:highlight w:val="none"/>
              </w:rPr>
            </w:pPr>
            <w:r>
              <w:rPr>
                <w:rFonts w:hint="default" w:ascii="Times New Roman" w:hAnsi="Times New Roman"/>
                <w:color w:val="auto"/>
                <w:kern w:val="2"/>
                <w:sz w:val="21"/>
                <w:szCs w:val="21"/>
                <w:highlight w:val="none"/>
              </w:rPr>
              <w:t>境保</w:t>
            </w:r>
          </w:p>
          <w:p w14:paraId="1CA9EC1B">
            <w:pPr>
              <w:pStyle w:val="30"/>
              <w:keepNext w:val="0"/>
              <w:keepLines w:val="0"/>
              <w:suppressLineNumbers w:val="0"/>
              <w:adjustRightInd w:val="0"/>
              <w:snapToGrid w:val="0"/>
              <w:spacing w:before="0" w:beforeAutospacing="0" w:after="0" w:afterAutospacing="0"/>
              <w:ind w:left="0" w:right="0"/>
              <w:jc w:val="center"/>
              <w:rPr>
                <w:rFonts w:hint="default" w:ascii="Times New Roman" w:hAnsi="Times New Roman"/>
                <w:color w:val="auto"/>
                <w:kern w:val="2"/>
                <w:sz w:val="21"/>
                <w:szCs w:val="21"/>
                <w:highlight w:val="none"/>
              </w:rPr>
            </w:pPr>
            <w:r>
              <w:rPr>
                <w:rFonts w:hint="default" w:ascii="Times New Roman" w:hAnsi="Times New Roman"/>
                <w:color w:val="auto"/>
                <w:kern w:val="2"/>
                <w:sz w:val="21"/>
                <w:szCs w:val="21"/>
                <w:highlight w:val="none"/>
              </w:rPr>
              <w:t>护措</w:t>
            </w:r>
          </w:p>
          <w:p w14:paraId="28F96757">
            <w:pPr>
              <w:pStyle w:val="30"/>
              <w:keepNext w:val="0"/>
              <w:keepLines w:val="0"/>
              <w:suppressLineNumbers w:val="0"/>
              <w:adjustRightInd w:val="0"/>
              <w:snapToGrid w:val="0"/>
              <w:spacing w:before="0" w:beforeAutospacing="0" w:after="0" w:afterAutospacing="0"/>
              <w:ind w:left="0" w:right="0"/>
              <w:jc w:val="center"/>
              <w:rPr>
                <w:rFonts w:hint="default" w:ascii="Times New Roman" w:hAnsi="Times New Roman"/>
                <w:bCs/>
                <w:color w:val="auto"/>
                <w:kern w:val="2"/>
                <w:sz w:val="21"/>
                <w:szCs w:val="21"/>
                <w:highlight w:val="none"/>
              </w:rPr>
            </w:pPr>
            <w:r>
              <w:rPr>
                <w:rFonts w:hint="default" w:ascii="Times New Roman" w:hAnsi="Times New Roman"/>
                <w:color w:val="auto"/>
                <w:kern w:val="2"/>
                <w:sz w:val="21"/>
                <w:szCs w:val="21"/>
                <w:highlight w:val="none"/>
              </w:rPr>
              <w:t>施</w:t>
            </w:r>
          </w:p>
        </w:tc>
        <w:tc>
          <w:tcPr>
            <w:tcW w:w="8254" w:type="dxa"/>
            <w:noWrap w:val="0"/>
            <w:vAlign w:val="center"/>
          </w:tcPr>
          <w:p w14:paraId="5CF0E425">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default" w:ascii="Times New Roman" w:hAnsi="Times New Roman" w:cs="Times New Roman"/>
                <w:b/>
                <w:color w:val="auto"/>
                <w:sz w:val="21"/>
                <w:szCs w:val="21"/>
              </w:rPr>
            </w:pPr>
            <w:r>
              <w:rPr>
                <w:rFonts w:hint="eastAsia" w:cs="Times New Roman"/>
                <w:bCs/>
                <w:color w:val="auto"/>
                <w:spacing w:val="0"/>
                <w:kern w:val="0"/>
                <w:sz w:val="21"/>
                <w:szCs w:val="21"/>
                <w:highlight w:val="none"/>
                <w:lang w:val="en-US" w:eastAsia="zh-CN"/>
              </w:rPr>
              <w:t>本项目无新增占地面积，本次</w:t>
            </w:r>
            <w:r>
              <w:rPr>
                <w:rFonts w:hint="eastAsia" w:cs="Times New Roman"/>
                <w:color w:val="auto"/>
                <w:spacing w:val="0"/>
                <w:sz w:val="21"/>
                <w:szCs w:val="21"/>
                <w:highlight w:val="none"/>
                <w:lang w:val="en-US" w:eastAsia="zh-CN"/>
              </w:rPr>
              <w:t>利用原有</w:t>
            </w:r>
            <w:r>
              <w:rPr>
                <w:rFonts w:hint="eastAsia" w:cs="Times New Roman"/>
                <w:bCs/>
                <w:color w:val="auto"/>
                <w:spacing w:val="0"/>
                <w:kern w:val="0"/>
                <w:sz w:val="21"/>
                <w:szCs w:val="21"/>
                <w:highlight w:val="none"/>
                <w:lang w:val="en-US" w:eastAsia="zh-CN"/>
              </w:rPr>
              <w:t>1座入河排污口及原有</w:t>
            </w:r>
            <w:r>
              <w:rPr>
                <w:rFonts w:hint="default" w:ascii="Times New Roman" w:hAnsi="Times New Roman" w:eastAsia="宋体" w:cs="Times New Roman"/>
                <w:bCs/>
                <w:color w:val="auto"/>
                <w:spacing w:val="0"/>
                <w:kern w:val="0"/>
                <w:sz w:val="21"/>
                <w:szCs w:val="21"/>
                <w:highlight w:val="none"/>
                <w:lang w:val="en-US" w:eastAsia="zh-CN"/>
              </w:rPr>
              <w:t>排污管线</w:t>
            </w:r>
            <w:r>
              <w:rPr>
                <w:rFonts w:hint="eastAsia" w:cs="Times New Roman"/>
                <w:bCs/>
                <w:color w:val="auto"/>
                <w:spacing w:val="0"/>
                <w:kern w:val="0"/>
                <w:sz w:val="21"/>
                <w:szCs w:val="21"/>
                <w:highlight w:val="none"/>
                <w:lang w:val="en-US" w:eastAsia="zh-CN"/>
              </w:rPr>
              <w:t>；</w:t>
            </w:r>
            <w:r>
              <w:rPr>
                <w:rFonts w:hint="eastAsia" w:cs="Times New Roman"/>
                <w:color w:val="auto"/>
                <w:spacing w:val="0"/>
                <w:sz w:val="21"/>
                <w:szCs w:val="21"/>
                <w:lang w:val="en-US" w:eastAsia="zh-CN"/>
              </w:rPr>
              <w:t>更换污泥脱水间设备，更换下来的老旧设备外售；</w:t>
            </w:r>
            <w:r>
              <w:rPr>
                <w:rFonts w:hint="default" w:ascii="Segoe UI" w:hAnsi="Segoe UI" w:eastAsia="Segoe UI" w:cs="Segoe UI"/>
                <w:i w:val="0"/>
                <w:iCs w:val="0"/>
                <w:caps w:val="0"/>
                <w:color w:val="auto"/>
                <w:spacing w:val="0"/>
                <w:sz w:val="21"/>
                <w:szCs w:val="21"/>
                <w:shd w:val="clear" w:fill="FFFFFF"/>
              </w:rPr>
              <w:t>在现有污泥脱水间内新建一座污泥暂存库，施工活动全部在既有构筑物内部进行，不新增占地</w:t>
            </w:r>
            <w:r>
              <w:rPr>
                <w:rFonts w:hint="eastAsia"/>
                <w:color w:val="auto"/>
                <w:sz w:val="21"/>
                <w:szCs w:val="21"/>
                <w:highlight w:val="none"/>
                <w:lang w:val="en-US" w:eastAsia="zh-CN"/>
              </w:rPr>
              <w:t>。</w:t>
            </w:r>
            <w:r>
              <w:rPr>
                <w:rFonts w:hint="eastAsia"/>
                <w:bCs/>
                <w:color w:val="auto"/>
                <w:spacing w:val="0"/>
                <w:sz w:val="21"/>
                <w:szCs w:val="21"/>
                <w:highlight w:val="none"/>
              </w:rPr>
              <w:t>项目建设周期较短，对周围环境影响较小</w:t>
            </w:r>
            <w:r>
              <w:rPr>
                <w:rFonts w:hint="eastAsia"/>
                <w:bCs/>
                <w:color w:val="auto"/>
                <w:szCs w:val="21"/>
                <w:highlight w:val="none"/>
              </w:rPr>
              <w:t>，施工期影响在施工结束后自然消除。</w:t>
            </w:r>
          </w:p>
          <w:p w14:paraId="633C91D0">
            <w:pPr>
              <w:keepNext w:val="0"/>
              <w:keepLines w:val="0"/>
              <w:pageBreakBefore w:val="0"/>
              <w:widowControl/>
              <w:suppressLineNumbers w:val="0"/>
              <w:tabs>
                <w:tab w:val="left" w:pos="4005"/>
              </w:tabs>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一、废水防治措施</w:t>
            </w:r>
          </w:p>
          <w:p w14:paraId="4D794DF3">
            <w:pPr>
              <w:pStyle w:val="15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bCs/>
                <w:color w:val="auto"/>
                <w:sz w:val="21"/>
                <w:szCs w:val="21"/>
              </w:rPr>
            </w:pPr>
            <w:r>
              <w:rPr>
                <w:rFonts w:hint="default" w:ascii="Times New Roman" w:hAnsi="Times New Roman" w:cs="Times New Roman"/>
                <w:color w:val="auto"/>
                <w:sz w:val="21"/>
                <w:szCs w:val="21"/>
              </w:rPr>
              <w:t>施工废水</w:t>
            </w:r>
            <w:r>
              <w:rPr>
                <w:rFonts w:hint="eastAsia" w:cs="Times New Roman"/>
                <w:color w:val="auto"/>
                <w:sz w:val="21"/>
                <w:szCs w:val="21"/>
                <w:lang w:val="en-US" w:eastAsia="zh-CN"/>
              </w:rPr>
              <w:t>主要为</w:t>
            </w:r>
            <w:r>
              <w:rPr>
                <w:rFonts w:hint="default" w:ascii="Times New Roman" w:hAnsi="Times New Roman" w:cs="Times New Roman"/>
                <w:color w:val="auto"/>
                <w:sz w:val="21"/>
                <w:szCs w:val="21"/>
              </w:rPr>
              <w:t>生活污水</w:t>
            </w:r>
            <w:r>
              <w:rPr>
                <w:rFonts w:hint="eastAsia" w:cs="Times New Roman"/>
                <w:color w:val="auto"/>
                <w:sz w:val="21"/>
                <w:szCs w:val="21"/>
                <w:lang w:eastAsia="zh-CN"/>
              </w:rPr>
              <w:t>，</w:t>
            </w:r>
            <w:r>
              <w:rPr>
                <w:rFonts w:hint="default" w:ascii="Times New Roman" w:hAnsi="Times New Roman" w:cs="Times New Roman"/>
                <w:color w:val="auto"/>
                <w:sz w:val="21"/>
                <w:szCs w:val="21"/>
              </w:rPr>
              <w:t>生活污水主要为施工人员施工过程中产生的污水，施工人员生活污水排入防渗化粪池，</w:t>
            </w:r>
            <w:r>
              <w:rPr>
                <w:rFonts w:hint="eastAsia" w:ascii="Times New Roman" w:hAnsi="Times New Roman" w:cs="Times New Roman"/>
                <w:color w:val="auto"/>
                <w:sz w:val="21"/>
                <w:szCs w:val="21"/>
                <w:lang w:val="en-US" w:eastAsia="zh-CN"/>
              </w:rPr>
              <w:t>经市政管网排入鸡冠区污水处理厂</w:t>
            </w:r>
            <w:r>
              <w:rPr>
                <w:rFonts w:hint="default" w:ascii="Times New Roman" w:hAnsi="Times New Roman" w:cs="Times New Roman"/>
                <w:color w:val="auto"/>
                <w:sz w:val="21"/>
                <w:szCs w:val="21"/>
              </w:rPr>
              <w:t>。</w:t>
            </w:r>
          </w:p>
          <w:p w14:paraId="7A0AD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Times New Roman" w:hAnsi="Times New Roman" w:cs="Times New Roman"/>
                <w:color w:val="auto"/>
                <w:sz w:val="21"/>
                <w:szCs w:val="21"/>
              </w:rPr>
            </w:pPr>
            <w:r>
              <w:rPr>
                <w:rFonts w:hint="default" w:ascii="Times New Roman" w:hAnsi="Times New Roman" w:cs="Times New Roman"/>
                <w:b/>
                <w:color w:val="auto"/>
                <w:kern w:val="0"/>
                <w:sz w:val="21"/>
                <w:szCs w:val="21"/>
              </w:rPr>
              <w:t>二、废气防治措施</w:t>
            </w:r>
          </w:p>
          <w:p w14:paraId="3C656E4A">
            <w:pPr>
              <w:pStyle w:val="15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（1）施工扬尘</w:t>
            </w:r>
          </w:p>
          <w:p w14:paraId="3BA02B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rPr>
            </w:pPr>
            <w:r>
              <w:rPr>
                <w:rFonts w:hint="default" w:ascii="Segoe UI" w:hAnsi="Segoe UI" w:eastAsia="Segoe UI" w:cs="Segoe UI"/>
                <w:i w:val="0"/>
                <w:iCs w:val="0"/>
                <w:caps w:val="0"/>
                <w:color w:val="auto"/>
                <w:spacing w:val="0"/>
                <w:sz w:val="21"/>
                <w:szCs w:val="21"/>
                <w:shd w:val="clear" w:fill="FFFFFF"/>
              </w:rPr>
              <w:t>施工扬尘主要来源于建筑材料的室内运输、搬运及可能产生的少量建筑垃圾临时堆放。由于施工活动集中于脱水间内，扬尘外逸量很小。通过采取物料遮盖、适时洒水抑尘等措施，对厂区及周边环境空气影响轻微。</w:t>
            </w:r>
          </w:p>
          <w:p w14:paraId="783307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（2）</w:t>
            </w:r>
            <w:r>
              <w:rPr>
                <w:rFonts w:hint="default" w:ascii="Times New Roman" w:hAnsi="Times New Roman" w:eastAsia="宋体" w:cs="Times New Roman"/>
                <w:color w:val="auto"/>
                <w:sz w:val="21"/>
                <w:szCs w:val="21"/>
                <w:highlight w:val="none"/>
              </w:rPr>
              <w:t>机械设备、车辆燃油废气防治措施如下：</w:t>
            </w:r>
          </w:p>
          <w:p w14:paraId="395662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①选用先进的施工机械，减少油耗和燃油废气污染；</w:t>
            </w:r>
          </w:p>
          <w:p w14:paraId="225670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②尽量使用电气化设备，少使用燃油设备；</w:t>
            </w:r>
          </w:p>
          <w:p w14:paraId="572EA3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rPr>
              <w:t>③做好设备的维修和养护工作，使机械设备处于良好的工作状态，减少油耗，同时降低污染</w:t>
            </w:r>
            <w:r>
              <w:rPr>
                <w:rFonts w:hint="default" w:ascii="Times New Roman" w:hAnsi="Times New Roman" w:eastAsia="宋体" w:cs="Times New Roman"/>
                <w:color w:val="auto"/>
                <w:sz w:val="21"/>
                <w:szCs w:val="21"/>
              </w:rPr>
              <w:t>。</w:t>
            </w:r>
          </w:p>
          <w:p w14:paraId="467405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bCs/>
                <w:color w:val="auto"/>
                <w:kern w:val="0"/>
                <w:sz w:val="21"/>
                <w:szCs w:val="21"/>
              </w:rPr>
            </w:pPr>
            <w:r>
              <w:rPr>
                <w:rFonts w:hint="default" w:ascii="Times New Roman" w:hAnsi="Times New Roman" w:cs="Times New Roman"/>
                <w:color w:val="auto"/>
                <w:sz w:val="21"/>
                <w:szCs w:val="21"/>
              </w:rPr>
              <w:t>采取上述措施后，</w:t>
            </w:r>
            <w:r>
              <w:rPr>
                <w:rFonts w:hint="default" w:ascii="Times New Roman" w:hAnsi="Times New Roman" w:cs="Times New Roman"/>
                <w:color w:val="auto"/>
                <w:kern w:val="0"/>
                <w:sz w:val="21"/>
                <w:szCs w:val="21"/>
              </w:rPr>
              <w:t>施工废气排放浓度能够满足《大气污染物综合排放标准》（GB16297-1996）表2中无组织排放要求。</w:t>
            </w:r>
            <w:r>
              <w:rPr>
                <w:rFonts w:hint="default" w:ascii="Times New Roman" w:hAnsi="Times New Roman" w:cs="Times New Roman"/>
                <w:color w:val="auto"/>
                <w:sz w:val="21"/>
                <w:szCs w:val="21"/>
              </w:rPr>
              <w:t>施工期对大气环境的影响是暂时的，随着施工活动结束，影响消除，不会遗留环境问题。本项目采取的环保措施可行。</w:t>
            </w:r>
          </w:p>
          <w:p w14:paraId="43C192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三、噪声防治措施</w:t>
            </w:r>
          </w:p>
          <w:p w14:paraId="31EE97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施工期间，运输车辆和各种机械，设备安装都是主要的噪声源，噪声源强在75~85dB（A）。建议在施工期间采取以下相应措施降低噪声：</w:t>
            </w:r>
          </w:p>
          <w:p w14:paraId="7BA630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1、加强施工管理，合理安排作业时间，严格按照施工噪声管理的有关规定；</w:t>
            </w:r>
          </w:p>
          <w:p w14:paraId="2121F6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2、尽量采用低噪声施工设备和噪声低的施工方法；</w:t>
            </w:r>
          </w:p>
          <w:p w14:paraId="6438D9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3、</w:t>
            </w:r>
            <w:r>
              <w:rPr>
                <w:rFonts w:hint="default" w:ascii="Times New Roman" w:hAnsi="Times New Roman" w:eastAsia="宋体" w:cs="Times New Roman"/>
                <w:i w:val="0"/>
                <w:iCs w:val="0"/>
                <w:caps w:val="0"/>
                <w:color w:val="auto"/>
                <w:spacing w:val="0"/>
                <w:sz w:val="21"/>
                <w:szCs w:val="21"/>
                <w:shd w:val="clear" w:fill="FFFFFF"/>
              </w:rPr>
              <w:t>由于主要声源位于厂房内，厂房墙体具有一定的隔声作用</w:t>
            </w:r>
            <w:r>
              <w:rPr>
                <w:rFonts w:hint="default" w:ascii="Times New Roman" w:hAnsi="Times New Roman" w:eastAsia="宋体" w:cs="Times New Roman"/>
                <w:color w:val="auto"/>
                <w:kern w:val="0"/>
                <w:sz w:val="21"/>
                <w:szCs w:val="21"/>
              </w:rPr>
              <w:t>；</w:t>
            </w:r>
          </w:p>
          <w:p w14:paraId="34EE79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4、加强运输车辆的管理，建材等运输在白天进行，并控制车辆鸣笛，禁止22:00-6:00时间段内运输和施工。</w:t>
            </w:r>
          </w:p>
          <w:p w14:paraId="2E6A2437">
            <w:pPr>
              <w:pStyle w:val="5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同时施工期合理安排施工作业，选用低噪声设备，在高噪声施工设备周围设置围挡，施工期噪声能够满足</w:t>
            </w:r>
            <w:r>
              <w:rPr>
                <w:rFonts w:hint="default" w:ascii="Times New Roman" w:hAnsi="Times New Roman" w:eastAsia="宋体" w:cs="Times New Roman"/>
                <w:color w:val="auto"/>
                <w:sz w:val="21"/>
                <w:szCs w:val="21"/>
              </w:rPr>
              <w:t>《建筑施工噪声排放标准》（GB12523-2025）</w:t>
            </w:r>
            <w:r>
              <w:rPr>
                <w:rFonts w:hint="default" w:ascii="Times New Roman" w:hAnsi="Times New Roman" w:eastAsia="宋体" w:cs="Times New Roman"/>
                <w:color w:val="auto"/>
                <w:sz w:val="21"/>
                <w:szCs w:val="21"/>
              </w:rPr>
              <w:t>相关标准，对周边声环境影响较小。</w:t>
            </w:r>
          </w:p>
          <w:p w14:paraId="3527B5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四、固体废物防治措施</w:t>
            </w:r>
          </w:p>
          <w:p w14:paraId="1CDDBC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本项目施工期产生的固体废物主要是施工期建筑垃圾、施工人员生活垃圾、</w:t>
            </w:r>
            <w:r>
              <w:rPr>
                <w:rFonts w:hint="eastAsia" w:cs="Times New Roman"/>
                <w:color w:val="auto"/>
                <w:kern w:val="0"/>
                <w:sz w:val="21"/>
                <w:szCs w:val="21"/>
                <w:lang w:val="en-US" w:eastAsia="zh-CN"/>
              </w:rPr>
              <w:t>脱水间更换下来的老旧设备</w:t>
            </w:r>
            <w:r>
              <w:rPr>
                <w:rFonts w:hint="default" w:ascii="Times New Roman" w:hAnsi="Times New Roman" w:cs="Times New Roman"/>
                <w:color w:val="auto"/>
                <w:kern w:val="0"/>
                <w:sz w:val="21"/>
                <w:szCs w:val="21"/>
              </w:rPr>
              <w:t>。</w:t>
            </w:r>
          </w:p>
          <w:p w14:paraId="06627F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1、施工建筑垃圾</w:t>
            </w:r>
          </w:p>
          <w:p w14:paraId="3F4170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本项目施工期固废主要为建筑垃圾，本项目产生的建筑垃圾应及时清运至指定地点处置，防止建筑垃圾对环境的影响。</w:t>
            </w:r>
          </w:p>
          <w:p w14:paraId="1AB0FE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2、生活垃圾</w:t>
            </w:r>
          </w:p>
          <w:p w14:paraId="594147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sz w:val="21"/>
                <w:szCs w:val="21"/>
              </w:rPr>
              <w:t>施工人员生活垃圾由环卫部门定期清理</w:t>
            </w:r>
            <w:r>
              <w:rPr>
                <w:rFonts w:hint="default" w:ascii="Times New Roman" w:hAnsi="Times New Roman" w:cs="Times New Roman"/>
                <w:color w:val="auto"/>
                <w:kern w:val="0"/>
                <w:sz w:val="21"/>
                <w:szCs w:val="21"/>
              </w:rPr>
              <w:t>。</w:t>
            </w:r>
          </w:p>
          <w:p w14:paraId="7E694B56">
            <w:pPr>
              <w:pStyle w:val="5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default" w:ascii="Times New Roman" w:hAnsi="Times New Roman" w:cs="Times New Roman"/>
                <w:color w:val="auto"/>
                <w:sz w:val="21"/>
                <w:szCs w:val="21"/>
              </w:rPr>
            </w:pPr>
            <w:r>
              <w:rPr>
                <w:rFonts w:hint="eastAsia" w:cs="Times New Roman"/>
                <w:color w:val="auto"/>
                <w:kern w:val="0"/>
                <w:sz w:val="21"/>
                <w:szCs w:val="21"/>
                <w:lang w:val="en-US" w:eastAsia="zh-CN"/>
              </w:rPr>
              <w:t>脱水间更换下来的老旧设备外售</w:t>
            </w:r>
            <w:r>
              <w:rPr>
                <w:rFonts w:hint="default" w:ascii="Times New Roman" w:hAnsi="Times New Roman" w:cs="Times New Roman"/>
                <w:color w:val="auto"/>
                <w:sz w:val="21"/>
                <w:szCs w:val="21"/>
              </w:rPr>
              <w:t>。</w:t>
            </w:r>
          </w:p>
          <w:p w14:paraId="12CD3DCE">
            <w:pPr>
              <w:keepNext w:val="0"/>
              <w:keepLines w:val="0"/>
              <w:pageBreakBefore w:val="0"/>
              <w:widowControl/>
              <w:numPr>
                <w:ilvl w:val="255"/>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bCs/>
                <w:color w:val="auto"/>
                <w:sz w:val="21"/>
                <w:szCs w:val="21"/>
              </w:rPr>
            </w:pPr>
            <w:r>
              <w:rPr>
                <w:rFonts w:hint="default" w:ascii="Times New Roman" w:hAnsi="Times New Roman" w:cs="Times New Roman"/>
                <w:color w:val="auto"/>
                <w:sz w:val="21"/>
                <w:szCs w:val="21"/>
              </w:rPr>
              <w:t>综上所述，本项目施工期产生的固体废物均能无害化处置。</w:t>
            </w:r>
          </w:p>
          <w:p w14:paraId="34814E0F">
            <w:pPr>
              <w:pStyle w:val="15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80" w:firstLineChars="200"/>
              <w:textAlignment w:val="auto"/>
              <w:rPr>
                <w:rFonts w:hint="eastAsia" w:eastAsia="宋体"/>
                <w:bCs/>
                <w:color w:val="auto"/>
                <w:spacing w:val="-10"/>
                <w:szCs w:val="21"/>
                <w:highlight w:val="none"/>
                <w:lang w:val="en-US" w:eastAsia="zh-CN"/>
              </w:rPr>
            </w:pPr>
          </w:p>
        </w:tc>
      </w:tr>
      <w:tr w14:paraId="561A06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45" w:hRule="atLeast"/>
          <w:jc w:val="center"/>
        </w:trPr>
        <w:tc>
          <w:tcPr>
            <w:tcW w:w="799" w:type="dxa"/>
            <w:noWrap w:val="0"/>
            <w:tcMar>
              <w:left w:w="28" w:type="dxa"/>
              <w:right w:w="28" w:type="dxa"/>
            </w:tcMar>
            <w:vAlign w:val="center"/>
          </w:tcPr>
          <w:p w14:paraId="0446BE66">
            <w:pPr>
              <w:keepNext w:val="0"/>
              <w:keepLines w:val="0"/>
              <w:suppressLineNumbers w:val="0"/>
              <w:adjustRightInd w:val="0"/>
              <w:snapToGrid w:val="0"/>
              <w:spacing w:before="0" w:beforeAutospacing="0" w:after="0" w:afterAutospacing="0"/>
              <w:ind w:left="0" w:right="0"/>
              <w:jc w:val="center"/>
              <w:rPr>
                <w:rFonts w:hint="default"/>
                <w:bCs/>
                <w:color w:val="auto"/>
                <w:szCs w:val="21"/>
                <w:highlight w:val="none"/>
              </w:rPr>
            </w:pPr>
            <w:r>
              <w:rPr>
                <w:rFonts w:hint="default"/>
                <w:bCs/>
                <w:color w:val="auto"/>
                <w:szCs w:val="21"/>
                <w:highlight w:val="none"/>
              </w:rPr>
              <w:t>运营</w:t>
            </w:r>
          </w:p>
          <w:p w14:paraId="2412E684">
            <w:pPr>
              <w:keepNext w:val="0"/>
              <w:keepLines w:val="0"/>
              <w:suppressLineNumbers w:val="0"/>
              <w:adjustRightInd w:val="0"/>
              <w:snapToGrid w:val="0"/>
              <w:spacing w:before="0" w:beforeAutospacing="0" w:after="0" w:afterAutospacing="0"/>
              <w:ind w:left="0" w:right="0"/>
              <w:jc w:val="center"/>
              <w:rPr>
                <w:rFonts w:hint="default"/>
                <w:bCs/>
                <w:color w:val="auto"/>
                <w:szCs w:val="21"/>
                <w:highlight w:val="none"/>
              </w:rPr>
            </w:pPr>
            <w:r>
              <w:rPr>
                <w:rFonts w:hint="default"/>
                <w:bCs/>
                <w:color w:val="auto"/>
                <w:szCs w:val="21"/>
                <w:highlight w:val="none"/>
              </w:rPr>
              <w:t>期环</w:t>
            </w:r>
          </w:p>
          <w:p w14:paraId="43D2CC30">
            <w:pPr>
              <w:keepNext w:val="0"/>
              <w:keepLines w:val="0"/>
              <w:suppressLineNumbers w:val="0"/>
              <w:adjustRightInd w:val="0"/>
              <w:snapToGrid w:val="0"/>
              <w:spacing w:before="0" w:beforeAutospacing="0" w:after="0" w:afterAutospacing="0"/>
              <w:ind w:left="0" w:right="0"/>
              <w:jc w:val="center"/>
              <w:rPr>
                <w:rFonts w:hint="default"/>
                <w:bCs/>
                <w:color w:val="auto"/>
                <w:szCs w:val="21"/>
                <w:highlight w:val="none"/>
              </w:rPr>
            </w:pPr>
            <w:r>
              <w:rPr>
                <w:rFonts w:hint="default"/>
                <w:bCs/>
                <w:color w:val="auto"/>
                <w:szCs w:val="21"/>
                <w:highlight w:val="none"/>
              </w:rPr>
              <w:t>境影</w:t>
            </w:r>
          </w:p>
          <w:p w14:paraId="0DFE2F06">
            <w:pPr>
              <w:keepNext w:val="0"/>
              <w:keepLines w:val="0"/>
              <w:suppressLineNumbers w:val="0"/>
              <w:adjustRightInd w:val="0"/>
              <w:snapToGrid w:val="0"/>
              <w:spacing w:before="0" w:beforeAutospacing="0" w:after="0" w:afterAutospacing="0"/>
              <w:ind w:left="0" w:right="0"/>
              <w:jc w:val="center"/>
              <w:rPr>
                <w:rFonts w:hint="default"/>
                <w:bCs/>
                <w:color w:val="auto"/>
                <w:szCs w:val="21"/>
                <w:highlight w:val="none"/>
              </w:rPr>
            </w:pPr>
            <w:r>
              <w:rPr>
                <w:rFonts w:hint="default"/>
                <w:bCs/>
                <w:color w:val="auto"/>
                <w:szCs w:val="21"/>
                <w:highlight w:val="none"/>
              </w:rPr>
              <w:t>响和</w:t>
            </w:r>
          </w:p>
          <w:p w14:paraId="070F8FB0">
            <w:pPr>
              <w:keepNext w:val="0"/>
              <w:keepLines w:val="0"/>
              <w:suppressLineNumbers w:val="0"/>
              <w:adjustRightInd w:val="0"/>
              <w:snapToGrid w:val="0"/>
              <w:spacing w:before="0" w:beforeAutospacing="0" w:after="0" w:afterAutospacing="0"/>
              <w:ind w:left="0" w:right="0"/>
              <w:jc w:val="center"/>
              <w:rPr>
                <w:rFonts w:hint="default"/>
                <w:bCs/>
                <w:color w:val="auto"/>
                <w:szCs w:val="21"/>
                <w:highlight w:val="none"/>
              </w:rPr>
            </w:pPr>
            <w:r>
              <w:rPr>
                <w:rFonts w:hint="default"/>
                <w:bCs/>
                <w:color w:val="auto"/>
                <w:szCs w:val="21"/>
                <w:highlight w:val="none"/>
              </w:rPr>
              <w:t>保护</w:t>
            </w:r>
          </w:p>
          <w:p w14:paraId="54D53061">
            <w:pPr>
              <w:keepNext w:val="0"/>
              <w:keepLines w:val="0"/>
              <w:suppressLineNumbers w:val="0"/>
              <w:adjustRightInd w:val="0"/>
              <w:snapToGrid w:val="0"/>
              <w:spacing w:before="0" w:beforeAutospacing="0" w:after="0" w:afterAutospacing="0"/>
              <w:ind w:left="0" w:right="0"/>
              <w:jc w:val="center"/>
              <w:rPr>
                <w:rFonts w:hint="default"/>
                <w:bCs/>
                <w:color w:val="auto"/>
                <w:szCs w:val="21"/>
                <w:highlight w:val="none"/>
              </w:rPr>
            </w:pPr>
            <w:r>
              <w:rPr>
                <w:rFonts w:hint="default"/>
                <w:bCs/>
                <w:color w:val="auto"/>
                <w:szCs w:val="21"/>
                <w:highlight w:val="none"/>
              </w:rPr>
              <w:t>措施</w:t>
            </w:r>
          </w:p>
        </w:tc>
        <w:tc>
          <w:tcPr>
            <w:tcW w:w="8254" w:type="dxa"/>
            <w:noWrap w:val="0"/>
            <w:vAlign w:val="top"/>
          </w:tcPr>
          <w:p w14:paraId="211469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Times New Roman" w:hAnsi="Times New Roman" w:cs="Times New Roman"/>
                <w:b/>
                <w:bCs/>
                <w:color w:val="auto"/>
                <w:kern w:val="21"/>
                <w:sz w:val="21"/>
                <w:szCs w:val="21"/>
                <w:highlight w:val="none"/>
              </w:rPr>
            </w:pPr>
            <w:r>
              <w:rPr>
                <w:rFonts w:hint="default" w:ascii="Times New Roman" w:hAnsi="Times New Roman" w:cs="Times New Roman"/>
                <w:b/>
                <w:bCs/>
                <w:color w:val="auto"/>
                <w:kern w:val="21"/>
                <w:sz w:val="21"/>
                <w:szCs w:val="21"/>
                <w:highlight w:val="none"/>
              </w:rPr>
              <w:t>1、废气</w:t>
            </w:r>
          </w:p>
          <w:p w14:paraId="6A9B56D5">
            <w:pPr>
              <w:pStyle w:val="1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pacing w:val="0"/>
                <w:sz w:val="21"/>
                <w:szCs w:val="21"/>
                <w:lang w:val="en-US" w:eastAsia="zh-CN"/>
              </w:rPr>
              <w:t>本项目运营期</w:t>
            </w:r>
            <w:r>
              <w:rPr>
                <w:rFonts w:hint="default" w:ascii="Times New Roman" w:hAnsi="Times New Roman" w:eastAsia="宋体" w:cs="Times New Roman"/>
                <w:color w:val="auto"/>
                <w:spacing w:val="0"/>
                <w:sz w:val="21"/>
                <w:szCs w:val="21"/>
                <w:lang w:val="en-US" w:eastAsia="zh-CN"/>
              </w:rPr>
              <w:t>净</w:t>
            </w:r>
            <w:r>
              <w:rPr>
                <w:rFonts w:hint="default" w:ascii="Times New Roman" w:hAnsi="Times New Roman" w:eastAsia="宋体" w:cs="Times New Roman"/>
                <w:color w:val="auto"/>
                <w:spacing w:val="0"/>
                <w:kern w:val="0"/>
                <w:sz w:val="21"/>
                <w:szCs w:val="21"/>
              </w:rPr>
              <w:t>水厂生产过程中不会排放生产废气，加氯间仅有少量游离的Cl产生；在污泥处理区的贮泥池、浓缩池、</w:t>
            </w:r>
            <w:r>
              <w:rPr>
                <w:rFonts w:hint="default" w:ascii="Times New Roman" w:hAnsi="Times New Roman" w:eastAsia="宋体" w:cs="Times New Roman"/>
                <w:color w:val="auto"/>
                <w:spacing w:val="0"/>
                <w:kern w:val="0"/>
                <w:sz w:val="21"/>
                <w:szCs w:val="21"/>
              </w:rPr>
              <w:t>污泥浓缩脱水间</w:t>
            </w:r>
            <w:r>
              <w:rPr>
                <w:rFonts w:hint="eastAsia" w:cs="Times New Roman"/>
                <w:color w:val="auto"/>
                <w:spacing w:val="0"/>
                <w:kern w:val="0"/>
                <w:sz w:val="21"/>
                <w:szCs w:val="21"/>
                <w:lang w:eastAsia="zh-CN"/>
              </w:rPr>
              <w:t>、</w:t>
            </w:r>
            <w:r>
              <w:rPr>
                <w:rFonts w:hint="eastAsia" w:cs="Times New Roman"/>
                <w:color w:val="auto"/>
                <w:spacing w:val="0"/>
                <w:kern w:val="0"/>
                <w:sz w:val="21"/>
                <w:szCs w:val="21"/>
                <w:lang w:val="en-US" w:eastAsia="zh-CN"/>
              </w:rPr>
              <w:t>污泥暂存库</w:t>
            </w:r>
            <w:r>
              <w:rPr>
                <w:rFonts w:hint="default" w:ascii="Times New Roman" w:hAnsi="Times New Roman" w:eastAsia="宋体" w:cs="Times New Roman"/>
                <w:color w:val="auto"/>
                <w:spacing w:val="0"/>
                <w:kern w:val="0"/>
                <w:sz w:val="21"/>
                <w:szCs w:val="21"/>
              </w:rPr>
              <w:t>等会产生轻微的臭味，因比较轻微，且本工程稳压配水间通风次数为2次/h</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设置1台轴流通风机。滤池间通风次数为3次/h, 设置2台轴流通风机。加氯、加药间通风次数为8次h</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设置6台轴流通风机。污泥脱水间</w:t>
            </w:r>
            <w:r>
              <w:rPr>
                <w:rFonts w:hint="eastAsia" w:cs="Times New Roman"/>
                <w:color w:val="auto"/>
                <w:spacing w:val="0"/>
                <w:kern w:val="0"/>
                <w:sz w:val="21"/>
                <w:szCs w:val="21"/>
                <w:lang w:eastAsia="zh-CN"/>
              </w:rPr>
              <w:t>（</w:t>
            </w:r>
            <w:r>
              <w:rPr>
                <w:rFonts w:hint="eastAsia" w:cs="Times New Roman"/>
                <w:color w:val="auto"/>
                <w:spacing w:val="0"/>
                <w:kern w:val="0"/>
                <w:sz w:val="21"/>
                <w:szCs w:val="21"/>
                <w:lang w:val="en-US" w:eastAsia="zh-CN"/>
              </w:rPr>
              <w:t>包括污泥暂存库</w:t>
            </w:r>
            <w:r>
              <w:rPr>
                <w:rFonts w:hint="eastAsia"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通风次数为8次/h</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设置5台轴流通风机。经上述措施，同时加强室内通风及厂区绿化</w:t>
            </w:r>
            <w:r>
              <w:rPr>
                <w:rFonts w:hint="default" w:ascii="Times New Roman" w:hAnsi="Times New Roman" w:eastAsia="宋体" w:cs="Times New Roman"/>
                <w:color w:val="auto"/>
                <w:spacing w:val="0"/>
                <w:kern w:val="0"/>
                <w:sz w:val="21"/>
                <w:szCs w:val="21"/>
                <w:lang w:val="en-US" w:eastAsia="zh-CN"/>
              </w:rPr>
              <w:t>隔离稀释</w:t>
            </w:r>
            <w:r>
              <w:rPr>
                <w:rFonts w:hint="default" w:ascii="Times New Roman" w:hAnsi="Times New Roman" w:eastAsia="宋体" w:cs="Times New Roman"/>
                <w:color w:val="auto"/>
                <w:spacing w:val="0"/>
                <w:kern w:val="0"/>
                <w:sz w:val="21"/>
                <w:szCs w:val="21"/>
              </w:rPr>
              <w:t>，游离氯厂界浓度可满足《大气污染物综合排放标准》</w:t>
            </w:r>
            <w:r>
              <w:rPr>
                <w:rFonts w:hint="eastAsia" w:ascii="Times New Roman" w:hAnsi="Times New Roman"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GB16297-1996</w:t>
            </w:r>
            <w:r>
              <w:rPr>
                <w:rFonts w:hint="eastAsia" w:ascii="Times New Roman" w:hAnsi="Times New Roman"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中无组织排放监控浓度限值要求</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氨、硫化氢、臭气浓度满足《恶臭污染物排放标准》 (GB14554-93)  表一限值要求</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lang w:val="en-US" w:eastAsia="zh-CN"/>
              </w:rPr>
              <w:t>食堂油烟经油烟净化器（处理效率75%）处理后</w:t>
            </w:r>
            <w:r>
              <w:rPr>
                <w:rFonts w:hint="default" w:ascii="Times New Roman" w:hAnsi="Times New Roman" w:eastAsia="宋体" w:cs="Times New Roman"/>
                <w:color w:val="auto"/>
                <w:spacing w:val="0"/>
                <w:sz w:val="21"/>
                <w:szCs w:val="21"/>
              </w:rPr>
              <w:t>由专用烟道高于楼顶排放</w:t>
            </w: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油烟排放</w:t>
            </w:r>
            <w:r>
              <w:rPr>
                <w:rFonts w:hint="default" w:ascii="Times New Roman" w:hAnsi="Times New Roman" w:eastAsia="宋体" w:cs="Times New Roman"/>
                <w:color w:val="auto"/>
                <w:spacing w:val="0"/>
                <w:sz w:val="21"/>
                <w:szCs w:val="21"/>
                <w:lang w:val="en-US" w:eastAsia="zh-CN"/>
              </w:rPr>
              <w:t>满足</w:t>
            </w:r>
            <w:r>
              <w:rPr>
                <w:rFonts w:hint="default" w:ascii="Times New Roman" w:hAnsi="Times New Roman" w:eastAsia="宋体" w:cs="Times New Roman"/>
                <w:color w:val="auto"/>
                <w:spacing w:val="0"/>
                <w:sz w:val="21"/>
                <w:szCs w:val="21"/>
              </w:rPr>
              <w:t>《饮食业油烟排放标准》</w:t>
            </w:r>
            <w:r>
              <w:rPr>
                <w:rFonts w:hint="eastAsia" w:ascii="Times New Roman" w:hAnsi="Times New Roman" w:cs="Times New Roman"/>
                <w:color w:val="auto"/>
                <w:spacing w:val="0"/>
                <w:sz w:val="21"/>
                <w:szCs w:val="21"/>
                <w:lang w:eastAsia="zh-CN"/>
              </w:rPr>
              <w:t>（</w:t>
            </w:r>
            <w:r>
              <w:rPr>
                <w:rFonts w:hint="default" w:ascii="Times New Roman" w:hAnsi="Times New Roman" w:eastAsia="宋体" w:cs="Times New Roman"/>
                <w:color w:val="auto"/>
                <w:spacing w:val="0"/>
                <w:sz w:val="21"/>
                <w:szCs w:val="21"/>
              </w:rPr>
              <w:t>试行GB18483-2001</w:t>
            </w:r>
            <w:r>
              <w:rPr>
                <w:rFonts w:hint="eastAsia" w:ascii="Times New Roman" w:hAnsi="Times New Roman" w:cs="Times New Roman"/>
                <w:color w:val="auto"/>
                <w:spacing w:val="0"/>
                <w:sz w:val="21"/>
                <w:szCs w:val="21"/>
                <w:lang w:eastAsia="zh-CN"/>
              </w:rPr>
              <w:t>）</w:t>
            </w:r>
            <w:r>
              <w:rPr>
                <w:rFonts w:hint="default" w:ascii="Times New Roman" w:hAnsi="Times New Roman" w:eastAsia="宋体" w:cs="Times New Roman"/>
                <w:color w:val="auto"/>
                <w:spacing w:val="0"/>
                <w:sz w:val="21"/>
                <w:szCs w:val="21"/>
              </w:rPr>
              <w:t>中最高允许排放浓度2.0mg/m³。</w:t>
            </w:r>
            <w:r>
              <w:rPr>
                <w:rFonts w:hint="default" w:ascii="Times New Roman" w:hAnsi="Times New Roman" w:cs="Times New Roman"/>
                <w:color w:val="auto"/>
                <w:sz w:val="21"/>
                <w:szCs w:val="21"/>
                <w:highlight w:val="none"/>
                <w:lang w:val="en-US" w:eastAsia="zh-CN"/>
              </w:rPr>
              <w:t>废气监测计划</w:t>
            </w:r>
            <w:r>
              <w:rPr>
                <w:rFonts w:hint="eastAsia" w:ascii="Times New Roman" w:hAnsi="Times New Roman" w:cs="Times New Roman"/>
                <w:color w:val="auto"/>
                <w:sz w:val="21"/>
                <w:szCs w:val="21"/>
                <w:highlight w:val="none"/>
                <w:lang w:val="en-US" w:eastAsia="zh-CN"/>
              </w:rPr>
              <w:t>详见</w:t>
            </w:r>
            <w:r>
              <w:rPr>
                <w:rFonts w:hint="default" w:ascii="Times New Roman" w:hAnsi="Times New Roman" w:cs="Times New Roman"/>
                <w:color w:val="auto"/>
                <w:sz w:val="21"/>
                <w:szCs w:val="21"/>
                <w:highlight w:val="none"/>
                <w:lang w:val="en-US" w:eastAsia="zh-CN"/>
              </w:rPr>
              <w:t>表4-1。</w:t>
            </w:r>
          </w:p>
          <w:p w14:paraId="581299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eastAsia="宋体"/>
                <w:color w:val="auto"/>
                <w:kern w:val="0"/>
                <w:sz w:val="21"/>
                <w:lang w:val="en-US" w:eastAsia="zh-CN"/>
              </w:rPr>
            </w:pPr>
            <w:r>
              <w:rPr>
                <w:rFonts w:hint="default" w:ascii="Times New Roman" w:hAnsi="Times New Roman" w:cs="Times New Roman"/>
                <w:b/>
                <w:color w:val="auto"/>
                <w:kern w:val="0"/>
                <w:sz w:val="21"/>
                <w:szCs w:val="21"/>
                <w:highlight w:val="none"/>
              </w:rPr>
              <w:t>表4</w:t>
            </w:r>
            <w:r>
              <w:rPr>
                <w:rFonts w:hint="eastAsia" w:cs="Times New Roman"/>
                <w:b/>
                <w:color w:val="auto"/>
                <w:kern w:val="0"/>
                <w:sz w:val="21"/>
                <w:szCs w:val="21"/>
                <w:highlight w:val="none"/>
                <w:lang w:val="en-US" w:eastAsia="zh-CN"/>
              </w:rPr>
              <w:t>-1</w:t>
            </w:r>
            <w:r>
              <w:rPr>
                <w:rFonts w:hint="eastAsia"/>
                <w:b/>
                <w:bCs/>
                <w:color w:val="auto"/>
                <w:kern w:val="0"/>
                <w:sz w:val="21"/>
                <w:szCs w:val="21"/>
                <w:highlight w:val="none"/>
                <w:lang w:val="en-US" w:eastAsia="zh-CN"/>
              </w:rPr>
              <w:t>厂界废气监测计划表</w:t>
            </w:r>
          </w:p>
          <w:tbl>
            <w:tblPr>
              <w:tblStyle w:val="36"/>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677"/>
              <w:gridCol w:w="2681"/>
              <w:gridCol w:w="2680"/>
            </w:tblGrid>
            <w:tr w14:paraId="5844ECC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54" w:hRule="atLeast"/>
              </w:trPr>
              <w:tc>
                <w:tcPr>
                  <w:tcW w:w="2698" w:type="dxa"/>
                  <w:tcBorders>
                    <w:tl2br w:val="nil"/>
                    <w:tr2bl w:val="nil"/>
                  </w:tcBorders>
                  <w:vAlign w:val="top"/>
                </w:tcPr>
                <w:p w14:paraId="0E0ECD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监测点位</w:t>
                  </w:r>
                </w:p>
              </w:tc>
              <w:tc>
                <w:tcPr>
                  <w:tcW w:w="2700" w:type="dxa"/>
                  <w:tcBorders>
                    <w:tl2br w:val="nil"/>
                    <w:tr2bl w:val="nil"/>
                  </w:tcBorders>
                  <w:vAlign w:val="top"/>
                </w:tcPr>
                <w:p w14:paraId="445303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监测因子</w:t>
                  </w:r>
                </w:p>
              </w:tc>
              <w:tc>
                <w:tcPr>
                  <w:tcW w:w="2701" w:type="dxa"/>
                  <w:tcBorders>
                    <w:tl2br w:val="nil"/>
                    <w:tr2bl w:val="nil"/>
                  </w:tcBorders>
                  <w:vAlign w:val="top"/>
                </w:tcPr>
                <w:p w14:paraId="376066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监测频次</w:t>
                  </w:r>
                </w:p>
              </w:tc>
            </w:tr>
            <w:tr w14:paraId="786E511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2698" w:type="dxa"/>
                  <w:tcBorders>
                    <w:tl2br w:val="nil"/>
                    <w:tr2bl w:val="nil"/>
                  </w:tcBorders>
                  <w:vAlign w:val="top"/>
                </w:tcPr>
                <w:p w14:paraId="1EB523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厂界</w:t>
                  </w:r>
                </w:p>
              </w:tc>
              <w:tc>
                <w:tcPr>
                  <w:tcW w:w="2700" w:type="dxa"/>
                  <w:tcBorders>
                    <w:tl2br w:val="nil"/>
                    <w:tr2bl w:val="nil"/>
                  </w:tcBorders>
                  <w:vAlign w:val="top"/>
                </w:tcPr>
                <w:p w14:paraId="3C1451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氨、硫化氢、</w:t>
                  </w:r>
                  <w:r>
                    <w:rPr>
                      <w:rFonts w:hint="eastAsia" w:ascii="Times New Roman" w:hAnsi="Times New Roman" w:eastAsia="宋体" w:cs="Times New Roman"/>
                      <w:color w:val="auto"/>
                      <w:sz w:val="18"/>
                      <w:szCs w:val="18"/>
                      <w:highlight w:val="none"/>
                      <w:lang w:val="en-US" w:eastAsia="zh-CN"/>
                    </w:rPr>
                    <w:t>臭气浓度</w:t>
                  </w:r>
                  <w:r>
                    <w:rPr>
                      <w:rFonts w:hint="eastAsia" w:cs="Times New Roman"/>
                      <w:color w:val="auto"/>
                      <w:sz w:val="18"/>
                      <w:szCs w:val="18"/>
                      <w:highlight w:val="none"/>
                      <w:lang w:val="en-US" w:eastAsia="zh-CN"/>
                    </w:rPr>
                    <w:t>、氯气</w:t>
                  </w:r>
                </w:p>
              </w:tc>
              <w:tc>
                <w:tcPr>
                  <w:tcW w:w="2701" w:type="dxa"/>
                  <w:tcBorders>
                    <w:tl2br w:val="nil"/>
                    <w:tr2bl w:val="nil"/>
                  </w:tcBorders>
                  <w:vAlign w:val="top"/>
                </w:tcPr>
                <w:p w14:paraId="0DAE3D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1次/年</w:t>
                  </w:r>
                </w:p>
              </w:tc>
            </w:tr>
          </w:tbl>
          <w:p w14:paraId="665308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2、废水</w:t>
            </w:r>
          </w:p>
          <w:p w14:paraId="640892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b/>
                <w:color w:val="auto"/>
                <w:szCs w:val="21"/>
                <w:highlight w:val="none"/>
              </w:rPr>
            </w:pPr>
            <w:r>
              <w:rPr>
                <w:rFonts w:hint="default" w:ascii="Times New Roman" w:hAnsi="Times New Roman" w:cs="Times New Roman"/>
                <w:bCs/>
                <w:color w:val="auto"/>
                <w:szCs w:val="21"/>
                <w:highlight w:val="none"/>
              </w:rPr>
              <w:t>（1）废水源强详见表4-</w:t>
            </w:r>
            <w:r>
              <w:rPr>
                <w:rFonts w:hint="eastAsia" w:cs="Times New Roman"/>
                <w:bCs/>
                <w:color w:val="auto"/>
                <w:szCs w:val="21"/>
                <w:highlight w:val="none"/>
                <w:lang w:val="en-US" w:eastAsia="zh-CN"/>
              </w:rPr>
              <w:t>2</w:t>
            </w:r>
            <w:r>
              <w:rPr>
                <w:rFonts w:hint="default" w:ascii="Times New Roman" w:hAnsi="Times New Roman" w:cs="Times New Roman"/>
                <w:bCs/>
                <w:color w:val="auto"/>
                <w:szCs w:val="21"/>
                <w:highlight w:val="none"/>
              </w:rPr>
              <w:t>。</w:t>
            </w:r>
          </w:p>
          <w:p w14:paraId="1EBEDF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auto"/>
                <w:kern w:val="0"/>
                <w:sz w:val="21"/>
                <w:szCs w:val="21"/>
                <w:highlight w:val="none"/>
              </w:rPr>
            </w:pPr>
            <w:r>
              <w:rPr>
                <w:rFonts w:hint="default" w:ascii="Times New Roman" w:hAnsi="Times New Roman" w:cs="Times New Roman"/>
                <w:b/>
                <w:color w:val="auto"/>
                <w:kern w:val="0"/>
                <w:sz w:val="21"/>
                <w:szCs w:val="21"/>
                <w:highlight w:val="none"/>
              </w:rPr>
              <w:t>表4</w:t>
            </w:r>
            <w:r>
              <w:rPr>
                <w:rFonts w:hint="eastAsia" w:cs="Times New Roman"/>
                <w:b/>
                <w:color w:val="auto"/>
                <w:kern w:val="0"/>
                <w:sz w:val="21"/>
                <w:szCs w:val="21"/>
                <w:highlight w:val="none"/>
                <w:lang w:val="en-US" w:eastAsia="zh-CN"/>
              </w:rPr>
              <w:t>-2</w:t>
            </w:r>
            <w:r>
              <w:rPr>
                <w:rFonts w:hint="default"/>
                <w:b/>
                <w:bCs/>
                <w:color w:val="auto"/>
                <w:kern w:val="0"/>
                <w:sz w:val="21"/>
                <w:szCs w:val="21"/>
                <w:highlight w:val="none"/>
              </w:rPr>
              <w:t>废水污染源源强核算结果及相关参数一览表</w:t>
            </w:r>
          </w:p>
          <w:tbl>
            <w:tblPr>
              <w:tblStyle w:val="35"/>
              <w:tblW w:w="4998"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96"/>
              <w:gridCol w:w="525"/>
              <w:gridCol w:w="655"/>
              <w:gridCol w:w="396"/>
              <w:gridCol w:w="1071"/>
              <w:gridCol w:w="621"/>
              <w:gridCol w:w="621"/>
              <w:gridCol w:w="576"/>
              <w:gridCol w:w="531"/>
              <w:gridCol w:w="396"/>
              <w:gridCol w:w="1071"/>
              <w:gridCol w:w="606"/>
              <w:gridCol w:w="570"/>
            </w:tblGrid>
            <w:tr w14:paraId="002B110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pct"/>
                  <w:gridSpan w:val="2"/>
                  <w:vMerge w:val="restart"/>
                  <w:vAlign w:val="center"/>
                </w:tcPr>
                <w:p w14:paraId="508726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排放源</w:t>
                  </w:r>
                </w:p>
              </w:tc>
              <w:tc>
                <w:tcPr>
                  <w:tcW w:w="407" w:type="pct"/>
                  <w:vMerge w:val="restart"/>
                  <w:vAlign w:val="center"/>
                </w:tcPr>
                <w:p w14:paraId="048E2E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污染物</w:t>
                  </w:r>
                </w:p>
              </w:tc>
              <w:tc>
                <w:tcPr>
                  <w:tcW w:w="1685" w:type="pct"/>
                  <w:gridSpan w:val="4"/>
                  <w:vAlign w:val="center"/>
                </w:tcPr>
                <w:p w14:paraId="0ECB61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污染物产生</w:t>
                  </w:r>
                </w:p>
              </w:tc>
              <w:tc>
                <w:tcPr>
                  <w:tcW w:w="688" w:type="pct"/>
                  <w:gridSpan w:val="2"/>
                  <w:vAlign w:val="center"/>
                </w:tcPr>
                <w:p w14:paraId="5C2D77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治理措施</w:t>
                  </w:r>
                </w:p>
              </w:tc>
              <w:tc>
                <w:tcPr>
                  <w:tcW w:w="1644" w:type="pct"/>
                  <w:gridSpan w:val="4"/>
                  <w:vAlign w:val="center"/>
                </w:tcPr>
                <w:p w14:paraId="115DBF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污染物排放</w:t>
                  </w:r>
                </w:p>
              </w:tc>
            </w:tr>
            <w:tr w14:paraId="77B8CBF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pct"/>
                  <w:gridSpan w:val="2"/>
                  <w:vMerge w:val="continue"/>
                  <w:vAlign w:val="center"/>
                </w:tcPr>
                <w:p w14:paraId="48A90E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p>
              </w:tc>
              <w:tc>
                <w:tcPr>
                  <w:tcW w:w="407" w:type="pct"/>
                  <w:vMerge w:val="continue"/>
                  <w:vAlign w:val="center"/>
                </w:tcPr>
                <w:p w14:paraId="5EB877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p>
              </w:tc>
              <w:tc>
                <w:tcPr>
                  <w:tcW w:w="246" w:type="pct"/>
                  <w:vAlign w:val="center"/>
                </w:tcPr>
                <w:p w14:paraId="0B4355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核算方法</w:t>
                  </w:r>
                </w:p>
              </w:tc>
              <w:tc>
                <w:tcPr>
                  <w:tcW w:w="666" w:type="pct"/>
                  <w:vAlign w:val="center"/>
                </w:tcPr>
                <w:p w14:paraId="6913F0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废水量</w:t>
                  </w:r>
                  <w:r>
                    <w:rPr>
                      <w:rFonts w:hint="default" w:ascii="Times New Roman" w:hAnsi="Times New Roman" w:eastAsia="宋体" w:cs="Times New Roman"/>
                      <w:color w:val="auto"/>
                      <w:sz w:val="18"/>
                      <w:szCs w:val="18"/>
                      <w:highlight w:val="none"/>
                      <w:lang w:val="en-US" w:eastAsia="zh-CN"/>
                    </w:rPr>
                    <w:t>t</w:t>
                  </w:r>
                  <w:r>
                    <w:rPr>
                      <w:rFonts w:hint="default" w:ascii="Times New Roman" w:hAnsi="Times New Roman" w:eastAsia="宋体" w:cs="Times New Roman"/>
                      <w:color w:val="auto"/>
                      <w:sz w:val="18"/>
                      <w:szCs w:val="18"/>
                      <w:highlight w:val="none"/>
                    </w:rPr>
                    <w:t>/a</w:t>
                  </w:r>
                </w:p>
              </w:tc>
              <w:tc>
                <w:tcPr>
                  <w:tcW w:w="386" w:type="pct"/>
                  <w:vAlign w:val="center"/>
                </w:tcPr>
                <w:p w14:paraId="30421F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产生</w:t>
                  </w:r>
                </w:p>
                <w:p w14:paraId="497D07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浓度mg/L</w:t>
                  </w:r>
                </w:p>
              </w:tc>
              <w:tc>
                <w:tcPr>
                  <w:tcW w:w="386" w:type="pct"/>
                  <w:vAlign w:val="center"/>
                </w:tcPr>
                <w:p w14:paraId="0F208C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产生量t/a</w:t>
                  </w:r>
                </w:p>
              </w:tc>
              <w:tc>
                <w:tcPr>
                  <w:tcW w:w="358" w:type="pct"/>
                  <w:vAlign w:val="center"/>
                </w:tcPr>
                <w:p w14:paraId="68C5F5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工艺</w:t>
                  </w:r>
                </w:p>
              </w:tc>
              <w:tc>
                <w:tcPr>
                  <w:tcW w:w="330" w:type="pct"/>
                  <w:vAlign w:val="center"/>
                </w:tcPr>
                <w:p w14:paraId="4A2891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效率</w:t>
                  </w:r>
                </w:p>
                <w:p w14:paraId="0EED93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w:t>
                  </w:r>
                </w:p>
              </w:tc>
              <w:tc>
                <w:tcPr>
                  <w:tcW w:w="246" w:type="pct"/>
                  <w:vAlign w:val="center"/>
                </w:tcPr>
                <w:p w14:paraId="128718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核算方法</w:t>
                  </w:r>
                </w:p>
              </w:tc>
              <w:tc>
                <w:tcPr>
                  <w:tcW w:w="666" w:type="pct"/>
                  <w:vAlign w:val="center"/>
                </w:tcPr>
                <w:p w14:paraId="6FC9D5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废水量</w:t>
                  </w:r>
                  <w:r>
                    <w:rPr>
                      <w:rFonts w:hint="default" w:ascii="Times New Roman" w:hAnsi="Times New Roman" w:eastAsia="宋体" w:cs="Times New Roman"/>
                      <w:color w:val="auto"/>
                      <w:sz w:val="18"/>
                      <w:szCs w:val="18"/>
                      <w:highlight w:val="none"/>
                      <w:lang w:val="en-US" w:eastAsia="zh-CN"/>
                    </w:rPr>
                    <w:t>t</w:t>
                  </w:r>
                  <w:r>
                    <w:rPr>
                      <w:rFonts w:hint="default" w:ascii="Times New Roman" w:hAnsi="Times New Roman" w:eastAsia="宋体" w:cs="Times New Roman"/>
                      <w:color w:val="auto"/>
                      <w:sz w:val="18"/>
                      <w:szCs w:val="18"/>
                      <w:highlight w:val="none"/>
                    </w:rPr>
                    <w:t>/a</w:t>
                  </w:r>
                </w:p>
              </w:tc>
              <w:tc>
                <w:tcPr>
                  <w:tcW w:w="377" w:type="pct"/>
                  <w:vAlign w:val="center"/>
                </w:tcPr>
                <w:p w14:paraId="09CA77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排放浓度mg/L</w:t>
                  </w:r>
                </w:p>
              </w:tc>
              <w:tc>
                <w:tcPr>
                  <w:tcW w:w="354" w:type="pct"/>
                  <w:vAlign w:val="center"/>
                </w:tcPr>
                <w:p w14:paraId="4CD23B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排放量t/a</w:t>
                  </w:r>
                </w:p>
              </w:tc>
            </w:tr>
            <w:tr w14:paraId="53250BB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6" w:type="pct"/>
                  <w:vMerge w:val="restart"/>
                  <w:vAlign w:val="center"/>
                </w:tcPr>
                <w:p w14:paraId="1B6AD1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污泥处理车间</w:t>
                  </w:r>
                </w:p>
              </w:tc>
              <w:tc>
                <w:tcPr>
                  <w:tcW w:w="326" w:type="pct"/>
                  <w:vMerge w:val="restart"/>
                  <w:vAlign w:val="center"/>
                </w:tcPr>
                <w:p w14:paraId="3AD7D2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排泥水上清液</w:t>
                  </w:r>
                </w:p>
              </w:tc>
              <w:tc>
                <w:tcPr>
                  <w:tcW w:w="407" w:type="pct"/>
                  <w:vAlign w:val="center"/>
                </w:tcPr>
                <w:p w14:paraId="684C25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z w:val="18"/>
                      <w:szCs w:val="18"/>
                      <w:highlight w:val="none"/>
                    </w:rPr>
                  </w:pPr>
                  <w:r>
                    <w:rPr>
                      <w:rFonts w:hint="default"/>
                      <w:color w:val="auto"/>
                      <w:kern w:val="0"/>
                      <w:sz w:val="18"/>
                      <w:szCs w:val="18"/>
                      <w:highlight w:val="none"/>
                      <w:lang w:bidi="ar"/>
                    </w:rPr>
                    <w:t>COD</w:t>
                  </w:r>
                </w:p>
              </w:tc>
              <w:tc>
                <w:tcPr>
                  <w:tcW w:w="246" w:type="pct"/>
                  <w:vMerge w:val="restart"/>
                  <w:vAlign w:val="center"/>
                </w:tcPr>
                <w:p w14:paraId="25E512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eastAsia"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类比</w:t>
                  </w:r>
                  <w:r>
                    <w:rPr>
                      <w:rFonts w:hint="eastAsia" w:cs="Times New Roman"/>
                      <w:color w:val="auto"/>
                      <w:sz w:val="18"/>
                      <w:szCs w:val="18"/>
                      <w:highlight w:val="none"/>
                      <w:lang w:eastAsia="zh-CN"/>
                    </w:rPr>
                    <w:t>法</w:t>
                  </w:r>
                </w:p>
              </w:tc>
              <w:tc>
                <w:tcPr>
                  <w:tcW w:w="666" w:type="pct"/>
                  <w:vMerge w:val="restart"/>
                  <w:vAlign w:val="center"/>
                </w:tcPr>
                <w:p w14:paraId="2F5F79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bCs/>
                      <w:color w:val="auto"/>
                      <w:sz w:val="18"/>
                      <w:szCs w:val="18"/>
                      <w:highlight w:val="none"/>
                      <w:lang w:val="en-US" w:eastAsia="zh-CN"/>
                    </w:rPr>
                    <w:t>258578.775</w:t>
                  </w:r>
                </w:p>
              </w:tc>
              <w:tc>
                <w:tcPr>
                  <w:tcW w:w="386" w:type="pct"/>
                  <w:vAlign w:val="center"/>
                </w:tcPr>
                <w:p w14:paraId="6B9876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z w:val="18"/>
                      <w:szCs w:val="18"/>
                      <w:highlight w:val="none"/>
                      <w:lang w:val="en-US"/>
                    </w:rPr>
                  </w:pPr>
                  <w:r>
                    <w:rPr>
                      <w:rFonts w:hint="eastAsia"/>
                      <w:color w:val="auto"/>
                      <w:sz w:val="18"/>
                      <w:szCs w:val="18"/>
                      <w:highlight w:val="none"/>
                      <w:lang w:val="en-US" w:eastAsia="zh-CN"/>
                    </w:rPr>
                    <w:t>45</w:t>
                  </w:r>
                </w:p>
              </w:tc>
              <w:tc>
                <w:tcPr>
                  <w:tcW w:w="386" w:type="pct"/>
                  <w:vAlign w:val="center"/>
                </w:tcPr>
                <w:p w14:paraId="5E42E4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kern w:val="0"/>
                      <w:sz w:val="18"/>
                      <w:szCs w:val="18"/>
                      <w:highlight w:val="none"/>
                      <w:shd w:val="clear" w:color="auto" w:fill="auto"/>
                      <w:lang w:val="en-US"/>
                    </w:rPr>
                  </w:pPr>
                  <w:r>
                    <w:rPr>
                      <w:rFonts w:hint="eastAsia"/>
                      <w:color w:val="auto"/>
                      <w:sz w:val="18"/>
                      <w:szCs w:val="18"/>
                      <w:highlight w:val="none"/>
                      <w:lang w:val="en-US" w:eastAsia="zh-CN"/>
                    </w:rPr>
                    <w:t>11.64</w:t>
                  </w:r>
                </w:p>
              </w:tc>
              <w:tc>
                <w:tcPr>
                  <w:tcW w:w="358" w:type="pct"/>
                  <w:vMerge w:val="restart"/>
                  <w:vAlign w:val="center"/>
                </w:tcPr>
                <w:p w14:paraId="6D3FE9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絮凝、压滤</w:t>
                  </w:r>
                </w:p>
              </w:tc>
              <w:tc>
                <w:tcPr>
                  <w:tcW w:w="330" w:type="pct"/>
                  <w:vAlign w:val="center"/>
                </w:tcPr>
                <w:p w14:paraId="726E9D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color w:val="auto"/>
                      <w:sz w:val="18"/>
                      <w:szCs w:val="18"/>
                      <w:highlight w:val="none"/>
                      <w:lang w:val="en-US" w:eastAsia="zh-CN"/>
                    </w:rPr>
                  </w:pPr>
                  <w:r>
                    <w:rPr>
                      <w:rFonts w:hint="eastAsia"/>
                      <w:color w:val="auto"/>
                      <w:sz w:val="18"/>
                      <w:szCs w:val="18"/>
                      <w:highlight w:val="none"/>
                      <w:lang w:val="en-US" w:eastAsia="zh-CN"/>
                    </w:rPr>
                    <w:t>60</w:t>
                  </w:r>
                </w:p>
              </w:tc>
              <w:tc>
                <w:tcPr>
                  <w:tcW w:w="246" w:type="pct"/>
                  <w:vMerge w:val="restart"/>
                  <w:vAlign w:val="center"/>
                </w:tcPr>
                <w:p w14:paraId="1A3A69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Times New Roman" w:hAnsi="Times New Roman" w:eastAsia="宋体" w:cs="Times New Roman"/>
                      <w:color w:val="auto"/>
                      <w:sz w:val="18"/>
                      <w:szCs w:val="18"/>
                      <w:highlight w:val="none"/>
                      <w:lang w:eastAsia="zh-CN"/>
                    </w:rPr>
                  </w:pPr>
                  <w:r>
                    <w:rPr>
                      <w:rFonts w:hint="eastAsia" w:cs="Times New Roman"/>
                      <w:color w:val="auto"/>
                      <w:sz w:val="18"/>
                      <w:szCs w:val="18"/>
                      <w:highlight w:val="none"/>
                      <w:lang w:val="en-US" w:eastAsia="zh-CN"/>
                    </w:rPr>
                    <w:t>物料衡算</w:t>
                  </w:r>
                  <w:r>
                    <w:rPr>
                      <w:rFonts w:hint="eastAsia" w:cs="Times New Roman"/>
                      <w:color w:val="auto"/>
                      <w:sz w:val="18"/>
                      <w:szCs w:val="18"/>
                      <w:highlight w:val="none"/>
                      <w:lang w:eastAsia="zh-CN"/>
                    </w:rPr>
                    <w:t>法</w:t>
                  </w:r>
                </w:p>
              </w:tc>
              <w:tc>
                <w:tcPr>
                  <w:tcW w:w="666" w:type="pct"/>
                  <w:vMerge w:val="restart"/>
                  <w:shd w:val="clear" w:color="auto" w:fill="auto"/>
                  <w:vAlign w:val="center"/>
                </w:tcPr>
                <w:p w14:paraId="396F1B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bCs/>
                      <w:color w:val="auto"/>
                      <w:sz w:val="18"/>
                      <w:szCs w:val="18"/>
                      <w:highlight w:val="none"/>
                      <w:lang w:val="en-US" w:eastAsia="zh-CN"/>
                    </w:rPr>
                    <w:t>258578.775</w:t>
                  </w:r>
                </w:p>
              </w:tc>
              <w:tc>
                <w:tcPr>
                  <w:tcW w:w="377" w:type="pct"/>
                  <w:vAlign w:val="center"/>
                </w:tcPr>
                <w:p w14:paraId="79B38F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18</w:t>
                  </w:r>
                </w:p>
              </w:tc>
              <w:tc>
                <w:tcPr>
                  <w:tcW w:w="354" w:type="pct"/>
                  <w:vAlign w:val="center"/>
                </w:tcPr>
                <w:p w14:paraId="5E9E8A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4.65</w:t>
                  </w:r>
                </w:p>
              </w:tc>
            </w:tr>
            <w:tr w14:paraId="27CB5AA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6" w:type="pct"/>
                  <w:vMerge w:val="continue"/>
                  <w:vAlign w:val="center"/>
                </w:tcPr>
                <w:p w14:paraId="6301D8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cs="Times New Roman"/>
                      <w:color w:val="auto"/>
                      <w:sz w:val="18"/>
                      <w:szCs w:val="18"/>
                      <w:highlight w:val="none"/>
                      <w:lang w:val="en-US" w:eastAsia="zh-CN"/>
                    </w:rPr>
                  </w:pPr>
                </w:p>
              </w:tc>
              <w:tc>
                <w:tcPr>
                  <w:tcW w:w="326" w:type="pct"/>
                  <w:vMerge w:val="continue"/>
                  <w:vAlign w:val="center"/>
                </w:tcPr>
                <w:p w14:paraId="030E3B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cs="Times New Roman"/>
                      <w:color w:val="auto"/>
                      <w:sz w:val="18"/>
                      <w:szCs w:val="18"/>
                      <w:highlight w:val="none"/>
                      <w:lang w:val="en-US" w:eastAsia="zh-CN"/>
                    </w:rPr>
                  </w:pPr>
                </w:p>
              </w:tc>
              <w:tc>
                <w:tcPr>
                  <w:tcW w:w="407" w:type="pct"/>
                  <w:vAlign w:val="center"/>
                </w:tcPr>
                <w:p w14:paraId="4F7A48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color w:val="auto"/>
                      <w:kern w:val="0"/>
                      <w:sz w:val="18"/>
                      <w:szCs w:val="18"/>
                      <w:highlight w:val="none"/>
                      <w:lang w:val="en-US" w:eastAsia="zh-CN"/>
                    </w:rPr>
                    <w:t>BOD</w:t>
                  </w:r>
                  <w:r>
                    <w:rPr>
                      <w:rFonts w:hint="default" w:ascii="Times New Roman" w:hAnsi="Times New Roman" w:eastAsia="宋体" w:cs="Times New Roman"/>
                      <w:color w:val="auto"/>
                      <w:kern w:val="0"/>
                      <w:sz w:val="18"/>
                      <w:szCs w:val="18"/>
                      <w:highlight w:val="none"/>
                      <w:vertAlign w:val="subscript"/>
                      <w:lang w:val="en-US" w:eastAsia="zh-CN"/>
                    </w:rPr>
                    <w:t>5</w:t>
                  </w:r>
                </w:p>
              </w:tc>
              <w:tc>
                <w:tcPr>
                  <w:tcW w:w="246" w:type="pct"/>
                  <w:vMerge w:val="continue"/>
                  <w:vAlign w:val="center"/>
                </w:tcPr>
                <w:p w14:paraId="29D013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cs="Times New Roman"/>
                      <w:color w:val="auto"/>
                      <w:sz w:val="18"/>
                      <w:szCs w:val="18"/>
                      <w:highlight w:val="none"/>
                      <w:lang w:val="en-US" w:eastAsia="zh-CN"/>
                    </w:rPr>
                  </w:pPr>
                </w:p>
              </w:tc>
              <w:tc>
                <w:tcPr>
                  <w:tcW w:w="666" w:type="pct"/>
                  <w:vMerge w:val="continue"/>
                  <w:vAlign w:val="center"/>
                </w:tcPr>
                <w:p w14:paraId="6827E9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Times New Roman" w:hAnsi="Times New Roman" w:cs="Times New Roman"/>
                      <w:color w:val="auto"/>
                      <w:kern w:val="0"/>
                      <w:sz w:val="18"/>
                      <w:szCs w:val="18"/>
                      <w:highlight w:val="none"/>
                      <w:lang w:val="en-US" w:eastAsia="zh-CN"/>
                    </w:rPr>
                  </w:pPr>
                </w:p>
              </w:tc>
              <w:tc>
                <w:tcPr>
                  <w:tcW w:w="386" w:type="pct"/>
                  <w:vAlign w:val="center"/>
                </w:tcPr>
                <w:p w14:paraId="667E5C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olor w:val="auto"/>
                      <w:sz w:val="18"/>
                      <w:szCs w:val="18"/>
                      <w:highlight w:val="none"/>
                      <w:lang w:val="en-US" w:eastAsia="zh-CN"/>
                    </w:rPr>
                    <w:t>5.8</w:t>
                  </w:r>
                </w:p>
              </w:tc>
              <w:tc>
                <w:tcPr>
                  <w:tcW w:w="386" w:type="pct"/>
                  <w:vAlign w:val="center"/>
                </w:tcPr>
                <w:p w14:paraId="26C290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kern w:val="0"/>
                      <w:sz w:val="18"/>
                      <w:szCs w:val="18"/>
                      <w:highlight w:val="none"/>
                      <w:lang w:val="en-US" w:eastAsia="zh-CN"/>
                    </w:rPr>
                  </w:pPr>
                  <w:r>
                    <w:rPr>
                      <w:rFonts w:hint="eastAsia"/>
                      <w:color w:val="auto"/>
                      <w:sz w:val="18"/>
                      <w:szCs w:val="18"/>
                      <w:highlight w:val="none"/>
                      <w:lang w:val="en-US" w:eastAsia="zh-CN"/>
                    </w:rPr>
                    <w:t>1.5</w:t>
                  </w:r>
                </w:p>
              </w:tc>
              <w:tc>
                <w:tcPr>
                  <w:tcW w:w="358" w:type="pct"/>
                  <w:vMerge w:val="continue"/>
                  <w:vAlign w:val="center"/>
                </w:tcPr>
                <w:p w14:paraId="2733C1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p>
              </w:tc>
              <w:tc>
                <w:tcPr>
                  <w:tcW w:w="330" w:type="pct"/>
                  <w:vAlign w:val="center"/>
                </w:tcPr>
                <w:p w14:paraId="12F583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40</w:t>
                  </w:r>
                </w:p>
              </w:tc>
              <w:tc>
                <w:tcPr>
                  <w:tcW w:w="246" w:type="pct"/>
                  <w:vMerge w:val="continue"/>
                  <w:vAlign w:val="center"/>
                </w:tcPr>
                <w:p w14:paraId="66C8FD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p>
              </w:tc>
              <w:tc>
                <w:tcPr>
                  <w:tcW w:w="666" w:type="pct"/>
                  <w:vMerge w:val="continue"/>
                  <w:vAlign w:val="center"/>
                </w:tcPr>
                <w:p w14:paraId="30CB0E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eastAsia" w:ascii="Times New Roman" w:hAnsi="Times New Roman" w:cs="Times New Roman"/>
                      <w:color w:val="auto"/>
                      <w:kern w:val="0"/>
                      <w:sz w:val="18"/>
                      <w:szCs w:val="18"/>
                      <w:highlight w:val="none"/>
                      <w:lang w:val="en-US" w:eastAsia="zh-CN"/>
                    </w:rPr>
                  </w:pPr>
                </w:p>
              </w:tc>
              <w:tc>
                <w:tcPr>
                  <w:tcW w:w="377" w:type="pct"/>
                  <w:vAlign w:val="center"/>
                </w:tcPr>
                <w:p w14:paraId="0F2AB0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3.5</w:t>
                  </w:r>
                </w:p>
              </w:tc>
              <w:tc>
                <w:tcPr>
                  <w:tcW w:w="354" w:type="pct"/>
                  <w:vAlign w:val="center"/>
                </w:tcPr>
                <w:p w14:paraId="3A661F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0.91</w:t>
                  </w:r>
                </w:p>
              </w:tc>
            </w:tr>
            <w:tr w14:paraId="45C9748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6" w:type="pct"/>
                  <w:vMerge w:val="continue"/>
                  <w:vAlign w:val="center"/>
                </w:tcPr>
                <w:p w14:paraId="248C4C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cs="Times New Roman"/>
                      <w:color w:val="auto"/>
                      <w:sz w:val="18"/>
                      <w:szCs w:val="18"/>
                      <w:highlight w:val="none"/>
                      <w:lang w:val="en-US" w:eastAsia="zh-CN"/>
                    </w:rPr>
                  </w:pPr>
                </w:p>
              </w:tc>
              <w:tc>
                <w:tcPr>
                  <w:tcW w:w="326" w:type="pct"/>
                  <w:vMerge w:val="continue"/>
                  <w:vAlign w:val="center"/>
                </w:tcPr>
                <w:p w14:paraId="77A7A4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cs="Times New Roman"/>
                      <w:color w:val="auto"/>
                      <w:sz w:val="18"/>
                      <w:szCs w:val="18"/>
                      <w:highlight w:val="none"/>
                      <w:lang w:val="en-US" w:eastAsia="zh-CN"/>
                    </w:rPr>
                  </w:pPr>
                </w:p>
              </w:tc>
              <w:tc>
                <w:tcPr>
                  <w:tcW w:w="407" w:type="pct"/>
                  <w:vAlign w:val="center"/>
                </w:tcPr>
                <w:p w14:paraId="247A72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s="Times New Roman"/>
                      <w:color w:val="auto"/>
                      <w:kern w:val="0"/>
                      <w:sz w:val="18"/>
                      <w:szCs w:val="18"/>
                      <w:highlight w:val="none"/>
                      <w:lang w:val="en-US" w:eastAsia="zh-CN"/>
                    </w:rPr>
                    <w:t>SS</w:t>
                  </w:r>
                </w:p>
              </w:tc>
              <w:tc>
                <w:tcPr>
                  <w:tcW w:w="246" w:type="pct"/>
                  <w:vMerge w:val="continue"/>
                  <w:vAlign w:val="center"/>
                </w:tcPr>
                <w:p w14:paraId="159E2D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cs="Times New Roman"/>
                      <w:color w:val="auto"/>
                      <w:sz w:val="18"/>
                      <w:szCs w:val="18"/>
                      <w:highlight w:val="none"/>
                      <w:lang w:val="en-US" w:eastAsia="zh-CN"/>
                    </w:rPr>
                  </w:pPr>
                </w:p>
              </w:tc>
              <w:tc>
                <w:tcPr>
                  <w:tcW w:w="666" w:type="pct"/>
                  <w:vMerge w:val="continue"/>
                  <w:vAlign w:val="center"/>
                </w:tcPr>
                <w:p w14:paraId="65CE99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Times New Roman" w:hAnsi="Times New Roman" w:cs="Times New Roman"/>
                      <w:color w:val="auto"/>
                      <w:kern w:val="0"/>
                      <w:sz w:val="18"/>
                      <w:szCs w:val="18"/>
                      <w:highlight w:val="none"/>
                      <w:lang w:val="en-US" w:eastAsia="zh-CN"/>
                    </w:rPr>
                  </w:pPr>
                </w:p>
              </w:tc>
              <w:tc>
                <w:tcPr>
                  <w:tcW w:w="386" w:type="pct"/>
                  <w:vAlign w:val="center"/>
                </w:tcPr>
                <w:p w14:paraId="05B818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olor w:val="auto"/>
                      <w:sz w:val="18"/>
                      <w:szCs w:val="18"/>
                      <w:highlight w:val="none"/>
                      <w:lang w:val="en-US" w:eastAsia="zh-CN"/>
                    </w:rPr>
                    <w:t>250</w:t>
                  </w:r>
                </w:p>
              </w:tc>
              <w:tc>
                <w:tcPr>
                  <w:tcW w:w="386" w:type="pct"/>
                  <w:vAlign w:val="center"/>
                </w:tcPr>
                <w:p w14:paraId="421CAB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kern w:val="0"/>
                      <w:sz w:val="18"/>
                      <w:szCs w:val="18"/>
                      <w:highlight w:val="none"/>
                      <w:lang w:val="en-US" w:eastAsia="zh-CN"/>
                    </w:rPr>
                  </w:pPr>
                  <w:r>
                    <w:rPr>
                      <w:rFonts w:hint="eastAsia"/>
                      <w:color w:val="auto"/>
                      <w:sz w:val="18"/>
                      <w:szCs w:val="18"/>
                      <w:highlight w:val="none"/>
                      <w:lang w:val="en-US" w:eastAsia="zh-CN"/>
                    </w:rPr>
                    <w:t>64.64</w:t>
                  </w:r>
                </w:p>
              </w:tc>
              <w:tc>
                <w:tcPr>
                  <w:tcW w:w="358" w:type="pct"/>
                  <w:vMerge w:val="continue"/>
                  <w:vAlign w:val="center"/>
                </w:tcPr>
                <w:p w14:paraId="4BA977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p>
              </w:tc>
              <w:tc>
                <w:tcPr>
                  <w:tcW w:w="330" w:type="pct"/>
                  <w:vAlign w:val="center"/>
                </w:tcPr>
                <w:p w14:paraId="62417B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97.5</w:t>
                  </w:r>
                </w:p>
              </w:tc>
              <w:tc>
                <w:tcPr>
                  <w:tcW w:w="246" w:type="pct"/>
                  <w:vMerge w:val="continue"/>
                  <w:vAlign w:val="center"/>
                </w:tcPr>
                <w:p w14:paraId="5898FB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p>
              </w:tc>
              <w:tc>
                <w:tcPr>
                  <w:tcW w:w="666" w:type="pct"/>
                  <w:vMerge w:val="continue"/>
                  <w:vAlign w:val="center"/>
                </w:tcPr>
                <w:p w14:paraId="552317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eastAsia" w:ascii="Times New Roman" w:hAnsi="Times New Roman" w:cs="Times New Roman"/>
                      <w:color w:val="auto"/>
                      <w:kern w:val="0"/>
                      <w:sz w:val="18"/>
                      <w:szCs w:val="18"/>
                      <w:highlight w:val="none"/>
                      <w:lang w:val="en-US" w:eastAsia="zh-CN"/>
                    </w:rPr>
                  </w:pPr>
                </w:p>
              </w:tc>
              <w:tc>
                <w:tcPr>
                  <w:tcW w:w="377" w:type="pct"/>
                  <w:vAlign w:val="center"/>
                </w:tcPr>
                <w:p w14:paraId="5EDD98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6.25</w:t>
                  </w:r>
                </w:p>
              </w:tc>
              <w:tc>
                <w:tcPr>
                  <w:tcW w:w="354" w:type="pct"/>
                  <w:vAlign w:val="center"/>
                </w:tcPr>
                <w:p w14:paraId="05D384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1.62</w:t>
                  </w:r>
                </w:p>
              </w:tc>
            </w:tr>
            <w:tr w14:paraId="0746A18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6" w:type="pct"/>
                  <w:vMerge w:val="continue"/>
                  <w:vAlign w:val="center"/>
                </w:tcPr>
                <w:p w14:paraId="07D3E5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p>
              </w:tc>
              <w:tc>
                <w:tcPr>
                  <w:tcW w:w="326" w:type="pct"/>
                  <w:vMerge w:val="continue"/>
                  <w:vAlign w:val="center"/>
                </w:tcPr>
                <w:p w14:paraId="2A6A1E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p>
              </w:tc>
              <w:tc>
                <w:tcPr>
                  <w:tcW w:w="407" w:type="pct"/>
                  <w:vAlign w:val="center"/>
                </w:tcPr>
                <w:p w14:paraId="2371B3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氨氮</w:t>
                  </w:r>
                </w:p>
              </w:tc>
              <w:tc>
                <w:tcPr>
                  <w:tcW w:w="246" w:type="pct"/>
                  <w:vMerge w:val="continue"/>
                  <w:vAlign w:val="center"/>
                </w:tcPr>
                <w:p w14:paraId="18E59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p>
              </w:tc>
              <w:tc>
                <w:tcPr>
                  <w:tcW w:w="666" w:type="pct"/>
                  <w:vMerge w:val="continue"/>
                  <w:vAlign w:val="center"/>
                </w:tcPr>
                <w:p w14:paraId="634AB5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p>
              </w:tc>
              <w:tc>
                <w:tcPr>
                  <w:tcW w:w="386" w:type="pct"/>
                  <w:vAlign w:val="center"/>
                </w:tcPr>
                <w:p w14:paraId="1F061E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olor w:val="auto"/>
                      <w:sz w:val="18"/>
                      <w:szCs w:val="18"/>
                      <w:highlight w:val="none"/>
                      <w:lang w:val="en-US" w:eastAsia="zh-CN"/>
                    </w:rPr>
                    <w:t>0.625</w:t>
                  </w:r>
                </w:p>
              </w:tc>
              <w:tc>
                <w:tcPr>
                  <w:tcW w:w="386" w:type="pct"/>
                  <w:vAlign w:val="center"/>
                </w:tcPr>
                <w:p w14:paraId="0C11B5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cs="Times New Roman"/>
                      <w:color w:val="auto"/>
                      <w:kern w:val="0"/>
                      <w:sz w:val="18"/>
                      <w:szCs w:val="18"/>
                      <w:highlight w:val="none"/>
                      <w:shd w:val="clear" w:color="auto" w:fill="auto"/>
                      <w:lang w:val="en-US" w:eastAsia="zh-CN"/>
                    </w:rPr>
                  </w:pPr>
                  <w:r>
                    <w:rPr>
                      <w:rFonts w:hint="eastAsia"/>
                      <w:color w:val="auto"/>
                      <w:sz w:val="18"/>
                      <w:szCs w:val="18"/>
                      <w:highlight w:val="none"/>
                      <w:lang w:val="en-US" w:eastAsia="zh-CN"/>
                    </w:rPr>
                    <w:t>0.16</w:t>
                  </w:r>
                </w:p>
              </w:tc>
              <w:tc>
                <w:tcPr>
                  <w:tcW w:w="358" w:type="pct"/>
                  <w:vMerge w:val="continue"/>
                  <w:vAlign w:val="center"/>
                </w:tcPr>
                <w:p w14:paraId="1649D9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p>
              </w:tc>
              <w:tc>
                <w:tcPr>
                  <w:tcW w:w="330" w:type="pct"/>
                  <w:vAlign w:val="center"/>
                </w:tcPr>
                <w:p w14:paraId="7E61B1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20</w:t>
                  </w:r>
                </w:p>
              </w:tc>
              <w:tc>
                <w:tcPr>
                  <w:tcW w:w="246" w:type="pct"/>
                  <w:vMerge w:val="continue"/>
                  <w:vAlign w:val="center"/>
                </w:tcPr>
                <w:p w14:paraId="179D59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18"/>
                      <w:szCs w:val="18"/>
                      <w:highlight w:val="none"/>
                    </w:rPr>
                  </w:pPr>
                </w:p>
              </w:tc>
              <w:tc>
                <w:tcPr>
                  <w:tcW w:w="666" w:type="pct"/>
                  <w:vMerge w:val="continue"/>
                  <w:vAlign w:val="center"/>
                </w:tcPr>
                <w:p w14:paraId="6D2879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rPr>
                  </w:pPr>
                </w:p>
              </w:tc>
              <w:tc>
                <w:tcPr>
                  <w:tcW w:w="377" w:type="pct"/>
                  <w:vAlign w:val="center"/>
                </w:tcPr>
                <w:p w14:paraId="45B150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0.5</w:t>
                  </w:r>
                </w:p>
              </w:tc>
              <w:tc>
                <w:tcPr>
                  <w:tcW w:w="354" w:type="pct"/>
                  <w:vAlign w:val="center"/>
                </w:tcPr>
                <w:p w14:paraId="64D5F6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0.13</w:t>
                  </w:r>
                </w:p>
              </w:tc>
            </w:tr>
          </w:tbl>
          <w:p w14:paraId="159802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kern w:val="0"/>
                <w:sz w:val="21"/>
                <w:szCs w:val="21"/>
                <w:highlight w:val="none"/>
                <w:shd w:val="clear" w:color="auto" w:fill="auto"/>
              </w:rPr>
            </w:pPr>
            <w:r>
              <w:rPr>
                <w:rFonts w:hint="default" w:ascii="Times New Roman" w:hAnsi="Times New Roman" w:eastAsia="宋体" w:cs="Times New Roman"/>
                <w:color w:val="auto"/>
                <w:kern w:val="0"/>
                <w:sz w:val="21"/>
                <w:szCs w:val="21"/>
                <w:highlight w:val="none"/>
                <w:shd w:val="clear" w:color="auto" w:fill="auto"/>
              </w:rPr>
              <w:fldChar w:fldCharType="begin"/>
            </w:r>
            <w:r>
              <w:rPr>
                <w:rFonts w:hint="default" w:ascii="Times New Roman" w:hAnsi="Times New Roman" w:eastAsia="宋体" w:cs="Times New Roman"/>
                <w:color w:val="auto"/>
                <w:kern w:val="0"/>
                <w:sz w:val="21"/>
                <w:szCs w:val="21"/>
                <w:highlight w:val="none"/>
                <w:shd w:val="clear" w:color="auto" w:fill="auto"/>
              </w:rPr>
              <w:instrText xml:space="preserve"> = 1 \* GB3 </w:instrText>
            </w:r>
            <w:r>
              <w:rPr>
                <w:rFonts w:hint="default" w:ascii="Times New Roman" w:hAnsi="Times New Roman" w:eastAsia="宋体" w:cs="Times New Roman"/>
                <w:color w:val="auto"/>
                <w:kern w:val="0"/>
                <w:sz w:val="21"/>
                <w:szCs w:val="21"/>
                <w:highlight w:val="none"/>
                <w:shd w:val="clear" w:color="auto" w:fill="auto"/>
              </w:rPr>
              <w:fldChar w:fldCharType="separate"/>
            </w:r>
            <w:r>
              <w:rPr>
                <w:rFonts w:hint="default" w:ascii="Times New Roman" w:hAnsi="Times New Roman" w:eastAsia="宋体" w:cs="Times New Roman"/>
                <w:color w:val="auto"/>
                <w:kern w:val="0"/>
                <w:sz w:val="21"/>
                <w:szCs w:val="21"/>
                <w:highlight w:val="none"/>
                <w:shd w:val="clear" w:color="auto" w:fill="auto"/>
              </w:rPr>
              <w:t>①</w:t>
            </w:r>
            <w:r>
              <w:rPr>
                <w:rFonts w:hint="default" w:ascii="Times New Roman" w:hAnsi="Times New Roman" w:eastAsia="宋体" w:cs="Times New Roman"/>
                <w:color w:val="auto"/>
                <w:kern w:val="0"/>
                <w:sz w:val="21"/>
                <w:szCs w:val="21"/>
                <w:highlight w:val="none"/>
                <w:shd w:val="clear" w:color="auto" w:fill="auto"/>
              </w:rPr>
              <w:fldChar w:fldCharType="end"/>
            </w:r>
            <w:r>
              <w:rPr>
                <w:rFonts w:hint="eastAsia" w:cs="Times New Roman"/>
                <w:color w:val="auto"/>
                <w:kern w:val="0"/>
                <w:sz w:val="21"/>
                <w:szCs w:val="21"/>
                <w:highlight w:val="none"/>
                <w:shd w:val="clear" w:color="auto" w:fill="auto"/>
                <w:lang w:val="en-US" w:eastAsia="zh-CN"/>
              </w:rPr>
              <w:t>本项目不新增</w:t>
            </w:r>
            <w:r>
              <w:rPr>
                <w:rFonts w:hint="default" w:ascii="Times New Roman" w:hAnsi="Times New Roman" w:eastAsia="宋体" w:cs="Times New Roman"/>
                <w:color w:val="auto"/>
                <w:kern w:val="0"/>
                <w:sz w:val="21"/>
                <w:szCs w:val="21"/>
                <w:highlight w:val="none"/>
                <w:shd w:val="clear" w:color="auto" w:fill="auto"/>
              </w:rPr>
              <w:t>生活污水。</w:t>
            </w:r>
          </w:p>
          <w:p w14:paraId="42E76367">
            <w:pPr>
              <w:pStyle w:val="4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eastAsia="zh-CN"/>
              </w:rPr>
              <w:t>②</w:t>
            </w:r>
            <w:r>
              <w:rPr>
                <w:rFonts w:hint="eastAsia" w:ascii="Times New Roman" w:cs="Times New Roman"/>
                <w:color w:val="auto"/>
                <w:sz w:val="21"/>
                <w:szCs w:val="21"/>
                <w:highlight w:val="none"/>
                <w:lang w:val="en-US" w:eastAsia="zh-CN"/>
              </w:rPr>
              <w:t>排泥水上清液</w:t>
            </w:r>
          </w:p>
          <w:p w14:paraId="4F797F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cs="Times New Roman"/>
                <w:bCs/>
                <w:color w:val="auto"/>
                <w:sz w:val="21"/>
                <w:szCs w:val="21"/>
                <w:highlight w:val="none"/>
                <w:lang w:val="en-US" w:eastAsia="zh-CN"/>
              </w:rPr>
            </w:pPr>
            <w:r>
              <w:rPr>
                <w:rFonts w:hint="default" w:ascii="Times New Roman" w:hAnsi="Times New Roman" w:eastAsia="宋体" w:cs="Times New Roman"/>
                <w:color w:val="auto"/>
                <w:kern w:val="0"/>
                <w:sz w:val="21"/>
                <w:szCs w:val="21"/>
              </w:rPr>
              <w:t>根据《排放源统计调查产排污核算方法和系数手册》“4610自来水生产和供应行业系数手册”中采用混凝沉淀过滤消毒工艺，日生产规模</w:t>
            </w:r>
            <w:r>
              <w:rPr>
                <w:rFonts w:hint="eastAsia" w:cs="Times New Roman"/>
                <w:color w:val="auto"/>
                <w:kern w:val="0"/>
                <w:sz w:val="21"/>
                <w:szCs w:val="21"/>
                <w:lang w:eastAsia="zh-CN"/>
              </w:rPr>
              <w:t>5万-30万</w:t>
            </w:r>
            <w:r>
              <w:rPr>
                <w:rFonts w:hint="default" w:ascii="Times New Roman" w:hAnsi="Times New Roman" w:eastAsia="宋体" w:cs="Times New Roman"/>
                <w:color w:val="auto"/>
                <w:kern w:val="0"/>
                <w:sz w:val="21"/>
                <w:szCs w:val="21"/>
              </w:rPr>
              <w:t>吨自来水厂的工业废水量为4.36×10</w:t>
            </w:r>
            <w:r>
              <w:rPr>
                <w:rFonts w:hint="default" w:ascii="Times New Roman" w:hAnsi="Times New Roman" w:eastAsia="宋体" w:cs="Times New Roman"/>
                <w:color w:val="auto"/>
                <w:kern w:val="0"/>
                <w:sz w:val="21"/>
                <w:szCs w:val="21"/>
                <w:vertAlign w:val="superscript"/>
              </w:rPr>
              <w:t>-2</w:t>
            </w:r>
            <w:r>
              <w:rPr>
                <w:rFonts w:hint="default" w:ascii="Times New Roman" w:hAnsi="Times New Roman" w:eastAsia="宋体" w:cs="Times New Roman"/>
                <w:color w:val="auto"/>
                <w:kern w:val="0"/>
                <w:sz w:val="21"/>
                <w:szCs w:val="21"/>
              </w:rPr>
              <w:t>吨/吨</w:t>
            </w:r>
            <w:r>
              <w:rPr>
                <w:rFonts w:hint="eastAsia" w:cs="Times New Roman"/>
                <w:color w:val="auto"/>
                <w:kern w:val="0"/>
                <w:sz w:val="21"/>
                <w:szCs w:val="21"/>
                <w:lang w:eastAsia="zh-CN"/>
              </w:rPr>
              <w:t>－</w:t>
            </w:r>
            <w:r>
              <w:rPr>
                <w:rFonts w:hint="default" w:ascii="Times New Roman" w:hAnsi="Times New Roman" w:eastAsia="宋体" w:cs="Times New Roman"/>
                <w:color w:val="auto"/>
                <w:kern w:val="0"/>
                <w:sz w:val="21"/>
                <w:szCs w:val="21"/>
              </w:rPr>
              <w:t>产品，本项目水厂工程制水能力为15万t/d，则废水产生量为6540m³/d（2387100m³/a）</w:t>
            </w:r>
            <w:r>
              <w:rPr>
                <w:rFonts w:hint="default" w:ascii="Times New Roman" w:hAnsi="Times New Roman" w:eastAsia="宋体" w:cs="Times New Roman"/>
                <w:color w:val="auto"/>
                <w:kern w:val="0"/>
                <w:sz w:val="21"/>
                <w:szCs w:val="21"/>
              </w:rPr>
              <w:t>。根据论文《自来水厂滤池反冲洗水的回用》，滤池反冲洗水一般为沉淀池排泥水的5～10倍，本项目取8倍，则排泥水的产生量为726.6m³/d</w:t>
            </w:r>
            <w:r>
              <w:rPr>
                <w:rFonts w:hint="eastAsia" w:cs="Times New Roman"/>
                <w:color w:val="auto"/>
                <w:kern w:val="0"/>
                <w:sz w:val="21"/>
                <w:szCs w:val="21"/>
                <w:lang w:eastAsia="zh-CN"/>
              </w:rPr>
              <w:t>。</w:t>
            </w:r>
            <w:r>
              <w:rPr>
                <w:rFonts w:hint="default" w:ascii="Times New Roman" w:hAnsi="Times New Roman" w:eastAsia="宋体" w:cs="Times New Roman"/>
                <w:color w:val="auto"/>
                <w:kern w:val="0"/>
                <w:sz w:val="21"/>
                <w:szCs w:val="21"/>
              </w:rPr>
              <w:t>根据建设单位提供信息，</w:t>
            </w:r>
            <w:r>
              <w:rPr>
                <w:rFonts w:hint="default" w:ascii="Times New Roman" w:hAnsi="Times New Roman" w:eastAsia="宋体" w:cs="Times New Roman"/>
                <w:color w:val="auto"/>
                <w:kern w:val="0"/>
                <w:sz w:val="21"/>
                <w:szCs w:val="21"/>
                <w:lang w:val="en-US" w:eastAsia="zh-CN"/>
              </w:rPr>
              <w:t>原泥含水率为99%，压滤后的污泥含水率为60%，污</w:t>
            </w:r>
            <w:r>
              <w:rPr>
                <w:rFonts w:hint="default" w:ascii="Times New Roman" w:hAnsi="Times New Roman" w:eastAsia="宋体" w:cs="Times New Roman"/>
                <w:i w:val="0"/>
                <w:iCs w:val="0"/>
                <w:caps w:val="0"/>
                <w:color w:val="auto"/>
                <w:spacing w:val="0"/>
                <w:sz w:val="21"/>
                <w:szCs w:val="21"/>
                <w:shd w:val="clear" w:fill="FFFFFF"/>
              </w:rPr>
              <w:t>泥密度近似按水密度1000kg/m</w:t>
            </w:r>
            <w:r>
              <w:rPr>
                <w:rFonts w:hint="default" w:ascii="Times New Roman" w:hAnsi="Times New Roman" w:eastAsia="宋体" w:cs="Times New Roman"/>
                <w:i w:val="0"/>
                <w:iCs w:val="0"/>
                <w:caps w:val="0"/>
                <w:color w:val="auto"/>
                <w:spacing w:val="0"/>
                <w:sz w:val="21"/>
                <w:szCs w:val="21"/>
                <w:shd w:val="clear" w:fill="FFFFFF"/>
                <w:vertAlign w:val="superscript"/>
              </w:rPr>
              <w:t>3</w:t>
            </w:r>
            <w:r>
              <w:rPr>
                <w:rFonts w:hint="default" w:ascii="Times New Roman" w:hAnsi="Times New Roman" w:eastAsia="宋体" w:cs="Times New Roman"/>
                <w:i w:val="0"/>
                <w:iCs w:val="0"/>
                <w:caps w:val="0"/>
                <w:color w:val="auto"/>
                <w:spacing w:val="0"/>
                <w:sz w:val="21"/>
                <w:szCs w:val="21"/>
                <w:shd w:val="clear" w:fill="FFFFFF"/>
                <w:lang w:val="en-US" w:eastAsia="zh-CN"/>
              </w:rPr>
              <w:t>核</w:t>
            </w:r>
            <w:r>
              <w:rPr>
                <w:rFonts w:hint="default" w:ascii="Times New Roman" w:hAnsi="Times New Roman" w:eastAsia="宋体" w:cs="Times New Roman"/>
                <w:i w:val="0"/>
                <w:iCs w:val="0"/>
                <w:caps w:val="0"/>
                <w:color w:val="auto"/>
                <w:spacing w:val="0"/>
                <w:sz w:val="21"/>
                <w:szCs w:val="21"/>
                <w:shd w:val="clear" w:fill="FFFFFF"/>
              </w:rPr>
              <w:t>算</w:t>
            </w:r>
            <w:r>
              <w:rPr>
                <w:rFonts w:hint="default" w:ascii="Times New Roman" w:hAnsi="Times New Roman" w:eastAsia="宋体" w:cs="Times New Roman"/>
                <w:i w:val="0"/>
                <w:iCs w:val="0"/>
                <w:caps w:val="0"/>
                <w:color w:val="auto"/>
                <w:spacing w:val="0"/>
                <w:sz w:val="21"/>
                <w:szCs w:val="21"/>
                <w:shd w:val="clear" w:fill="FFFFFF"/>
                <w:lang w:eastAsia="zh-CN"/>
              </w:rPr>
              <w:t>，</w:t>
            </w:r>
            <w:r>
              <w:rPr>
                <w:rFonts w:hint="default" w:ascii="Times New Roman" w:hAnsi="Times New Roman" w:eastAsia="宋体" w:cs="Times New Roman"/>
                <w:color w:val="auto"/>
                <w:kern w:val="0"/>
                <w:sz w:val="21"/>
                <w:szCs w:val="21"/>
                <w:lang w:val="en-US" w:eastAsia="zh-CN"/>
              </w:rPr>
              <w:t>则</w:t>
            </w:r>
            <w:r>
              <w:rPr>
                <w:rFonts w:hint="default" w:ascii="Times New Roman" w:hAnsi="Times New Roman" w:eastAsia="宋体" w:cs="Times New Roman"/>
                <w:color w:val="auto"/>
                <w:kern w:val="0"/>
                <w:sz w:val="21"/>
                <w:szCs w:val="21"/>
              </w:rPr>
              <w:t>污泥量约为</w:t>
            </w:r>
            <w:r>
              <w:rPr>
                <w:rFonts w:hint="default" w:ascii="Times New Roman" w:hAnsi="Times New Roman" w:eastAsia="宋体" w:cs="Times New Roman"/>
                <w:color w:val="auto"/>
                <w:kern w:val="0"/>
                <w:sz w:val="21"/>
                <w:szCs w:val="21"/>
                <w:lang w:val="en-US" w:eastAsia="zh-CN"/>
              </w:rPr>
              <w:t>18.161</w:t>
            </w:r>
            <w:r>
              <w:rPr>
                <w:rFonts w:hint="default" w:ascii="Times New Roman" w:hAnsi="Times New Roman" w:eastAsia="宋体" w:cs="Times New Roman"/>
                <w:color w:val="auto"/>
                <w:kern w:val="0"/>
                <w:sz w:val="21"/>
                <w:szCs w:val="21"/>
              </w:rPr>
              <w:t>t/d，则排泥水上清液为7</w:t>
            </w:r>
            <w:r>
              <w:rPr>
                <w:rFonts w:hint="default" w:ascii="Times New Roman" w:hAnsi="Times New Roman" w:eastAsia="宋体" w:cs="Times New Roman"/>
                <w:color w:val="auto"/>
                <w:kern w:val="0"/>
                <w:sz w:val="21"/>
                <w:szCs w:val="21"/>
                <w:lang w:val="en-US" w:eastAsia="zh-CN"/>
              </w:rPr>
              <w:t>08.435</w:t>
            </w:r>
            <w:r>
              <w:rPr>
                <w:rFonts w:hint="default" w:ascii="Times New Roman" w:hAnsi="Times New Roman" w:eastAsia="宋体" w:cs="Times New Roman"/>
                <w:color w:val="auto"/>
                <w:kern w:val="0"/>
                <w:sz w:val="21"/>
                <w:szCs w:val="21"/>
              </w:rPr>
              <w:t>t/d。</w:t>
            </w:r>
            <w:r>
              <w:rPr>
                <w:rFonts w:hint="eastAsia" w:ascii="Times New Roman" w:hAnsi="Times New Roman" w:eastAsia="宋体" w:cs="Times New Roman"/>
                <w:color w:val="auto"/>
                <w:kern w:val="0"/>
                <w:sz w:val="21"/>
                <w:szCs w:val="21"/>
                <w:lang w:val="en-US" w:eastAsia="zh-CN"/>
              </w:rPr>
              <w:t>类比同类项目</w:t>
            </w:r>
            <w:r>
              <w:rPr>
                <w:rFonts w:hint="eastAsia"/>
                <w:color w:val="auto"/>
                <w:kern w:val="2"/>
                <w:sz w:val="21"/>
                <w:szCs w:val="21"/>
                <w:highlight w:val="none"/>
              </w:rPr>
              <w:t>废水</w:t>
            </w:r>
            <w:r>
              <w:rPr>
                <w:rFonts w:hint="eastAsia"/>
                <w:color w:val="auto"/>
                <w:sz w:val="21"/>
                <w:szCs w:val="21"/>
                <w:highlight w:val="none"/>
              </w:rPr>
              <w:t>主要污染物为COD、BOD</w:t>
            </w:r>
            <w:r>
              <w:rPr>
                <w:rFonts w:hint="eastAsia"/>
                <w:color w:val="auto"/>
                <w:sz w:val="21"/>
                <w:szCs w:val="21"/>
                <w:highlight w:val="none"/>
                <w:vertAlign w:val="subscript"/>
              </w:rPr>
              <w:t>5</w:t>
            </w:r>
            <w:r>
              <w:rPr>
                <w:rFonts w:hint="eastAsia"/>
                <w:color w:val="auto"/>
                <w:sz w:val="21"/>
                <w:szCs w:val="21"/>
                <w:highlight w:val="none"/>
              </w:rPr>
              <w:t>、SS、氨氮，其产生浓度分别为</w:t>
            </w:r>
            <w:r>
              <w:rPr>
                <w:rFonts w:hint="eastAsia"/>
                <w:color w:val="auto"/>
                <w:sz w:val="21"/>
                <w:szCs w:val="21"/>
                <w:highlight w:val="none"/>
                <w:lang w:val="en-US" w:eastAsia="zh-CN"/>
              </w:rPr>
              <w:t>45</w:t>
            </w:r>
            <w:r>
              <w:rPr>
                <w:rFonts w:hint="eastAsia"/>
                <w:color w:val="auto"/>
                <w:sz w:val="21"/>
                <w:szCs w:val="21"/>
                <w:highlight w:val="none"/>
              </w:rPr>
              <w:t>mg/L、</w:t>
            </w:r>
            <w:r>
              <w:rPr>
                <w:rFonts w:hint="eastAsia"/>
                <w:color w:val="auto"/>
                <w:sz w:val="21"/>
                <w:szCs w:val="21"/>
                <w:highlight w:val="none"/>
                <w:lang w:val="en-US" w:eastAsia="zh-CN"/>
              </w:rPr>
              <w:t>5.8</w:t>
            </w:r>
            <w:r>
              <w:rPr>
                <w:rFonts w:hint="eastAsia"/>
                <w:color w:val="auto"/>
                <w:sz w:val="21"/>
                <w:szCs w:val="21"/>
                <w:highlight w:val="none"/>
              </w:rPr>
              <w:t>mg/L、2</w:t>
            </w:r>
            <w:r>
              <w:rPr>
                <w:rFonts w:hint="eastAsia"/>
                <w:color w:val="auto"/>
                <w:sz w:val="21"/>
                <w:szCs w:val="21"/>
                <w:highlight w:val="none"/>
                <w:lang w:val="en-US" w:eastAsia="zh-CN"/>
              </w:rPr>
              <w:t>5</w:t>
            </w:r>
            <w:r>
              <w:rPr>
                <w:rFonts w:hint="eastAsia"/>
                <w:color w:val="auto"/>
                <w:sz w:val="21"/>
                <w:szCs w:val="21"/>
                <w:highlight w:val="none"/>
              </w:rPr>
              <w:t>0mg/L、</w:t>
            </w:r>
            <w:r>
              <w:rPr>
                <w:rFonts w:hint="eastAsia"/>
                <w:color w:val="auto"/>
                <w:sz w:val="21"/>
                <w:szCs w:val="21"/>
                <w:highlight w:val="none"/>
                <w:lang w:val="en-US" w:eastAsia="zh-CN"/>
              </w:rPr>
              <w:t>0.625</w:t>
            </w:r>
            <w:r>
              <w:rPr>
                <w:rFonts w:hint="eastAsia"/>
                <w:color w:val="auto"/>
                <w:sz w:val="21"/>
                <w:szCs w:val="21"/>
                <w:highlight w:val="none"/>
              </w:rPr>
              <w:t>mg/L。</w:t>
            </w:r>
          </w:p>
          <w:p w14:paraId="5C3C5B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w:t>
            </w:r>
            <w:r>
              <w:rPr>
                <w:rFonts w:hint="eastAsia" w:cs="Times New Roman"/>
                <w:bCs/>
                <w:color w:val="auto"/>
                <w:sz w:val="21"/>
                <w:szCs w:val="21"/>
                <w:highlight w:val="none"/>
                <w:lang w:val="en-US" w:eastAsia="zh-CN"/>
              </w:rPr>
              <w:t>2</w:t>
            </w:r>
            <w:r>
              <w:rPr>
                <w:rFonts w:hint="default" w:ascii="Times New Roman" w:hAnsi="Times New Roman" w:cs="Times New Roman"/>
                <w:bCs/>
                <w:color w:val="auto"/>
                <w:sz w:val="21"/>
                <w:szCs w:val="21"/>
                <w:highlight w:val="none"/>
              </w:rPr>
              <w:t>）排放口基本情况</w:t>
            </w:r>
          </w:p>
          <w:p w14:paraId="2E90CF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表4-</w:t>
            </w:r>
            <w:r>
              <w:rPr>
                <w:rFonts w:hint="eastAsia" w:cs="Times New Roman"/>
                <w:b/>
                <w:color w:val="auto"/>
                <w:szCs w:val="21"/>
                <w:highlight w:val="none"/>
                <w:lang w:val="en-US" w:eastAsia="zh-CN"/>
              </w:rPr>
              <w:t>3厂区</w:t>
            </w:r>
            <w:r>
              <w:rPr>
                <w:rFonts w:hint="default" w:ascii="Times New Roman" w:hAnsi="Times New Roman" w:cs="Times New Roman"/>
                <w:b/>
                <w:color w:val="auto"/>
                <w:szCs w:val="21"/>
                <w:highlight w:val="none"/>
              </w:rPr>
              <w:t>排放口基本情况表</w:t>
            </w:r>
          </w:p>
          <w:tbl>
            <w:tblPr>
              <w:tblStyle w:val="35"/>
              <w:tblW w:w="5000" w:type="pct"/>
              <w:jc w:val="center"/>
              <w:tblBorders>
                <w:top w:val="single" w:color="auto" w:sz="4" w:space="0"/>
                <w:left w:val="none" w:color="auto" w:sz="0" w:space="0"/>
                <w:bottom w:val="single" w:color="auto" w:sz="4"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687"/>
              <w:gridCol w:w="1056"/>
              <w:gridCol w:w="1249"/>
              <w:gridCol w:w="1045"/>
              <w:gridCol w:w="466"/>
              <w:gridCol w:w="1191"/>
              <w:gridCol w:w="477"/>
              <w:gridCol w:w="1867"/>
            </w:tblGrid>
            <w:tr w14:paraId="321CCB7F">
              <w:tblPrEx>
                <w:tblBorders>
                  <w:top w:val="single" w:color="auto" w:sz="4" w:space="0"/>
                  <w:left w:val="none" w:color="auto" w:sz="0" w:space="0"/>
                  <w:bottom w:val="single" w:color="auto"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tblHeader/>
                <w:jc w:val="center"/>
              </w:trPr>
              <w:tc>
                <w:tcPr>
                  <w:tcW w:w="435" w:type="pct"/>
                  <w:vMerge w:val="restart"/>
                  <w:vAlign w:val="center"/>
                </w:tcPr>
                <w:p w14:paraId="57A034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排放口编号</w:t>
                  </w:r>
                </w:p>
              </w:tc>
              <w:tc>
                <w:tcPr>
                  <w:tcW w:w="664" w:type="pct"/>
                  <w:vMerge w:val="restart"/>
                  <w:vAlign w:val="center"/>
                </w:tcPr>
                <w:p w14:paraId="306458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排放口名称</w:t>
                  </w:r>
                </w:p>
              </w:tc>
              <w:tc>
                <w:tcPr>
                  <w:tcW w:w="1381" w:type="pct"/>
                  <w:gridSpan w:val="2"/>
                  <w:vAlign w:val="center"/>
                </w:tcPr>
                <w:p w14:paraId="165CFD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排放口地理坐标</w:t>
                  </w:r>
                </w:p>
              </w:tc>
              <w:tc>
                <w:tcPr>
                  <w:tcW w:w="297" w:type="pct"/>
                  <w:vMerge w:val="restart"/>
                  <w:vAlign w:val="center"/>
                </w:tcPr>
                <w:p w14:paraId="7B0C5B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排放方式</w:t>
                  </w:r>
                </w:p>
              </w:tc>
              <w:tc>
                <w:tcPr>
                  <w:tcW w:w="748" w:type="pct"/>
                  <w:vMerge w:val="restart"/>
                  <w:vAlign w:val="center"/>
                </w:tcPr>
                <w:p w14:paraId="175203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排放去向</w:t>
                  </w:r>
                </w:p>
              </w:tc>
              <w:tc>
                <w:tcPr>
                  <w:tcW w:w="304" w:type="pct"/>
                  <w:vMerge w:val="restart"/>
                  <w:vAlign w:val="center"/>
                </w:tcPr>
                <w:p w14:paraId="364C97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排放规律</w:t>
                  </w:r>
                </w:p>
              </w:tc>
              <w:tc>
                <w:tcPr>
                  <w:tcW w:w="1168" w:type="pct"/>
                  <w:vMerge w:val="restart"/>
                  <w:vAlign w:val="center"/>
                </w:tcPr>
                <w:p w14:paraId="4869FD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执行标准</w:t>
                  </w:r>
                </w:p>
              </w:tc>
            </w:tr>
            <w:tr w14:paraId="50B81B1C">
              <w:tblPrEx>
                <w:tblBorders>
                  <w:top w:val="single" w:color="auto" w:sz="4" w:space="0"/>
                  <w:left w:val="none" w:color="auto" w:sz="0" w:space="0"/>
                  <w:bottom w:val="single" w:color="auto"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tblHeader/>
                <w:jc w:val="center"/>
              </w:trPr>
              <w:tc>
                <w:tcPr>
                  <w:tcW w:w="435" w:type="pct"/>
                  <w:vMerge w:val="continue"/>
                  <w:vAlign w:val="center"/>
                </w:tcPr>
                <w:p w14:paraId="61DB2E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p>
              </w:tc>
              <w:tc>
                <w:tcPr>
                  <w:tcW w:w="664" w:type="pct"/>
                  <w:vMerge w:val="continue"/>
                  <w:vAlign w:val="center"/>
                </w:tcPr>
                <w:p w14:paraId="76A2BB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p>
              </w:tc>
              <w:tc>
                <w:tcPr>
                  <w:tcW w:w="784" w:type="pct"/>
                  <w:vAlign w:val="center"/>
                </w:tcPr>
                <w:p w14:paraId="0C39E1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经度</w:t>
                  </w:r>
                </w:p>
              </w:tc>
              <w:tc>
                <w:tcPr>
                  <w:tcW w:w="597" w:type="pct"/>
                  <w:vAlign w:val="center"/>
                </w:tcPr>
                <w:p w14:paraId="358FC5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纬度</w:t>
                  </w:r>
                </w:p>
              </w:tc>
              <w:tc>
                <w:tcPr>
                  <w:tcW w:w="297" w:type="pct"/>
                  <w:vMerge w:val="continue"/>
                  <w:vAlign w:val="center"/>
                </w:tcPr>
                <w:p w14:paraId="46B73B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p>
              </w:tc>
              <w:tc>
                <w:tcPr>
                  <w:tcW w:w="748" w:type="pct"/>
                  <w:vMerge w:val="continue"/>
                  <w:vAlign w:val="center"/>
                </w:tcPr>
                <w:p w14:paraId="2B7FA5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p>
              </w:tc>
              <w:tc>
                <w:tcPr>
                  <w:tcW w:w="304" w:type="pct"/>
                  <w:vMerge w:val="continue"/>
                  <w:vAlign w:val="center"/>
                </w:tcPr>
                <w:p w14:paraId="6A00EA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p>
              </w:tc>
              <w:tc>
                <w:tcPr>
                  <w:tcW w:w="1168" w:type="pct"/>
                  <w:vMerge w:val="continue"/>
                  <w:vAlign w:val="center"/>
                </w:tcPr>
                <w:p w14:paraId="4A1F46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p>
              </w:tc>
            </w:tr>
            <w:tr w14:paraId="40101299">
              <w:tblPrEx>
                <w:tblBorders>
                  <w:top w:val="single" w:color="auto" w:sz="4" w:space="0"/>
                  <w:left w:val="none" w:color="auto" w:sz="0" w:space="0"/>
                  <w:bottom w:val="single" w:color="auto"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tblHeader/>
                <w:jc w:val="center"/>
              </w:trPr>
              <w:tc>
                <w:tcPr>
                  <w:tcW w:w="435" w:type="pct"/>
                  <w:vAlign w:val="center"/>
                </w:tcPr>
                <w:p w14:paraId="44B15A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rPr>
                    <w:t>DW00</w:t>
                  </w:r>
                  <w:r>
                    <w:rPr>
                      <w:rFonts w:hint="eastAsia" w:ascii="Times New Roman" w:hAnsi="Times New Roman" w:cs="Times New Roman"/>
                      <w:color w:val="auto"/>
                      <w:sz w:val="18"/>
                      <w:szCs w:val="18"/>
                      <w:highlight w:val="none"/>
                      <w:lang w:val="en-US" w:eastAsia="zh-CN"/>
                    </w:rPr>
                    <w:t>2</w:t>
                  </w:r>
                </w:p>
              </w:tc>
              <w:tc>
                <w:tcPr>
                  <w:tcW w:w="664" w:type="pct"/>
                  <w:vAlign w:val="center"/>
                </w:tcPr>
                <w:p w14:paraId="0F5484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排泥水上清液</w:t>
                  </w:r>
                  <w:r>
                    <w:rPr>
                      <w:rFonts w:hint="default" w:ascii="Times New Roman" w:hAnsi="Times New Roman" w:cs="Times New Roman"/>
                      <w:color w:val="auto"/>
                      <w:sz w:val="18"/>
                      <w:szCs w:val="18"/>
                      <w:highlight w:val="none"/>
                      <w:lang w:val="en-US" w:eastAsia="zh-CN"/>
                    </w:rPr>
                    <w:t>排放口</w:t>
                  </w:r>
                </w:p>
              </w:tc>
              <w:tc>
                <w:tcPr>
                  <w:tcW w:w="784" w:type="pct"/>
                  <w:vAlign w:val="center"/>
                </w:tcPr>
                <w:p w14:paraId="0B05C5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color w:val="auto"/>
                      <w:sz w:val="18"/>
                      <w:szCs w:val="18"/>
                      <w:highlight w:val="none"/>
                    </w:rPr>
                  </w:pPr>
                  <w:r>
                    <w:rPr>
                      <w:rFonts w:hint="default" w:ascii="Times New Roman" w:hAnsi="Times New Roman" w:cs="Times New Roman"/>
                      <w:bCs/>
                      <w:color w:val="auto"/>
                      <w:sz w:val="18"/>
                      <w:szCs w:val="18"/>
                      <w:highlight w:val="none"/>
                    </w:rPr>
                    <w:t>131.02144255</w:t>
                  </w:r>
                </w:p>
              </w:tc>
              <w:tc>
                <w:tcPr>
                  <w:tcW w:w="597" w:type="pct"/>
                  <w:vAlign w:val="center"/>
                </w:tcPr>
                <w:p w14:paraId="684979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color w:val="auto"/>
                      <w:sz w:val="18"/>
                      <w:szCs w:val="18"/>
                      <w:highlight w:val="none"/>
                    </w:rPr>
                  </w:pPr>
                  <w:r>
                    <w:rPr>
                      <w:rFonts w:hint="default" w:ascii="Times New Roman" w:hAnsi="Times New Roman" w:cs="Times New Roman"/>
                      <w:bCs/>
                      <w:color w:val="auto"/>
                      <w:sz w:val="18"/>
                      <w:szCs w:val="18"/>
                      <w:highlight w:val="none"/>
                    </w:rPr>
                    <w:t>131.02144255</w:t>
                  </w:r>
                </w:p>
              </w:tc>
              <w:tc>
                <w:tcPr>
                  <w:tcW w:w="297" w:type="pct"/>
                  <w:vAlign w:val="center"/>
                </w:tcPr>
                <w:p w14:paraId="22D0BE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直接排放</w:t>
                  </w:r>
                </w:p>
              </w:tc>
              <w:tc>
                <w:tcPr>
                  <w:tcW w:w="748" w:type="pct"/>
                  <w:vAlign w:val="center"/>
                </w:tcPr>
                <w:p w14:paraId="6D5240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穆棱河</w:t>
                  </w:r>
                </w:p>
              </w:tc>
              <w:tc>
                <w:tcPr>
                  <w:tcW w:w="304" w:type="pct"/>
                  <w:vMerge w:val="restart"/>
                  <w:vAlign w:val="center"/>
                </w:tcPr>
                <w:p w14:paraId="2C4F34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间断排放，不规律</w:t>
                  </w:r>
                </w:p>
              </w:tc>
              <w:tc>
                <w:tcPr>
                  <w:tcW w:w="1168" w:type="pct"/>
                  <w:vAlign w:val="center"/>
                </w:tcPr>
                <w:p w14:paraId="6F72CF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pacing w:val="0"/>
                      <w:sz w:val="18"/>
                      <w:szCs w:val="18"/>
                      <w:highlight w:val="none"/>
                      <w:lang w:val="en-US" w:eastAsia="zh-CN"/>
                    </w:rPr>
                    <w:t>《地表水环境质量标准》（GB3838-2002）表1中三类标准、悬浮物执行《污水综合排放标准》（GB8978-1996）一级标准</w:t>
                  </w:r>
                </w:p>
              </w:tc>
            </w:tr>
            <w:tr w14:paraId="29987DDC">
              <w:tblPrEx>
                <w:tblBorders>
                  <w:top w:val="single" w:color="auto" w:sz="4" w:space="0"/>
                  <w:left w:val="none" w:color="auto" w:sz="0" w:space="0"/>
                  <w:bottom w:val="single" w:color="auto"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tblHeader/>
                <w:jc w:val="center"/>
              </w:trPr>
              <w:tc>
                <w:tcPr>
                  <w:tcW w:w="435" w:type="pct"/>
                  <w:vAlign w:val="center"/>
                </w:tcPr>
                <w:p w14:paraId="566B87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DW00</w:t>
                  </w:r>
                  <w:r>
                    <w:rPr>
                      <w:rFonts w:hint="eastAsia" w:ascii="Times New Roman" w:hAnsi="Times New Roman" w:cs="Times New Roman"/>
                      <w:color w:val="auto"/>
                      <w:sz w:val="18"/>
                      <w:szCs w:val="18"/>
                      <w:highlight w:val="none"/>
                      <w:lang w:val="en-US" w:eastAsia="zh-CN"/>
                    </w:rPr>
                    <w:t>1</w:t>
                  </w:r>
                </w:p>
              </w:tc>
              <w:tc>
                <w:tcPr>
                  <w:tcW w:w="664" w:type="pct"/>
                  <w:vAlign w:val="center"/>
                </w:tcPr>
                <w:p w14:paraId="0CDF32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生活污水排放口</w:t>
                  </w:r>
                </w:p>
              </w:tc>
              <w:tc>
                <w:tcPr>
                  <w:tcW w:w="784" w:type="pct"/>
                  <w:vAlign w:val="center"/>
                </w:tcPr>
                <w:p w14:paraId="5D03AC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color w:val="auto"/>
                      <w:sz w:val="18"/>
                      <w:szCs w:val="18"/>
                      <w:highlight w:val="none"/>
                    </w:rPr>
                  </w:pPr>
                  <w:r>
                    <w:rPr>
                      <w:rFonts w:hint="default" w:ascii="Times New Roman" w:hAnsi="Times New Roman" w:cs="Times New Roman"/>
                      <w:bCs/>
                      <w:color w:val="auto"/>
                      <w:sz w:val="18"/>
                      <w:szCs w:val="18"/>
                      <w:highlight w:val="none"/>
                    </w:rPr>
                    <w:t>131.02112987</w:t>
                  </w:r>
                </w:p>
              </w:tc>
              <w:tc>
                <w:tcPr>
                  <w:tcW w:w="597" w:type="pct"/>
                  <w:vAlign w:val="center"/>
                </w:tcPr>
                <w:p w14:paraId="50927E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color w:val="auto"/>
                      <w:sz w:val="18"/>
                      <w:szCs w:val="18"/>
                      <w:highlight w:val="none"/>
                    </w:rPr>
                  </w:pPr>
                  <w:r>
                    <w:rPr>
                      <w:rFonts w:hint="default" w:ascii="Times New Roman" w:hAnsi="Times New Roman" w:cs="Times New Roman"/>
                      <w:bCs/>
                      <w:color w:val="auto"/>
                      <w:sz w:val="18"/>
                      <w:szCs w:val="18"/>
                      <w:highlight w:val="none"/>
                    </w:rPr>
                    <w:t>45.27893183</w:t>
                  </w:r>
                </w:p>
              </w:tc>
              <w:tc>
                <w:tcPr>
                  <w:tcW w:w="297" w:type="pct"/>
                  <w:vAlign w:val="center"/>
                </w:tcPr>
                <w:p w14:paraId="5187DD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间接排放</w:t>
                  </w:r>
                </w:p>
              </w:tc>
              <w:tc>
                <w:tcPr>
                  <w:tcW w:w="748" w:type="pct"/>
                  <w:vAlign w:val="center"/>
                </w:tcPr>
                <w:p w14:paraId="15AFBD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市政污水管网</w:t>
                  </w:r>
                </w:p>
              </w:tc>
              <w:tc>
                <w:tcPr>
                  <w:tcW w:w="304" w:type="pct"/>
                  <w:vMerge w:val="continue"/>
                  <w:vAlign w:val="center"/>
                </w:tcPr>
                <w:p w14:paraId="47C346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p>
              </w:tc>
              <w:tc>
                <w:tcPr>
                  <w:tcW w:w="1168" w:type="pct"/>
                  <w:vAlign w:val="center"/>
                </w:tcPr>
                <w:p w14:paraId="3EC6F9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《污水综合排放标准》</w:t>
                  </w:r>
                  <w:r>
                    <w:rPr>
                      <w:rFonts w:hint="default" w:ascii="Times New Roman" w:hAnsi="Times New Roman" w:cs="Times New Roman"/>
                      <w:color w:val="auto"/>
                      <w:spacing w:val="0"/>
                      <w:sz w:val="18"/>
                      <w:szCs w:val="18"/>
                      <w:highlight w:val="none"/>
                      <w:lang w:val="en-US" w:eastAsia="zh-CN"/>
                    </w:rPr>
                    <w:t>（GB8978-1996）</w:t>
                  </w:r>
                  <w:r>
                    <w:rPr>
                      <w:rFonts w:hint="default" w:ascii="Times New Roman" w:hAnsi="Times New Roman" w:eastAsia="宋体" w:cs="Times New Roman"/>
                      <w:bCs/>
                      <w:color w:val="auto"/>
                      <w:spacing w:val="0"/>
                      <w:sz w:val="18"/>
                      <w:szCs w:val="18"/>
                      <w:highlight w:val="none"/>
                    </w:rPr>
                    <w:t>三级标准</w:t>
                  </w:r>
                  <w:r>
                    <w:rPr>
                      <w:rFonts w:hint="default" w:ascii="Times New Roman" w:hAnsi="Times New Roman" w:cs="Times New Roman"/>
                      <w:bCs/>
                      <w:color w:val="auto"/>
                      <w:spacing w:val="0"/>
                      <w:sz w:val="18"/>
                      <w:szCs w:val="18"/>
                      <w:highlight w:val="none"/>
                      <w:lang w:eastAsia="zh-CN"/>
                    </w:rPr>
                    <w:t>及</w:t>
                  </w:r>
                  <w:r>
                    <w:rPr>
                      <w:rFonts w:hint="default" w:ascii="Times New Roman" w:hAnsi="Times New Roman" w:cs="Times New Roman"/>
                      <w:bCs/>
                      <w:color w:val="auto"/>
                      <w:spacing w:val="0"/>
                      <w:sz w:val="18"/>
                      <w:szCs w:val="18"/>
                      <w:highlight w:val="none"/>
                      <w:lang w:val="en-US" w:eastAsia="zh-CN"/>
                    </w:rPr>
                    <w:t>鸡西市</w:t>
                  </w:r>
                  <w:r>
                    <w:rPr>
                      <w:rFonts w:hint="default" w:ascii="Times New Roman" w:hAnsi="Times New Roman" w:cs="Times New Roman"/>
                      <w:color w:val="auto"/>
                      <w:sz w:val="18"/>
                      <w:szCs w:val="18"/>
                      <w:highlight w:val="none"/>
                      <w:lang w:val="en-US" w:eastAsia="zh-CN"/>
                    </w:rPr>
                    <w:t>鸡冠区污水处理厂进水标准</w:t>
                  </w:r>
                </w:p>
              </w:tc>
            </w:tr>
          </w:tbl>
          <w:p w14:paraId="6DA4D1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szCs w:val="21"/>
                <w:highlight w:val="none"/>
              </w:rPr>
              <w:t>（</w:t>
            </w:r>
            <w:r>
              <w:rPr>
                <w:rFonts w:hint="eastAsia" w:cs="Times New Roman"/>
                <w:bCs/>
                <w:color w:val="auto"/>
                <w:kern w:val="0"/>
                <w:sz w:val="21"/>
                <w:szCs w:val="21"/>
                <w:highlight w:val="none"/>
                <w:lang w:val="en-US" w:eastAsia="zh-CN"/>
              </w:rPr>
              <w:t>3</w:t>
            </w:r>
            <w:r>
              <w:rPr>
                <w:rFonts w:hint="default" w:ascii="Times New Roman" w:hAnsi="Times New Roman" w:cs="Times New Roman"/>
                <w:bCs/>
                <w:color w:val="auto"/>
                <w:kern w:val="0"/>
                <w:sz w:val="21"/>
                <w:szCs w:val="21"/>
                <w:highlight w:val="none"/>
              </w:rPr>
              <w:t>）监测要求</w:t>
            </w:r>
          </w:p>
          <w:p w14:paraId="2DBE69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bCs/>
                <w:color w:val="auto"/>
                <w:kern w:val="0"/>
                <w:sz w:val="21"/>
                <w:szCs w:val="21"/>
                <w:highlight w:val="none"/>
              </w:rPr>
            </w:pPr>
            <w:r>
              <w:rPr>
                <w:rFonts w:hint="default"/>
                <w:color w:val="auto"/>
                <w:kern w:val="0"/>
                <w:sz w:val="21"/>
                <w:szCs w:val="21"/>
                <w:highlight w:val="none"/>
              </w:rPr>
              <w:t>根据</w:t>
            </w:r>
            <w:r>
              <w:rPr>
                <w:rFonts w:hint="eastAsia"/>
                <w:color w:val="auto"/>
                <w:kern w:val="0"/>
                <w:sz w:val="21"/>
                <w:szCs w:val="21"/>
                <w:highlight w:val="none"/>
              </w:rPr>
              <w:t>《排污单位自行监测技术指南 总则》（HJ 819-2017）</w:t>
            </w:r>
            <w:r>
              <w:rPr>
                <w:rFonts w:hint="default" w:ascii="Times New Roman" w:hAnsi="Times New Roman" w:cs="Times New Roman"/>
                <w:bCs/>
                <w:color w:val="auto"/>
                <w:kern w:val="0"/>
                <w:sz w:val="21"/>
                <w:szCs w:val="21"/>
                <w:highlight w:val="none"/>
              </w:rPr>
              <w:t>本项目废</w:t>
            </w:r>
            <w:r>
              <w:rPr>
                <w:rFonts w:hint="eastAsia" w:cs="Times New Roman"/>
                <w:bCs/>
                <w:color w:val="auto"/>
                <w:kern w:val="0"/>
                <w:sz w:val="21"/>
                <w:szCs w:val="21"/>
                <w:highlight w:val="none"/>
                <w:lang w:eastAsia="zh-CN"/>
              </w:rPr>
              <w:t>水</w:t>
            </w:r>
            <w:r>
              <w:rPr>
                <w:rFonts w:hint="default" w:ascii="Times New Roman" w:hAnsi="Times New Roman" w:cs="Times New Roman"/>
                <w:bCs/>
                <w:color w:val="auto"/>
                <w:kern w:val="0"/>
                <w:sz w:val="21"/>
                <w:szCs w:val="21"/>
                <w:highlight w:val="none"/>
              </w:rPr>
              <w:t>监测计划如下：</w:t>
            </w:r>
          </w:p>
          <w:p w14:paraId="1D0BA1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color w:val="auto"/>
                <w:kern w:val="0"/>
                <w:sz w:val="21"/>
                <w:szCs w:val="21"/>
                <w:highlight w:val="none"/>
              </w:rPr>
            </w:pPr>
            <w:r>
              <w:rPr>
                <w:rFonts w:hint="default"/>
                <w:b/>
                <w:color w:val="auto"/>
                <w:kern w:val="0"/>
                <w:sz w:val="21"/>
                <w:szCs w:val="21"/>
                <w:highlight w:val="none"/>
              </w:rPr>
              <w:t>表4-</w:t>
            </w:r>
            <w:r>
              <w:rPr>
                <w:rFonts w:hint="eastAsia"/>
                <w:b/>
                <w:color w:val="auto"/>
                <w:kern w:val="0"/>
                <w:sz w:val="21"/>
                <w:szCs w:val="21"/>
                <w:highlight w:val="none"/>
                <w:lang w:val="en-US" w:eastAsia="zh-CN"/>
              </w:rPr>
              <w:t>4</w:t>
            </w:r>
            <w:r>
              <w:rPr>
                <w:rFonts w:hint="default"/>
                <w:b/>
                <w:color w:val="auto"/>
                <w:kern w:val="0"/>
                <w:sz w:val="21"/>
                <w:szCs w:val="21"/>
                <w:highlight w:val="none"/>
              </w:rPr>
              <w:t>水污染物监测计划</w:t>
            </w:r>
          </w:p>
          <w:tbl>
            <w:tblPr>
              <w:tblStyle w:val="35"/>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29"/>
              <w:gridCol w:w="3086"/>
              <w:gridCol w:w="3123"/>
            </w:tblGrid>
            <w:tr w14:paraId="300ECC8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8" w:type="pct"/>
                  <w:vAlign w:val="center"/>
                </w:tcPr>
                <w:p w14:paraId="10F3F6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监测点位</w:t>
                  </w:r>
                </w:p>
              </w:tc>
              <w:tc>
                <w:tcPr>
                  <w:tcW w:w="1919" w:type="pct"/>
                  <w:vAlign w:val="center"/>
                </w:tcPr>
                <w:p w14:paraId="6A7982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监测因子</w:t>
                  </w:r>
                </w:p>
              </w:tc>
              <w:tc>
                <w:tcPr>
                  <w:tcW w:w="1942" w:type="pct"/>
                  <w:vAlign w:val="center"/>
                </w:tcPr>
                <w:p w14:paraId="4E3E06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监测频次</w:t>
                  </w:r>
                </w:p>
              </w:tc>
            </w:tr>
            <w:tr w14:paraId="216F021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8" w:type="pct"/>
                  <w:vMerge w:val="restart"/>
                  <w:vAlign w:val="center"/>
                </w:tcPr>
                <w:p w14:paraId="6DDB66C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20"/>
                    <w:jc w:val="center"/>
                    <w:textAlignment w:val="auto"/>
                    <w:rPr>
                      <w:rFonts w:hint="eastAsia"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排泥水上清液</w:t>
                  </w:r>
                  <w:r>
                    <w:rPr>
                      <w:rFonts w:hint="default" w:ascii="Times New Roman" w:hAnsi="Times New Roman" w:cs="Times New Roman"/>
                      <w:color w:val="auto"/>
                      <w:sz w:val="18"/>
                      <w:szCs w:val="18"/>
                      <w:highlight w:val="none"/>
                      <w:lang w:val="en-US" w:eastAsia="zh-CN"/>
                    </w:rPr>
                    <w:t>排放口</w:t>
                  </w:r>
                </w:p>
              </w:tc>
              <w:tc>
                <w:tcPr>
                  <w:tcW w:w="1919" w:type="pct"/>
                  <w:vAlign w:val="center"/>
                </w:tcPr>
                <w:p w14:paraId="1BBE2AE1">
                  <w:pPr>
                    <w:pStyle w:val="1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kern w:val="2"/>
                      <w:sz w:val="18"/>
                      <w:szCs w:val="18"/>
                      <w:highlight w:val="none"/>
                      <w:lang w:val="en-US" w:eastAsia="zh-CN" w:bidi="ar-SA"/>
                    </w:rPr>
                    <w:t>化学需氧量、五日生化需氧量、氨氮、总磷、总氮、悬浮物</w:t>
                  </w:r>
                </w:p>
              </w:tc>
              <w:tc>
                <w:tcPr>
                  <w:tcW w:w="1942" w:type="pct"/>
                  <w:vAlign w:val="center"/>
                </w:tcPr>
                <w:p w14:paraId="29643C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rPr>
                    <w:t>1次/</w:t>
                  </w:r>
                  <w:r>
                    <w:rPr>
                      <w:rFonts w:hint="eastAsia" w:cs="Times New Roman"/>
                      <w:color w:val="auto"/>
                      <w:sz w:val="18"/>
                      <w:szCs w:val="18"/>
                      <w:highlight w:val="none"/>
                      <w:lang w:eastAsia="zh-CN"/>
                    </w:rPr>
                    <w:t>季度</w:t>
                  </w:r>
                </w:p>
              </w:tc>
            </w:tr>
            <w:tr w14:paraId="26BC250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38" w:type="pct"/>
                  <w:vMerge w:val="continue"/>
                  <w:vAlign w:val="center"/>
                </w:tcPr>
                <w:p w14:paraId="0B46C2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sz w:val="18"/>
                      <w:szCs w:val="18"/>
                      <w:highlight w:val="none"/>
                    </w:rPr>
                  </w:pPr>
                </w:p>
              </w:tc>
              <w:tc>
                <w:tcPr>
                  <w:tcW w:w="1919" w:type="pct"/>
                  <w:vAlign w:val="center"/>
                </w:tcPr>
                <w:p w14:paraId="706BDB19">
                  <w:pPr>
                    <w:pStyle w:val="1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动植物油、阴离子表面活性剂、色度、pH、粪大肠菌群数</w:t>
                  </w:r>
                  <w:r>
                    <w:rPr>
                      <w:rFonts w:hint="default" w:ascii="Times New Roman" w:hAnsi="Times New Roman" w:eastAsia="宋体" w:cs="Times New Roman"/>
                      <w:color w:val="auto"/>
                      <w:kern w:val="2"/>
                      <w:sz w:val="18"/>
                      <w:szCs w:val="18"/>
                      <w:highlight w:val="none"/>
                      <w:lang w:val="en-US" w:eastAsia="zh-CN" w:bidi="ar-SA"/>
                    </w:rPr>
                    <w:t>、石油类</w:t>
                  </w:r>
                </w:p>
              </w:tc>
              <w:tc>
                <w:tcPr>
                  <w:tcW w:w="1942" w:type="pct"/>
                  <w:vAlign w:val="center"/>
                </w:tcPr>
                <w:p w14:paraId="2AB543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1次/年</w:t>
                  </w:r>
                </w:p>
              </w:tc>
            </w:tr>
          </w:tbl>
          <w:p w14:paraId="5C2D7545">
            <w:pPr>
              <w:pStyle w:val="5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rPr>
                <w:rFonts w:hint="eastAsia" w:ascii="Times New Roman" w:hAnsi="Times New Roman" w:eastAsia="宋体"/>
                <w:b w:val="0"/>
                <w:bCs w:val="0"/>
                <w:color w:val="auto"/>
                <w:kern w:val="2"/>
                <w:sz w:val="21"/>
                <w:szCs w:val="21"/>
                <w:highlight w:val="none"/>
              </w:rPr>
            </w:pPr>
            <w:r>
              <w:rPr>
                <w:rFonts w:hint="eastAsia" w:ascii="Times New Roman" w:hAnsi="Times New Roman" w:eastAsia="宋体" w:cs="Times New Roman"/>
                <w:b w:val="0"/>
                <w:bCs w:val="0"/>
                <w:color w:val="auto"/>
                <w:kern w:val="2"/>
                <w:sz w:val="21"/>
                <w:szCs w:val="21"/>
                <w:highlight w:val="none"/>
                <w:lang w:val="en-US" w:eastAsia="zh-CN" w:bidi="ar-SA"/>
              </w:rPr>
              <w:t>（4）</w:t>
            </w:r>
            <w:r>
              <w:rPr>
                <w:rFonts w:hint="eastAsia" w:ascii="Times New Roman" w:hAnsi="Times New Roman" w:eastAsia="宋体"/>
                <w:b w:val="0"/>
                <w:bCs w:val="0"/>
                <w:color w:val="auto"/>
                <w:kern w:val="2"/>
                <w:sz w:val="21"/>
                <w:szCs w:val="21"/>
                <w:highlight w:val="none"/>
              </w:rPr>
              <w:t xml:space="preserve">废水处理措施可行性分析 </w:t>
            </w:r>
          </w:p>
          <w:p w14:paraId="7B9AF51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20" w:firstLineChars="200"/>
              <w:textAlignment w:val="auto"/>
              <w:rPr>
                <w:rFonts w:hint="default" w:eastAsia="宋体"/>
                <w:color w:val="auto"/>
                <w:highlight w:val="none"/>
                <w:lang w:val="en-US" w:eastAsia="zh-CN"/>
              </w:rPr>
            </w:pPr>
            <w:r>
              <w:rPr>
                <w:rFonts w:hint="eastAsia"/>
                <w:color w:val="auto"/>
                <w:highlight w:val="none"/>
                <w:lang w:val="en-US" w:eastAsia="zh-CN"/>
              </w:rPr>
              <w:t>本项目采取絮凝、压滤的处理方式，污泥处理方式不变，污染物处理效率不变，COD处理效率为60%，</w:t>
            </w:r>
            <w:r>
              <w:rPr>
                <w:rFonts w:hint="eastAsia"/>
                <w:color w:val="auto"/>
                <w:sz w:val="21"/>
                <w:szCs w:val="21"/>
                <w:highlight w:val="none"/>
              </w:rPr>
              <w:t>BOD</w:t>
            </w:r>
            <w:r>
              <w:rPr>
                <w:rFonts w:hint="eastAsia"/>
                <w:color w:val="auto"/>
                <w:sz w:val="21"/>
                <w:szCs w:val="21"/>
                <w:highlight w:val="none"/>
                <w:vertAlign w:val="subscript"/>
              </w:rPr>
              <w:t>5</w:t>
            </w:r>
            <w:r>
              <w:rPr>
                <w:rFonts w:hint="eastAsia"/>
                <w:color w:val="auto"/>
                <w:highlight w:val="none"/>
                <w:lang w:val="en-US" w:eastAsia="zh-CN"/>
              </w:rPr>
              <w:t>处理效率为40%，SS处理效率为97.5%，氨氮处理效率为20%，排泥水上清液各项污染物浓度满足</w:t>
            </w:r>
            <w:r>
              <w:rPr>
                <w:rFonts w:hint="eastAsia" w:cs="Times New Roman"/>
                <w:color w:val="auto"/>
                <w:spacing w:val="0"/>
                <w:sz w:val="21"/>
                <w:szCs w:val="21"/>
                <w:highlight w:val="none"/>
                <w:lang w:val="en-US" w:eastAsia="zh-CN"/>
              </w:rPr>
              <w:t>《地表水环境质量标准》（GB3838-2002）表1中三类标准，</w:t>
            </w:r>
            <w:r>
              <w:rPr>
                <w:rFonts w:hint="eastAsia"/>
                <w:color w:val="auto"/>
                <w:highlight w:val="none"/>
                <w:lang w:val="en-US" w:eastAsia="zh-CN"/>
              </w:rPr>
              <w:t>悬浮物满足</w:t>
            </w:r>
            <w:r>
              <w:rPr>
                <w:rFonts w:hint="default"/>
                <w:color w:val="auto"/>
                <w:highlight w:val="none"/>
                <w:lang w:val="en-US" w:eastAsia="zh-CN"/>
              </w:rPr>
              <w:t>《污水综合排放标准》</w:t>
            </w:r>
            <w:r>
              <w:rPr>
                <w:rFonts w:hint="eastAsia"/>
                <w:color w:val="auto"/>
                <w:highlight w:val="none"/>
                <w:lang w:val="en-US" w:eastAsia="zh-CN"/>
              </w:rPr>
              <w:t>（GB8978-1996）一级标准，故认为废水处理措</w:t>
            </w:r>
            <w:r>
              <w:rPr>
                <w:rFonts w:hint="eastAsia" w:cs="Times New Roman"/>
                <w:color w:val="auto"/>
                <w:spacing w:val="0"/>
                <w:w w:val="100"/>
                <w:sz w:val="21"/>
                <w:szCs w:val="21"/>
                <w:highlight w:val="none"/>
                <w:lang w:val="en-US" w:eastAsia="zh-CN"/>
              </w:rPr>
              <w:t>施可行。</w:t>
            </w:r>
          </w:p>
          <w:p w14:paraId="3EB9557D">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bCs/>
                <w:color w:val="auto"/>
                <w:kern w:val="0"/>
                <w:sz w:val="21"/>
                <w:szCs w:val="21"/>
                <w:highlight w:val="none"/>
              </w:rPr>
            </w:pPr>
            <w:r>
              <w:rPr>
                <w:rFonts w:hint="default"/>
                <w:bCs/>
                <w:color w:val="auto"/>
                <w:kern w:val="0"/>
                <w:sz w:val="21"/>
                <w:szCs w:val="21"/>
                <w:highlight w:val="none"/>
              </w:rPr>
              <w:t>环境影响分析</w:t>
            </w:r>
          </w:p>
          <w:p w14:paraId="08C7DA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spacing w:val="0"/>
                <w:w w:val="100"/>
                <w:sz w:val="21"/>
                <w:szCs w:val="21"/>
                <w:highlight w:val="none"/>
                <w:lang w:val="en-US" w:eastAsia="zh-CN"/>
              </w:rPr>
            </w:pPr>
            <w:r>
              <w:rPr>
                <w:rFonts w:hint="eastAsia" w:ascii="Times New Roman" w:hAnsi="Times New Roman" w:cs="Times New Roman"/>
                <w:bCs/>
                <w:color w:val="auto"/>
                <w:spacing w:val="0"/>
                <w:kern w:val="0"/>
                <w:sz w:val="21"/>
                <w:szCs w:val="21"/>
                <w:highlight w:val="none"/>
                <w:lang w:val="en-US" w:eastAsia="zh-CN"/>
              </w:rPr>
              <w:t>本项目不新增生活污水，</w:t>
            </w:r>
            <w:r>
              <w:rPr>
                <w:rFonts w:hint="default" w:ascii="Times New Roman" w:hAnsi="Times New Roman" w:eastAsia="宋体" w:cs="Times New Roman"/>
                <w:bCs/>
                <w:color w:val="auto"/>
                <w:spacing w:val="0"/>
                <w:kern w:val="0"/>
                <w:sz w:val="21"/>
                <w:szCs w:val="21"/>
                <w:highlight w:val="none"/>
                <w:lang w:val="en-US" w:eastAsia="zh-CN"/>
              </w:rPr>
              <w:t>反冲洗废水</w:t>
            </w:r>
            <w:r>
              <w:rPr>
                <w:rFonts w:hint="eastAsia" w:cs="Times New Roman"/>
                <w:color w:val="auto"/>
                <w:sz w:val="21"/>
                <w:szCs w:val="21"/>
                <w:highlight w:val="none"/>
                <w:lang w:eastAsia="zh-CN"/>
              </w:rPr>
              <w:t>回收</w:t>
            </w:r>
            <w:r>
              <w:rPr>
                <w:rFonts w:hint="eastAsia" w:cs="Times New Roman"/>
                <w:color w:val="auto"/>
                <w:sz w:val="21"/>
                <w:szCs w:val="21"/>
                <w:highlight w:val="none"/>
                <w:lang w:val="en-US" w:eastAsia="zh-CN"/>
              </w:rPr>
              <w:t>排入</w:t>
            </w:r>
            <w:r>
              <w:rPr>
                <w:rFonts w:hint="eastAsia" w:cs="Times New Roman"/>
                <w:color w:val="auto"/>
                <w:sz w:val="21"/>
                <w:szCs w:val="21"/>
                <w:highlight w:val="none"/>
                <w:lang w:eastAsia="zh-CN"/>
              </w:rPr>
              <w:t>配水</w:t>
            </w:r>
            <w:r>
              <w:rPr>
                <w:rFonts w:hint="eastAsia" w:cs="Times New Roman"/>
                <w:color w:val="auto"/>
                <w:sz w:val="21"/>
                <w:szCs w:val="21"/>
                <w:highlight w:val="none"/>
                <w:lang w:val="en-US" w:eastAsia="zh-CN"/>
              </w:rPr>
              <w:t>井</w:t>
            </w:r>
            <w:r>
              <w:rPr>
                <w:rFonts w:hint="eastAsia" w:cs="Times New Roman"/>
                <w:color w:val="auto"/>
                <w:sz w:val="21"/>
                <w:szCs w:val="21"/>
                <w:highlight w:val="none"/>
                <w:lang w:eastAsia="zh-CN"/>
              </w:rPr>
              <w:t>与原水混合回用，不外排，</w:t>
            </w:r>
            <w:r>
              <w:rPr>
                <w:rFonts w:hint="default" w:ascii="Times New Roman" w:hAnsi="Times New Roman" w:eastAsia="宋体" w:cs="Times New Roman"/>
                <w:color w:val="auto"/>
                <w:spacing w:val="0"/>
                <w:sz w:val="21"/>
                <w:szCs w:val="21"/>
              </w:rPr>
              <w:t>沉淀池排泥水</w:t>
            </w:r>
            <w:r>
              <w:rPr>
                <w:rFonts w:hint="default" w:ascii="Times New Roman" w:hAnsi="Times New Roman" w:eastAsia="宋体" w:cs="Times New Roman"/>
                <w:color w:val="auto"/>
                <w:spacing w:val="0"/>
                <w:kern w:val="21"/>
                <w:sz w:val="21"/>
                <w:szCs w:val="21"/>
                <w:highlight w:val="none"/>
                <w:lang w:val="en-US" w:eastAsia="zh-CN"/>
              </w:rPr>
              <w:t>经絮凝、沉淀处理后满足</w:t>
            </w:r>
            <w:r>
              <w:rPr>
                <w:rFonts w:hint="default" w:ascii="Times New Roman" w:hAnsi="Times New Roman" w:eastAsia="宋体" w:cs="Times New Roman"/>
                <w:color w:val="auto"/>
                <w:spacing w:val="0"/>
                <w:sz w:val="21"/>
                <w:szCs w:val="21"/>
                <w:highlight w:val="none"/>
                <w:lang w:val="en-US" w:eastAsia="zh-CN"/>
              </w:rPr>
              <w:t>《地表水环境质量标准》（GB3838-2002）表1中三类标准、悬浮物满足《污水综合排放标准》（GB8978-1996）一级标准</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排入</w:t>
            </w:r>
            <w:r>
              <w:rPr>
                <w:rFonts w:hint="eastAsia" w:ascii="Times New Roman" w:hAnsi="Times New Roman" w:eastAsia="宋体" w:cs="Times New Roman"/>
                <w:color w:val="auto"/>
                <w:sz w:val="21"/>
                <w:szCs w:val="21"/>
                <w:highlight w:val="none"/>
                <w:lang w:val="en-US" w:eastAsia="zh-CN"/>
              </w:rPr>
              <w:t>红光沟流入</w:t>
            </w:r>
            <w:r>
              <w:rPr>
                <w:rFonts w:hint="default" w:ascii="Times New Roman" w:hAnsi="Times New Roman" w:eastAsia="宋体" w:cs="Times New Roman"/>
                <w:color w:val="auto"/>
                <w:sz w:val="21"/>
                <w:szCs w:val="21"/>
                <w:highlight w:val="none"/>
                <w:lang w:val="en-US" w:eastAsia="zh-CN"/>
              </w:rPr>
              <w:t>穆棱河</w:t>
            </w:r>
            <w:r>
              <w:rPr>
                <w:rFonts w:hint="default" w:ascii="Times New Roman" w:hAnsi="Times New Roman" w:eastAsia="宋体" w:cs="Times New Roman"/>
                <w:color w:val="auto"/>
                <w:spacing w:val="0"/>
                <w:w w:val="100"/>
                <w:sz w:val="21"/>
                <w:szCs w:val="21"/>
                <w:highlight w:val="none"/>
              </w:rPr>
              <w:t>。</w:t>
            </w:r>
          </w:p>
          <w:p w14:paraId="692717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3、噪声</w:t>
            </w:r>
          </w:p>
          <w:p w14:paraId="2C9AF216">
            <w:pPr>
              <w:keepNext w:val="0"/>
              <w:keepLines w:val="0"/>
              <w:widowControl/>
              <w:suppressLineNumbers w:val="0"/>
              <w:adjustRightInd/>
              <w:snapToGrid/>
              <w:spacing w:before="0" w:beforeAutospacing="0" w:after="0" w:afterAutospacing="0" w:line="360" w:lineRule="auto"/>
              <w:ind w:left="0" w:right="0"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（1）噪声污染源源强核算结果及相关参数见表4-</w:t>
            </w:r>
            <w:r>
              <w:rPr>
                <w:rFonts w:hint="eastAsia" w:cs="Times New Roman"/>
                <w:bCs/>
                <w:color w:val="auto"/>
                <w:szCs w:val="21"/>
                <w:highlight w:val="none"/>
                <w:lang w:val="en-US" w:eastAsia="zh-CN"/>
              </w:rPr>
              <w:t>5</w:t>
            </w:r>
            <w:r>
              <w:rPr>
                <w:rFonts w:hint="default" w:ascii="Times New Roman" w:hAnsi="Times New Roman" w:cs="Times New Roman"/>
                <w:bCs/>
                <w:color w:val="auto"/>
                <w:szCs w:val="21"/>
                <w:highlight w:val="none"/>
              </w:rPr>
              <w:t>。</w:t>
            </w:r>
          </w:p>
          <w:p w14:paraId="44C66D7C">
            <w:pPr>
              <w:keepNext w:val="0"/>
              <w:keepLines w:val="0"/>
              <w:widowControl/>
              <w:suppressLineNumbers w:val="0"/>
              <w:adjustRightInd/>
              <w:snapToGrid/>
              <w:spacing w:before="0" w:beforeAutospacing="0" w:after="0" w:afterAutospacing="0"/>
              <w:ind w:left="0" w:right="0"/>
              <w:jc w:val="center"/>
              <w:rPr>
                <w:rFonts w:hint="default"/>
                <w:b/>
                <w:color w:val="auto"/>
                <w:szCs w:val="21"/>
                <w:highlight w:val="none"/>
              </w:rPr>
            </w:pPr>
            <w:r>
              <w:rPr>
                <w:rFonts w:hint="default" w:ascii="Times New Roman" w:hAnsi="Times New Roman" w:eastAsia="宋体" w:cs="Times New Roman"/>
                <w:b/>
                <w:color w:val="auto"/>
                <w:spacing w:val="0"/>
                <w:kern w:val="2"/>
                <w:sz w:val="21"/>
                <w:szCs w:val="21"/>
                <w:highlight w:val="none"/>
                <w:lang w:val="en-US" w:eastAsia="zh-CN" w:bidi="ar-SA"/>
              </w:rPr>
              <w:t>表4-</w:t>
            </w:r>
            <w:r>
              <w:rPr>
                <w:rFonts w:hint="eastAsia" w:cs="Times New Roman"/>
                <w:b/>
                <w:color w:val="auto"/>
                <w:spacing w:val="0"/>
                <w:kern w:val="2"/>
                <w:sz w:val="21"/>
                <w:szCs w:val="21"/>
                <w:highlight w:val="none"/>
                <w:lang w:val="en-US" w:eastAsia="zh-CN" w:bidi="ar-SA"/>
              </w:rPr>
              <w:t>5</w:t>
            </w:r>
            <w:r>
              <w:rPr>
                <w:rFonts w:hint="default"/>
                <w:b/>
                <w:color w:val="auto"/>
                <w:szCs w:val="21"/>
                <w:highlight w:val="none"/>
              </w:rPr>
              <w:t>污染源源强核算结果及相关参数一览表</w:t>
            </w:r>
          </w:p>
          <w:tbl>
            <w:tblPr>
              <w:tblStyle w:val="35"/>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3"/>
              <w:gridCol w:w="790"/>
              <w:gridCol w:w="2083"/>
              <w:gridCol w:w="1288"/>
              <w:gridCol w:w="780"/>
              <w:gridCol w:w="930"/>
              <w:gridCol w:w="1116"/>
              <w:gridCol w:w="628"/>
            </w:tblGrid>
            <w:tr w14:paraId="42CABE2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3" w:type="pct"/>
                  <w:vMerge w:val="restart"/>
                  <w:tcBorders>
                    <w:tl2br w:val="nil"/>
                    <w:tr2bl w:val="nil"/>
                  </w:tcBorders>
                  <w:noWrap w:val="0"/>
                  <w:vAlign w:val="center"/>
                </w:tcPr>
                <w:p w14:paraId="7DF755C1">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eastAsia="宋体" w:cs="Times New Roman"/>
                      <w:color w:val="auto"/>
                      <w:spacing w:val="0"/>
                      <w:sz w:val="18"/>
                      <w:szCs w:val="18"/>
                      <w:highlight w:val="none"/>
                      <w:lang w:eastAsia="zh-CN"/>
                    </w:rPr>
                  </w:pPr>
                  <w:r>
                    <w:rPr>
                      <w:rFonts w:hint="default" w:ascii="Times New Roman" w:hAnsi="Times New Roman" w:eastAsia="宋体" w:cs="Times New Roman"/>
                      <w:color w:val="auto"/>
                      <w:spacing w:val="0"/>
                      <w:sz w:val="18"/>
                      <w:szCs w:val="18"/>
                      <w:highlight w:val="none"/>
                      <w:lang w:val="en-US" w:eastAsia="zh-CN"/>
                    </w:rPr>
                    <w:t>序号</w:t>
                  </w:r>
                </w:p>
              </w:tc>
              <w:tc>
                <w:tcPr>
                  <w:tcW w:w="491" w:type="pct"/>
                  <w:vMerge w:val="restart"/>
                  <w:tcBorders>
                    <w:tl2br w:val="nil"/>
                    <w:tr2bl w:val="nil"/>
                  </w:tcBorders>
                  <w:noWrap w:val="0"/>
                  <w:vAlign w:val="center"/>
                </w:tcPr>
                <w:p w14:paraId="29A7FFF9">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pacing w:val="0"/>
                      <w:sz w:val="18"/>
                      <w:szCs w:val="18"/>
                      <w:highlight w:val="none"/>
                      <w:lang w:eastAsia="zh-CN"/>
                    </w:rPr>
                  </w:pPr>
                  <w:r>
                    <w:rPr>
                      <w:rFonts w:hint="default" w:ascii="Times New Roman" w:hAnsi="Times New Roman" w:eastAsia="宋体" w:cs="Times New Roman"/>
                      <w:color w:val="auto"/>
                      <w:spacing w:val="0"/>
                      <w:sz w:val="18"/>
                      <w:szCs w:val="18"/>
                      <w:highlight w:val="none"/>
                    </w:rPr>
                    <w:t>工序/生产线</w:t>
                  </w:r>
                </w:p>
              </w:tc>
              <w:tc>
                <w:tcPr>
                  <w:tcW w:w="1295" w:type="pct"/>
                  <w:vMerge w:val="restart"/>
                  <w:tcBorders>
                    <w:tl2br w:val="nil"/>
                    <w:tr2bl w:val="nil"/>
                  </w:tcBorders>
                  <w:noWrap w:val="0"/>
                  <w:vAlign w:val="center"/>
                </w:tcPr>
                <w:p w14:paraId="0549EA15">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eastAsia="宋体" w:cs="Times New Roman"/>
                      <w:color w:val="auto"/>
                      <w:spacing w:val="0"/>
                      <w:sz w:val="18"/>
                      <w:szCs w:val="18"/>
                      <w:highlight w:val="none"/>
                      <w:lang w:eastAsia="zh-CN"/>
                    </w:rPr>
                  </w:pPr>
                  <w:r>
                    <w:rPr>
                      <w:rFonts w:hint="default" w:ascii="Times New Roman" w:hAnsi="Times New Roman" w:eastAsia="宋体" w:cs="Times New Roman"/>
                      <w:color w:val="auto"/>
                      <w:spacing w:val="0"/>
                      <w:sz w:val="18"/>
                      <w:szCs w:val="18"/>
                      <w:highlight w:val="none"/>
                    </w:rPr>
                    <w:t>噪声源</w:t>
                  </w:r>
                </w:p>
              </w:tc>
              <w:tc>
                <w:tcPr>
                  <w:tcW w:w="801" w:type="pct"/>
                  <w:tcBorders>
                    <w:tl2br w:val="nil"/>
                    <w:tr2bl w:val="nil"/>
                  </w:tcBorders>
                  <w:noWrap w:val="0"/>
                  <w:vAlign w:val="center"/>
                </w:tcPr>
                <w:p w14:paraId="675ECA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rPr>
                  </w:pPr>
                  <w:r>
                    <w:rPr>
                      <w:rFonts w:hint="default" w:ascii="Times New Roman" w:hAnsi="Times New Roman" w:eastAsia="宋体" w:cs="Times New Roman"/>
                      <w:color w:val="auto"/>
                      <w:spacing w:val="0"/>
                      <w:sz w:val="18"/>
                      <w:szCs w:val="18"/>
                      <w:highlight w:val="none"/>
                      <w:lang w:val="en-US" w:eastAsia="zh-CN"/>
                    </w:rPr>
                    <w:t>噪声源强</w:t>
                  </w:r>
                </w:p>
              </w:tc>
              <w:tc>
                <w:tcPr>
                  <w:tcW w:w="1063" w:type="pct"/>
                  <w:gridSpan w:val="2"/>
                  <w:tcBorders>
                    <w:tl2br w:val="nil"/>
                    <w:tr2bl w:val="nil"/>
                  </w:tcBorders>
                  <w:noWrap w:val="0"/>
                  <w:vAlign w:val="center"/>
                </w:tcPr>
                <w:p w14:paraId="27CA52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default" w:ascii="Times New Roman" w:hAnsi="Times New Roman" w:eastAsia="宋体" w:cs="Times New Roman"/>
                      <w:color w:val="auto"/>
                      <w:spacing w:val="0"/>
                      <w:sz w:val="18"/>
                      <w:szCs w:val="18"/>
                      <w:highlight w:val="none"/>
                      <w:lang w:val="en-US" w:eastAsia="zh-CN"/>
                    </w:rPr>
                    <w:t>降噪措施</w:t>
                  </w:r>
                </w:p>
              </w:tc>
              <w:tc>
                <w:tcPr>
                  <w:tcW w:w="694" w:type="pct"/>
                  <w:tcBorders>
                    <w:tl2br w:val="nil"/>
                    <w:tr2bl w:val="nil"/>
                  </w:tcBorders>
                  <w:noWrap w:val="0"/>
                  <w:vAlign w:val="center"/>
                </w:tcPr>
                <w:p w14:paraId="64A99247">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auto"/>
                      <w:spacing w:val="0"/>
                      <w:sz w:val="18"/>
                      <w:szCs w:val="18"/>
                      <w:highlight w:val="none"/>
                      <w:lang w:val="en-US" w:eastAsia="zh-CN"/>
                    </w:rPr>
                  </w:pPr>
                  <w:r>
                    <w:rPr>
                      <w:rFonts w:hint="default" w:ascii="Times New Roman" w:hAnsi="Times New Roman" w:eastAsia="宋体" w:cs="Times New Roman"/>
                      <w:bCs/>
                      <w:color w:val="auto"/>
                      <w:sz w:val="18"/>
                      <w:szCs w:val="18"/>
                      <w:highlight w:val="none"/>
                    </w:rPr>
                    <w:t>噪声排放值</w:t>
                  </w:r>
                </w:p>
              </w:tc>
              <w:tc>
                <w:tcPr>
                  <w:tcW w:w="390" w:type="pct"/>
                  <w:vMerge w:val="restart"/>
                  <w:tcBorders>
                    <w:tl2br w:val="nil"/>
                    <w:tr2bl w:val="nil"/>
                  </w:tcBorders>
                  <w:noWrap w:val="0"/>
                  <w:vAlign w:val="center"/>
                </w:tcPr>
                <w:p w14:paraId="5B1BDF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pacing w:val="0"/>
                      <w:kern w:val="0"/>
                      <w:sz w:val="18"/>
                      <w:szCs w:val="18"/>
                      <w:highlight w:val="none"/>
                      <w:lang w:val="en-US" w:eastAsia="zh-CN" w:bidi="ar-SA"/>
                    </w:rPr>
                  </w:pPr>
                  <w:r>
                    <w:rPr>
                      <w:rFonts w:hint="default" w:ascii="Times New Roman" w:hAnsi="Times New Roman" w:eastAsia="宋体" w:cs="Times New Roman"/>
                      <w:color w:val="auto"/>
                      <w:spacing w:val="0"/>
                      <w:sz w:val="18"/>
                      <w:szCs w:val="18"/>
                      <w:highlight w:val="none"/>
                      <w:lang w:val="en-US" w:eastAsia="zh-CN"/>
                    </w:rPr>
                    <w:t>运行时段</w:t>
                  </w:r>
                </w:p>
              </w:tc>
            </w:tr>
            <w:tr w14:paraId="10F6368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3" w:type="pct"/>
                  <w:vMerge w:val="continue"/>
                  <w:tcBorders>
                    <w:tl2br w:val="nil"/>
                    <w:tr2bl w:val="nil"/>
                  </w:tcBorders>
                  <w:noWrap w:val="0"/>
                  <w:vAlign w:val="center"/>
                </w:tcPr>
                <w:p w14:paraId="3A4C3AE7">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eastAsia="宋体" w:cs="Times New Roman"/>
                      <w:color w:val="auto"/>
                      <w:spacing w:val="0"/>
                      <w:sz w:val="18"/>
                      <w:szCs w:val="18"/>
                      <w:highlight w:val="none"/>
                    </w:rPr>
                  </w:pPr>
                </w:p>
              </w:tc>
              <w:tc>
                <w:tcPr>
                  <w:tcW w:w="491" w:type="pct"/>
                  <w:vMerge w:val="continue"/>
                  <w:tcBorders>
                    <w:tl2br w:val="nil"/>
                    <w:tr2bl w:val="nil"/>
                  </w:tcBorders>
                  <w:noWrap w:val="0"/>
                  <w:vAlign w:val="center"/>
                </w:tcPr>
                <w:p w14:paraId="6F2B5CE6">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pacing w:val="0"/>
                      <w:sz w:val="18"/>
                      <w:szCs w:val="18"/>
                      <w:highlight w:val="none"/>
                    </w:rPr>
                  </w:pPr>
                </w:p>
              </w:tc>
              <w:tc>
                <w:tcPr>
                  <w:tcW w:w="1295" w:type="pct"/>
                  <w:vMerge w:val="continue"/>
                  <w:tcBorders>
                    <w:tl2br w:val="nil"/>
                    <w:tr2bl w:val="nil"/>
                  </w:tcBorders>
                  <w:noWrap w:val="0"/>
                  <w:vAlign w:val="center"/>
                </w:tcPr>
                <w:p w14:paraId="00770478">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eastAsia="宋体" w:cs="Times New Roman"/>
                      <w:color w:val="auto"/>
                      <w:spacing w:val="0"/>
                      <w:sz w:val="18"/>
                      <w:szCs w:val="18"/>
                      <w:highlight w:val="none"/>
                    </w:rPr>
                  </w:pPr>
                </w:p>
              </w:tc>
              <w:tc>
                <w:tcPr>
                  <w:tcW w:w="801" w:type="pct"/>
                  <w:tcBorders>
                    <w:tl2br w:val="nil"/>
                    <w:tr2bl w:val="nil"/>
                  </w:tcBorders>
                  <w:noWrap w:val="0"/>
                  <w:vAlign w:val="center"/>
                </w:tcPr>
                <w:p w14:paraId="2FC67C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rPr>
                  </w:pPr>
                  <w:r>
                    <w:rPr>
                      <w:rFonts w:hint="default" w:ascii="Times New Roman" w:hAnsi="Times New Roman" w:eastAsia="宋体" w:cs="Times New Roman"/>
                      <w:color w:val="auto"/>
                      <w:spacing w:val="0"/>
                      <w:sz w:val="18"/>
                      <w:szCs w:val="18"/>
                      <w:highlight w:val="none"/>
                      <w:lang w:val="en-US" w:eastAsia="zh-CN"/>
                    </w:rPr>
                    <w:t>噪声值</w:t>
                  </w:r>
                  <w:r>
                    <w:rPr>
                      <w:rFonts w:hint="default" w:ascii="Times New Roman" w:hAnsi="Times New Roman" w:eastAsia="宋体" w:cs="Times New Roman"/>
                      <w:color w:val="auto"/>
                      <w:spacing w:val="0"/>
                      <w:sz w:val="18"/>
                      <w:szCs w:val="18"/>
                      <w:highlight w:val="none"/>
                    </w:rPr>
                    <w:t>/dB(</w:t>
                  </w:r>
                  <w:r>
                    <w:rPr>
                      <w:rFonts w:hint="default" w:ascii="Times New Roman" w:hAnsi="Times New Roman" w:eastAsia="宋体" w:cs="Times New Roman"/>
                      <w:color w:val="auto"/>
                      <w:spacing w:val="0"/>
                      <w:sz w:val="18"/>
                      <w:szCs w:val="18"/>
                      <w:highlight w:val="none"/>
                      <w:lang w:val="en-US" w:eastAsia="zh-CN"/>
                    </w:rPr>
                    <w:t>A</w:t>
                  </w:r>
                  <w:r>
                    <w:rPr>
                      <w:rFonts w:hint="default" w:ascii="Times New Roman" w:hAnsi="Times New Roman" w:eastAsia="宋体" w:cs="Times New Roman"/>
                      <w:color w:val="auto"/>
                      <w:spacing w:val="0"/>
                      <w:sz w:val="18"/>
                      <w:szCs w:val="18"/>
                      <w:highlight w:val="none"/>
                    </w:rPr>
                    <w:t>)</w:t>
                  </w:r>
                </w:p>
              </w:tc>
              <w:tc>
                <w:tcPr>
                  <w:tcW w:w="485" w:type="pct"/>
                  <w:tcBorders>
                    <w:tl2br w:val="nil"/>
                    <w:tr2bl w:val="nil"/>
                  </w:tcBorders>
                  <w:noWrap w:val="0"/>
                  <w:vAlign w:val="center"/>
                </w:tcPr>
                <w:p w14:paraId="788332BF">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auto"/>
                      <w:spacing w:val="0"/>
                      <w:sz w:val="18"/>
                      <w:szCs w:val="18"/>
                      <w:highlight w:val="none"/>
                    </w:rPr>
                  </w:pPr>
                  <w:r>
                    <w:rPr>
                      <w:rFonts w:hint="default" w:ascii="Times New Roman" w:hAnsi="Times New Roman" w:eastAsia="宋体" w:cs="Times New Roman"/>
                      <w:bCs/>
                      <w:color w:val="auto"/>
                      <w:sz w:val="18"/>
                      <w:szCs w:val="18"/>
                      <w:highlight w:val="none"/>
                    </w:rPr>
                    <w:t>工艺</w:t>
                  </w:r>
                </w:p>
              </w:tc>
              <w:tc>
                <w:tcPr>
                  <w:tcW w:w="578" w:type="pct"/>
                  <w:tcBorders>
                    <w:tl2br w:val="nil"/>
                    <w:tr2bl w:val="nil"/>
                  </w:tcBorders>
                  <w:noWrap w:val="0"/>
                  <w:vAlign w:val="center"/>
                </w:tcPr>
                <w:p w14:paraId="68E336AD">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auto"/>
                      <w:spacing w:val="0"/>
                      <w:sz w:val="18"/>
                      <w:szCs w:val="18"/>
                      <w:highlight w:val="none"/>
                    </w:rPr>
                  </w:pPr>
                  <w:r>
                    <w:rPr>
                      <w:rFonts w:hint="default" w:ascii="Times New Roman" w:hAnsi="Times New Roman" w:eastAsia="宋体" w:cs="Times New Roman"/>
                      <w:bCs/>
                      <w:color w:val="auto"/>
                      <w:sz w:val="18"/>
                      <w:szCs w:val="18"/>
                      <w:highlight w:val="none"/>
                    </w:rPr>
                    <w:t>降噪效果/(dB)</w:t>
                  </w:r>
                </w:p>
              </w:tc>
              <w:tc>
                <w:tcPr>
                  <w:tcW w:w="694" w:type="pct"/>
                  <w:tcBorders>
                    <w:tl2br w:val="nil"/>
                    <w:tr2bl w:val="nil"/>
                  </w:tcBorders>
                  <w:noWrap w:val="0"/>
                  <w:vAlign w:val="center"/>
                </w:tcPr>
                <w:p w14:paraId="7FE3A113">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auto"/>
                      <w:spacing w:val="0"/>
                      <w:kern w:val="0"/>
                      <w:sz w:val="18"/>
                      <w:szCs w:val="18"/>
                      <w:highlight w:val="none"/>
                      <w:lang w:val="en-US" w:eastAsia="zh-CN" w:bidi="ar-SA"/>
                    </w:rPr>
                  </w:pPr>
                  <w:r>
                    <w:rPr>
                      <w:rFonts w:hint="default" w:ascii="Times New Roman" w:hAnsi="Times New Roman" w:eastAsia="宋体" w:cs="Times New Roman"/>
                      <w:bCs/>
                      <w:color w:val="auto"/>
                      <w:sz w:val="18"/>
                      <w:szCs w:val="18"/>
                      <w:highlight w:val="none"/>
                    </w:rPr>
                    <w:t>噪声值/(dB)</w:t>
                  </w:r>
                </w:p>
              </w:tc>
              <w:tc>
                <w:tcPr>
                  <w:tcW w:w="390" w:type="pct"/>
                  <w:vMerge w:val="continue"/>
                  <w:tcBorders>
                    <w:tl2br w:val="nil"/>
                    <w:tr2bl w:val="nil"/>
                  </w:tcBorders>
                  <w:noWrap w:val="0"/>
                  <w:vAlign w:val="center"/>
                </w:tcPr>
                <w:p w14:paraId="0F757D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pacing w:val="0"/>
                      <w:kern w:val="0"/>
                      <w:sz w:val="18"/>
                      <w:szCs w:val="18"/>
                      <w:highlight w:val="none"/>
                      <w:lang w:val="en-US" w:eastAsia="zh-CN" w:bidi="ar-SA"/>
                    </w:rPr>
                  </w:pPr>
                </w:p>
              </w:tc>
            </w:tr>
            <w:tr w14:paraId="5C017C9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3" w:type="pct"/>
                  <w:tcBorders>
                    <w:tl2br w:val="nil"/>
                    <w:tr2bl w:val="nil"/>
                  </w:tcBorders>
                  <w:noWrap w:val="0"/>
                  <w:vAlign w:val="center"/>
                </w:tcPr>
                <w:p w14:paraId="4EAB8C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1</w:t>
                  </w:r>
                </w:p>
              </w:tc>
              <w:tc>
                <w:tcPr>
                  <w:tcW w:w="491" w:type="pct"/>
                  <w:vMerge w:val="restart"/>
                  <w:tcBorders>
                    <w:tl2br w:val="nil"/>
                    <w:tr2bl w:val="nil"/>
                  </w:tcBorders>
                  <w:noWrap w:val="0"/>
                  <w:vAlign w:val="center"/>
                </w:tcPr>
                <w:p w14:paraId="269FF0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生产</w:t>
                  </w:r>
                </w:p>
              </w:tc>
              <w:tc>
                <w:tcPr>
                  <w:tcW w:w="1295" w:type="pct"/>
                  <w:tcBorders>
                    <w:tl2br w:val="nil"/>
                    <w:tr2bl w:val="nil"/>
                  </w:tcBorders>
                  <w:noWrap w:val="0"/>
                  <w:vAlign w:val="center"/>
                </w:tcPr>
                <w:p w14:paraId="6E699F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u w:val="none"/>
                      <w:lang w:val="en-US" w:eastAsia="zh-CN" w:bidi="ar"/>
                    </w:rPr>
                    <w:t>叠螺污泥浓缩机</w:t>
                  </w:r>
                </w:p>
              </w:tc>
              <w:tc>
                <w:tcPr>
                  <w:tcW w:w="801" w:type="pct"/>
                  <w:tcBorders>
                    <w:tl2br w:val="nil"/>
                    <w:tr2bl w:val="nil"/>
                  </w:tcBorders>
                  <w:noWrap w:val="0"/>
                  <w:vAlign w:val="center"/>
                </w:tcPr>
                <w:p w14:paraId="15521C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80</w:t>
                  </w:r>
                </w:p>
              </w:tc>
              <w:tc>
                <w:tcPr>
                  <w:tcW w:w="485" w:type="pct"/>
                  <w:vMerge w:val="restart"/>
                  <w:tcBorders>
                    <w:tl2br w:val="nil"/>
                    <w:tr2bl w:val="nil"/>
                  </w:tcBorders>
                  <w:noWrap w:val="0"/>
                  <w:vAlign w:val="center"/>
                </w:tcPr>
                <w:p w14:paraId="7C05A7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rPr>
                  </w:pPr>
                  <w:r>
                    <w:rPr>
                      <w:rFonts w:hint="default"/>
                      <w:color w:val="auto"/>
                      <w:sz w:val="18"/>
                      <w:szCs w:val="18"/>
                      <w:highlight w:val="none"/>
                    </w:rPr>
                    <w:t>低噪声设备、基础减振</w:t>
                  </w:r>
                  <w:r>
                    <w:rPr>
                      <w:rFonts w:hint="eastAsia"/>
                      <w:color w:val="auto"/>
                      <w:sz w:val="18"/>
                      <w:szCs w:val="18"/>
                      <w:highlight w:val="none"/>
                    </w:rPr>
                    <w:t>、</w:t>
                  </w:r>
                  <w:r>
                    <w:rPr>
                      <w:rFonts w:hint="eastAsia"/>
                      <w:color w:val="auto"/>
                      <w:sz w:val="18"/>
                      <w:szCs w:val="18"/>
                      <w:highlight w:val="none"/>
                      <w:lang w:val="en-US" w:eastAsia="zh-CN"/>
                    </w:rPr>
                    <w:t>厂</w:t>
                  </w:r>
                  <w:r>
                    <w:rPr>
                      <w:rFonts w:hint="eastAsia"/>
                      <w:color w:val="auto"/>
                      <w:sz w:val="18"/>
                      <w:szCs w:val="18"/>
                      <w:highlight w:val="none"/>
                    </w:rPr>
                    <w:t>房</w:t>
                  </w:r>
                  <w:r>
                    <w:rPr>
                      <w:rFonts w:hint="default"/>
                      <w:color w:val="auto"/>
                      <w:sz w:val="18"/>
                      <w:szCs w:val="18"/>
                      <w:highlight w:val="none"/>
                    </w:rPr>
                    <w:t>隔声等</w:t>
                  </w:r>
                  <w:r>
                    <w:rPr>
                      <w:rFonts w:hint="eastAsia"/>
                      <w:color w:val="auto"/>
                      <w:sz w:val="18"/>
                      <w:szCs w:val="18"/>
                      <w:highlight w:val="none"/>
                    </w:rPr>
                    <w:t>措施</w:t>
                  </w:r>
                </w:p>
              </w:tc>
              <w:tc>
                <w:tcPr>
                  <w:tcW w:w="578" w:type="pct"/>
                  <w:tcBorders>
                    <w:tl2br w:val="nil"/>
                    <w:tr2bl w:val="nil"/>
                  </w:tcBorders>
                  <w:noWrap w:val="0"/>
                  <w:vAlign w:val="center"/>
                </w:tcPr>
                <w:p w14:paraId="3D3F85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20</w:t>
                  </w:r>
                </w:p>
              </w:tc>
              <w:tc>
                <w:tcPr>
                  <w:tcW w:w="694" w:type="pct"/>
                  <w:tcBorders>
                    <w:tl2br w:val="nil"/>
                    <w:tr2bl w:val="nil"/>
                  </w:tcBorders>
                  <w:noWrap w:val="0"/>
                  <w:vAlign w:val="center"/>
                </w:tcPr>
                <w:p w14:paraId="1B5371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60</w:t>
                  </w:r>
                </w:p>
              </w:tc>
              <w:tc>
                <w:tcPr>
                  <w:tcW w:w="390" w:type="pct"/>
                  <w:vMerge w:val="restart"/>
                  <w:tcBorders>
                    <w:tl2br w:val="nil"/>
                    <w:tr2bl w:val="nil"/>
                  </w:tcBorders>
                  <w:noWrap w:val="0"/>
                  <w:vAlign w:val="center"/>
                </w:tcPr>
                <w:p w14:paraId="03EC99B5">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8760</w:t>
                  </w:r>
                </w:p>
              </w:tc>
            </w:tr>
            <w:tr w14:paraId="5FF6104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3" w:type="pct"/>
                  <w:tcBorders>
                    <w:tl2br w:val="nil"/>
                    <w:tr2bl w:val="nil"/>
                  </w:tcBorders>
                  <w:noWrap w:val="0"/>
                  <w:vAlign w:val="center"/>
                </w:tcPr>
                <w:p w14:paraId="1B4908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2</w:t>
                  </w:r>
                </w:p>
              </w:tc>
              <w:tc>
                <w:tcPr>
                  <w:tcW w:w="491" w:type="pct"/>
                  <w:vMerge w:val="continue"/>
                  <w:tcBorders>
                    <w:tl2br w:val="nil"/>
                    <w:tr2bl w:val="nil"/>
                  </w:tcBorders>
                  <w:noWrap w:val="0"/>
                  <w:vAlign w:val="center"/>
                </w:tcPr>
                <w:p w14:paraId="57ADA5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kern w:val="2"/>
                      <w:sz w:val="18"/>
                      <w:szCs w:val="18"/>
                      <w:highlight w:val="none"/>
                      <w:lang w:val="en-US" w:eastAsia="zh-CN" w:bidi="ar-SA"/>
                    </w:rPr>
                  </w:pPr>
                </w:p>
              </w:tc>
              <w:tc>
                <w:tcPr>
                  <w:tcW w:w="1295" w:type="pct"/>
                  <w:tcBorders>
                    <w:tl2br w:val="nil"/>
                    <w:tr2bl w:val="nil"/>
                  </w:tcBorders>
                  <w:noWrap w:val="0"/>
                  <w:vAlign w:val="center"/>
                </w:tcPr>
                <w:p w14:paraId="5F46B2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u w:val="none"/>
                      <w:lang w:val="en-US" w:eastAsia="zh-CN" w:bidi="ar"/>
                    </w:rPr>
                    <w:t>污泥调理罐搅拌器</w:t>
                  </w:r>
                </w:p>
              </w:tc>
              <w:tc>
                <w:tcPr>
                  <w:tcW w:w="801" w:type="pct"/>
                  <w:tcBorders>
                    <w:tl2br w:val="nil"/>
                    <w:tr2bl w:val="nil"/>
                  </w:tcBorders>
                  <w:noWrap w:val="0"/>
                  <w:vAlign w:val="center"/>
                </w:tcPr>
                <w:p w14:paraId="540C04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70</w:t>
                  </w:r>
                </w:p>
              </w:tc>
              <w:tc>
                <w:tcPr>
                  <w:tcW w:w="485" w:type="pct"/>
                  <w:vMerge w:val="continue"/>
                  <w:tcBorders>
                    <w:tl2br w:val="nil"/>
                    <w:tr2bl w:val="nil"/>
                  </w:tcBorders>
                  <w:noWrap w:val="0"/>
                  <w:vAlign w:val="center"/>
                </w:tcPr>
                <w:p w14:paraId="28B5F9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rPr>
                  </w:pPr>
                </w:p>
              </w:tc>
              <w:tc>
                <w:tcPr>
                  <w:tcW w:w="578" w:type="pct"/>
                  <w:tcBorders>
                    <w:tl2br w:val="nil"/>
                    <w:tr2bl w:val="nil"/>
                  </w:tcBorders>
                  <w:noWrap w:val="0"/>
                  <w:vAlign w:val="center"/>
                </w:tcPr>
                <w:p w14:paraId="2FD5AD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20</w:t>
                  </w:r>
                </w:p>
              </w:tc>
              <w:tc>
                <w:tcPr>
                  <w:tcW w:w="694" w:type="pct"/>
                  <w:tcBorders>
                    <w:tl2br w:val="nil"/>
                    <w:tr2bl w:val="nil"/>
                  </w:tcBorders>
                  <w:noWrap w:val="0"/>
                  <w:vAlign w:val="center"/>
                </w:tcPr>
                <w:p w14:paraId="00F37B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50</w:t>
                  </w:r>
                </w:p>
              </w:tc>
              <w:tc>
                <w:tcPr>
                  <w:tcW w:w="390" w:type="pct"/>
                  <w:vMerge w:val="continue"/>
                  <w:tcBorders>
                    <w:tl2br w:val="nil"/>
                    <w:tr2bl w:val="nil"/>
                  </w:tcBorders>
                  <w:noWrap w:val="0"/>
                  <w:vAlign w:val="center"/>
                </w:tcPr>
                <w:p w14:paraId="253ECB9D">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cs="Times New Roman"/>
                      <w:color w:val="auto"/>
                      <w:spacing w:val="0"/>
                      <w:sz w:val="18"/>
                      <w:szCs w:val="18"/>
                      <w:highlight w:val="none"/>
                      <w:lang w:val="en-US" w:eastAsia="zh-CN"/>
                    </w:rPr>
                  </w:pPr>
                </w:p>
              </w:tc>
            </w:tr>
            <w:tr w14:paraId="3F9BB7C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3" w:type="pct"/>
                  <w:tcBorders>
                    <w:tl2br w:val="nil"/>
                    <w:tr2bl w:val="nil"/>
                  </w:tcBorders>
                  <w:noWrap w:val="0"/>
                  <w:vAlign w:val="center"/>
                </w:tcPr>
                <w:p w14:paraId="7AF556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3</w:t>
                  </w:r>
                </w:p>
              </w:tc>
              <w:tc>
                <w:tcPr>
                  <w:tcW w:w="491" w:type="pct"/>
                  <w:vMerge w:val="continue"/>
                  <w:tcBorders>
                    <w:tl2br w:val="nil"/>
                    <w:tr2bl w:val="nil"/>
                  </w:tcBorders>
                  <w:noWrap w:val="0"/>
                  <w:vAlign w:val="center"/>
                </w:tcPr>
                <w:p w14:paraId="7973EA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kern w:val="2"/>
                      <w:sz w:val="18"/>
                      <w:szCs w:val="18"/>
                      <w:highlight w:val="none"/>
                      <w:lang w:val="en-US" w:eastAsia="zh-CN" w:bidi="ar-SA"/>
                    </w:rPr>
                  </w:pPr>
                </w:p>
              </w:tc>
              <w:tc>
                <w:tcPr>
                  <w:tcW w:w="1295" w:type="pct"/>
                  <w:tcBorders>
                    <w:tl2br w:val="nil"/>
                    <w:tr2bl w:val="nil"/>
                  </w:tcBorders>
                  <w:noWrap w:val="0"/>
                  <w:vAlign w:val="center"/>
                </w:tcPr>
                <w:p w14:paraId="10F8B0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u w:val="none"/>
                      <w:lang w:val="en-US" w:eastAsia="zh-CN" w:bidi="ar"/>
                    </w:rPr>
                    <w:t>浓缩机进泥泵</w:t>
                  </w:r>
                </w:p>
              </w:tc>
              <w:tc>
                <w:tcPr>
                  <w:tcW w:w="801" w:type="pct"/>
                  <w:tcBorders>
                    <w:tl2br w:val="nil"/>
                    <w:tr2bl w:val="nil"/>
                  </w:tcBorders>
                  <w:noWrap w:val="0"/>
                  <w:vAlign w:val="center"/>
                </w:tcPr>
                <w:p w14:paraId="74B220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75</w:t>
                  </w:r>
                </w:p>
              </w:tc>
              <w:tc>
                <w:tcPr>
                  <w:tcW w:w="485" w:type="pct"/>
                  <w:vMerge w:val="continue"/>
                  <w:tcBorders>
                    <w:tl2br w:val="nil"/>
                    <w:tr2bl w:val="nil"/>
                  </w:tcBorders>
                  <w:noWrap w:val="0"/>
                  <w:vAlign w:val="center"/>
                </w:tcPr>
                <w:p w14:paraId="3AD8E3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rPr>
                  </w:pPr>
                </w:p>
              </w:tc>
              <w:tc>
                <w:tcPr>
                  <w:tcW w:w="578" w:type="pct"/>
                  <w:tcBorders>
                    <w:tl2br w:val="nil"/>
                    <w:tr2bl w:val="nil"/>
                  </w:tcBorders>
                  <w:noWrap w:val="0"/>
                  <w:vAlign w:val="center"/>
                </w:tcPr>
                <w:p w14:paraId="6FB444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20</w:t>
                  </w:r>
                </w:p>
              </w:tc>
              <w:tc>
                <w:tcPr>
                  <w:tcW w:w="694" w:type="pct"/>
                  <w:tcBorders>
                    <w:tl2br w:val="nil"/>
                    <w:tr2bl w:val="nil"/>
                  </w:tcBorders>
                  <w:noWrap w:val="0"/>
                  <w:vAlign w:val="center"/>
                </w:tcPr>
                <w:p w14:paraId="5FB47E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55</w:t>
                  </w:r>
                </w:p>
              </w:tc>
              <w:tc>
                <w:tcPr>
                  <w:tcW w:w="390" w:type="pct"/>
                  <w:vMerge w:val="continue"/>
                  <w:tcBorders>
                    <w:tl2br w:val="nil"/>
                    <w:tr2bl w:val="nil"/>
                  </w:tcBorders>
                  <w:noWrap w:val="0"/>
                  <w:vAlign w:val="center"/>
                </w:tcPr>
                <w:p w14:paraId="1BF27FA2">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cs="Times New Roman"/>
                      <w:color w:val="auto"/>
                      <w:spacing w:val="0"/>
                      <w:sz w:val="18"/>
                      <w:szCs w:val="18"/>
                      <w:highlight w:val="none"/>
                      <w:lang w:val="en-US" w:eastAsia="zh-CN"/>
                    </w:rPr>
                  </w:pPr>
                </w:p>
              </w:tc>
            </w:tr>
            <w:tr w14:paraId="0234A5E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3" w:type="pct"/>
                  <w:tcBorders>
                    <w:tl2br w:val="nil"/>
                    <w:tr2bl w:val="nil"/>
                  </w:tcBorders>
                  <w:noWrap w:val="0"/>
                  <w:vAlign w:val="center"/>
                </w:tcPr>
                <w:p w14:paraId="18D918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4</w:t>
                  </w:r>
                </w:p>
              </w:tc>
              <w:tc>
                <w:tcPr>
                  <w:tcW w:w="491" w:type="pct"/>
                  <w:vMerge w:val="continue"/>
                  <w:tcBorders>
                    <w:tl2br w:val="nil"/>
                    <w:tr2bl w:val="nil"/>
                  </w:tcBorders>
                  <w:noWrap w:val="0"/>
                  <w:vAlign w:val="center"/>
                </w:tcPr>
                <w:p w14:paraId="63227F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kern w:val="2"/>
                      <w:sz w:val="18"/>
                      <w:szCs w:val="18"/>
                      <w:highlight w:val="none"/>
                      <w:lang w:val="en-US" w:eastAsia="zh-CN" w:bidi="ar-SA"/>
                    </w:rPr>
                  </w:pPr>
                </w:p>
              </w:tc>
              <w:tc>
                <w:tcPr>
                  <w:tcW w:w="1295" w:type="pct"/>
                  <w:tcBorders>
                    <w:tl2br w:val="nil"/>
                    <w:tr2bl w:val="nil"/>
                  </w:tcBorders>
                  <w:noWrap w:val="0"/>
                  <w:vAlign w:val="center"/>
                </w:tcPr>
                <w:p w14:paraId="6381DE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u w:val="none"/>
                      <w:lang w:val="en-US" w:eastAsia="zh-CN" w:bidi="ar"/>
                    </w:rPr>
                    <w:t>高压隔膜压滤机</w:t>
                  </w:r>
                </w:p>
              </w:tc>
              <w:tc>
                <w:tcPr>
                  <w:tcW w:w="801" w:type="pct"/>
                  <w:tcBorders>
                    <w:tl2br w:val="nil"/>
                    <w:tr2bl w:val="nil"/>
                  </w:tcBorders>
                  <w:noWrap w:val="0"/>
                  <w:vAlign w:val="center"/>
                </w:tcPr>
                <w:p w14:paraId="33B982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80</w:t>
                  </w:r>
                </w:p>
              </w:tc>
              <w:tc>
                <w:tcPr>
                  <w:tcW w:w="485" w:type="pct"/>
                  <w:vMerge w:val="continue"/>
                  <w:tcBorders>
                    <w:tl2br w:val="nil"/>
                    <w:tr2bl w:val="nil"/>
                  </w:tcBorders>
                  <w:noWrap w:val="0"/>
                  <w:vAlign w:val="center"/>
                </w:tcPr>
                <w:p w14:paraId="7FD2BA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rPr>
                  </w:pPr>
                </w:p>
              </w:tc>
              <w:tc>
                <w:tcPr>
                  <w:tcW w:w="578" w:type="pct"/>
                  <w:tcBorders>
                    <w:tl2br w:val="nil"/>
                    <w:tr2bl w:val="nil"/>
                  </w:tcBorders>
                  <w:noWrap w:val="0"/>
                  <w:vAlign w:val="center"/>
                </w:tcPr>
                <w:p w14:paraId="51B0B5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20</w:t>
                  </w:r>
                </w:p>
              </w:tc>
              <w:tc>
                <w:tcPr>
                  <w:tcW w:w="694" w:type="pct"/>
                  <w:tcBorders>
                    <w:tl2br w:val="nil"/>
                    <w:tr2bl w:val="nil"/>
                  </w:tcBorders>
                  <w:noWrap w:val="0"/>
                  <w:vAlign w:val="center"/>
                </w:tcPr>
                <w:p w14:paraId="40487F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60</w:t>
                  </w:r>
                </w:p>
              </w:tc>
              <w:tc>
                <w:tcPr>
                  <w:tcW w:w="390" w:type="pct"/>
                  <w:vMerge w:val="continue"/>
                  <w:tcBorders>
                    <w:tl2br w:val="nil"/>
                    <w:tr2bl w:val="nil"/>
                  </w:tcBorders>
                  <w:noWrap w:val="0"/>
                  <w:vAlign w:val="center"/>
                </w:tcPr>
                <w:p w14:paraId="2EA7E3C0">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cs="Times New Roman"/>
                      <w:color w:val="auto"/>
                      <w:spacing w:val="0"/>
                      <w:sz w:val="18"/>
                      <w:szCs w:val="18"/>
                      <w:highlight w:val="none"/>
                      <w:lang w:val="en-US" w:eastAsia="zh-CN"/>
                    </w:rPr>
                  </w:pPr>
                </w:p>
              </w:tc>
            </w:tr>
            <w:tr w14:paraId="4940D78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3" w:type="pct"/>
                  <w:tcBorders>
                    <w:tl2br w:val="nil"/>
                    <w:tr2bl w:val="nil"/>
                  </w:tcBorders>
                  <w:noWrap w:val="0"/>
                  <w:vAlign w:val="center"/>
                </w:tcPr>
                <w:p w14:paraId="7CB296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5</w:t>
                  </w:r>
                </w:p>
              </w:tc>
              <w:tc>
                <w:tcPr>
                  <w:tcW w:w="491" w:type="pct"/>
                  <w:vMerge w:val="continue"/>
                  <w:tcBorders>
                    <w:tl2br w:val="nil"/>
                    <w:tr2bl w:val="nil"/>
                  </w:tcBorders>
                  <w:noWrap w:val="0"/>
                  <w:vAlign w:val="center"/>
                </w:tcPr>
                <w:p w14:paraId="7F9C23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kern w:val="2"/>
                      <w:sz w:val="18"/>
                      <w:szCs w:val="18"/>
                      <w:highlight w:val="none"/>
                      <w:lang w:val="en-US" w:eastAsia="zh-CN" w:bidi="ar-SA"/>
                    </w:rPr>
                  </w:pPr>
                </w:p>
              </w:tc>
              <w:tc>
                <w:tcPr>
                  <w:tcW w:w="1295" w:type="pct"/>
                  <w:tcBorders>
                    <w:tl2br w:val="nil"/>
                    <w:tr2bl w:val="nil"/>
                  </w:tcBorders>
                  <w:noWrap w:val="0"/>
                  <w:vAlign w:val="center"/>
                </w:tcPr>
                <w:p w14:paraId="5CE6E4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u w:val="none"/>
                      <w:lang w:val="en-US" w:eastAsia="zh-CN" w:bidi="ar"/>
                    </w:rPr>
                    <w:t>机下皮带输送机</w:t>
                  </w:r>
                </w:p>
              </w:tc>
              <w:tc>
                <w:tcPr>
                  <w:tcW w:w="801" w:type="pct"/>
                  <w:tcBorders>
                    <w:tl2br w:val="nil"/>
                    <w:tr2bl w:val="nil"/>
                  </w:tcBorders>
                  <w:noWrap w:val="0"/>
                  <w:vAlign w:val="center"/>
                </w:tcPr>
                <w:p w14:paraId="7B4DFB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75</w:t>
                  </w:r>
                </w:p>
              </w:tc>
              <w:tc>
                <w:tcPr>
                  <w:tcW w:w="485" w:type="pct"/>
                  <w:vMerge w:val="continue"/>
                  <w:tcBorders>
                    <w:tl2br w:val="nil"/>
                    <w:tr2bl w:val="nil"/>
                  </w:tcBorders>
                  <w:noWrap w:val="0"/>
                  <w:vAlign w:val="center"/>
                </w:tcPr>
                <w:p w14:paraId="08B4D3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rPr>
                  </w:pPr>
                </w:p>
              </w:tc>
              <w:tc>
                <w:tcPr>
                  <w:tcW w:w="578" w:type="pct"/>
                  <w:tcBorders>
                    <w:tl2br w:val="nil"/>
                    <w:tr2bl w:val="nil"/>
                  </w:tcBorders>
                  <w:noWrap w:val="0"/>
                  <w:vAlign w:val="center"/>
                </w:tcPr>
                <w:p w14:paraId="4A72A2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20</w:t>
                  </w:r>
                </w:p>
              </w:tc>
              <w:tc>
                <w:tcPr>
                  <w:tcW w:w="694" w:type="pct"/>
                  <w:tcBorders>
                    <w:tl2br w:val="nil"/>
                    <w:tr2bl w:val="nil"/>
                  </w:tcBorders>
                  <w:noWrap w:val="0"/>
                  <w:vAlign w:val="center"/>
                </w:tcPr>
                <w:p w14:paraId="315AA1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55</w:t>
                  </w:r>
                </w:p>
              </w:tc>
              <w:tc>
                <w:tcPr>
                  <w:tcW w:w="390" w:type="pct"/>
                  <w:vMerge w:val="continue"/>
                  <w:tcBorders>
                    <w:tl2br w:val="nil"/>
                    <w:tr2bl w:val="nil"/>
                  </w:tcBorders>
                  <w:noWrap w:val="0"/>
                  <w:vAlign w:val="center"/>
                </w:tcPr>
                <w:p w14:paraId="4B520525">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cs="Times New Roman"/>
                      <w:color w:val="auto"/>
                      <w:spacing w:val="0"/>
                      <w:sz w:val="18"/>
                      <w:szCs w:val="18"/>
                      <w:highlight w:val="none"/>
                      <w:lang w:val="en-US" w:eastAsia="zh-CN"/>
                    </w:rPr>
                  </w:pPr>
                </w:p>
              </w:tc>
            </w:tr>
            <w:tr w14:paraId="003FF0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3" w:type="pct"/>
                  <w:tcBorders>
                    <w:tl2br w:val="nil"/>
                    <w:tr2bl w:val="nil"/>
                  </w:tcBorders>
                  <w:noWrap w:val="0"/>
                  <w:vAlign w:val="center"/>
                </w:tcPr>
                <w:p w14:paraId="4AD89E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6</w:t>
                  </w:r>
                </w:p>
              </w:tc>
              <w:tc>
                <w:tcPr>
                  <w:tcW w:w="491" w:type="pct"/>
                  <w:vMerge w:val="continue"/>
                  <w:tcBorders>
                    <w:tl2br w:val="nil"/>
                    <w:tr2bl w:val="nil"/>
                  </w:tcBorders>
                  <w:noWrap w:val="0"/>
                  <w:vAlign w:val="center"/>
                </w:tcPr>
                <w:p w14:paraId="148BD7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kern w:val="2"/>
                      <w:sz w:val="18"/>
                      <w:szCs w:val="18"/>
                      <w:highlight w:val="none"/>
                      <w:lang w:val="en-US" w:eastAsia="zh-CN" w:bidi="ar-SA"/>
                    </w:rPr>
                  </w:pPr>
                </w:p>
              </w:tc>
              <w:tc>
                <w:tcPr>
                  <w:tcW w:w="1295" w:type="pct"/>
                  <w:tcBorders>
                    <w:tl2br w:val="nil"/>
                    <w:tr2bl w:val="nil"/>
                  </w:tcBorders>
                  <w:noWrap w:val="0"/>
                  <w:vAlign w:val="center"/>
                </w:tcPr>
                <w:p w14:paraId="09B264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u w:val="none"/>
                      <w:lang w:val="en-US" w:eastAsia="zh-CN" w:bidi="ar"/>
                    </w:rPr>
                    <w:t>汇总输送机+倾斜</w:t>
                  </w:r>
                </w:p>
              </w:tc>
              <w:tc>
                <w:tcPr>
                  <w:tcW w:w="801" w:type="pct"/>
                  <w:tcBorders>
                    <w:tl2br w:val="nil"/>
                    <w:tr2bl w:val="nil"/>
                  </w:tcBorders>
                  <w:noWrap w:val="0"/>
                  <w:vAlign w:val="center"/>
                </w:tcPr>
                <w:p w14:paraId="139B53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75</w:t>
                  </w:r>
                </w:p>
              </w:tc>
              <w:tc>
                <w:tcPr>
                  <w:tcW w:w="485" w:type="pct"/>
                  <w:vMerge w:val="continue"/>
                  <w:tcBorders>
                    <w:tl2br w:val="nil"/>
                    <w:tr2bl w:val="nil"/>
                  </w:tcBorders>
                  <w:noWrap w:val="0"/>
                  <w:vAlign w:val="center"/>
                </w:tcPr>
                <w:p w14:paraId="7B8197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rPr>
                  </w:pPr>
                </w:p>
              </w:tc>
              <w:tc>
                <w:tcPr>
                  <w:tcW w:w="578" w:type="pct"/>
                  <w:tcBorders>
                    <w:tl2br w:val="nil"/>
                    <w:tr2bl w:val="nil"/>
                  </w:tcBorders>
                  <w:noWrap w:val="0"/>
                  <w:vAlign w:val="center"/>
                </w:tcPr>
                <w:p w14:paraId="41119F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20</w:t>
                  </w:r>
                </w:p>
              </w:tc>
              <w:tc>
                <w:tcPr>
                  <w:tcW w:w="694" w:type="pct"/>
                  <w:tcBorders>
                    <w:tl2br w:val="nil"/>
                    <w:tr2bl w:val="nil"/>
                  </w:tcBorders>
                  <w:noWrap w:val="0"/>
                  <w:vAlign w:val="center"/>
                </w:tcPr>
                <w:p w14:paraId="7FC7F6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55</w:t>
                  </w:r>
                </w:p>
              </w:tc>
              <w:tc>
                <w:tcPr>
                  <w:tcW w:w="390" w:type="pct"/>
                  <w:vMerge w:val="continue"/>
                  <w:tcBorders>
                    <w:tl2br w:val="nil"/>
                    <w:tr2bl w:val="nil"/>
                  </w:tcBorders>
                  <w:noWrap w:val="0"/>
                  <w:vAlign w:val="center"/>
                </w:tcPr>
                <w:p w14:paraId="51ECE3C8">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cs="Times New Roman"/>
                      <w:color w:val="auto"/>
                      <w:spacing w:val="0"/>
                      <w:sz w:val="18"/>
                      <w:szCs w:val="18"/>
                      <w:highlight w:val="none"/>
                      <w:lang w:val="en-US" w:eastAsia="zh-CN"/>
                    </w:rPr>
                  </w:pPr>
                </w:p>
              </w:tc>
            </w:tr>
            <w:tr w14:paraId="3AE3EF6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3" w:type="pct"/>
                  <w:tcBorders>
                    <w:tl2br w:val="nil"/>
                    <w:tr2bl w:val="nil"/>
                  </w:tcBorders>
                  <w:noWrap w:val="0"/>
                  <w:vAlign w:val="center"/>
                </w:tcPr>
                <w:p w14:paraId="480068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7</w:t>
                  </w:r>
                </w:p>
              </w:tc>
              <w:tc>
                <w:tcPr>
                  <w:tcW w:w="491" w:type="pct"/>
                  <w:vMerge w:val="continue"/>
                  <w:tcBorders>
                    <w:tl2br w:val="nil"/>
                    <w:tr2bl w:val="nil"/>
                  </w:tcBorders>
                  <w:noWrap w:val="0"/>
                  <w:vAlign w:val="center"/>
                </w:tcPr>
                <w:p w14:paraId="2EBF09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kern w:val="2"/>
                      <w:sz w:val="18"/>
                      <w:szCs w:val="18"/>
                      <w:highlight w:val="none"/>
                      <w:lang w:val="en-US" w:eastAsia="zh-CN" w:bidi="ar-SA"/>
                    </w:rPr>
                  </w:pPr>
                </w:p>
              </w:tc>
              <w:tc>
                <w:tcPr>
                  <w:tcW w:w="1295" w:type="pct"/>
                  <w:tcBorders>
                    <w:tl2br w:val="nil"/>
                    <w:tr2bl w:val="nil"/>
                  </w:tcBorders>
                  <w:noWrap w:val="0"/>
                  <w:vAlign w:val="center"/>
                </w:tcPr>
                <w:p w14:paraId="7AFC08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u w:val="none"/>
                      <w:lang w:val="en-US" w:eastAsia="zh-CN" w:bidi="ar"/>
                    </w:rPr>
                    <w:t>大倾角皮带机</w:t>
                  </w:r>
                </w:p>
              </w:tc>
              <w:tc>
                <w:tcPr>
                  <w:tcW w:w="801" w:type="pct"/>
                  <w:tcBorders>
                    <w:tl2br w:val="nil"/>
                    <w:tr2bl w:val="nil"/>
                  </w:tcBorders>
                  <w:noWrap w:val="0"/>
                  <w:vAlign w:val="center"/>
                </w:tcPr>
                <w:p w14:paraId="419101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75</w:t>
                  </w:r>
                </w:p>
              </w:tc>
              <w:tc>
                <w:tcPr>
                  <w:tcW w:w="485" w:type="pct"/>
                  <w:vMerge w:val="continue"/>
                  <w:tcBorders>
                    <w:tl2br w:val="nil"/>
                    <w:tr2bl w:val="nil"/>
                  </w:tcBorders>
                  <w:noWrap w:val="0"/>
                  <w:vAlign w:val="center"/>
                </w:tcPr>
                <w:p w14:paraId="00C63D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rPr>
                  </w:pPr>
                </w:p>
              </w:tc>
              <w:tc>
                <w:tcPr>
                  <w:tcW w:w="578" w:type="pct"/>
                  <w:tcBorders>
                    <w:tl2br w:val="nil"/>
                    <w:tr2bl w:val="nil"/>
                  </w:tcBorders>
                  <w:noWrap w:val="0"/>
                  <w:vAlign w:val="center"/>
                </w:tcPr>
                <w:p w14:paraId="0A2D20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20</w:t>
                  </w:r>
                </w:p>
              </w:tc>
              <w:tc>
                <w:tcPr>
                  <w:tcW w:w="694" w:type="pct"/>
                  <w:tcBorders>
                    <w:tl2br w:val="nil"/>
                    <w:tr2bl w:val="nil"/>
                  </w:tcBorders>
                  <w:noWrap w:val="0"/>
                  <w:vAlign w:val="center"/>
                </w:tcPr>
                <w:p w14:paraId="1A62B8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55</w:t>
                  </w:r>
                </w:p>
              </w:tc>
              <w:tc>
                <w:tcPr>
                  <w:tcW w:w="390" w:type="pct"/>
                  <w:vMerge w:val="continue"/>
                  <w:tcBorders>
                    <w:tl2br w:val="nil"/>
                    <w:tr2bl w:val="nil"/>
                  </w:tcBorders>
                  <w:noWrap w:val="0"/>
                  <w:vAlign w:val="center"/>
                </w:tcPr>
                <w:p w14:paraId="208DB05E">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cs="Times New Roman"/>
                      <w:color w:val="auto"/>
                      <w:spacing w:val="0"/>
                      <w:sz w:val="18"/>
                      <w:szCs w:val="18"/>
                      <w:highlight w:val="none"/>
                      <w:lang w:val="en-US" w:eastAsia="zh-CN"/>
                    </w:rPr>
                  </w:pPr>
                </w:p>
              </w:tc>
            </w:tr>
            <w:tr w14:paraId="1CC72A6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3" w:type="pct"/>
                  <w:tcBorders>
                    <w:tl2br w:val="nil"/>
                    <w:tr2bl w:val="nil"/>
                  </w:tcBorders>
                  <w:noWrap w:val="0"/>
                  <w:vAlign w:val="center"/>
                </w:tcPr>
                <w:p w14:paraId="159E99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8</w:t>
                  </w:r>
                </w:p>
              </w:tc>
              <w:tc>
                <w:tcPr>
                  <w:tcW w:w="491" w:type="pct"/>
                  <w:vMerge w:val="continue"/>
                  <w:tcBorders>
                    <w:tl2br w:val="nil"/>
                    <w:tr2bl w:val="nil"/>
                  </w:tcBorders>
                  <w:noWrap w:val="0"/>
                  <w:vAlign w:val="center"/>
                </w:tcPr>
                <w:p w14:paraId="3BA191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kern w:val="2"/>
                      <w:sz w:val="18"/>
                      <w:szCs w:val="18"/>
                      <w:highlight w:val="none"/>
                      <w:lang w:val="en-US" w:eastAsia="zh-CN" w:bidi="ar-SA"/>
                    </w:rPr>
                  </w:pPr>
                </w:p>
              </w:tc>
              <w:tc>
                <w:tcPr>
                  <w:tcW w:w="1295" w:type="pct"/>
                  <w:tcBorders>
                    <w:tl2br w:val="nil"/>
                    <w:tr2bl w:val="nil"/>
                  </w:tcBorders>
                  <w:noWrap w:val="0"/>
                  <w:vAlign w:val="center"/>
                </w:tcPr>
                <w:p w14:paraId="714C66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u w:val="none"/>
                      <w:lang w:val="en-US" w:eastAsia="zh-CN" w:bidi="ar"/>
                    </w:rPr>
                    <w:t>压滤机进泥柱塞泵</w:t>
                  </w:r>
                </w:p>
              </w:tc>
              <w:tc>
                <w:tcPr>
                  <w:tcW w:w="801" w:type="pct"/>
                  <w:tcBorders>
                    <w:tl2br w:val="nil"/>
                    <w:tr2bl w:val="nil"/>
                  </w:tcBorders>
                  <w:noWrap w:val="0"/>
                  <w:vAlign w:val="center"/>
                </w:tcPr>
                <w:p w14:paraId="56B3C7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80</w:t>
                  </w:r>
                </w:p>
              </w:tc>
              <w:tc>
                <w:tcPr>
                  <w:tcW w:w="485" w:type="pct"/>
                  <w:vMerge w:val="continue"/>
                  <w:tcBorders>
                    <w:tl2br w:val="nil"/>
                    <w:tr2bl w:val="nil"/>
                  </w:tcBorders>
                  <w:noWrap w:val="0"/>
                  <w:vAlign w:val="center"/>
                </w:tcPr>
                <w:p w14:paraId="22A1F0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rPr>
                  </w:pPr>
                </w:p>
              </w:tc>
              <w:tc>
                <w:tcPr>
                  <w:tcW w:w="578" w:type="pct"/>
                  <w:tcBorders>
                    <w:tl2br w:val="nil"/>
                    <w:tr2bl w:val="nil"/>
                  </w:tcBorders>
                  <w:noWrap w:val="0"/>
                  <w:vAlign w:val="center"/>
                </w:tcPr>
                <w:p w14:paraId="06E201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20</w:t>
                  </w:r>
                </w:p>
              </w:tc>
              <w:tc>
                <w:tcPr>
                  <w:tcW w:w="694" w:type="pct"/>
                  <w:tcBorders>
                    <w:tl2br w:val="nil"/>
                    <w:tr2bl w:val="nil"/>
                  </w:tcBorders>
                  <w:noWrap w:val="0"/>
                  <w:vAlign w:val="center"/>
                </w:tcPr>
                <w:p w14:paraId="49C004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60</w:t>
                  </w:r>
                </w:p>
              </w:tc>
              <w:tc>
                <w:tcPr>
                  <w:tcW w:w="390" w:type="pct"/>
                  <w:vMerge w:val="continue"/>
                  <w:tcBorders>
                    <w:tl2br w:val="nil"/>
                    <w:tr2bl w:val="nil"/>
                  </w:tcBorders>
                  <w:noWrap w:val="0"/>
                  <w:vAlign w:val="center"/>
                </w:tcPr>
                <w:p w14:paraId="20FA72D7">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cs="Times New Roman"/>
                      <w:color w:val="auto"/>
                      <w:spacing w:val="0"/>
                      <w:sz w:val="18"/>
                      <w:szCs w:val="18"/>
                      <w:highlight w:val="none"/>
                      <w:lang w:val="en-US" w:eastAsia="zh-CN"/>
                    </w:rPr>
                  </w:pPr>
                </w:p>
              </w:tc>
            </w:tr>
            <w:tr w14:paraId="10C07E8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3" w:type="pct"/>
                  <w:tcBorders>
                    <w:tl2br w:val="nil"/>
                    <w:tr2bl w:val="nil"/>
                  </w:tcBorders>
                  <w:noWrap w:val="0"/>
                  <w:vAlign w:val="center"/>
                </w:tcPr>
                <w:p w14:paraId="170E4F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9</w:t>
                  </w:r>
                </w:p>
              </w:tc>
              <w:tc>
                <w:tcPr>
                  <w:tcW w:w="491" w:type="pct"/>
                  <w:vMerge w:val="continue"/>
                  <w:tcBorders>
                    <w:tl2br w:val="nil"/>
                    <w:tr2bl w:val="nil"/>
                  </w:tcBorders>
                  <w:noWrap w:val="0"/>
                  <w:vAlign w:val="center"/>
                </w:tcPr>
                <w:p w14:paraId="154C75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kern w:val="2"/>
                      <w:sz w:val="18"/>
                      <w:szCs w:val="18"/>
                      <w:highlight w:val="none"/>
                      <w:lang w:val="en-US" w:eastAsia="zh-CN" w:bidi="ar-SA"/>
                    </w:rPr>
                  </w:pPr>
                </w:p>
              </w:tc>
              <w:tc>
                <w:tcPr>
                  <w:tcW w:w="1295" w:type="pct"/>
                  <w:tcBorders>
                    <w:tl2br w:val="nil"/>
                    <w:tr2bl w:val="nil"/>
                  </w:tcBorders>
                  <w:noWrap w:val="0"/>
                  <w:vAlign w:val="center"/>
                </w:tcPr>
                <w:p w14:paraId="377158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u w:val="none"/>
                      <w:lang w:val="en-US" w:eastAsia="zh-CN" w:bidi="ar"/>
                    </w:rPr>
                    <w:t>压榨泵</w:t>
                  </w:r>
                </w:p>
              </w:tc>
              <w:tc>
                <w:tcPr>
                  <w:tcW w:w="801" w:type="pct"/>
                  <w:tcBorders>
                    <w:tl2br w:val="nil"/>
                    <w:tr2bl w:val="nil"/>
                  </w:tcBorders>
                  <w:noWrap w:val="0"/>
                  <w:vAlign w:val="center"/>
                </w:tcPr>
                <w:p w14:paraId="1CDAE0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80</w:t>
                  </w:r>
                </w:p>
              </w:tc>
              <w:tc>
                <w:tcPr>
                  <w:tcW w:w="485" w:type="pct"/>
                  <w:vMerge w:val="continue"/>
                  <w:tcBorders>
                    <w:tl2br w:val="nil"/>
                    <w:tr2bl w:val="nil"/>
                  </w:tcBorders>
                  <w:noWrap w:val="0"/>
                  <w:vAlign w:val="center"/>
                </w:tcPr>
                <w:p w14:paraId="79EC18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rPr>
                  </w:pPr>
                </w:p>
              </w:tc>
              <w:tc>
                <w:tcPr>
                  <w:tcW w:w="578" w:type="pct"/>
                  <w:tcBorders>
                    <w:tl2br w:val="nil"/>
                    <w:tr2bl w:val="nil"/>
                  </w:tcBorders>
                  <w:noWrap w:val="0"/>
                  <w:vAlign w:val="center"/>
                </w:tcPr>
                <w:p w14:paraId="267153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20</w:t>
                  </w:r>
                </w:p>
              </w:tc>
              <w:tc>
                <w:tcPr>
                  <w:tcW w:w="694" w:type="pct"/>
                  <w:tcBorders>
                    <w:tl2br w:val="nil"/>
                    <w:tr2bl w:val="nil"/>
                  </w:tcBorders>
                  <w:noWrap w:val="0"/>
                  <w:vAlign w:val="center"/>
                </w:tcPr>
                <w:p w14:paraId="4451ED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60</w:t>
                  </w:r>
                </w:p>
              </w:tc>
              <w:tc>
                <w:tcPr>
                  <w:tcW w:w="390" w:type="pct"/>
                  <w:vMerge w:val="continue"/>
                  <w:tcBorders>
                    <w:tl2br w:val="nil"/>
                    <w:tr2bl w:val="nil"/>
                  </w:tcBorders>
                  <w:noWrap w:val="0"/>
                  <w:vAlign w:val="center"/>
                </w:tcPr>
                <w:p w14:paraId="77F96AB9">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cs="Times New Roman"/>
                      <w:color w:val="auto"/>
                      <w:spacing w:val="0"/>
                      <w:sz w:val="18"/>
                      <w:szCs w:val="18"/>
                      <w:highlight w:val="none"/>
                      <w:lang w:val="en-US" w:eastAsia="zh-CN"/>
                    </w:rPr>
                  </w:pPr>
                </w:p>
              </w:tc>
            </w:tr>
            <w:tr w14:paraId="5C7CEDB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283" w:hRule="atLeast"/>
                <w:jc w:val="center"/>
              </w:trPr>
              <w:tc>
                <w:tcPr>
                  <w:tcW w:w="263" w:type="pct"/>
                  <w:tcBorders>
                    <w:tl2br w:val="nil"/>
                    <w:tr2bl w:val="nil"/>
                  </w:tcBorders>
                  <w:noWrap w:val="0"/>
                  <w:vAlign w:val="center"/>
                </w:tcPr>
                <w:p w14:paraId="143473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10</w:t>
                  </w:r>
                </w:p>
              </w:tc>
              <w:tc>
                <w:tcPr>
                  <w:tcW w:w="491" w:type="pct"/>
                  <w:vMerge w:val="continue"/>
                  <w:tcBorders>
                    <w:tl2br w:val="nil"/>
                    <w:tr2bl w:val="nil"/>
                  </w:tcBorders>
                  <w:noWrap w:val="0"/>
                  <w:vAlign w:val="center"/>
                </w:tcPr>
                <w:p w14:paraId="0A696F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kern w:val="2"/>
                      <w:sz w:val="18"/>
                      <w:szCs w:val="18"/>
                      <w:highlight w:val="none"/>
                      <w:lang w:val="en-US" w:eastAsia="zh-CN" w:bidi="ar-SA"/>
                    </w:rPr>
                  </w:pPr>
                </w:p>
              </w:tc>
              <w:tc>
                <w:tcPr>
                  <w:tcW w:w="1295" w:type="pct"/>
                  <w:tcBorders>
                    <w:tl2br w:val="nil"/>
                    <w:tr2bl w:val="nil"/>
                  </w:tcBorders>
                  <w:noWrap w:val="0"/>
                  <w:vAlign w:val="center"/>
                </w:tcPr>
                <w:p w14:paraId="2EE36B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u w:val="none"/>
                      <w:lang w:val="en-US" w:eastAsia="zh-CN" w:bidi="ar"/>
                    </w:rPr>
                    <w:t>吹风用空压机</w:t>
                  </w:r>
                </w:p>
              </w:tc>
              <w:tc>
                <w:tcPr>
                  <w:tcW w:w="801" w:type="pct"/>
                  <w:tcBorders>
                    <w:tl2br w:val="nil"/>
                    <w:tr2bl w:val="nil"/>
                  </w:tcBorders>
                  <w:noWrap w:val="0"/>
                  <w:vAlign w:val="center"/>
                </w:tcPr>
                <w:p w14:paraId="775249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75</w:t>
                  </w:r>
                </w:p>
              </w:tc>
              <w:tc>
                <w:tcPr>
                  <w:tcW w:w="485" w:type="pct"/>
                  <w:vMerge w:val="continue"/>
                  <w:tcBorders>
                    <w:tl2br w:val="nil"/>
                    <w:tr2bl w:val="nil"/>
                  </w:tcBorders>
                  <w:noWrap w:val="0"/>
                  <w:vAlign w:val="center"/>
                </w:tcPr>
                <w:p w14:paraId="425819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rPr>
                  </w:pPr>
                </w:p>
              </w:tc>
              <w:tc>
                <w:tcPr>
                  <w:tcW w:w="578" w:type="pct"/>
                  <w:tcBorders>
                    <w:tl2br w:val="nil"/>
                    <w:tr2bl w:val="nil"/>
                  </w:tcBorders>
                  <w:noWrap w:val="0"/>
                  <w:vAlign w:val="center"/>
                </w:tcPr>
                <w:p w14:paraId="132CA4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20</w:t>
                  </w:r>
                </w:p>
              </w:tc>
              <w:tc>
                <w:tcPr>
                  <w:tcW w:w="694" w:type="pct"/>
                  <w:tcBorders>
                    <w:tl2br w:val="nil"/>
                    <w:tr2bl w:val="nil"/>
                  </w:tcBorders>
                  <w:noWrap w:val="0"/>
                  <w:vAlign w:val="center"/>
                </w:tcPr>
                <w:p w14:paraId="4B3E87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55</w:t>
                  </w:r>
                </w:p>
              </w:tc>
              <w:tc>
                <w:tcPr>
                  <w:tcW w:w="390" w:type="pct"/>
                  <w:vMerge w:val="continue"/>
                  <w:tcBorders>
                    <w:tl2br w:val="nil"/>
                    <w:tr2bl w:val="nil"/>
                  </w:tcBorders>
                  <w:noWrap w:val="0"/>
                  <w:vAlign w:val="center"/>
                </w:tcPr>
                <w:p w14:paraId="5C7346FC">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cs="Times New Roman"/>
                      <w:color w:val="auto"/>
                      <w:spacing w:val="0"/>
                      <w:sz w:val="18"/>
                      <w:szCs w:val="18"/>
                      <w:highlight w:val="none"/>
                      <w:lang w:val="en-US" w:eastAsia="zh-CN"/>
                    </w:rPr>
                  </w:pPr>
                </w:p>
              </w:tc>
            </w:tr>
            <w:tr w14:paraId="0AB1AFB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3" w:type="pct"/>
                  <w:tcBorders>
                    <w:tl2br w:val="nil"/>
                    <w:tr2bl w:val="nil"/>
                  </w:tcBorders>
                  <w:noWrap w:val="0"/>
                  <w:vAlign w:val="center"/>
                </w:tcPr>
                <w:p w14:paraId="49487F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11</w:t>
                  </w:r>
                </w:p>
              </w:tc>
              <w:tc>
                <w:tcPr>
                  <w:tcW w:w="491" w:type="pct"/>
                  <w:vMerge w:val="continue"/>
                  <w:tcBorders>
                    <w:tl2br w:val="nil"/>
                    <w:tr2bl w:val="nil"/>
                  </w:tcBorders>
                  <w:noWrap w:val="0"/>
                  <w:vAlign w:val="center"/>
                </w:tcPr>
                <w:p w14:paraId="535A66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kern w:val="2"/>
                      <w:sz w:val="18"/>
                      <w:szCs w:val="18"/>
                      <w:highlight w:val="none"/>
                      <w:lang w:val="en-US" w:eastAsia="zh-CN" w:bidi="ar-SA"/>
                    </w:rPr>
                  </w:pPr>
                </w:p>
              </w:tc>
              <w:tc>
                <w:tcPr>
                  <w:tcW w:w="1295" w:type="pct"/>
                  <w:tcBorders>
                    <w:tl2br w:val="nil"/>
                    <w:tr2bl w:val="nil"/>
                  </w:tcBorders>
                  <w:noWrap w:val="0"/>
                  <w:vAlign w:val="center"/>
                </w:tcPr>
                <w:p w14:paraId="09FC40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u w:val="none"/>
                      <w:lang w:val="en-US" w:eastAsia="zh-CN" w:bidi="ar"/>
                    </w:rPr>
                    <w:t>微热再生吸干机</w:t>
                  </w:r>
                </w:p>
              </w:tc>
              <w:tc>
                <w:tcPr>
                  <w:tcW w:w="801" w:type="pct"/>
                  <w:tcBorders>
                    <w:tl2br w:val="nil"/>
                    <w:tr2bl w:val="nil"/>
                  </w:tcBorders>
                  <w:noWrap w:val="0"/>
                  <w:vAlign w:val="center"/>
                </w:tcPr>
                <w:p w14:paraId="0EC532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70</w:t>
                  </w:r>
                </w:p>
              </w:tc>
              <w:tc>
                <w:tcPr>
                  <w:tcW w:w="485" w:type="pct"/>
                  <w:vMerge w:val="continue"/>
                  <w:tcBorders>
                    <w:tl2br w:val="nil"/>
                    <w:tr2bl w:val="nil"/>
                  </w:tcBorders>
                  <w:noWrap w:val="0"/>
                  <w:vAlign w:val="center"/>
                </w:tcPr>
                <w:p w14:paraId="7F68D3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rPr>
                  </w:pPr>
                </w:p>
              </w:tc>
              <w:tc>
                <w:tcPr>
                  <w:tcW w:w="578" w:type="pct"/>
                  <w:tcBorders>
                    <w:tl2br w:val="nil"/>
                    <w:tr2bl w:val="nil"/>
                  </w:tcBorders>
                  <w:noWrap w:val="0"/>
                  <w:vAlign w:val="center"/>
                </w:tcPr>
                <w:p w14:paraId="213ABF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20</w:t>
                  </w:r>
                </w:p>
              </w:tc>
              <w:tc>
                <w:tcPr>
                  <w:tcW w:w="694" w:type="pct"/>
                  <w:tcBorders>
                    <w:tl2br w:val="nil"/>
                    <w:tr2bl w:val="nil"/>
                  </w:tcBorders>
                  <w:noWrap w:val="0"/>
                  <w:vAlign w:val="center"/>
                </w:tcPr>
                <w:p w14:paraId="096A8D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50</w:t>
                  </w:r>
                </w:p>
              </w:tc>
              <w:tc>
                <w:tcPr>
                  <w:tcW w:w="390" w:type="pct"/>
                  <w:vMerge w:val="continue"/>
                  <w:tcBorders>
                    <w:tl2br w:val="nil"/>
                    <w:tr2bl w:val="nil"/>
                  </w:tcBorders>
                  <w:noWrap w:val="0"/>
                  <w:vAlign w:val="center"/>
                </w:tcPr>
                <w:p w14:paraId="4E46EA17">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cs="Times New Roman"/>
                      <w:color w:val="auto"/>
                      <w:spacing w:val="0"/>
                      <w:sz w:val="18"/>
                      <w:szCs w:val="18"/>
                      <w:highlight w:val="none"/>
                      <w:lang w:val="en-US" w:eastAsia="zh-CN"/>
                    </w:rPr>
                  </w:pPr>
                </w:p>
              </w:tc>
            </w:tr>
            <w:tr w14:paraId="69A7CEC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283" w:hRule="atLeast"/>
                <w:jc w:val="center"/>
              </w:trPr>
              <w:tc>
                <w:tcPr>
                  <w:tcW w:w="263" w:type="pct"/>
                  <w:tcBorders>
                    <w:tl2br w:val="nil"/>
                    <w:tr2bl w:val="nil"/>
                  </w:tcBorders>
                  <w:noWrap w:val="0"/>
                  <w:vAlign w:val="center"/>
                </w:tcPr>
                <w:p w14:paraId="4143A4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12</w:t>
                  </w:r>
                </w:p>
              </w:tc>
              <w:tc>
                <w:tcPr>
                  <w:tcW w:w="491" w:type="pct"/>
                  <w:vMerge w:val="continue"/>
                  <w:tcBorders>
                    <w:tl2br w:val="nil"/>
                    <w:tr2bl w:val="nil"/>
                  </w:tcBorders>
                  <w:noWrap w:val="0"/>
                  <w:vAlign w:val="center"/>
                </w:tcPr>
                <w:p w14:paraId="34C3DD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kern w:val="2"/>
                      <w:sz w:val="18"/>
                      <w:szCs w:val="18"/>
                      <w:highlight w:val="none"/>
                      <w:lang w:val="en-US" w:eastAsia="zh-CN" w:bidi="ar-SA"/>
                    </w:rPr>
                  </w:pPr>
                </w:p>
              </w:tc>
              <w:tc>
                <w:tcPr>
                  <w:tcW w:w="1295" w:type="pct"/>
                  <w:tcBorders>
                    <w:tl2br w:val="nil"/>
                    <w:tr2bl w:val="nil"/>
                  </w:tcBorders>
                  <w:noWrap w:val="0"/>
                  <w:vAlign w:val="center"/>
                </w:tcPr>
                <w:p w14:paraId="56D2E9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u w:val="none"/>
                      <w:lang w:val="en-US" w:eastAsia="zh-CN" w:bidi="ar"/>
                    </w:rPr>
                    <w:t>加药泵</w:t>
                  </w:r>
                </w:p>
              </w:tc>
              <w:tc>
                <w:tcPr>
                  <w:tcW w:w="801" w:type="pct"/>
                  <w:tcBorders>
                    <w:tl2br w:val="nil"/>
                    <w:tr2bl w:val="nil"/>
                  </w:tcBorders>
                  <w:noWrap w:val="0"/>
                  <w:vAlign w:val="center"/>
                </w:tcPr>
                <w:p w14:paraId="61DC97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80</w:t>
                  </w:r>
                </w:p>
              </w:tc>
              <w:tc>
                <w:tcPr>
                  <w:tcW w:w="485" w:type="pct"/>
                  <w:vMerge w:val="continue"/>
                  <w:tcBorders>
                    <w:tl2br w:val="nil"/>
                    <w:tr2bl w:val="nil"/>
                  </w:tcBorders>
                  <w:noWrap w:val="0"/>
                  <w:vAlign w:val="center"/>
                </w:tcPr>
                <w:p w14:paraId="65F103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rPr>
                  </w:pPr>
                </w:p>
              </w:tc>
              <w:tc>
                <w:tcPr>
                  <w:tcW w:w="578" w:type="pct"/>
                  <w:tcBorders>
                    <w:tl2br w:val="nil"/>
                    <w:tr2bl w:val="nil"/>
                  </w:tcBorders>
                  <w:noWrap w:val="0"/>
                  <w:vAlign w:val="center"/>
                </w:tcPr>
                <w:p w14:paraId="52D611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20</w:t>
                  </w:r>
                </w:p>
              </w:tc>
              <w:tc>
                <w:tcPr>
                  <w:tcW w:w="694" w:type="pct"/>
                  <w:tcBorders>
                    <w:tl2br w:val="nil"/>
                    <w:tr2bl w:val="nil"/>
                  </w:tcBorders>
                  <w:noWrap w:val="0"/>
                  <w:vAlign w:val="center"/>
                </w:tcPr>
                <w:p w14:paraId="3BB212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60</w:t>
                  </w:r>
                </w:p>
              </w:tc>
              <w:tc>
                <w:tcPr>
                  <w:tcW w:w="390" w:type="pct"/>
                  <w:vMerge w:val="continue"/>
                  <w:tcBorders>
                    <w:tl2br w:val="nil"/>
                    <w:tr2bl w:val="nil"/>
                  </w:tcBorders>
                  <w:noWrap w:val="0"/>
                  <w:vAlign w:val="center"/>
                </w:tcPr>
                <w:p w14:paraId="124A8DD8">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cs="Times New Roman"/>
                      <w:color w:val="auto"/>
                      <w:spacing w:val="0"/>
                      <w:sz w:val="18"/>
                      <w:szCs w:val="18"/>
                      <w:highlight w:val="none"/>
                      <w:lang w:val="en-US" w:eastAsia="zh-CN"/>
                    </w:rPr>
                  </w:pPr>
                </w:p>
              </w:tc>
            </w:tr>
            <w:tr w14:paraId="601C4D3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3" w:type="pct"/>
                  <w:tcBorders>
                    <w:tl2br w:val="nil"/>
                    <w:tr2bl w:val="nil"/>
                  </w:tcBorders>
                  <w:noWrap w:val="0"/>
                  <w:vAlign w:val="center"/>
                </w:tcPr>
                <w:p w14:paraId="2D8549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13</w:t>
                  </w:r>
                </w:p>
              </w:tc>
              <w:tc>
                <w:tcPr>
                  <w:tcW w:w="491" w:type="pct"/>
                  <w:vMerge w:val="continue"/>
                  <w:tcBorders>
                    <w:tl2br w:val="nil"/>
                    <w:tr2bl w:val="nil"/>
                  </w:tcBorders>
                  <w:noWrap w:val="0"/>
                  <w:vAlign w:val="center"/>
                </w:tcPr>
                <w:p w14:paraId="580EAC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kern w:val="2"/>
                      <w:sz w:val="18"/>
                      <w:szCs w:val="18"/>
                      <w:highlight w:val="none"/>
                      <w:lang w:val="en-US" w:eastAsia="zh-CN" w:bidi="ar-SA"/>
                    </w:rPr>
                  </w:pPr>
                </w:p>
              </w:tc>
              <w:tc>
                <w:tcPr>
                  <w:tcW w:w="1295" w:type="pct"/>
                  <w:tcBorders>
                    <w:tl2br w:val="nil"/>
                    <w:tr2bl w:val="nil"/>
                  </w:tcBorders>
                  <w:noWrap w:val="0"/>
                  <w:vAlign w:val="center"/>
                </w:tcPr>
                <w:p w14:paraId="386F11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u w:val="none"/>
                      <w:lang w:val="en-US" w:eastAsia="zh-CN" w:bidi="ar"/>
                    </w:rPr>
                    <w:t>卸药泵</w:t>
                  </w:r>
                </w:p>
              </w:tc>
              <w:tc>
                <w:tcPr>
                  <w:tcW w:w="801" w:type="pct"/>
                  <w:tcBorders>
                    <w:tl2br w:val="nil"/>
                    <w:tr2bl w:val="nil"/>
                  </w:tcBorders>
                  <w:noWrap w:val="0"/>
                  <w:vAlign w:val="center"/>
                </w:tcPr>
                <w:p w14:paraId="4C280A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80</w:t>
                  </w:r>
                </w:p>
              </w:tc>
              <w:tc>
                <w:tcPr>
                  <w:tcW w:w="485" w:type="pct"/>
                  <w:vMerge w:val="continue"/>
                  <w:tcBorders>
                    <w:tl2br w:val="nil"/>
                    <w:tr2bl w:val="nil"/>
                  </w:tcBorders>
                  <w:noWrap w:val="0"/>
                  <w:vAlign w:val="center"/>
                </w:tcPr>
                <w:p w14:paraId="68479A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rPr>
                  </w:pPr>
                </w:p>
              </w:tc>
              <w:tc>
                <w:tcPr>
                  <w:tcW w:w="578" w:type="pct"/>
                  <w:tcBorders>
                    <w:tl2br w:val="nil"/>
                    <w:tr2bl w:val="nil"/>
                  </w:tcBorders>
                  <w:noWrap w:val="0"/>
                  <w:vAlign w:val="center"/>
                </w:tcPr>
                <w:p w14:paraId="376178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20</w:t>
                  </w:r>
                </w:p>
              </w:tc>
              <w:tc>
                <w:tcPr>
                  <w:tcW w:w="694" w:type="pct"/>
                  <w:tcBorders>
                    <w:tl2br w:val="nil"/>
                    <w:tr2bl w:val="nil"/>
                  </w:tcBorders>
                  <w:noWrap w:val="0"/>
                  <w:vAlign w:val="center"/>
                </w:tcPr>
                <w:p w14:paraId="2A543F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60</w:t>
                  </w:r>
                </w:p>
              </w:tc>
              <w:tc>
                <w:tcPr>
                  <w:tcW w:w="390" w:type="pct"/>
                  <w:vMerge w:val="continue"/>
                  <w:tcBorders>
                    <w:tl2br w:val="nil"/>
                    <w:tr2bl w:val="nil"/>
                  </w:tcBorders>
                  <w:noWrap w:val="0"/>
                  <w:vAlign w:val="center"/>
                </w:tcPr>
                <w:p w14:paraId="559BF9DD">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cs="Times New Roman"/>
                      <w:color w:val="auto"/>
                      <w:spacing w:val="0"/>
                      <w:sz w:val="18"/>
                      <w:szCs w:val="18"/>
                      <w:highlight w:val="none"/>
                      <w:lang w:val="en-US" w:eastAsia="zh-CN"/>
                    </w:rPr>
                  </w:pPr>
                </w:p>
              </w:tc>
            </w:tr>
            <w:tr w14:paraId="33A618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3" w:type="pct"/>
                  <w:tcBorders>
                    <w:tl2br w:val="nil"/>
                    <w:tr2bl w:val="nil"/>
                  </w:tcBorders>
                  <w:noWrap w:val="0"/>
                  <w:vAlign w:val="center"/>
                </w:tcPr>
                <w:p w14:paraId="0F43BC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14</w:t>
                  </w:r>
                </w:p>
              </w:tc>
              <w:tc>
                <w:tcPr>
                  <w:tcW w:w="491" w:type="pct"/>
                  <w:vMerge w:val="continue"/>
                  <w:tcBorders>
                    <w:tl2br w:val="nil"/>
                    <w:tr2bl w:val="nil"/>
                  </w:tcBorders>
                  <w:noWrap w:val="0"/>
                  <w:vAlign w:val="center"/>
                </w:tcPr>
                <w:p w14:paraId="200B2D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kern w:val="2"/>
                      <w:sz w:val="18"/>
                      <w:szCs w:val="18"/>
                      <w:highlight w:val="none"/>
                      <w:lang w:val="en-US" w:eastAsia="zh-CN" w:bidi="ar-SA"/>
                    </w:rPr>
                  </w:pPr>
                </w:p>
              </w:tc>
              <w:tc>
                <w:tcPr>
                  <w:tcW w:w="1295" w:type="pct"/>
                  <w:tcBorders>
                    <w:tl2br w:val="nil"/>
                    <w:tr2bl w:val="nil"/>
                  </w:tcBorders>
                  <w:noWrap w:val="0"/>
                  <w:vAlign w:val="center"/>
                </w:tcPr>
                <w:p w14:paraId="5CD956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u w:val="none"/>
                      <w:lang w:val="en-US" w:eastAsia="zh-CN" w:bidi="ar"/>
                    </w:rPr>
                    <w:t>洗布泵</w:t>
                  </w:r>
                </w:p>
              </w:tc>
              <w:tc>
                <w:tcPr>
                  <w:tcW w:w="801" w:type="pct"/>
                  <w:tcBorders>
                    <w:tl2br w:val="nil"/>
                    <w:tr2bl w:val="nil"/>
                  </w:tcBorders>
                  <w:noWrap w:val="0"/>
                  <w:vAlign w:val="center"/>
                </w:tcPr>
                <w:p w14:paraId="3088C8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75</w:t>
                  </w:r>
                </w:p>
              </w:tc>
              <w:tc>
                <w:tcPr>
                  <w:tcW w:w="485" w:type="pct"/>
                  <w:vMerge w:val="continue"/>
                  <w:tcBorders>
                    <w:tl2br w:val="nil"/>
                    <w:tr2bl w:val="nil"/>
                  </w:tcBorders>
                  <w:noWrap w:val="0"/>
                  <w:vAlign w:val="center"/>
                </w:tcPr>
                <w:p w14:paraId="240B29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rPr>
                  </w:pPr>
                </w:p>
              </w:tc>
              <w:tc>
                <w:tcPr>
                  <w:tcW w:w="578" w:type="pct"/>
                  <w:tcBorders>
                    <w:tl2br w:val="nil"/>
                    <w:tr2bl w:val="nil"/>
                  </w:tcBorders>
                  <w:noWrap w:val="0"/>
                  <w:vAlign w:val="center"/>
                </w:tcPr>
                <w:p w14:paraId="51C4D3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20</w:t>
                  </w:r>
                </w:p>
              </w:tc>
              <w:tc>
                <w:tcPr>
                  <w:tcW w:w="694" w:type="pct"/>
                  <w:tcBorders>
                    <w:tl2br w:val="nil"/>
                    <w:tr2bl w:val="nil"/>
                  </w:tcBorders>
                  <w:noWrap w:val="0"/>
                  <w:vAlign w:val="center"/>
                </w:tcPr>
                <w:p w14:paraId="56320D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55</w:t>
                  </w:r>
                </w:p>
              </w:tc>
              <w:tc>
                <w:tcPr>
                  <w:tcW w:w="390" w:type="pct"/>
                  <w:vMerge w:val="continue"/>
                  <w:tcBorders>
                    <w:tl2br w:val="nil"/>
                    <w:tr2bl w:val="nil"/>
                  </w:tcBorders>
                  <w:noWrap w:val="0"/>
                  <w:vAlign w:val="center"/>
                </w:tcPr>
                <w:p w14:paraId="33A4D0B1">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cs="Times New Roman"/>
                      <w:color w:val="auto"/>
                      <w:spacing w:val="0"/>
                      <w:sz w:val="18"/>
                      <w:szCs w:val="18"/>
                      <w:highlight w:val="none"/>
                      <w:lang w:val="en-US" w:eastAsia="zh-CN"/>
                    </w:rPr>
                  </w:pPr>
                </w:p>
              </w:tc>
            </w:tr>
            <w:tr w14:paraId="6D5181E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3" w:type="pct"/>
                  <w:tcBorders>
                    <w:tl2br w:val="nil"/>
                    <w:tr2bl w:val="nil"/>
                  </w:tcBorders>
                  <w:noWrap w:val="0"/>
                  <w:vAlign w:val="center"/>
                </w:tcPr>
                <w:p w14:paraId="7788B7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15</w:t>
                  </w:r>
                </w:p>
              </w:tc>
              <w:tc>
                <w:tcPr>
                  <w:tcW w:w="491" w:type="pct"/>
                  <w:vMerge w:val="continue"/>
                  <w:tcBorders>
                    <w:tl2br w:val="nil"/>
                    <w:tr2bl w:val="nil"/>
                  </w:tcBorders>
                  <w:noWrap w:val="0"/>
                  <w:vAlign w:val="center"/>
                </w:tcPr>
                <w:p w14:paraId="4477BF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kern w:val="2"/>
                      <w:sz w:val="18"/>
                      <w:szCs w:val="18"/>
                      <w:highlight w:val="none"/>
                      <w:lang w:val="en-US" w:eastAsia="zh-CN" w:bidi="ar-SA"/>
                    </w:rPr>
                  </w:pPr>
                </w:p>
              </w:tc>
              <w:tc>
                <w:tcPr>
                  <w:tcW w:w="1295" w:type="pct"/>
                  <w:tcBorders>
                    <w:tl2br w:val="nil"/>
                    <w:tr2bl w:val="nil"/>
                  </w:tcBorders>
                  <w:noWrap w:val="0"/>
                  <w:vAlign w:val="center"/>
                </w:tcPr>
                <w:p w14:paraId="5AAB9E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u w:val="none"/>
                      <w:lang w:val="en-US" w:eastAsia="zh-CN" w:bidi="ar"/>
                    </w:rPr>
                    <w:t>PAM制备</w:t>
                  </w:r>
                </w:p>
              </w:tc>
              <w:tc>
                <w:tcPr>
                  <w:tcW w:w="801" w:type="pct"/>
                  <w:tcBorders>
                    <w:tl2br w:val="nil"/>
                    <w:tr2bl w:val="nil"/>
                  </w:tcBorders>
                  <w:noWrap w:val="0"/>
                  <w:vAlign w:val="center"/>
                </w:tcPr>
                <w:p w14:paraId="00F2AF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70</w:t>
                  </w:r>
                </w:p>
              </w:tc>
              <w:tc>
                <w:tcPr>
                  <w:tcW w:w="485" w:type="pct"/>
                  <w:vMerge w:val="continue"/>
                  <w:tcBorders>
                    <w:tl2br w:val="nil"/>
                    <w:tr2bl w:val="nil"/>
                  </w:tcBorders>
                  <w:noWrap w:val="0"/>
                  <w:vAlign w:val="center"/>
                </w:tcPr>
                <w:p w14:paraId="0B3D31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rPr>
                  </w:pPr>
                </w:p>
              </w:tc>
              <w:tc>
                <w:tcPr>
                  <w:tcW w:w="578" w:type="pct"/>
                  <w:tcBorders>
                    <w:tl2br w:val="nil"/>
                    <w:tr2bl w:val="nil"/>
                  </w:tcBorders>
                  <w:noWrap w:val="0"/>
                  <w:vAlign w:val="center"/>
                </w:tcPr>
                <w:p w14:paraId="45E60C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20</w:t>
                  </w:r>
                </w:p>
              </w:tc>
              <w:tc>
                <w:tcPr>
                  <w:tcW w:w="694" w:type="pct"/>
                  <w:tcBorders>
                    <w:tl2br w:val="nil"/>
                    <w:tr2bl w:val="nil"/>
                  </w:tcBorders>
                  <w:noWrap w:val="0"/>
                  <w:vAlign w:val="center"/>
                </w:tcPr>
                <w:p w14:paraId="12B635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50</w:t>
                  </w:r>
                </w:p>
              </w:tc>
              <w:tc>
                <w:tcPr>
                  <w:tcW w:w="390" w:type="pct"/>
                  <w:vMerge w:val="continue"/>
                  <w:tcBorders>
                    <w:tl2br w:val="nil"/>
                    <w:tr2bl w:val="nil"/>
                  </w:tcBorders>
                  <w:noWrap w:val="0"/>
                  <w:vAlign w:val="center"/>
                </w:tcPr>
                <w:p w14:paraId="22B71264">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cs="Times New Roman"/>
                      <w:color w:val="auto"/>
                      <w:spacing w:val="0"/>
                      <w:sz w:val="18"/>
                      <w:szCs w:val="18"/>
                      <w:highlight w:val="none"/>
                      <w:lang w:val="en-US" w:eastAsia="zh-CN"/>
                    </w:rPr>
                  </w:pPr>
                </w:p>
              </w:tc>
            </w:tr>
            <w:tr w14:paraId="7B96E9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3" w:type="pct"/>
                  <w:tcBorders>
                    <w:tl2br w:val="nil"/>
                    <w:tr2bl w:val="nil"/>
                  </w:tcBorders>
                  <w:noWrap w:val="0"/>
                  <w:vAlign w:val="center"/>
                </w:tcPr>
                <w:p w14:paraId="109C4F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16</w:t>
                  </w:r>
                </w:p>
              </w:tc>
              <w:tc>
                <w:tcPr>
                  <w:tcW w:w="491" w:type="pct"/>
                  <w:vMerge w:val="continue"/>
                  <w:tcBorders>
                    <w:tl2br w:val="nil"/>
                    <w:tr2bl w:val="nil"/>
                  </w:tcBorders>
                  <w:noWrap w:val="0"/>
                  <w:vAlign w:val="center"/>
                </w:tcPr>
                <w:p w14:paraId="5D2148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kern w:val="2"/>
                      <w:sz w:val="18"/>
                      <w:szCs w:val="18"/>
                      <w:highlight w:val="none"/>
                      <w:lang w:val="en-US" w:eastAsia="zh-CN" w:bidi="ar-SA"/>
                    </w:rPr>
                  </w:pPr>
                </w:p>
              </w:tc>
              <w:tc>
                <w:tcPr>
                  <w:tcW w:w="1295" w:type="pct"/>
                  <w:tcBorders>
                    <w:tl2br w:val="nil"/>
                    <w:tr2bl w:val="nil"/>
                  </w:tcBorders>
                  <w:noWrap w:val="0"/>
                  <w:vAlign w:val="center"/>
                </w:tcPr>
                <w:p w14:paraId="63FCD8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u w:val="none"/>
                      <w:lang w:val="en-US" w:eastAsia="zh-CN" w:bidi="ar"/>
                    </w:rPr>
                    <w:t>一体式高压带式脱水机</w:t>
                  </w:r>
                </w:p>
              </w:tc>
              <w:tc>
                <w:tcPr>
                  <w:tcW w:w="801" w:type="pct"/>
                  <w:tcBorders>
                    <w:tl2br w:val="nil"/>
                    <w:tr2bl w:val="nil"/>
                  </w:tcBorders>
                  <w:noWrap w:val="0"/>
                  <w:vAlign w:val="center"/>
                </w:tcPr>
                <w:p w14:paraId="40FB83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80</w:t>
                  </w:r>
                </w:p>
              </w:tc>
              <w:tc>
                <w:tcPr>
                  <w:tcW w:w="485" w:type="pct"/>
                  <w:vMerge w:val="continue"/>
                  <w:tcBorders>
                    <w:tl2br w:val="nil"/>
                    <w:tr2bl w:val="nil"/>
                  </w:tcBorders>
                  <w:noWrap w:val="0"/>
                  <w:vAlign w:val="center"/>
                </w:tcPr>
                <w:p w14:paraId="2DE6AC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rPr>
                  </w:pPr>
                </w:p>
              </w:tc>
              <w:tc>
                <w:tcPr>
                  <w:tcW w:w="578" w:type="pct"/>
                  <w:tcBorders>
                    <w:tl2br w:val="nil"/>
                    <w:tr2bl w:val="nil"/>
                  </w:tcBorders>
                  <w:noWrap w:val="0"/>
                  <w:vAlign w:val="center"/>
                </w:tcPr>
                <w:p w14:paraId="3EDFCA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20</w:t>
                  </w:r>
                </w:p>
              </w:tc>
              <w:tc>
                <w:tcPr>
                  <w:tcW w:w="694" w:type="pct"/>
                  <w:tcBorders>
                    <w:tl2br w:val="nil"/>
                    <w:tr2bl w:val="nil"/>
                  </w:tcBorders>
                  <w:noWrap w:val="0"/>
                  <w:vAlign w:val="center"/>
                </w:tcPr>
                <w:p w14:paraId="0F6DFA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60</w:t>
                  </w:r>
                </w:p>
              </w:tc>
              <w:tc>
                <w:tcPr>
                  <w:tcW w:w="390" w:type="pct"/>
                  <w:vMerge w:val="continue"/>
                  <w:tcBorders>
                    <w:tl2br w:val="nil"/>
                    <w:tr2bl w:val="nil"/>
                  </w:tcBorders>
                  <w:noWrap w:val="0"/>
                  <w:vAlign w:val="center"/>
                </w:tcPr>
                <w:p w14:paraId="41D464D4">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cs="Times New Roman"/>
                      <w:color w:val="auto"/>
                      <w:spacing w:val="0"/>
                      <w:sz w:val="18"/>
                      <w:szCs w:val="18"/>
                      <w:highlight w:val="none"/>
                      <w:lang w:val="en-US" w:eastAsia="zh-CN"/>
                    </w:rPr>
                  </w:pPr>
                </w:p>
              </w:tc>
            </w:tr>
            <w:tr w14:paraId="6009BC3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283" w:hRule="atLeast"/>
                <w:jc w:val="center"/>
              </w:trPr>
              <w:tc>
                <w:tcPr>
                  <w:tcW w:w="263" w:type="pct"/>
                  <w:tcBorders>
                    <w:tl2br w:val="nil"/>
                    <w:tr2bl w:val="nil"/>
                  </w:tcBorders>
                  <w:noWrap w:val="0"/>
                  <w:vAlign w:val="center"/>
                </w:tcPr>
                <w:p w14:paraId="4A09AE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17</w:t>
                  </w:r>
                </w:p>
              </w:tc>
              <w:tc>
                <w:tcPr>
                  <w:tcW w:w="491" w:type="pct"/>
                  <w:vMerge w:val="continue"/>
                  <w:tcBorders>
                    <w:tl2br w:val="nil"/>
                    <w:tr2bl w:val="nil"/>
                  </w:tcBorders>
                  <w:noWrap w:val="0"/>
                  <w:vAlign w:val="center"/>
                </w:tcPr>
                <w:p w14:paraId="55AC3A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kern w:val="2"/>
                      <w:sz w:val="18"/>
                      <w:szCs w:val="18"/>
                      <w:highlight w:val="none"/>
                      <w:lang w:val="en-US" w:eastAsia="zh-CN" w:bidi="ar-SA"/>
                    </w:rPr>
                  </w:pPr>
                </w:p>
              </w:tc>
              <w:tc>
                <w:tcPr>
                  <w:tcW w:w="1295" w:type="pct"/>
                  <w:tcBorders>
                    <w:tl2br w:val="nil"/>
                    <w:tr2bl w:val="nil"/>
                  </w:tcBorders>
                  <w:noWrap w:val="0"/>
                  <w:vAlign w:val="center"/>
                </w:tcPr>
                <w:p w14:paraId="383F7E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u w:val="none"/>
                      <w:lang w:val="en-US" w:eastAsia="zh-CN" w:bidi="ar"/>
                    </w:rPr>
                    <w:t>冲洗水泵</w:t>
                  </w:r>
                </w:p>
              </w:tc>
              <w:tc>
                <w:tcPr>
                  <w:tcW w:w="801" w:type="pct"/>
                  <w:tcBorders>
                    <w:tl2br w:val="nil"/>
                    <w:tr2bl w:val="nil"/>
                  </w:tcBorders>
                  <w:noWrap w:val="0"/>
                  <w:vAlign w:val="center"/>
                </w:tcPr>
                <w:p w14:paraId="26A7D9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75</w:t>
                  </w:r>
                </w:p>
              </w:tc>
              <w:tc>
                <w:tcPr>
                  <w:tcW w:w="485" w:type="pct"/>
                  <w:vMerge w:val="continue"/>
                  <w:tcBorders>
                    <w:tl2br w:val="nil"/>
                    <w:tr2bl w:val="nil"/>
                  </w:tcBorders>
                  <w:noWrap w:val="0"/>
                  <w:vAlign w:val="center"/>
                </w:tcPr>
                <w:p w14:paraId="44E2E0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rPr>
                  </w:pPr>
                </w:p>
              </w:tc>
              <w:tc>
                <w:tcPr>
                  <w:tcW w:w="578" w:type="pct"/>
                  <w:tcBorders>
                    <w:tl2br w:val="nil"/>
                    <w:tr2bl w:val="nil"/>
                  </w:tcBorders>
                  <w:noWrap w:val="0"/>
                  <w:vAlign w:val="center"/>
                </w:tcPr>
                <w:p w14:paraId="72C627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20</w:t>
                  </w:r>
                </w:p>
              </w:tc>
              <w:tc>
                <w:tcPr>
                  <w:tcW w:w="694" w:type="pct"/>
                  <w:tcBorders>
                    <w:tl2br w:val="nil"/>
                    <w:tr2bl w:val="nil"/>
                  </w:tcBorders>
                  <w:noWrap w:val="0"/>
                  <w:vAlign w:val="center"/>
                </w:tcPr>
                <w:p w14:paraId="26CC84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55</w:t>
                  </w:r>
                </w:p>
              </w:tc>
              <w:tc>
                <w:tcPr>
                  <w:tcW w:w="390" w:type="pct"/>
                  <w:vMerge w:val="continue"/>
                  <w:tcBorders>
                    <w:tl2br w:val="nil"/>
                    <w:tr2bl w:val="nil"/>
                  </w:tcBorders>
                  <w:noWrap w:val="0"/>
                  <w:vAlign w:val="center"/>
                </w:tcPr>
                <w:p w14:paraId="35392F0C">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cs="Times New Roman"/>
                      <w:color w:val="auto"/>
                      <w:spacing w:val="0"/>
                      <w:sz w:val="18"/>
                      <w:szCs w:val="18"/>
                      <w:highlight w:val="none"/>
                      <w:lang w:val="en-US" w:eastAsia="zh-CN"/>
                    </w:rPr>
                  </w:pPr>
                </w:p>
              </w:tc>
            </w:tr>
            <w:tr w14:paraId="338538D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3" w:type="pct"/>
                  <w:tcBorders>
                    <w:tl2br w:val="nil"/>
                    <w:tr2bl w:val="nil"/>
                  </w:tcBorders>
                  <w:noWrap w:val="0"/>
                  <w:vAlign w:val="center"/>
                </w:tcPr>
                <w:p w14:paraId="11C384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18</w:t>
                  </w:r>
                </w:p>
              </w:tc>
              <w:tc>
                <w:tcPr>
                  <w:tcW w:w="491" w:type="pct"/>
                  <w:vMerge w:val="continue"/>
                  <w:tcBorders>
                    <w:tl2br w:val="nil"/>
                    <w:tr2bl w:val="nil"/>
                  </w:tcBorders>
                  <w:noWrap w:val="0"/>
                  <w:vAlign w:val="center"/>
                </w:tcPr>
                <w:p w14:paraId="61859A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kern w:val="2"/>
                      <w:sz w:val="18"/>
                      <w:szCs w:val="18"/>
                      <w:highlight w:val="none"/>
                      <w:lang w:val="en-US" w:eastAsia="zh-CN" w:bidi="ar-SA"/>
                    </w:rPr>
                  </w:pPr>
                </w:p>
              </w:tc>
              <w:tc>
                <w:tcPr>
                  <w:tcW w:w="1295" w:type="pct"/>
                  <w:tcBorders>
                    <w:tl2br w:val="nil"/>
                    <w:tr2bl w:val="nil"/>
                  </w:tcBorders>
                  <w:noWrap w:val="0"/>
                  <w:vAlign w:val="center"/>
                </w:tcPr>
                <w:p w14:paraId="26CDD8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u w:val="none"/>
                      <w:lang w:val="en-US" w:eastAsia="zh-CN" w:bidi="ar"/>
                    </w:rPr>
                    <w:t>出泥螺旋输送机</w:t>
                  </w:r>
                </w:p>
              </w:tc>
              <w:tc>
                <w:tcPr>
                  <w:tcW w:w="801" w:type="pct"/>
                  <w:tcBorders>
                    <w:tl2br w:val="nil"/>
                    <w:tr2bl w:val="nil"/>
                  </w:tcBorders>
                  <w:noWrap w:val="0"/>
                  <w:vAlign w:val="center"/>
                </w:tcPr>
                <w:p w14:paraId="14774F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75</w:t>
                  </w:r>
                </w:p>
              </w:tc>
              <w:tc>
                <w:tcPr>
                  <w:tcW w:w="485" w:type="pct"/>
                  <w:vMerge w:val="continue"/>
                  <w:tcBorders>
                    <w:tl2br w:val="nil"/>
                    <w:tr2bl w:val="nil"/>
                  </w:tcBorders>
                  <w:noWrap w:val="0"/>
                  <w:vAlign w:val="center"/>
                </w:tcPr>
                <w:p w14:paraId="1573C3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rPr>
                  </w:pPr>
                </w:p>
              </w:tc>
              <w:tc>
                <w:tcPr>
                  <w:tcW w:w="578" w:type="pct"/>
                  <w:tcBorders>
                    <w:tl2br w:val="nil"/>
                    <w:tr2bl w:val="nil"/>
                  </w:tcBorders>
                  <w:noWrap w:val="0"/>
                  <w:vAlign w:val="center"/>
                </w:tcPr>
                <w:p w14:paraId="2553FF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20</w:t>
                  </w:r>
                </w:p>
              </w:tc>
              <w:tc>
                <w:tcPr>
                  <w:tcW w:w="694" w:type="pct"/>
                  <w:tcBorders>
                    <w:tl2br w:val="nil"/>
                    <w:tr2bl w:val="nil"/>
                  </w:tcBorders>
                  <w:noWrap w:val="0"/>
                  <w:vAlign w:val="center"/>
                </w:tcPr>
                <w:p w14:paraId="474649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55</w:t>
                  </w:r>
                </w:p>
              </w:tc>
              <w:tc>
                <w:tcPr>
                  <w:tcW w:w="390" w:type="pct"/>
                  <w:vMerge w:val="continue"/>
                  <w:tcBorders>
                    <w:tl2br w:val="nil"/>
                    <w:tr2bl w:val="nil"/>
                  </w:tcBorders>
                  <w:noWrap w:val="0"/>
                  <w:vAlign w:val="center"/>
                </w:tcPr>
                <w:p w14:paraId="395356F4">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eastAsia" w:cs="Times New Roman"/>
                      <w:color w:val="auto"/>
                      <w:spacing w:val="0"/>
                      <w:sz w:val="18"/>
                      <w:szCs w:val="18"/>
                      <w:highlight w:val="none"/>
                      <w:lang w:val="en-US" w:eastAsia="zh-CN"/>
                    </w:rPr>
                  </w:pPr>
                </w:p>
              </w:tc>
            </w:tr>
          </w:tbl>
          <w:p w14:paraId="4C9BB5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default"/>
                <w:bCs/>
                <w:color w:val="auto"/>
                <w:szCs w:val="21"/>
                <w:highlight w:val="none"/>
              </w:rPr>
            </w:pPr>
            <w:r>
              <w:rPr>
                <w:rFonts w:hint="eastAsia"/>
                <w:bCs/>
                <w:color w:val="auto"/>
                <w:szCs w:val="21"/>
                <w:highlight w:val="none"/>
                <w:lang w:eastAsia="zh-CN"/>
              </w:rPr>
              <w:t>（</w:t>
            </w:r>
            <w:r>
              <w:rPr>
                <w:rFonts w:hint="eastAsia"/>
                <w:bCs/>
                <w:color w:val="auto"/>
                <w:szCs w:val="21"/>
                <w:highlight w:val="none"/>
                <w:lang w:val="en-US" w:eastAsia="zh-CN"/>
              </w:rPr>
              <w:t>2</w:t>
            </w:r>
            <w:r>
              <w:rPr>
                <w:rFonts w:hint="eastAsia"/>
                <w:bCs/>
                <w:color w:val="auto"/>
                <w:szCs w:val="21"/>
                <w:highlight w:val="none"/>
                <w:lang w:eastAsia="zh-CN"/>
              </w:rPr>
              <w:t>）</w:t>
            </w:r>
            <w:r>
              <w:rPr>
                <w:rFonts w:hint="default"/>
                <w:bCs/>
                <w:color w:val="auto"/>
                <w:szCs w:val="21"/>
                <w:highlight w:val="none"/>
              </w:rPr>
              <w:t>污染防治措施及环境影响分析</w:t>
            </w:r>
          </w:p>
          <w:p w14:paraId="0F685364">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200"/>
              <w:jc w:val="both"/>
              <w:textAlignment w:val="auto"/>
              <w:rPr>
                <w:rFonts w:hint="default"/>
                <w:color w:val="auto"/>
                <w:sz w:val="21"/>
                <w:szCs w:val="21"/>
                <w:highlight w:val="none"/>
              </w:rPr>
            </w:pPr>
            <w:r>
              <w:rPr>
                <w:rFonts w:hint="default"/>
                <w:color w:val="auto"/>
                <w:sz w:val="21"/>
                <w:szCs w:val="21"/>
                <w:highlight w:val="none"/>
              </w:rPr>
              <w:t>本项目运营期采取如下降噪措施：</w:t>
            </w:r>
          </w:p>
          <w:p w14:paraId="2D823C4A">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200"/>
              <w:jc w:val="both"/>
              <w:textAlignment w:val="auto"/>
              <w:rPr>
                <w:rFonts w:hint="default"/>
                <w:color w:val="auto"/>
                <w:sz w:val="21"/>
                <w:szCs w:val="21"/>
                <w:highlight w:val="none"/>
              </w:rPr>
            </w:pPr>
            <w:r>
              <w:rPr>
                <w:rFonts w:hint="default"/>
                <w:color w:val="auto"/>
                <w:sz w:val="21"/>
                <w:szCs w:val="21"/>
                <w:highlight w:val="none"/>
              </w:rPr>
              <w:t>①在厂区总体布置中应注意防噪间距，以减少噪声的污染；</w:t>
            </w:r>
          </w:p>
          <w:p w14:paraId="215E03DE">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200"/>
              <w:jc w:val="both"/>
              <w:textAlignment w:val="auto"/>
              <w:rPr>
                <w:rFonts w:hint="default"/>
                <w:color w:val="auto"/>
                <w:sz w:val="21"/>
                <w:szCs w:val="21"/>
                <w:highlight w:val="none"/>
              </w:rPr>
            </w:pPr>
            <w:r>
              <w:rPr>
                <w:rFonts w:hint="default"/>
                <w:color w:val="auto"/>
                <w:sz w:val="21"/>
                <w:szCs w:val="21"/>
                <w:highlight w:val="none"/>
              </w:rPr>
              <w:t>②</w:t>
            </w:r>
            <w:r>
              <w:rPr>
                <w:rFonts w:hint="eastAsia"/>
                <w:color w:val="auto"/>
                <w:sz w:val="21"/>
                <w:szCs w:val="21"/>
                <w:highlight w:val="none"/>
              </w:rPr>
              <w:t>降低噪声源，已选用低噪声设备</w:t>
            </w:r>
            <w:r>
              <w:rPr>
                <w:rFonts w:hint="eastAsia"/>
                <w:color w:val="auto"/>
                <w:sz w:val="21"/>
                <w:szCs w:val="21"/>
                <w:highlight w:val="none"/>
                <w:lang w:eastAsia="zh-CN"/>
              </w:rPr>
              <w:t>，</w:t>
            </w:r>
            <w:r>
              <w:rPr>
                <w:rFonts w:hint="eastAsia"/>
                <w:color w:val="auto"/>
                <w:sz w:val="21"/>
                <w:szCs w:val="21"/>
                <w:highlight w:val="none"/>
                <w:lang w:val="en-US" w:eastAsia="zh-CN"/>
              </w:rPr>
              <w:t>厂房隔声</w:t>
            </w:r>
            <w:r>
              <w:rPr>
                <w:rFonts w:hint="default"/>
                <w:color w:val="auto"/>
                <w:sz w:val="21"/>
                <w:szCs w:val="21"/>
                <w:highlight w:val="none"/>
              </w:rPr>
              <w:t>；</w:t>
            </w:r>
          </w:p>
          <w:p w14:paraId="1C56EF59">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200"/>
              <w:jc w:val="both"/>
              <w:textAlignment w:val="auto"/>
              <w:rPr>
                <w:rFonts w:hint="default"/>
                <w:color w:val="auto"/>
                <w:sz w:val="21"/>
                <w:szCs w:val="21"/>
                <w:highlight w:val="none"/>
              </w:rPr>
            </w:pPr>
            <w:r>
              <w:rPr>
                <w:rFonts w:hint="default"/>
                <w:color w:val="auto"/>
                <w:sz w:val="21"/>
                <w:szCs w:val="21"/>
                <w:highlight w:val="none"/>
              </w:rPr>
              <w:t>③定期对设备进行检查、维修，保持设备最佳运行状态，减少噪声产生量；</w:t>
            </w:r>
          </w:p>
          <w:p w14:paraId="105A82E3">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Chars="200"/>
              <w:jc w:val="both"/>
              <w:textAlignment w:val="auto"/>
              <w:rPr>
                <w:rFonts w:hint="default"/>
                <w:color w:val="auto"/>
                <w:sz w:val="21"/>
                <w:szCs w:val="21"/>
                <w:highlight w:val="none"/>
              </w:rPr>
            </w:pPr>
            <w:r>
              <w:rPr>
                <w:rFonts w:hint="default"/>
                <w:color w:val="auto"/>
                <w:sz w:val="21"/>
                <w:szCs w:val="21"/>
                <w:highlight w:val="none"/>
              </w:rPr>
              <w:t>④设置软连接减振</w:t>
            </w:r>
            <w:r>
              <w:rPr>
                <w:rFonts w:hint="eastAsia"/>
                <w:color w:val="auto"/>
                <w:sz w:val="21"/>
                <w:szCs w:val="21"/>
                <w:highlight w:val="none"/>
                <w:lang w:val="en-US" w:eastAsia="zh-CN"/>
              </w:rPr>
              <w:t>等</w:t>
            </w:r>
            <w:r>
              <w:rPr>
                <w:rFonts w:hint="default"/>
                <w:color w:val="auto"/>
                <w:sz w:val="21"/>
                <w:szCs w:val="21"/>
                <w:highlight w:val="none"/>
              </w:rPr>
              <w:t>措施；</w:t>
            </w:r>
          </w:p>
          <w:p w14:paraId="00672B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color w:val="auto"/>
                <w:sz w:val="21"/>
                <w:szCs w:val="21"/>
                <w:highlight w:val="none"/>
              </w:rPr>
            </w:pPr>
            <w:r>
              <w:rPr>
                <w:rFonts w:hint="default"/>
                <w:color w:val="auto"/>
                <w:sz w:val="21"/>
                <w:szCs w:val="21"/>
                <w:highlight w:val="none"/>
              </w:rPr>
              <w:t>⑤</w:t>
            </w:r>
            <w:r>
              <w:rPr>
                <w:rFonts w:hint="default" w:ascii="Times New Roman" w:hAnsi="Times New Roman" w:eastAsia="宋体" w:cs="Times New Roman"/>
                <w:b w:val="0"/>
                <w:bCs w:val="0"/>
                <w:color w:val="auto"/>
                <w:sz w:val="21"/>
                <w:szCs w:val="21"/>
                <w:highlight w:val="none"/>
              </w:rPr>
              <w:t>对近距离操作员工进行个体防护</w:t>
            </w:r>
            <w:r>
              <w:rPr>
                <w:rFonts w:hint="default"/>
                <w:color w:val="auto"/>
                <w:sz w:val="21"/>
                <w:szCs w:val="21"/>
                <w:highlight w:val="none"/>
              </w:rPr>
              <w:t>；</w:t>
            </w:r>
          </w:p>
          <w:p w14:paraId="0B70B6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rPr>
              <w:t>本项目</w:t>
            </w:r>
            <w:r>
              <w:rPr>
                <w:rFonts w:hint="default" w:ascii="Times New Roman" w:hAnsi="Times New Roman" w:eastAsia="宋体" w:cs="Times New Roman"/>
                <w:color w:val="auto"/>
                <w:kern w:val="0"/>
                <w:sz w:val="21"/>
                <w:szCs w:val="21"/>
                <w:highlight w:val="none"/>
              </w:rPr>
              <w:t>厂界外周边50米范围内</w:t>
            </w:r>
            <w:r>
              <w:rPr>
                <w:rFonts w:hint="eastAsia" w:ascii="Times New Roman" w:hAnsi="Times New Roman" w:eastAsia="宋体" w:cs="Times New Roman"/>
                <w:color w:val="auto"/>
                <w:kern w:val="0"/>
                <w:sz w:val="21"/>
                <w:szCs w:val="21"/>
                <w:highlight w:val="none"/>
                <w:lang w:val="en-US" w:eastAsia="zh-CN"/>
              </w:rPr>
              <w:t>无</w:t>
            </w:r>
            <w:r>
              <w:rPr>
                <w:rFonts w:hint="default" w:ascii="Times New Roman" w:hAnsi="Times New Roman" w:eastAsia="宋体" w:cs="Times New Roman"/>
                <w:color w:val="auto"/>
                <w:kern w:val="0"/>
                <w:sz w:val="21"/>
                <w:szCs w:val="21"/>
                <w:highlight w:val="none"/>
              </w:rPr>
              <w:t>声环境保护目标</w:t>
            </w:r>
            <w:r>
              <w:rPr>
                <w:rFonts w:hint="eastAsia"/>
                <w:color w:val="auto"/>
                <w:sz w:val="21"/>
                <w:szCs w:val="21"/>
                <w:highlight w:val="none"/>
                <w:lang w:eastAsia="zh-CN"/>
              </w:rPr>
              <w:t>。</w:t>
            </w:r>
            <w:r>
              <w:rPr>
                <w:rFonts w:hint="eastAsia"/>
                <w:color w:val="auto"/>
                <w:sz w:val="21"/>
                <w:szCs w:val="21"/>
                <w:highlight w:val="none"/>
                <w:lang w:val="en-US" w:eastAsia="zh-CN"/>
              </w:rPr>
              <w:t>本项目</w:t>
            </w:r>
            <w:r>
              <w:rPr>
                <w:rFonts w:hint="default"/>
                <w:color w:val="auto"/>
                <w:sz w:val="21"/>
                <w:szCs w:val="21"/>
                <w:highlight w:val="none"/>
              </w:rPr>
              <w:t>选用低噪声设备，基础减振</w:t>
            </w:r>
            <w:r>
              <w:rPr>
                <w:rFonts w:hint="eastAsia"/>
                <w:color w:val="auto"/>
                <w:sz w:val="21"/>
                <w:szCs w:val="21"/>
                <w:highlight w:val="none"/>
                <w:lang w:eastAsia="zh-CN"/>
              </w:rPr>
              <w:t>、</w:t>
            </w:r>
            <w:r>
              <w:rPr>
                <w:rFonts w:hint="default"/>
                <w:color w:val="auto"/>
                <w:sz w:val="21"/>
                <w:szCs w:val="21"/>
                <w:highlight w:val="none"/>
              </w:rPr>
              <w:t>隔声</w:t>
            </w:r>
            <w:r>
              <w:rPr>
                <w:rFonts w:hint="eastAsia"/>
                <w:color w:val="auto"/>
                <w:sz w:val="21"/>
                <w:szCs w:val="21"/>
                <w:highlight w:val="none"/>
              </w:rPr>
              <w:t>等</w:t>
            </w:r>
            <w:r>
              <w:rPr>
                <w:rFonts w:hint="default"/>
                <w:color w:val="auto"/>
                <w:sz w:val="21"/>
                <w:szCs w:val="21"/>
                <w:highlight w:val="none"/>
              </w:rPr>
              <w:t>措施，</w:t>
            </w:r>
            <w:r>
              <w:rPr>
                <w:rFonts w:hint="eastAsia"/>
                <w:color w:val="auto"/>
                <w:kern w:val="0"/>
                <w:szCs w:val="21"/>
                <w:highlight w:val="none"/>
                <w:lang w:val="en-US" w:eastAsia="zh-CN"/>
              </w:rPr>
              <w:t>厂界噪声</w:t>
            </w:r>
            <w:r>
              <w:rPr>
                <w:rFonts w:hint="default"/>
                <w:color w:val="auto"/>
                <w:sz w:val="21"/>
                <w:szCs w:val="21"/>
                <w:highlight w:val="none"/>
              </w:rPr>
              <w:t>满足《工业企业厂界环境噪声排放标准》（GB12348-2008）中</w:t>
            </w:r>
            <w:r>
              <w:rPr>
                <w:rFonts w:hint="eastAsia"/>
                <w:color w:val="auto"/>
                <w:sz w:val="21"/>
                <w:szCs w:val="21"/>
                <w:highlight w:val="none"/>
                <w:lang w:val="en-US" w:eastAsia="zh-CN"/>
              </w:rPr>
              <w:t>2</w:t>
            </w:r>
            <w:r>
              <w:rPr>
                <w:rFonts w:hint="default"/>
                <w:color w:val="auto"/>
                <w:sz w:val="21"/>
                <w:szCs w:val="21"/>
                <w:highlight w:val="none"/>
              </w:rPr>
              <w:t>类标准限值</w:t>
            </w:r>
            <w:r>
              <w:rPr>
                <w:rFonts w:hint="eastAsia"/>
                <w:color w:val="auto"/>
                <w:sz w:val="21"/>
                <w:szCs w:val="21"/>
                <w:highlight w:val="none"/>
                <w:lang w:eastAsia="zh-CN"/>
              </w:rPr>
              <w:t>。</w:t>
            </w:r>
            <w:r>
              <w:rPr>
                <w:rFonts w:hint="default"/>
                <w:color w:val="auto"/>
                <w:sz w:val="21"/>
                <w:szCs w:val="21"/>
                <w:highlight w:val="none"/>
              </w:rPr>
              <w:t>本项目对周围声环境影响较小</w:t>
            </w:r>
            <w:r>
              <w:rPr>
                <w:rFonts w:hint="default"/>
                <w:color w:val="auto"/>
                <w:sz w:val="21"/>
                <w:szCs w:val="21"/>
                <w:highlight w:val="none"/>
              </w:rPr>
              <w:t>。</w:t>
            </w:r>
          </w:p>
          <w:p w14:paraId="6CCD5E35">
            <w:pPr>
              <w:keepNext w:val="0"/>
              <w:keepLines w:val="0"/>
              <w:widowControl/>
              <w:suppressLineNumbers w:val="0"/>
              <w:adjustRightInd/>
              <w:snapToGrid/>
              <w:spacing w:before="0" w:beforeAutospacing="0" w:after="0" w:afterAutospacing="0" w:line="360" w:lineRule="auto"/>
              <w:ind w:left="0" w:right="0" w:firstLine="420" w:firstLineChars="200"/>
              <w:rPr>
                <w:rFonts w:hint="default"/>
                <w:color w:val="auto"/>
              </w:rPr>
            </w:pPr>
            <w:r>
              <w:rPr>
                <w:rFonts w:hint="default" w:ascii="Times New Roman" w:hAnsi="Times New Roman" w:cs="Times New Roman"/>
                <w:bCs/>
                <w:color w:val="auto"/>
                <w:szCs w:val="21"/>
                <w:highlight w:val="none"/>
              </w:rPr>
              <w:t>（</w:t>
            </w:r>
            <w:r>
              <w:rPr>
                <w:rFonts w:hint="eastAsia" w:cs="Times New Roman"/>
                <w:bCs/>
                <w:color w:val="auto"/>
                <w:szCs w:val="21"/>
                <w:highlight w:val="none"/>
                <w:lang w:val="en-US" w:eastAsia="zh-CN"/>
              </w:rPr>
              <w:t>3</w:t>
            </w:r>
            <w:r>
              <w:rPr>
                <w:rFonts w:hint="default" w:ascii="Times New Roman" w:hAnsi="Times New Roman" w:cs="Times New Roman"/>
                <w:bCs/>
                <w:color w:val="auto"/>
                <w:szCs w:val="21"/>
                <w:highlight w:val="none"/>
              </w:rPr>
              <w:t>）监测要求</w:t>
            </w:r>
          </w:p>
          <w:p w14:paraId="3C15F3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根据</w:t>
            </w:r>
            <w:r>
              <w:rPr>
                <w:rFonts w:hint="default"/>
                <w:bCs/>
                <w:color w:val="auto"/>
                <w:kern w:val="0"/>
                <w:sz w:val="21"/>
                <w:szCs w:val="21"/>
                <w:highlight w:val="none"/>
              </w:rPr>
              <w:t>《排污单位自行监测技术指南 总则》（HJ819-2017）</w:t>
            </w:r>
            <w:r>
              <w:rPr>
                <w:rFonts w:hint="default" w:ascii="Times New Roman" w:hAnsi="Times New Roman" w:cs="Times New Roman"/>
                <w:bCs/>
                <w:color w:val="auto"/>
                <w:kern w:val="0"/>
                <w:sz w:val="21"/>
                <w:szCs w:val="21"/>
                <w:highlight w:val="none"/>
              </w:rPr>
              <w:t>本项目</w:t>
            </w:r>
            <w:r>
              <w:rPr>
                <w:rFonts w:hint="eastAsia" w:ascii="Times New Roman" w:hAnsi="Times New Roman" w:cs="Times New Roman"/>
                <w:bCs/>
                <w:color w:val="auto"/>
                <w:kern w:val="0"/>
                <w:sz w:val="21"/>
                <w:szCs w:val="21"/>
                <w:highlight w:val="none"/>
                <w:lang w:eastAsia="zh-CN"/>
              </w:rPr>
              <w:t>噪声</w:t>
            </w:r>
            <w:r>
              <w:rPr>
                <w:rFonts w:hint="eastAsia" w:ascii="Times New Roman" w:hAnsi="Times New Roman" w:eastAsia="宋体" w:cs="Times New Roman"/>
                <w:bCs/>
                <w:color w:val="auto"/>
                <w:kern w:val="0"/>
                <w:sz w:val="21"/>
                <w:szCs w:val="21"/>
                <w:highlight w:val="none"/>
                <w:lang w:val="en-US" w:eastAsia="zh-CN"/>
              </w:rPr>
              <w:t>监测内容如下：</w:t>
            </w:r>
          </w:p>
          <w:p w14:paraId="7C262D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color w:val="auto"/>
                <w:kern w:val="0"/>
                <w:sz w:val="21"/>
                <w:szCs w:val="21"/>
                <w:highlight w:val="none"/>
              </w:rPr>
            </w:pPr>
            <w:r>
              <w:rPr>
                <w:rFonts w:hint="default" w:ascii="Times New Roman" w:hAnsi="Times New Roman" w:cs="Times New Roman"/>
                <w:b/>
                <w:color w:val="auto"/>
                <w:kern w:val="0"/>
                <w:sz w:val="21"/>
                <w:szCs w:val="21"/>
                <w:highlight w:val="none"/>
              </w:rPr>
              <w:t>表4-</w:t>
            </w:r>
            <w:r>
              <w:rPr>
                <w:rFonts w:hint="eastAsia" w:cs="Times New Roman"/>
                <w:b/>
                <w:color w:val="auto"/>
                <w:kern w:val="0"/>
                <w:sz w:val="21"/>
                <w:szCs w:val="21"/>
                <w:highlight w:val="none"/>
                <w:lang w:val="en-US" w:eastAsia="zh-CN"/>
              </w:rPr>
              <w:t>6</w:t>
            </w:r>
            <w:r>
              <w:rPr>
                <w:rFonts w:hint="eastAsia" w:hAnsi="宋体"/>
                <w:b/>
                <w:color w:val="auto"/>
                <w:kern w:val="0"/>
                <w:sz w:val="21"/>
                <w:szCs w:val="21"/>
                <w:highlight w:val="none"/>
              </w:rPr>
              <w:t>项目噪声监测计划表</w:t>
            </w:r>
          </w:p>
          <w:tbl>
            <w:tblPr>
              <w:tblStyle w:val="35"/>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91"/>
              <w:gridCol w:w="1557"/>
              <w:gridCol w:w="2194"/>
              <w:gridCol w:w="2796"/>
            </w:tblGrid>
            <w:tr w14:paraId="56C2A5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8" w:type="dxa"/>
                  <w:noWrap w:val="0"/>
                  <w:vAlign w:val="center"/>
                </w:tcPr>
                <w:p w14:paraId="304A1E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hAnsi="宋体"/>
                      <w:color w:val="auto"/>
                      <w:kern w:val="0"/>
                      <w:sz w:val="18"/>
                      <w:szCs w:val="18"/>
                      <w:highlight w:val="none"/>
                    </w:rPr>
                  </w:pPr>
                  <w:r>
                    <w:rPr>
                      <w:rFonts w:hint="eastAsia" w:hAnsi="宋体"/>
                      <w:color w:val="auto"/>
                      <w:kern w:val="0"/>
                      <w:sz w:val="18"/>
                      <w:szCs w:val="18"/>
                      <w:highlight w:val="none"/>
                    </w:rPr>
                    <w:t>类别</w:t>
                  </w:r>
                </w:p>
              </w:tc>
              <w:tc>
                <w:tcPr>
                  <w:tcW w:w="1649" w:type="dxa"/>
                  <w:noWrap w:val="0"/>
                  <w:vAlign w:val="center"/>
                </w:tcPr>
                <w:p w14:paraId="1014D4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hAnsi="宋体"/>
                      <w:color w:val="auto"/>
                      <w:kern w:val="0"/>
                      <w:sz w:val="18"/>
                      <w:szCs w:val="18"/>
                      <w:highlight w:val="none"/>
                    </w:rPr>
                  </w:pPr>
                  <w:r>
                    <w:rPr>
                      <w:rFonts w:hint="eastAsia" w:hAnsi="宋体"/>
                      <w:color w:val="auto"/>
                      <w:kern w:val="0"/>
                      <w:sz w:val="18"/>
                      <w:szCs w:val="18"/>
                      <w:highlight w:val="none"/>
                    </w:rPr>
                    <w:t>监测点位</w:t>
                  </w:r>
                </w:p>
              </w:tc>
              <w:tc>
                <w:tcPr>
                  <w:tcW w:w="2337" w:type="dxa"/>
                  <w:noWrap w:val="0"/>
                  <w:vAlign w:val="center"/>
                </w:tcPr>
                <w:p w14:paraId="47D70D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hAnsi="宋体"/>
                      <w:color w:val="auto"/>
                      <w:kern w:val="0"/>
                      <w:sz w:val="18"/>
                      <w:szCs w:val="18"/>
                      <w:highlight w:val="none"/>
                    </w:rPr>
                  </w:pPr>
                  <w:r>
                    <w:rPr>
                      <w:rFonts w:hint="eastAsia" w:hAnsi="宋体"/>
                      <w:color w:val="auto"/>
                      <w:kern w:val="0"/>
                      <w:sz w:val="18"/>
                      <w:szCs w:val="18"/>
                      <w:highlight w:val="none"/>
                    </w:rPr>
                    <w:t>监测项目</w:t>
                  </w:r>
                </w:p>
              </w:tc>
              <w:tc>
                <w:tcPr>
                  <w:tcW w:w="2986" w:type="dxa"/>
                  <w:noWrap w:val="0"/>
                  <w:vAlign w:val="center"/>
                </w:tcPr>
                <w:p w14:paraId="6619DC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hAnsi="宋体"/>
                      <w:color w:val="auto"/>
                      <w:kern w:val="0"/>
                      <w:sz w:val="18"/>
                      <w:szCs w:val="18"/>
                      <w:highlight w:val="none"/>
                    </w:rPr>
                  </w:pPr>
                  <w:r>
                    <w:rPr>
                      <w:rFonts w:hint="eastAsia" w:hAnsi="宋体"/>
                      <w:color w:val="auto"/>
                      <w:kern w:val="0"/>
                      <w:sz w:val="18"/>
                      <w:szCs w:val="18"/>
                      <w:highlight w:val="none"/>
                    </w:rPr>
                    <w:t>监测频次</w:t>
                  </w:r>
                </w:p>
              </w:tc>
            </w:tr>
            <w:tr w14:paraId="4A895A2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8" w:type="dxa"/>
                  <w:noWrap w:val="0"/>
                  <w:vAlign w:val="center"/>
                </w:tcPr>
                <w:p w14:paraId="2710A4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hAnsi="宋体"/>
                      <w:color w:val="auto"/>
                      <w:kern w:val="0"/>
                      <w:sz w:val="18"/>
                      <w:szCs w:val="18"/>
                      <w:highlight w:val="none"/>
                    </w:rPr>
                  </w:pPr>
                  <w:r>
                    <w:rPr>
                      <w:rFonts w:hint="eastAsia" w:hAnsi="宋体"/>
                      <w:color w:val="auto"/>
                      <w:kern w:val="0"/>
                      <w:sz w:val="18"/>
                      <w:szCs w:val="18"/>
                      <w:highlight w:val="none"/>
                    </w:rPr>
                    <w:t>厂界噪声</w:t>
                  </w:r>
                </w:p>
              </w:tc>
              <w:tc>
                <w:tcPr>
                  <w:tcW w:w="1649" w:type="dxa"/>
                  <w:noWrap w:val="0"/>
                  <w:vAlign w:val="center"/>
                </w:tcPr>
                <w:p w14:paraId="4C512A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hAnsi="宋体"/>
                      <w:color w:val="auto"/>
                      <w:kern w:val="0"/>
                      <w:sz w:val="18"/>
                      <w:szCs w:val="18"/>
                      <w:highlight w:val="none"/>
                    </w:rPr>
                  </w:pPr>
                  <w:r>
                    <w:rPr>
                      <w:rFonts w:hint="eastAsia" w:hAnsi="宋体"/>
                      <w:color w:val="auto"/>
                      <w:kern w:val="0"/>
                      <w:sz w:val="18"/>
                      <w:szCs w:val="18"/>
                      <w:highlight w:val="none"/>
                    </w:rPr>
                    <w:t>厂界四周</w:t>
                  </w:r>
                </w:p>
              </w:tc>
              <w:tc>
                <w:tcPr>
                  <w:tcW w:w="2337" w:type="dxa"/>
                  <w:noWrap w:val="0"/>
                  <w:vAlign w:val="center"/>
                </w:tcPr>
                <w:p w14:paraId="4849A5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hAnsi="宋体"/>
                      <w:color w:val="auto"/>
                      <w:kern w:val="0"/>
                      <w:sz w:val="18"/>
                      <w:szCs w:val="18"/>
                      <w:highlight w:val="none"/>
                    </w:rPr>
                  </w:pPr>
                  <w:r>
                    <w:rPr>
                      <w:rFonts w:hint="eastAsia" w:hAnsi="宋体"/>
                      <w:color w:val="auto"/>
                      <w:kern w:val="0"/>
                      <w:sz w:val="18"/>
                      <w:szCs w:val="18"/>
                      <w:highlight w:val="none"/>
                    </w:rPr>
                    <w:t>等效连续</w:t>
                  </w:r>
                  <w:r>
                    <w:rPr>
                      <w:rFonts w:hint="default" w:hAnsi="宋体"/>
                      <w:color w:val="auto"/>
                      <w:kern w:val="0"/>
                      <w:sz w:val="18"/>
                      <w:szCs w:val="18"/>
                      <w:highlight w:val="none"/>
                    </w:rPr>
                    <w:t>A</w:t>
                  </w:r>
                  <w:r>
                    <w:rPr>
                      <w:rFonts w:hint="eastAsia" w:hAnsi="宋体"/>
                      <w:color w:val="auto"/>
                      <w:kern w:val="0"/>
                      <w:sz w:val="18"/>
                      <w:szCs w:val="18"/>
                      <w:highlight w:val="none"/>
                    </w:rPr>
                    <w:t>声级</w:t>
                  </w:r>
                </w:p>
              </w:tc>
              <w:tc>
                <w:tcPr>
                  <w:tcW w:w="2986" w:type="dxa"/>
                  <w:noWrap w:val="0"/>
                  <w:vAlign w:val="center"/>
                </w:tcPr>
                <w:p w14:paraId="20924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hAnsi="宋体"/>
                      <w:color w:val="auto"/>
                      <w:kern w:val="0"/>
                      <w:sz w:val="18"/>
                      <w:szCs w:val="18"/>
                      <w:highlight w:val="none"/>
                    </w:rPr>
                  </w:pPr>
                  <w:r>
                    <w:rPr>
                      <w:rFonts w:hint="default" w:hAnsi="宋体"/>
                      <w:color w:val="auto"/>
                      <w:kern w:val="0"/>
                      <w:sz w:val="18"/>
                      <w:szCs w:val="18"/>
                      <w:highlight w:val="none"/>
                    </w:rPr>
                    <w:t>1</w:t>
                  </w:r>
                  <w:r>
                    <w:rPr>
                      <w:rFonts w:hint="eastAsia" w:hAnsi="宋体"/>
                      <w:color w:val="auto"/>
                      <w:kern w:val="0"/>
                      <w:sz w:val="18"/>
                      <w:szCs w:val="18"/>
                      <w:highlight w:val="none"/>
                    </w:rPr>
                    <w:t>次</w:t>
                  </w:r>
                  <w:r>
                    <w:rPr>
                      <w:rFonts w:hint="default" w:hAnsi="宋体"/>
                      <w:color w:val="auto"/>
                      <w:kern w:val="0"/>
                      <w:sz w:val="18"/>
                      <w:szCs w:val="18"/>
                      <w:highlight w:val="none"/>
                    </w:rPr>
                    <w:t>/</w:t>
                  </w:r>
                  <w:r>
                    <w:rPr>
                      <w:rFonts w:hint="eastAsia" w:hAnsi="宋体"/>
                      <w:color w:val="auto"/>
                      <w:kern w:val="0"/>
                      <w:sz w:val="18"/>
                      <w:szCs w:val="18"/>
                      <w:highlight w:val="none"/>
                    </w:rPr>
                    <w:t>季度</w:t>
                  </w:r>
                </w:p>
              </w:tc>
            </w:tr>
          </w:tbl>
          <w:p w14:paraId="11BA7344">
            <w:pPr>
              <w:keepNext w:val="0"/>
              <w:keepLines w:val="0"/>
              <w:widowControl/>
              <w:suppressLineNumbers w:val="0"/>
              <w:adjustRightInd/>
              <w:snapToGrid/>
              <w:spacing w:before="0" w:beforeAutospacing="0" w:after="0" w:afterAutospacing="0" w:line="360" w:lineRule="auto"/>
              <w:ind w:left="0" w:right="0" w:firstLine="422" w:firstLineChars="200"/>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4、固体废物</w:t>
            </w:r>
          </w:p>
          <w:p w14:paraId="4E0F9850">
            <w:pPr>
              <w:keepNext w:val="0"/>
              <w:keepLines w:val="0"/>
              <w:widowControl/>
              <w:suppressLineNumbers w:val="0"/>
              <w:adjustRightInd/>
              <w:snapToGrid/>
              <w:spacing w:before="0" w:beforeAutospacing="0" w:after="0" w:afterAutospacing="0" w:line="360" w:lineRule="auto"/>
              <w:ind w:left="0" w:right="0"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（1）固体废物排放信息</w:t>
            </w:r>
          </w:p>
          <w:p w14:paraId="0FC766AD">
            <w:pPr>
              <w:keepNext w:val="0"/>
              <w:keepLines w:val="0"/>
              <w:suppressLineNumbers w:val="0"/>
              <w:adjustRightInd w:val="0"/>
              <w:snapToGrid w:val="0"/>
              <w:spacing w:before="0" w:beforeAutospacing="0" w:after="0" w:afterAutospacing="0" w:line="240" w:lineRule="auto"/>
              <w:ind w:left="0" w:right="0"/>
              <w:jc w:val="center"/>
              <w:rPr>
                <w:rFonts w:hint="default"/>
                <w:b/>
                <w:color w:val="auto"/>
                <w:szCs w:val="21"/>
                <w:highlight w:val="none"/>
              </w:rPr>
            </w:pPr>
            <w:r>
              <w:rPr>
                <w:rFonts w:hint="default"/>
                <w:b/>
                <w:color w:val="auto"/>
                <w:szCs w:val="21"/>
                <w:highlight w:val="none"/>
              </w:rPr>
              <w:t>表4-</w:t>
            </w:r>
            <w:r>
              <w:rPr>
                <w:rFonts w:hint="eastAsia"/>
                <w:b/>
                <w:color w:val="auto"/>
                <w:szCs w:val="21"/>
                <w:highlight w:val="none"/>
                <w:lang w:val="en-US" w:eastAsia="zh-CN"/>
              </w:rPr>
              <w:t>7</w:t>
            </w:r>
            <w:r>
              <w:rPr>
                <w:rFonts w:hint="default"/>
                <w:b/>
                <w:color w:val="auto"/>
                <w:szCs w:val="21"/>
                <w:highlight w:val="none"/>
              </w:rPr>
              <w:t>固体废物排放信息</w:t>
            </w:r>
          </w:p>
          <w:tbl>
            <w:tblPr>
              <w:tblStyle w:val="35"/>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1010"/>
              <w:gridCol w:w="1370"/>
              <w:gridCol w:w="1030"/>
              <w:gridCol w:w="720"/>
              <w:gridCol w:w="1020"/>
              <w:gridCol w:w="1060"/>
              <w:gridCol w:w="1072"/>
            </w:tblGrid>
            <w:tr w14:paraId="375877A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6" w:type="dxa"/>
                  <w:noWrap w:val="0"/>
                  <w:vAlign w:val="center"/>
                </w:tcPr>
                <w:p w14:paraId="195CF1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产生环节</w:t>
                  </w:r>
                </w:p>
              </w:tc>
              <w:tc>
                <w:tcPr>
                  <w:tcW w:w="1010" w:type="dxa"/>
                  <w:noWrap w:val="0"/>
                  <w:vAlign w:val="center"/>
                </w:tcPr>
                <w:p w14:paraId="02847B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eastAsia="宋体" w:cs="Times New Roman"/>
                      <w:color w:val="auto"/>
                      <w:sz w:val="18"/>
                      <w:szCs w:val="18"/>
                      <w:highlight w:val="none"/>
                    </w:rPr>
                    <w:t>固体废物名称</w:t>
                  </w:r>
                </w:p>
              </w:tc>
              <w:tc>
                <w:tcPr>
                  <w:tcW w:w="1370" w:type="dxa"/>
                  <w:noWrap w:val="0"/>
                  <w:vAlign w:val="center"/>
                </w:tcPr>
                <w:p w14:paraId="7B365E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eastAsia="宋体" w:cs="Times New Roman"/>
                      <w:color w:val="auto"/>
                      <w:sz w:val="18"/>
                      <w:szCs w:val="18"/>
                      <w:highlight w:val="none"/>
                    </w:rPr>
                    <w:t>固体废物属性</w:t>
                  </w:r>
                </w:p>
              </w:tc>
              <w:tc>
                <w:tcPr>
                  <w:tcW w:w="1030" w:type="dxa"/>
                  <w:noWrap w:val="0"/>
                  <w:vAlign w:val="center"/>
                </w:tcPr>
                <w:p w14:paraId="6ED170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产生量t/a</w:t>
                  </w:r>
                </w:p>
              </w:tc>
              <w:tc>
                <w:tcPr>
                  <w:tcW w:w="720" w:type="dxa"/>
                  <w:noWrap w:val="0"/>
                  <w:vAlign w:val="center"/>
                </w:tcPr>
                <w:p w14:paraId="11CDDA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物理</w:t>
                  </w:r>
                </w:p>
                <w:p w14:paraId="7554AA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eastAsia="宋体" w:cs="Times New Roman"/>
                      <w:color w:val="auto"/>
                      <w:sz w:val="18"/>
                      <w:szCs w:val="18"/>
                      <w:highlight w:val="none"/>
                    </w:rPr>
                    <w:t>性状</w:t>
                  </w:r>
                </w:p>
              </w:tc>
              <w:tc>
                <w:tcPr>
                  <w:tcW w:w="1020" w:type="dxa"/>
                  <w:noWrap w:val="0"/>
                  <w:vAlign w:val="center"/>
                </w:tcPr>
                <w:p w14:paraId="00BAD8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贮存方式</w:t>
                  </w:r>
                </w:p>
              </w:tc>
              <w:tc>
                <w:tcPr>
                  <w:tcW w:w="1060" w:type="dxa"/>
                  <w:noWrap w:val="0"/>
                  <w:vAlign w:val="center"/>
                </w:tcPr>
                <w:p w14:paraId="0B1DED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处置或利用量t/a</w:t>
                  </w:r>
                </w:p>
              </w:tc>
              <w:tc>
                <w:tcPr>
                  <w:tcW w:w="1072" w:type="dxa"/>
                  <w:noWrap w:val="0"/>
                  <w:vAlign w:val="center"/>
                </w:tcPr>
                <w:p w14:paraId="2AD255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eastAsia="宋体" w:cs="Times New Roman"/>
                      <w:color w:val="auto"/>
                      <w:sz w:val="18"/>
                      <w:szCs w:val="18"/>
                      <w:highlight w:val="none"/>
                    </w:rPr>
                    <w:t>最终去向</w:t>
                  </w:r>
                </w:p>
              </w:tc>
            </w:tr>
            <w:tr w14:paraId="143BFBA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6" w:type="dxa"/>
                  <w:noWrap w:val="0"/>
                  <w:vAlign w:val="center"/>
                </w:tcPr>
                <w:p w14:paraId="2B0DE8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生产</w:t>
                  </w:r>
                </w:p>
              </w:tc>
              <w:tc>
                <w:tcPr>
                  <w:tcW w:w="1010" w:type="dxa"/>
                  <w:noWrap w:val="0"/>
                  <w:vAlign w:val="center"/>
                </w:tcPr>
                <w:p w14:paraId="0D1211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Cs/>
                      <w:color w:val="auto"/>
                      <w:sz w:val="18"/>
                      <w:szCs w:val="18"/>
                      <w:highlight w:val="none"/>
                      <w:lang w:eastAsia="zh-CN"/>
                    </w:rPr>
                  </w:pPr>
                  <w:r>
                    <w:rPr>
                      <w:rFonts w:hint="eastAsia" w:eastAsia="宋体"/>
                      <w:color w:val="auto"/>
                      <w:sz w:val="18"/>
                      <w:szCs w:val="18"/>
                      <w:highlight w:val="none"/>
                      <w:lang w:val="en-US" w:eastAsia="zh-CN"/>
                    </w:rPr>
                    <w:t>脱水污泥</w:t>
                  </w:r>
                </w:p>
              </w:tc>
              <w:tc>
                <w:tcPr>
                  <w:tcW w:w="1370" w:type="dxa"/>
                  <w:noWrap w:val="0"/>
                  <w:vAlign w:val="center"/>
                </w:tcPr>
                <w:p w14:paraId="72755A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18"/>
                      <w:szCs w:val="18"/>
                      <w:highlight w:val="none"/>
                    </w:rPr>
                  </w:pPr>
                  <w:r>
                    <w:rPr>
                      <w:rFonts w:hint="eastAsia" w:cs="Times New Roman"/>
                      <w:color w:val="auto"/>
                      <w:sz w:val="18"/>
                      <w:szCs w:val="18"/>
                      <w:highlight w:val="none"/>
                      <w:lang w:eastAsia="zh-CN"/>
                    </w:rPr>
                    <w:t>工业固体废物</w:t>
                  </w:r>
                  <w:r>
                    <w:rPr>
                      <w:rFonts w:hint="eastAsia" w:cs="Times New Roman"/>
                      <w:color w:val="auto"/>
                      <w:sz w:val="18"/>
                      <w:szCs w:val="18"/>
                      <w:highlight w:val="none"/>
                      <w:lang w:val="en-US" w:eastAsia="zh-CN"/>
                    </w:rPr>
                    <w:t>900</w:t>
                  </w:r>
                  <w:r>
                    <w:rPr>
                      <w:rFonts w:hint="default" w:ascii="Times New Roman" w:hAnsi="Times New Roman" w:cs="Times New Roman"/>
                      <w:color w:val="auto"/>
                      <w:sz w:val="18"/>
                      <w:szCs w:val="18"/>
                      <w:highlight w:val="none"/>
                    </w:rPr>
                    <w:t>-0</w:t>
                  </w:r>
                  <w:r>
                    <w:rPr>
                      <w:rFonts w:hint="eastAsia" w:ascii="Times New Roman" w:hAnsi="Times New Roman" w:cs="Times New Roman"/>
                      <w:color w:val="auto"/>
                      <w:sz w:val="18"/>
                      <w:szCs w:val="18"/>
                      <w:highlight w:val="none"/>
                      <w:lang w:val="en-US" w:eastAsia="zh-CN"/>
                    </w:rPr>
                    <w:t>9</w:t>
                  </w:r>
                  <w:r>
                    <w:rPr>
                      <w:rFonts w:hint="eastAsia" w:cs="Times New Roman"/>
                      <w:color w:val="auto"/>
                      <w:sz w:val="18"/>
                      <w:szCs w:val="18"/>
                      <w:highlight w:val="none"/>
                      <w:lang w:val="en-US" w:eastAsia="zh-CN"/>
                    </w:rPr>
                    <w:t>9</w:t>
                  </w:r>
                  <w:r>
                    <w:rPr>
                      <w:rFonts w:hint="default" w:ascii="Times New Roman" w:hAnsi="Times New Roman" w:cs="Times New Roman"/>
                      <w:color w:val="auto"/>
                      <w:sz w:val="18"/>
                      <w:szCs w:val="18"/>
                      <w:highlight w:val="none"/>
                    </w:rPr>
                    <w:t>-S</w:t>
                  </w:r>
                  <w:r>
                    <w:rPr>
                      <w:rFonts w:hint="eastAsia" w:cs="Times New Roman"/>
                      <w:color w:val="auto"/>
                      <w:sz w:val="18"/>
                      <w:szCs w:val="18"/>
                      <w:highlight w:val="none"/>
                      <w:lang w:val="en-US" w:eastAsia="zh-CN"/>
                    </w:rPr>
                    <w:t>07</w:t>
                  </w:r>
                </w:p>
              </w:tc>
              <w:tc>
                <w:tcPr>
                  <w:tcW w:w="1030" w:type="dxa"/>
                  <w:noWrap w:val="0"/>
                  <w:vAlign w:val="center"/>
                </w:tcPr>
                <w:p w14:paraId="502B7F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Cs/>
                      <w:color w:val="auto"/>
                      <w:sz w:val="18"/>
                      <w:szCs w:val="18"/>
                      <w:highlight w:val="none"/>
                      <w:lang w:val="en-US" w:eastAsia="zh-CN"/>
                    </w:rPr>
                  </w:pPr>
                  <w:r>
                    <w:rPr>
                      <w:rFonts w:hint="eastAsia" w:ascii="Times New Roman" w:hAnsi="Times New Roman" w:eastAsia="宋体" w:cs="Times New Roman"/>
                      <w:color w:val="auto"/>
                      <w:kern w:val="0"/>
                      <w:sz w:val="18"/>
                      <w:szCs w:val="18"/>
                      <w:lang w:val="en-US" w:eastAsia="zh-CN"/>
                    </w:rPr>
                    <w:t>6628.765</w:t>
                  </w:r>
                </w:p>
              </w:tc>
              <w:tc>
                <w:tcPr>
                  <w:tcW w:w="720" w:type="dxa"/>
                  <w:noWrap w:val="0"/>
                  <w:vAlign w:val="center"/>
                </w:tcPr>
                <w:p w14:paraId="516B80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eastAsia="宋体" w:cs="Times New Roman"/>
                      <w:color w:val="auto"/>
                      <w:sz w:val="18"/>
                      <w:szCs w:val="18"/>
                      <w:highlight w:val="none"/>
                    </w:rPr>
                    <w:t>固</w:t>
                  </w:r>
                </w:p>
              </w:tc>
              <w:tc>
                <w:tcPr>
                  <w:tcW w:w="1020" w:type="dxa"/>
                  <w:noWrap w:val="0"/>
                  <w:vAlign w:val="center"/>
                </w:tcPr>
                <w:p w14:paraId="05CC28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Cs/>
                      <w:color w:val="auto"/>
                      <w:sz w:val="18"/>
                      <w:szCs w:val="18"/>
                      <w:highlight w:val="none"/>
                      <w:lang w:val="en-US" w:eastAsia="zh-CN"/>
                    </w:rPr>
                  </w:pPr>
                  <w:r>
                    <w:rPr>
                      <w:rFonts w:hint="eastAsia" w:ascii="Times New Roman" w:hAnsi="Times New Roman" w:eastAsia="宋体" w:cs="Times New Roman"/>
                      <w:bCs/>
                      <w:color w:val="auto"/>
                      <w:sz w:val="18"/>
                      <w:szCs w:val="18"/>
                      <w:highlight w:val="none"/>
                      <w:lang w:val="en-US" w:eastAsia="zh-CN"/>
                    </w:rPr>
                    <w:t>暂存污泥暂存库</w:t>
                  </w:r>
                </w:p>
              </w:tc>
              <w:tc>
                <w:tcPr>
                  <w:tcW w:w="1060" w:type="dxa"/>
                  <w:noWrap w:val="0"/>
                  <w:vAlign w:val="center"/>
                </w:tcPr>
                <w:p w14:paraId="63AC4C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Cs/>
                      <w:color w:val="auto"/>
                      <w:sz w:val="18"/>
                      <w:szCs w:val="18"/>
                      <w:highlight w:val="none"/>
                      <w:lang w:val="en-US" w:eastAsia="zh-CN"/>
                    </w:rPr>
                  </w:pPr>
                  <w:r>
                    <w:rPr>
                      <w:rFonts w:hint="eastAsia" w:ascii="Times New Roman" w:hAnsi="Times New Roman" w:eastAsia="宋体" w:cs="Times New Roman"/>
                      <w:color w:val="auto"/>
                      <w:kern w:val="0"/>
                      <w:sz w:val="18"/>
                      <w:szCs w:val="18"/>
                      <w:lang w:val="en-US" w:eastAsia="zh-CN"/>
                    </w:rPr>
                    <w:t>6628.765</w:t>
                  </w:r>
                </w:p>
              </w:tc>
              <w:tc>
                <w:tcPr>
                  <w:tcW w:w="1072" w:type="dxa"/>
                  <w:noWrap w:val="0"/>
                  <w:vAlign w:val="center"/>
                </w:tcPr>
                <w:p w14:paraId="058D7BAD">
                  <w:pPr>
                    <w:pStyle w:val="13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Cs/>
                      <w:color w:val="auto"/>
                      <w:sz w:val="18"/>
                      <w:szCs w:val="18"/>
                      <w:highlight w:val="none"/>
                      <w:lang w:val="en-US" w:eastAsia="zh-CN"/>
                    </w:rPr>
                  </w:pPr>
                  <w:r>
                    <w:rPr>
                      <w:rFonts w:hint="eastAsia" w:cs="Times New Roman"/>
                      <w:color w:val="auto"/>
                      <w:sz w:val="18"/>
                      <w:szCs w:val="18"/>
                      <w:highlight w:val="none"/>
                      <w:lang w:val="en-US" w:eastAsia="zh-CN"/>
                    </w:rPr>
                    <w:t>委托有资质单位处理</w:t>
                  </w:r>
                </w:p>
              </w:tc>
            </w:tr>
          </w:tbl>
          <w:p w14:paraId="03DEE65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cs="Times New Roman"/>
                <w:color w:val="auto"/>
                <w:kern w:val="21"/>
                <w:sz w:val="21"/>
                <w:szCs w:val="21"/>
                <w:highlight w:val="none"/>
                <w:lang w:val="en-US" w:eastAsia="zh-CN"/>
              </w:rPr>
            </w:pPr>
            <w:r>
              <w:rPr>
                <w:rFonts w:hint="eastAsia" w:cs="Times New Roman"/>
                <w:color w:val="auto"/>
                <w:kern w:val="21"/>
                <w:sz w:val="21"/>
                <w:szCs w:val="21"/>
                <w:highlight w:val="none"/>
                <w:lang w:val="en-US" w:eastAsia="zh-CN"/>
              </w:rPr>
              <w:t>（1）本项目无新增生活垃圾。</w:t>
            </w:r>
          </w:p>
          <w:p w14:paraId="7F80900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default"/>
                <w:color w:val="auto"/>
                <w:sz w:val="21"/>
                <w:szCs w:val="21"/>
                <w:highlight w:val="none"/>
                <w:lang w:val="en-US" w:eastAsia="zh-CN"/>
              </w:rPr>
            </w:pPr>
            <w:r>
              <w:rPr>
                <w:rFonts w:hint="eastAsia" w:cs="Times New Roman"/>
                <w:color w:val="auto"/>
                <w:kern w:val="21"/>
                <w:sz w:val="21"/>
                <w:szCs w:val="21"/>
                <w:highlight w:val="none"/>
                <w:lang w:val="en-US" w:eastAsia="zh-CN"/>
              </w:rPr>
              <w:t>（2）脱水污泥：根据前文计算，</w:t>
            </w:r>
            <w:r>
              <w:rPr>
                <w:rFonts w:hint="default" w:ascii="Times New Roman" w:hAnsi="Times New Roman" w:eastAsia="宋体" w:cs="Times New Roman"/>
                <w:color w:val="auto"/>
                <w:kern w:val="0"/>
                <w:sz w:val="21"/>
                <w:szCs w:val="21"/>
              </w:rPr>
              <w:t>排泥水的产生量为726.6m³/d</w:t>
            </w:r>
            <w:r>
              <w:rPr>
                <w:rFonts w:hint="eastAsia" w:ascii="Times New Roman" w:hAnsi="Times New Roman" w:eastAsia="宋体" w:cs="Times New Roman"/>
                <w:color w:val="auto"/>
                <w:kern w:val="0"/>
                <w:sz w:val="21"/>
                <w:szCs w:val="21"/>
                <w:lang w:eastAsia="zh-CN"/>
              </w:rPr>
              <w:t>，</w:t>
            </w:r>
            <w:r>
              <w:rPr>
                <w:rFonts w:hint="default" w:ascii="Times New Roman" w:hAnsi="Times New Roman" w:eastAsia="宋体" w:cs="Times New Roman"/>
                <w:color w:val="auto"/>
                <w:kern w:val="0"/>
                <w:sz w:val="21"/>
                <w:szCs w:val="21"/>
                <w:lang w:val="en-US" w:eastAsia="zh-CN"/>
              </w:rPr>
              <w:t>原泥含水率为99%，压滤后的污泥含水率为60%，污</w:t>
            </w:r>
            <w:r>
              <w:rPr>
                <w:rFonts w:hint="default" w:ascii="Times New Roman" w:hAnsi="Times New Roman" w:eastAsia="宋体" w:cs="Times New Roman"/>
                <w:i w:val="0"/>
                <w:iCs w:val="0"/>
                <w:caps w:val="0"/>
                <w:color w:val="auto"/>
                <w:spacing w:val="0"/>
                <w:sz w:val="21"/>
                <w:szCs w:val="21"/>
                <w:shd w:val="clear" w:fill="FFFFFF"/>
              </w:rPr>
              <w:t>泥密度近似按水密度1000kg/m</w:t>
            </w:r>
            <w:r>
              <w:rPr>
                <w:rFonts w:hint="default" w:ascii="Times New Roman" w:hAnsi="Times New Roman" w:eastAsia="宋体" w:cs="Times New Roman"/>
                <w:i w:val="0"/>
                <w:iCs w:val="0"/>
                <w:caps w:val="0"/>
                <w:color w:val="auto"/>
                <w:spacing w:val="0"/>
                <w:sz w:val="21"/>
                <w:szCs w:val="21"/>
                <w:shd w:val="clear" w:fill="FFFFFF"/>
                <w:vertAlign w:val="superscript"/>
              </w:rPr>
              <w:t>3</w:t>
            </w:r>
            <w:r>
              <w:rPr>
                <w:rFonts w:hint="default" w:ascii="Times New Roman" w:hAnsi="Times New Roman" w:eastAsia="宋体" w:cs="Times New Roman"/>
                <w:i w:val="0"/>
                <w:iCs w:val="0"/>
                <w:caps w:val="0"/>
                <w:color w:val="auto"/>
                <w:spacing w:val="0"/>
                <w:sz w:val="21"/>
                <w:szCs w:val="21"/>
                <w:shd w:val="clear" w:fill="FFFFFF"/>
                <w:lang w:val="en-US" w:eastAsia="zh-CN"/>
              </w:rPr>
              <w:t>核</w:t>
            </w:r>
            <w:r>
              <w:rPr>
                <w:rFonts w:hint="default" w:ascii="Times New Roman" w:hAnsi="Times New Roman" w:eastAsia="宋体" w:cs="Times New Roman"/>
                <w:i w:val="0"/>
                <w:iCs w:val="0"/>
                <w:caps w:val="0"/>
                <w:color w:val="auto"/>
                <w:spacing w:val="0"/>
                <w:sz w:val="21"/>
                <w:szCs w:val="21"/>
                <w:shd w:val="clear" w:fill="FFFFFF"/>
              </w:rPr>
              <w:t>算</w:t>
            </w:r>
            <w:r>
              <w:rPr>
                <w:rFonts w:hint="default" w:ascii="Times New Roman" w:hAnsi="Times New Roman" w:eastAsia="宋体" w:cs="Times New Roman"/>
                <w:i w:val="0"/>
                <w:iCs w:val="0"/>
                <w:caps w:val="0"/>
                <w:color w:val="auto"/>
                <w:spacing w:val="0"/>
                <w:sz w:val="21"/>
                <w:szCs w:val="21"/>
                <w:shd w:val="clear" w:fill="FFFFFF"/>
                <w:lang w:eastAsia="zh-CN"/>
              </w:rPr>
              <w:t>，</w:t>
            </w:r>
            <w:r>
              <w:rPr>
                <w:rFonts w:hint="default" w:ascii="Times New Roman" w:hAnsi="Times New Roman" w:eastAsia="宋体" w:cs="Times New Roman"/>
                <w:color w:val="auto"/>
                <w:kern w:val="0"/>
                <w:sz w:val="21"/>
                <w:szCs w:val="21"/>
                <w:lang w:val="en-US" w:eastAsia="zh-CN"/>
              </w:rPr>
              <w:t>则</w:t>
            </w:r>
            <w:r>
              <w:rPr>
                <w:rFonts w:hint="eastAsia" w:ascii="Times New Roman" w:hAnsi="Times New Roman" w:eastAsia="宋体" w:cs="Times New Roman"/>
                <w:color w:val="auto"/>
                <w:kern w:val="0"/>
                <w:sz w:val="21"/>
                <w:szCs w:val="21"/>
                <w:lang w:val="en-US" w:eastAsia="zh-CN"/>
              </w:rPr>
              <w:t>脱水</w:t>
            </w:r>
            <w:r>
              <w:rPr>
                <w:rFonts w:hint="default" w:ascii="Times New Roman" w:hAnsi="Times New Roman" w:eastAsia="宋体" w:cs="Times New Roman"/>
                <w:color w:val="auto"/>
                <w:kern w:val="0"/>
                <w:sz w:val="21"/>
                <w:szCs w:val="21"/>
              </w:rPr>
              <w:t>污泥量约为</w:t>
            </w:r>
            <w:r>
              <w:rPr>
                <w:rFonts w:hint="default" w:ascii="Times New Roman" w:hAnsi="Times New Roman" w:eastAsia="宋体" w:cs="Times New Roman"/>
                <w:color w:val="auto"/>
                <w:kern w:val="0"/>
                <w:sz w:val="21"/>
                <w:szCs w:val="21"/>
                <w:lang w:val="en-US" w:eastAsia="zh-CN"/>
              </w:rPr>
              <w:t>18.161</w:t>
            </w:r>
            <w:r>
              <w:rPr>
                <w:rFonts w:hint="default" w:ascii="Times New Roman" w:hAnsi="Times New Roman" w:eastAsia="宋体" w:cs="Times New Roman"/>
                <w:color w:val="auto"/>
                <w:kern w:val="0"/>
                <w:sz w:val="21"/>
                <w:szCs w:val="21"/>
              </w:rPr>
              <w:t>t/d</w:t>
            </w:r>
            <w:r>
              <w:rPr>
                <w:rFonts w:hint="eastAsia" w:cs="Times New Roman"/>
                <w:color w:val="auto"/>
                <w:kern w:val="21"/>
                <w:sz w:val="21"/>
                <w:szCs w:val="21"/>
                <w:highlight w:val="none"/>
                <w:lang w:val="en-US" w:eastAsia="zh-CN"/>
              </w:rPr>
              <w:t>，</w:t>
            </w:r>
            <w:r>
              <w:rPr>
                <w:rFonts w:hint="eastAsia" w:ascii="Times New Roman" w:hAnsi="Times New Roman" w:eastAsia="宋体" w:cs="Times New Roman"/>
                <w:color w:val="auto"/>
                <w:kern w:val="0"/>
                <w:sz w:val="21"/>
                <w:szCs w:val="21"/>
                <w:lang w:val="en-US" w:eastAsia="zh-CN"/>
              </w:rPr>
              <w:t>6628.765t/a。</w:t>
            </w:r>
            <w:r>
              <w:rPr>
                <w:rFonts w:hint="eastAsia" w:cs="Times New Roman"/>
                <w:b w:val="0"/>
                <w:bCs w:val="0"/>
                <w:color w:val="auto"/>
                <w:spacing w:val="0"/>
                <w:w w:val="100"/>
                <w:sz w:val="21"/>
                <w:szCs w:val="21"/>
                <w:highlight w:val="none"/>
                <w:lang w:val="en-US" w:eastAsia="zh-CN"/>
              </w:rPr>
              <w:t>暂存污泥暂存库内，定期</w:t>
            </w:r>
            <w:r>
              <w:rPr>
                <w:rFonts w:hint="eastAsia" w:ascii="宋体" w:hAnsi="宋体" w:cs="宋体"/>
                <w:color w:val="auto"/>
                <w:sz w:val="21"/>
                <w:szCs w:val="21"/>
                <w:highlight w:val="none"/>
                <w:lang w:val="en-US" w:eastAsia="zh-CN"/>
              </w:rPr>
              <w:t>外运委托有资质单位处理</w:t>
            </w:r>
            <w:r>
              <w:rPr>
                <w:rFonts w:hint="eastAsia"/>
                <w:color w:val="auto"/>
                <w:sz w:val="21"/>
                <w:szCs w:val="21"/>
                <w:highlight w:val="none"/>
                <w:lang w:val="en-US" w:eastAsia="zh-CN"/>
              </w:rPr>
              <w:t>。</w:t>
            </w:r>
          </w:p>
          <w:p w14:paraId="68E29DA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textAlignment w:val="auto"/>
              <w:rPr>
                <w:rFonts w:hint="eastAsia" w:eastAsia="宋体"/>
                <w:b w:val="0"/>
                <w:bCs/>
                <w:color w:val="auto"/>
                <w:szCs w:val="21"/>
                <w:highlight w:val="none"/>
                <w:lang w:val="en-US" w:eastAsia="zh-CN"/>
              </w:rPr>
            </w:pPr>
            <w:r>
              <w:rPr>
                <w:rFonts w:hint="eastAsia" w:cs="Times New Roman"/>
                <w:color w:val="auto"/>
                <w:sz w:val="21"/>
                <w:szCs w:val="21"/>
                <w:highlight w:val="none"/>
                <w:lang w:val="en-US" w:eastAsia="zh-CN"/>
              </w:rPr>
              <w:t>则本项目建成后全厂</w:t>
            </w:r>
            <w:r>
              <w:rPr>
                <w:rFonts w:hint="default" w:ascii="Times New Roman" w:hAnsi="Times New Roman" w:eastAsia="宋体" w:cs="Times New Roman"/>
                <w:color w:val="auto"/>
                <w:sz w:val="21"/>
                <w:szCs w:val="21"/>
                <w:highlight w:val="none"/>
              </w:rPr>
              <w:t>生活垃圾，由</w:t>
            </w:r>
            <w:r>
              <w:rPr>
                <w:rFonts w:hint="eastAsia" w:cs="Times New Roman"/>
                <w:color w:val="auto"/>
                <w:sz w:val="21"/>
                <w:szCs w:val="21"/>
                <w:highlight w:val="none"/>
                <w:lang w:eastAsia="zh-CN"/>
              </w:rPr>
              <w:t>环卫</w:t>
            </w:r>
            <w:r>
              <w:rPr>
                <w:rFonts w:hint="default" w:ascii="Times New Roman" w:hAnsi="Times New Roman" w:eastAsia="宋体" w:cs="Times New Roman"/>
                <w:color w:val="auto"/>
                <w:sz w:val="21"/>
                <w:szCs w:val="21"/>
                <w:highlight w:val="none"/>
              </w:rPr>
              <w:t>部门统一处理</w:t>
            </w:r>
            <w:r>
              <w:rPr>
                <w:rFonts w:hint="eastAsia"/>
                <w:b w:val="0"/>
                <w:bCs/>
                <w:color w:val="auto"/>
                <w:sz w:val="21"/>
                <w:szCs w:val="21"/>
                <w:highlight w:val="none"/>
                <w:lang w:val="en-US" w:eastAsia="zh-CN"/>
              </w:rPr>
              <w:t>；</w:t>
            </w:r>
            <w:r>
              <w:rPr>
                <w:rFonts w:hint="eastAsia"/>
                <w:b w:val="0"/>
                <w:bCs/>
                <w:color w:val="auto"/>
                <w:sz w:val="21"/>
                <w:szCs w:val="21"/>
                <w:highlight w:val="none"/>
                <w:lang w:val="en-US" w:eastAsia="zh-CN"/>
              </w:rPr>
              <w:t>脱水污泥</w:t>
            </w:r>
            <w:r>
              <w:rPr>
                <w:rFonts w:hint="eastAsia" w:cs="Times New Roman"/>
                <w:b w:val="0"/>
                <w:bCs w:val="0"/>
                <w:color w:val="auto"/>
                <w:spacing w:val="0"/>
                <w:w w:val="100"/>
                <w:sz w:val="21"/>
                <w:szCs w:val="21"/>
                <w:highlight w:val="none"/>
                <w:lang w:val="en-US" w:eastAsia="zh-CN"/>
              </w:rPr>
              <w:t>暂存污泥暂存库内，定期</w:t>
            </w:r>
            <w:r>
              <w:rPr>
                <w:rFonts w:hint="eastAsia" w:ascii="宋体" w:hAnsi="宋体" w:cs="宋体"/>
                <w:color w:val="auto"/>
                <w:sz w:val="21"/>
                <w:szCs w:val="21"/>
                <w:highlight w:val="none"/>
                <w:lang w:val="en-US" w:eastAsia="zh-CN"/>
              </w:rPr>
              <w:t>外运委托有资质单位处理</w:t>
            </w:r>
            <w:r>
              <w:rPr>
                <w:rFonts w:hint="eastAsia"/>
                <w:color w:val="auto"/>
                <w:sz w:val="21"/>
                <w:szCs w:val="21"/>
                <w:highlight w:val="none"/>
                <w:lang w:val="en-US" w:eastAsia="zh-CN"/>
              </w:rPr>
              <w:t>。</w:t>
            </w:r>
          </w:p>
          <w:p w14:paraId="1F7B453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textAlignment w:val="auto"/>
              <w:rPr>
                <w:rFonts w:hint="default" w:ascii="Times New Roman" w:hAnsi="Times New Roman" w:cs="Times New Roman"/>
                <w:bCs/>
                <w:color w:val="auto"/>
                <w:szCs w:val="21"/>
                <w:highlight w:val="none"/>
              </w:rPr>
            </w:pPr>
            <w:r>
              <w:rPr>
                <w:rFonts w:hint="eastAsia" w:ascii="Times New Roman" w:hAnsi="Times New Roman" w:eastAsia="宋体" w:cs="Times New Roman"/>
                <w:color w:val="auto"/>
                <w:kern w:val="21"/>
                <w:sz w:val="21"/>
                <w:szCs w:val="21"/>
                <w:lang w:val="en-US" w:eastAsia="zh-CN" w:bidi="ar-SA"/>
              </w:rPr>
              <w:t>（2）</w:t>
            </w:r>
            <w:r>
              <w:rPr>
                <w:rFonts w:hint="default" w:ascii="Times New Roman" w:hAnsi="Times New Roman" w:eastAsia="宋体" w:cs="Times New Roman"/>
                <w:color w:val="auto"/>
                <w:kern w:val="21"/>
                <w:szCs w:val="21"/>
                <w:highlight w:val="none"/>
              </w:rPr>
              <w:t>环境管理</w:t>
            </w:r>
            <w:r>
              <w:rPr>
                <w:rFonts w:hint="default" w:ascii="Times New Roman" w:hAnsi="Times New Roman" w:cs="Times New Roman"/>
                <w:bCs/>
                <w:color w:val="auto"/>
                <w:szCs w:val="21"/>
                <w:highlight w:val="none"/>
              </w:rPr>
              <w:t>要求</w:t>
            </w:r>
          </w:p>
          <w:p w14:paraId="44C0B8F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fldChar w:fldCharType="begin"/>
            </w:r>
            <w:r>
              <w:rPr>
                <w:rFonts w:hint="eastAsia" w:ascii="Times New Roman" w:hAnsi="Times New Roman" w:eastAsia="宋体" w:cs="Times New Roman"/>
                <w:color w:val="auto"/>
                <w:kern w:val="2"/>
                <w:sz w:val="21"/>
                <w:szCs w:val="21"/>
                <w:highlight w:val="none"/>
                <w:lang w:val="en-US" w:eastAsia="zh-CN" w:bidi="ar-SA"/>
              </w:rPr>
              <w:instrText xml:space="preserve"> = 1 \* GB3 </w:instrText>
            </w:r>
            <w:r>
              <w:rPr>
                <w:rFonts w:hint="eastAsia" w:ascii="Times New Roman" w:hAnsi="Times New Roman" w:eastAsia="宋体" w:cs="Times New Roman"/>
                <w:color w:val="auto"/>
                <w:kern w:val="2"/>
                <w:sz w:val="21"/>
                <w:szCs w:val="21"/>
                <w:highlight w:val="none"/>
                <w:lang w:val="en-US" w:eastAsia="zh-CN" w:bidi="ar-SA"/>
              </w:rPr>
              <w:fldChar w:fldCharType="separate"/>
            </w:r>
            <w:r>
              <w:rPr>
                <w:rFonts w:hint="eastAsia" w:ascii="Times New Roman" w:hAnsi="Times New Roman" w:eastAsia="宋体" w:cs="Times New Roman"/>
                <w:color w:val="auto"/>
                <w:kern w:val="2"/>
                <w:sz w:val="21"/>
                <w:szCs w:val="21"/>
                <w:highlight w:val="none"/>
                <w:lang w:val="en-US" w:eastAsia="zh-CN" w:bidi="ar-SA"/>
              </w:rPr>
              <w:t>①</w:t>
            </w:r>
            <w:r>
              <w:rPr>
                <w:rFonts w:hint="eastAsia" w:ascii="Times New Roman" w:hAnsi="Times New Roman" w:eastAsia="宋体" w:cs="Times New Roman"/>
                <w:color w:val="auto"/>
                <w:kern w:val="2"/>
                <w:sz w:val="21"/>
                <w:szCs w:val="21"/>
                <w:highlight w:val="none"/>
                <w:lang w:val="en-US" w:eastAsia="zh-CN" w:bidi="ar-SA"/>
              </w:rPr>
              <w:fldChar w:fldCharType="end"/>
            </w:r>
            <w:r>
              <w:rPr>
                <w:rFonts w:hint="eastAsia" w:ascii="Times New Roman" w:hAnsi="Times New Roman" w:eastAsia="宋体" w:cs="Times New Roman"/>
                <w:color w:val="auto"/>
                <w:kern w:val="2"/>
                <w:sz w:val="21"/>
                <w:szCs w:val="21"/>
                <w:highlight w:val="none"/>
                <w:lang w:val="en-US" w:eastAsia="zh-CN" w:bidi="ar-SA"/>
              </w:rPr>
              <w:t>产生工业固体废物的单位应当建立健全工业固体废物产生、收集、贮存、运输、利用、处置全过程的污染环境防治责任制度，建立工业固体废物管理台账，如实记录产生工业固体废物的种类、数量、流向、贮存、利用、处置等信息，实现工业固体废物可追溯、可查询，并采取防治工业固体废物污染环境的措施。</w:t>
            </w:r>
          </w:p>
          <w:p w14:paraId="009AE34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fldChar w:fldCharType="begin"/>
            </w:r>
            <w:r>
              <w:rPr>
                <w:rFonts w:hint="eastAsia" w:ascii="Times New Roman" w:hAnsi="Times New Roman" w:eastAsia="宋体" w:cs="Times New Roman"/>
                <w:color w:val="auto"/>
                <w:kern w:val="2"/>
                <w:sz w:val="21"/>
                <w:szCs w:val="21"/>
                <w:highlight w:val="none"/>
                <w:lang w:val="en-US" w:eastAsia="zh-CN" w:bidi="ar-SA"/>
              </w:rPr>
              <w:instrText xml:space="preserve"> = 2 \* GB3 </w:instrText>
            </w:r>
            <w:r>
              <w:rPr>
                <w:rFonts w:hint="eastAsia" w:ascii="Times New Roman" w:hAnsi="Times New Roman" w:eastAsia="宋体" w:cs="Times New Roman"/>
                <w:color w:val="auto"/>
                <w:kern w:val="2"/>
                <w:sz w:val="21"/>
                <w:szCs w:val="21"/>
                <w:highlight w:val="none"/>
                <w:lang w:val="en-US" w:eastAsia="zh-CN" w:bidi="ar-SA"/>
              </w:rPr>
              <w:fldChar w:fldCharType="separate"/>
            </w:r>
            <w:r>
              <w:rPr>
                <w:rFonts w:hint="eastAsia" w:ascii="Times New Roman" w:hAnsi="Times New Roman" w:eastAsia="宋体" w:cs="Times New Roman"/>
                <w:color w:val="auto"/>
                <w:kern w:val="2"/>
                <w:sz w:val="21"/>
                <w:szCs w:val="21"/>
                <w:highlight w:val="none"/>
                <w:lang w:val="en-US" w:eastAsia="zh-CN" w:bidi="ar-SA"/>
              </w:rPr>
              <w:t>②</w:t>
            </w:r>
            <w:r>
              <w:rPr>
                <w:rFonts w:hint="eastAsia" w:ascii="Times New Roman" w:hAnsi="Times New Roman" w:eastAsia="宋体" w:cs="Times New Roman"/>
                <w:color w:val="auto"/>
                <w:kern w:val="2"/>
                <w:sz w:val="21"/>
                <w:szCs w:val="21"/>
                <w:highlight w:val="none"/>
                <w:lang w:val="en-US" w:eastAsia="zh-CN" w:bidi="ar-SA"/>
              </w:rPr>
              <w:fldChar w:fldCharType="end"/>
            </w:r>
            <w:r>
              <w:rPr>
                <w:rFonts w:hint="eastAsia" w:ascii="Times New Roman" w:hAnsi="Times New Roman" w:eastAsia="宋体" w:cs="Times New Roman"/>
                <w:color w:val="auto"/>
                <w:kern w:val="2"/>
                <w:sz w:val="21"/>
                <w:szCs w:val="21"/>
                <w:highlight w:val="none"/>
                <w:lang w:val="en-US" w:eastAsia="zh-CN" w:bidi="ar-SA"/>
              </w:rPr>
              <w:t>禁止向生活垃圾收集设施中投放工业固体废物。</w:t>
            </w:r>
          </w:p>
          <w:p w14:paraId="639DCBAC">
            <w:pPr>
              <w:pStyle w:val="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both"/>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fldChar w:fldCharType="begin"/>
            </w:r>
            <w:r>
              <w:rPr>
                <w:rFonts w:hint="eastAsia" w:ascii="Times New Roman" w:hAnsi="Times New Roman" w:eastAsia="宋体" w:cs="Times New Roman"/>
                <w:color w:val="auto"/>
                <w:kern w:val="2"/>
                <w:sz w:val="21"/>
                <w:szCs w:val="21"/>
                <w:highlight w:val="none"/>
                <w:lang w:val="en-US" w:eastAsia="zh-CN" w:bidi="ar-SA"/>
              </w:rPr>
              <w:instrText xml:space="preserve"> = 3 \* GB3 </w:instrText>
            </w:r>
            <w:r>
              <w:rPr>
                <w:rFonts w:hint="eastAsia" w:ascii="Times New Roman" w:hAnsi="Times New Roman" w:eastAsia="宋体" w:cs="Times New Roman"/>
                <w:color w:val="auto"/>
                <w:kern w:val="2"/>
                <w:sz w:val="21"/>
                <w:szCs w:val="21"/>
                <w:highlight w:val="none"/>
                <w:lang w:val="en-US" w:eastAsia="zh-CN" w:bidi="ar-SA"/>
              </w:rPr>
              <w:fldChar w:fldCharType="separate"/>
            </w:r>
            <w:r>
              <w:rPr>
                <w:rFonts w:hint="eastAsia" w:ascii="Times New Roman" w:hAnsi="Times New Roman" w:eastAsia="宋体" w:cs="Times New Roman"/>
                <w:color w:val="auto"/>
                <w:kern w:val="2"/>
                <w:sz w:val="21"/>
                <w:szCs w:val="21"/>
                <w:highlight w:val="none"/>
                <w:lang w:val="en-US" w:eastAsia="zh-CN" w:bidi="ar-SA"/>
              </w:rPr>
              <w:t>③</w:t>
            </w:r>
            <w:r>
              <w:rPr>
                <w:rFonts w:hint="eastAsia" w:ascii="Times New Roman" w:hAnsi="Times New Roman" w:eastAsia="宋体" w:cs="Times New Roman"/>
                <w:color w:val="auto"/>
                <w:kern w:val="2"/>
                <w:sz w:val="21"/>
                <w:szCs w:val="21"/>
                <w:highlight w:val="none"/>
                <w:lang w:val="en-US" w:eastAsia="zh-CN" w:bidi="ar-SA"/>
              </w:rPr>
              <w:fldChar w:fldCharType="end"/>
            </w:r>
            <w:r>
              <w:rPr>
                <w:rFonts w:hint="eastAsia" w:ascii="Times New Roman" w:hAnsi="Times New Roman" w:eastAsia="宋体" w:cs="Times New Roman"/>
                <w:color w:val="auto"/>
                <w:kern w:val="2"/>
                <w:sz w:val="21"/>
                <w:szCs w:val="21"/>
                <w:highlight w:val="none"/>
                <w:lang w:val="en-US" w:eastAsia="zh-CN" w:bidi="ar-SA"/>
              </w:rPr>
              <w:t>产生工业固体废物的单位委托他人运输、利用、处置工业固体废物的，应当对受托方的主体资格和技术能力进行核实，依法签订书面合同，在合同中约定污染防治要求。受托方运输、利用、处置工业固体废物，应当依照有关法律法规的规定和合同约定履行污染防治要求，并将运输、利用、处置情况告知产生工业固体废物的单位。</w:t>
            </w:r>
          </w:p>
          <w:p w14:paraId="65F07557">
            <w:pPr>
              <w:pStyle w:val="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）环境影响分析</w:t>
            </w:r>
          </w:p>
          <w:p w14:paraId="1196F9A4">
            <w:pPr>
              <w:pStyle w:val="7"/>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both"/>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净水厂</w:t>
            </w:r>
            <w:r>
              <w:rPr>
                <w:rFonts w:hint="default" w:ascii="Times New Roman" w:hAnsi="Times New Roman" w:cs="Times New Roman"/>
                <w:color w:val="auto"/>
                <w:sz w:val="21"/>
                <w:szCs w:val="21"/>
                <w:highlight w:val="none"/>
              </w:rPr>
              <w:t>所产生的固体废物做到及时收集，妥善处置，本项目一般固体废物满足《一般工业固体废物贮存和填埋污染控制标准》（GB18599-2020）</w:t>
            </w:r>
            <w:r>
              <w:rPr>
                <w:rFonts w:hint="eastAsia" w:cs="Times New Roman"/>
                <w:color w:val="auto"/>
                <w:sz w:val="21"/>
                <w:szCs w:val="21"/>
                <w:highlight w:val="none"/>
                <w:lang w:eastAsia="zh-CN"/>
              </w:rPr>
              <w:t>、</w:t>
            </w:r>
            <w:r>
              <w:rPr>
                <w:rFonts w:hint="eastAsia"/>
                <w:bCs/>
                <w:color w:val="auto"/>
                <w:szCs w:val="21"/>
                <w:highlight w:val="none"/>
              </w:rPr>
              <w:t>《固体废物分类与代码</w:t>
            </w:r>
            <w:r>
              <w:rPr>
                <w:rFonts w:hint="eastAsia"/>
                <w:bCs/>
                <w:color w:val="auto"/>
                <w:szCs w:val="21"/>
                <w:highlight w:val="none"/>
                <w:lang w:eastAsia="zh-CN"/>
              </w:rPr>
              <w:t>目录</w:t>
            </w:r>
            <w:r>
              <w:rPr>
                <w:rFonts w:hint="eastAsia"/>
                <w:bCs/>
                <w:color w:val="auto"/>
                <w:szCs w:val="21"/>
                <w:highlight w:val="none"/>
              </w:rPr>
              <w:t>》（</w:t>
            </w:r>
            <w:r>
              <w:rPr>
                <w:rFonts w:hint="eastAsia"/>
                <w:bCs/>
                <w:color w:val="auto"/>
                <w:szCs w:val="21"/>
                <w:highlight w:val="none"/>
                <w:lang w:eastAsia="zh-CN"/>
              </w:rPr>
              <w:t>公告</w:t>
            </w:r>
            <w:r>
              <w:rPr>
                <w:rFonts w:hint="eastAsia"/>
                <w:bCs/>
                <w:color w:val="auto"/>
                <w:szCs w:val="21"/>
                <w:highlight w:val="none"/>
                <w:lang w:val="en-US" w:eastAsia="zh-CN"/>
              </w:rPr>
              <w:t>2024年第4号</w:t>
            </w:r>
            <w:r>
              <w:rPr>
                <w:rFonts w:hint="eastAsia"/>
                <w:bCs/>
                <w:color w:val="auto"/>
                <w:szCs w:val="21"/>
                <w:highlight w:val="none"/>
              </w:rPr>
              <w:t>）</w:t>
            </w:r>
            <w:r>
              <w:rPr>
                <w:rFonts w:hint="eastAsia"/>
                <w:bCs/>
                <w:color w:val="auto"/>
                <w:szCs w:val="21"/>
                <w:highlight w:val="none"/>
                <w:lang w:eastAsia="zh-CN"/>
              </w:rPr>
              <w:t>，</w:t>
            </w:r>
            <w:r>
              <w:rPr>
                <w:rFonts w:hint="default" w:ascii="Times New Roman" w:hAnsi="Times New Roman" w:cs="Times New Roman"/>
                <w:color w:val="auto"/>
                <w:sz w:val="21"/>
                <w:szCs w:val="21"/>
                <w:highlight w:val="none"/>
              </w:rPr>
              <w:t>本项目产生的固体废物经过妥善处理后，处置率达到100%不会影响周边环境。</w:t>
            </w:r>
          </w:p>
          <w:p w14:paraId="0213C5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2" w:firstLineChars="200"/>
              <w:textAlignment w:val="auto"/>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5、土壤和地下水</w:t>
            </w:r>
          </w:p>
          <w:p w14:paraId="4E57999F">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color w:val="auto"/>
                <w:sz w:val="21"/>
                <w:szCs w:val="21"/>
                <w:lang w:val="en-US" w:eastAsia="zh-CN"/>
              </w:rPr>
            </w:pPr>
            <w:r>
              <w:rPr>
                <w:rFonts w:hint="default" w:ascii="Times New Roman" w:hAnsi="Times New Roman" w:cs="Times New Roman"/>
                <w:color w:val="auto"/>
                <w:spacing w:val="0"/>
                <w:sz w:val="21"/>
                <w:szCs w:val="21"/>
              </w:rPr>
              <w:t>本项目</w:t>
            </w:r>
            <w:r>
              <w:rPr>
                <w:rFonts w:hint="default" w:ascii="Times New Roman" w:hAnsi="Times New Roman" w:cs="Times New Roman"/>
                <w:color w:val="auto"/>
                <w:spacing w:val="0"/>
                <w:sz w:val="21"/>
                <w:szCs w:val="21"/>
                <w:lang w:val="en-US" w:eastAsia="zh-CN"/>
              </w:rPr>
              <w:t>依托现有工程防渗措施，</w:t>
            </w:r>
            <w:r>
              <w:rPr>
                <w:rFonts w:hint="default" w:ascii="Times New Roman" w:hAnsi="Times New Roman" w:cs="Times New Roman"/>
                <w:color w:val="auto"/>
                <w:spacing w:val="0"/>
                <w:sz w:val="21"/>
                <w:szCs w:val="21"/>
              </w:rPr>
              <w:t>加氯</w:t>
            </w:r>
            <w:r>
              <w:rPr>
                <w:rFonts w:hint="default" w:ascii="Times New Roman" w:hAnsi="Times New Roman" w:cs="Times New Roman"/>
                <w:color w:val="auto"/>
                <w:spacing w:val="0"/>
                <w:sz w:val="21"/>
                <w:szCs w:val="21"/>
                <w:lang w:val="en-US" w:eastAsia="zh-CN"/>
              </w:rPr>
              <w:t>加药间</w:t>
            </w:r>
            <w:r>
              <w:rPr>
                <w:rFonts w:hint="default" w:ascii="Times New Roman" w:hAnsi="Times New Roman" w:cs="Times New Roman"/>
                <w:color w:val="auto"/>
                <w:spacing w:val="0"/>
                <w:sz w:val="21"/>
                <w:szCs w:val="21"/>
              </w:rPr>
              <w:t>地面进行重点防渗，防渗措施应满足《环境影响评价技术导则地下水环境》（HJ 610—2016）中等效黏土防渗层Mb≥</w:t>
            </w:r>
            <w:r>
              <w:rPr>
                <w:rFonts w:hint="default" w:ascii="Times New Roman" w:hAnsi="Times New Roman" w:cs="Times New Roman"/>
                <w:color w:val="auto"/>
                <w:spacing w:val="0"/>
                <w:sz w:val="21"/>
                <w:szCs w:val="21"/>
                <w:lang w:val="en-US" w:eastAsia="zh-CN"/>
              </w:rPr>
              <w:t>6.0</w:t>
            </w:r>
            <w:r>
              <w:rPr>
                <w:rFonts w:hint="default" w:ascii="Times New Roman" w:hAnsi="Times New Roman" w:cs="Times New Roman"/>
                <w:color w:val="auto"/>
                <w:spacing w:val="0"/>
                <w:sz w:val="21"/>
                <w:szCs w:val="21"/>
              </w:rPr>
              <w:t>m，渗透系数K≤1×10</w:t>
            </w:r>
            <w:r>
              <w:rPr>
                <w:rFonts w:hint="default" w:ascii="Times New Roman" w:hAnsi="Times New Roman" w:cs="Times New Roman"/>
                <w:color w:val="auto"/>
                <w:spacing w:val="0"/>
                <w:sz w:val="21"/>
                <w:szCs w:val="21"/>
                <w:vertAlign w:val="superscript"/>
              </w:rPr>
              <w:t>-7</w:t>
            </w:r>
            <w:r>
              <w:rPr>
                <w:rFonts w:hint="default" w:ascii="Times New Roman" w:hAnsi="Times New Roman" w:cs="Times New Roman"/>
                <w:color w:val="auto"/>
                <w:spacing w:val="0"/>
                <w:sz w:val="21"/>
                <w:szCs w:val="21"/>
              </w:rPr>
              <w:t>cm/s</w:t>
            </w:r>
            <w:r>
              <w:rPr>
                <w:rFonts w:hint="default" w:ascii="Times New Roman" w:hAnsi="Times New Roman" w:cs="Times New Roman"/>
                <w:color w:val="auto"/>
                <w:spacing w:val="0"/>
                <w:sz w:val="21"/>
                <w:szCs w:val="21"/>
                <w:lang w:eastAsia="zh-CN"/>
              </w:rPr>
              <w:t>。</w:t>
            </w:r>
            <w:r>
              <w:rPr>
                <w:rFonts w:hint="default" w:ascii="Times New Roman" w:hAnsi="Times New Roman" w:eastAsia="宋体" w:cs="Times New Roman"/>
                <w:color w:val="auto"/>
                <w:spacing w:val="0"/>
                <w:sz w:val="21"/>
                <w:szCs w:val="21"/>
                <w:lang w:val="en-US" w:eastAsia="zh-CN"/>
              </w:rPr>
              <w:t>同时采取截流措施，避免进入外环境；定期检查</w:t>
            </w:r>
            <w:r>
              <w:rPr>
                <w:rFonts w:hint="default" w:ascii="Times New Roman" w:hAnsi="Times New Roman" w:cs="Times New Roman"/>
                <w:color w:val="auto"/>
                <w:spacing w:val="0"/>
                <w:sz w:val="21"/>
                <w:szCs w:val="21"/>
                <w:lang w:val="en-US" w:eastAsia="zh-CN"/>
              </w:rPr>
              <w:t>药剂及液氯瓶装</w:t>
            </w:r>
            <w:r>
              <w:rPr>
                <w:rFonts w:hint="default" w:ascii="Times New Roman" w:hAnsi="Times New Roman" w:eastAsia="宋体" w:cs="Times New Roman"/>
                <w:color w:val="auto"/>
                <w:spacing w:val="0"/>
                <w:sz w:val="21"/>
                <w:szCs w:val="21"/>
                <w:lang w:val="en-US" w:eastAsia="zh-CN"/>
              </w:rPr>
              <w:t>是否完整无损</w:t>
            </w:r>
            <w:r>
              <w:rPr>
                <w:rFonts w:hint="default" w:ascii="Times New Roman" w:hAnsi="Times New Roman" w:cs="Times New Roman"/>
                <w:color w:val="auto"/>
                <w:spacing w:val="0"/>
                <w:sz w:val="21"/>
                <w:szCs w:val="21"/>
                <w:lang w:val="en-US" w:eastAsia="zh-CN"/>
              </w:rPr>
              <w:t>。</w:t>
            </w:r>
            <w:r>
              <w:rPr>
                <w:rFonts w:hint="default" w:ascii="Times New Roman" w:hAnsi="Times New Roman" w:cs="Times New Roman"/>
                <w:color w:val="auto"/>
                <w:sz w:val="21"/>
                <w:szCs w:val="21"/>
              </w:rPr>
              <w:t>防渗</w:t>
            </w:r>
            <w:r>
              <w:rPr>
                <w:rFonts w:hint="eastAsia" w:cs="Times New Roman"/>
                <w:color w:val="auto"/>
                <w:sz w:val="21"/>
                <w:szCs w:val="21"/>
                <w:lang w:val="en-US" w:eastAsia="zh-CN"/>
              </w:rPr>
              <w:t>化粪池</w:t>
            </w:r>
            <w:r>
              <w:rPr>
                <w:rFonts w:hint="eastAsia"/>
                <w:bCs/>
                <w:color w:val="auto"/>
                <w:sz w:val="21"/>
                <w:szCs w:val="21"/>
              </w:rPr>
              <w:t>采取一般防渗要求，防渗技术要求达到等效粘土防渗层</w:t>
            </w:r>
            <w:r>
              <w:rPr>
                <w:rFonts w:hint="default"/>
                <w:bCs/>
                <w:color w:val="auto"/>
                <w:sz w:val="21"/>
                <w:szCs w:val="21"/>
              </w:rPr>
              <w:t>Mb≥1.5m</w:t>
            </w:r>
            <w:r>
              <w:rPr>
                <w:rFonts w:hint="eastAsia"/>
                <w:bCs/>
                <w:color w:val="auto"/>
                <w:sz w:val="21"/>
                <w:szCs w:val="21"/>
              </w:rPr>
              <w:t>，</w:t>
            </w:r>
            <w:r>
              <w:rPr>
                <w:rFonts w:hint="default"/>
                <w:bCs/>
                <w:color w:val="auto"/>
                <w:sz w:val="21"/>
                <w:szCs w:val="21"/>
              </w:rPr>
              <w:t>K≤1×10</w:t>
            </w:r>
            <w:r>
              <w:rPr>
                <w:rFonts w:hint="default"/>
                <w:bCs/>
                <w:color w:val="auto"/>
                <w:sz w:val="21"/>
                <w:szCs w:val="21"/>
                <w:vertAlign w:val="superscript"/>
              </w:rPr>
              <w:t>-7</w:t>
            </w:r>
            <w:r>
              <w:rPr>
                <w:rFonts w:hint="default"/>
                <w:bCs/>
                <w:color w:val="auto"/>
                <w:sz w:val="21"/>
                <w:szCs w:val="21"/>
              </w:rPr>
              <w:t>cm/s</w:t>
            </w:r>
            <w:r>
              <w:rPr>
                <w:rFonts w:hint="eastAsia"/>
                <w:bCs/>
                <w:color w:val="auto"/>
                <w:sz w:val="21"/>
                <w:szCs w:val="21"/>
                <w:lang w:eastAsia="zh-CN"/>
              </w:rPr>
              <w:t>。</w:t>
            </w:r>
            <w:r>
              <w:rPr>
                <w:rFonts w:hint="default" w:ascii="Times New Roman" w:hAnsi="Times New Roman" w:eastAsia="宋体" w:cs="Times New Roman"/>
                <w:color w:val="auto"/>
                <w:spacing w:val="0"/>
                <w:kern w:val="0"/>
                <w:sz w:val="21"/>
                <w:szCs w:val="21"/>
                <w:highlight w:val="none"/>
                <w:lang w:val="en-US" w:eastAsia="zh-CN"/>
              </w:rPr>
              <w:t>厂区其他区域为简单防渗，进行一般地面硬化。</w:t>
            </w:r>
          </w:p>
          <w:p w14:paraId="00CBC7F3">
            <w:pPr>
              <w:keepNext w:val="0"/>
              <w:keepLines w:val="0"/>
              <w:pageBreakBefore w:val="0"/>
              <w:widowControl/>
              <w:suppressLineNumbers w:val="0"/>
              <w:kinsoku/>
              <w:wordWrap/>
              <w:overflowPunct/>
              <w:topLinePunct w:val="0"/>
              <w:bidi w:val="0"/>
              <w:adjustRightInd/>
              <w:snapToGrid/>
              <w:spacing w:before="0" w:beforeAutospacing="0" w:after="0" w:afterAutospacing="0" w:line="360" w:lineRule="auto"/>
              <w:ind w:left="0" w:leftChars="0" w:right="0" w:firstLine="422" w:firstLineChars="200"/>
              <w:rPr>
                <w:rFonts w:hint="default" w:ascii="Times New Roman" w:hAnsi="Times New Roman" w:cs="Times New Roman"/>
                <w:b/>
                <w:color w:val="auto"/>
                <w:szCs w:val="21"/>
                <w:highlight w:val="none"/>
              </w:rPr>
            </w:pPr>
            <w:r>
              <w:rPr>
                <w:rFonts w:hint="eastAsia" w:cs="Times New Roman"/>
                <w:b/>
                <w:color w:val="auto"/>
                <w:szCs w:val="21"/>
                <w:highlight w:val="none"/>
                <w:lang w:val="en-US" w:eastAsia="zh-CN"/>
              </w:rPr>
              <w:t>6</w:t>
            </w:r>
            <w:r>
              <w:rPr>
                <w:rFonts w:hint="default" w:ascii="Times New Roman" w:hAnsi="Times New Roman" w:cs="Times New Roman"/>
                <w:b/>
                <w:color w:val="auto"/>
                <w:szCs w:val="21"/>
                <w:highlight w:val="none"/>
              </w:rPr>
              <w:t>、环境风险</w:t>
            </w:r>
          </w:p>
          <w:p w14:paraId="6175B1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ascii="Times New Roman" w:hAnsi="Times New Roman" w:eastAsia="宋体" w:cs="Times New Roman"/>
                <w:b w:val="0"/>
                <w:bCs w:val="0"/>
                <w:color w:val="auto"/>
                <w:spacing w:val="0"/>
                <w:kern w:val="0"/>
                <w:sz w:val="21"/>
                <w:szCs w:val="21"/>
                <w:lang w:val="en-US" w:eastAsia="zh-CN"/>
              </w:rPr>
            </w:pPr>
            <w:r>
              <w:rPr>
                <w:rFonts w:hint="eastAsia" w:cs="Times New Roman"/>
                <w:b w:val="0"/>
                <w:bCs w:val="0"/>
                <w:color w:val="auto"/>
                <w:spacing w:val="0"/>
                <w:kern w:val="0"/>
                <w:sz w:val="21"/>
                <w:szCs w:val="21"/>
                <w:lang w:eastAsia="zh-CN"/>
              </w:rPr>
              <w:t>（</w:t>
            </w:r>
            <w:r>
              <w:rPr>
                <w:rFonts w:hint="eastAsia" w:cs="Times New Roman"/>
                <w:b w:val="0"/>
                <w:bCs w:val="0"/>
                <w:color w:val="auto"/>
                <w:spacing w:val="0"/>
                <w:kern w:val="0"/>
                <w:sz w:val="21"/>
                <w:szCs w:val="21"/>
                <w:lang w:val="en-US" w:eastAsia="zh-CN"/>
              </w:rPr>
              <w:t>1</w:t>
            </w:r>
            <w:r>
              <w:rPr>
                <w:rFonts w:hint="eastAsia" w:cs="Times New Roman"/>
                <w:b w:val="0"/>
                <w:bCs w:val="0"/>
                <w:color w:val="auto"/>
                <w:spacing w:val="0"/>
                <w:kern w:val="0"/>
                <w:sz w:val="21"/>
                <w:szCs w:val="21"/>
                <w:lang w:eastAsia="zh-CN"/>
              </w:rPr>
              <w:t>）</w:t>
            </w:r>
            <w:r>
              <w:rPr>
                <w:rFonts w:hint="default" w:ascii="Times New Roman" w:hAnsi="Times New Roman" w:eastAsia="宋体" w:cs="Times New Roman"/>
                <w:b w:val="0"/>
                <w:bCs w:val="0"/>
                <w:color w:val="auto"/>
                <w:spacing w:val="0"/>
                <w:kern w:val="0"/>
                <w:sz w:val="21"/>
                <w:szCs w:val="21"/>
              </w:rPr>
              <w:t>本项目</w:t>
            </w:r>
            <w:r>
              <w:rPr>
                <w:rFonts w:hint="eastAsia" w:cs="Times New Roman"/>
                <w:b w:val="0"/>
                <w:bCs w:val="0"/>
                <w:color w:val="auto"/>
                <w:spacing w:val="0"/>
                <w:kern w:val="0"/>
                <w:sz w:val="21"/>
                <w:szCs w:val="21"/>
                <w:lang w:val="en-US" w:eastAsia="zh-CN"/>
              </w:rPr>
              <w:t>无新增原辅材料，</w:t>
            </w:r>
            <w:r>
              <w:rPr>
                <w:rFonts w:hint="default" w:ascii="Times New Roman" w:hAnsi="Times New Roman" w:eastAsia="宋体" w:cs="Times New Roman"/>
                <w:b w:val="0"/>
                <w:bCs w:val="0"/>
                <w:color w:val="auto"/>
                <w:spacing w:val="0"/>
                <w:kern w:val="0"/>
                <w:sz w:val="21"/>
                <w:szCs w:val="21"/>
              </w:rPr>
              <w:t>无</w:t>
            </w:r>
            <w:r>
              <w:rPr>
                <w:rFonts w:hint="default" w:ascii="Times New Roman" w:hAnsi="Times New Roman" w:eastAsia="宋体" w:cs="Times New Roman"/>
                <w:b w:val="0"/>
                <w:bCs w:val="0"/>
                <w:color w:val="auto"/>
                <w:spacing w:val="0"/>
                <w:kern w:val="0"/>
                <w:sz w:val="21"/>
                <w:szCs w:val="21"/>
                <w:lang w:val="en-US" w:eastAsia="zh-CN"/>
              </w:rPr>
              <w:t>新增</w:t>
            </w:r>
            <w:r>
              <w:rPr>
                <w:rFonts w:hint="default" w:ascii="Times New Roman" w:hAnsi="Times New Roman" w:eastAsia="宋体" w:cs="Times New Roman"/>
                <w:b w:val="0"/>
                <w:bCs w:val="0"/>
                <w:color w:val="auto"/>
                <w:spacing w:val="0"/>
                <w:kern w:val="0"/>
                <w:sz w:val="21"/>
                <w:szCs w:val="21"/>
              </w:rPr>
              <w:t>环境风险物质。</w:t>
            </w:r>
          </w:p>
          <w:p w14:paraId="7DB197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contextualSpacing/>
              <w:jc w:val="left"/>
              <w:textAlignment w:val="auto"/>
              <w:rPr>
                <w:rFonts w:hint="default"/>
                <w:color w:val="auto"/>
                <w:spacing w:val="0"/>
                <w:szCs w:val="21"/>
                <w:highlight w:val="none"/>
              </w:rPr>
            </w:pPr>
            <w:r>
              <w:rPr>
                <w:rFonts w:hint="eastAsia" w:hAnsi="宋体"/>
                <w:color w:val="auto"/>
                <w:spacing w:val="0"/>
                <w:szCs w:val="21"/>
                <w:highlight w:val="none"/>
                <w:lang w:val="en-US" w:eastAsia="zh-CN"/>
              </w:rPr>
              <w:t>1</w:t>
            </w:r>
            <w:r>
              <w:rPr>
                <w:rFonts w:hint="default" w:hAnsi="宋体"/>
                <w:color w:val="auto"/>
                <w:spacing w:val="0"/>
                <w:szCs w:val="21"/>
                <w:highlight w:val="none"/>
              </w:rPr>
              <w:t>）环境风险物质识别</w:t>
            </w:r>
          </w:p>
          <w:p w14:paraId="0CD3371F">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color w:val="auto"/>
                <w:spacing w:val="0"/>
                <w:sz w:val="21"/>
                <w:szCs w:val="21"/>
                <w:highlight w:val="none"/>
              </w:rPr>
            </w:pPr>
            <w:r>
              <w:rPr>
                <w:rFonts w:hint="default"/>
                <w:color w:val="auto"/>
                <w:spacing w:val="0"/>
                <w:szCs w:val="21"/>
                <w:highlight w:val="none"/>
              </w:rPr>
              <w:t>①</w:t>
            </w:r>
            <w:r>
              <w:rPr>
                <w:rFonts w:hint="default"/>
                <w:color w:val="auto"/>
                <w:spacing w:val="0"/>
                <w:sz w:val="21"/>
                <w:szCs w:val="21"/>
                <w:highlight w:val="none"/>
              </w:rPr>
              <w:t>根据《建设项目环境风险评价技术导则》（HJ169-2018），需要计算所涉及的每种危险物质在厂界内的最大存在总量与其在附录B中对应临界量的比值Q。当只涉及一种危险物质时，计算该物质的总量与其临界量比值，即为 Q；</w:t>
            </w:r>
          </w:p>
          <w:p w14:paraId="3D7308B9">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color w:val="auto"/>
                <w:spacing w:val="0"/>
                <w:sz w:val="21"/>
                <w:szCs w:val="21"/>
                <w:highlight w:val="none"/>
              </w:rPr>
            </w:pPr>
            <w:r>
              <w:rPr>
                <w:rFonts w:hint="default"/>
                <w:color w:val="auto"/>
                <w:spacing w:val="0"/>
                <w:sz w:val="21"/>
                <w:szCs w:val="21"/>
                <w:highlight w:val="none"/>
              </w:rPr>
              <w:t>当存在多种危险物质时，则按下述公式计算物质总量与其临界量比值（Q）：</w:t>
            </w:r>
          </w:p>
          <w:p w14:paraId="0A45BB86">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color w:val="auto"/>
                <w:spacing w:val="0"/>
                <w:sz w:val="21"/>
                <w:szCs w:val="21"/>
                <w:highlight w:val="none"/>
              </w:rPr>
            </w:pPr>
            <w:r>
              <w:rPr>
                <w:rFonts w:hint="default"/>
                <w:color w:val="auto"/>
                <w:spacing w:val="0"/>
                <w:sz w:val="21"/>
                <w:szCs w:val="21"/>
                <w:highlight w:val="none"/>
              </w:rPr>
              <w:t>Q= q1/Q1+q2/Q2……+ qn/Qn</w:t>
            </w:r>
          </w:p>
          <w:p w14:paraId="2B48796B">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color w:val="auto"/>
                <w:spacing w:val="0"/>
                <w:sz w:val="21"/>
                <w:szCs w:val="21"/>
                <w:highlight w:val="none"/>
              </w:rPr>
            </w:pPr>
            <w:r>
              <w:rPr>
                <w:rFonts w:hint="default"/>
                <w:color w:val="auto"/>
                <w:spacing w:val="0"/>
                <w:sz w:val="21"/>
                <w:szCs w:val="21"/>
                <w:highlight w:val="none"/>
              </w:rPr>
              <w:t>式中：q 1 、q 2 ‥‥‥q n —每种危险物质的最大存在总量，t。</w:t>
            </w:r>
          </w:p>
          <w:p w14:paraId="24765E40">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color w:val="auto"/>
                <w:spacing w:val="0"/>
                <w:sz w:val="21"/>
                <w:szCs w:val="21"/>
                <w:highlight w:val="none"/>
              </w:rPr>
            </w:pPr>
            <w:r>
              <w:rPr>
                <w:rFonts w:hint="default"/>
                <w:color w:val="auto"/>
                <w:spacing w:val="0"/>
                <w:sz w:val="21"/>
                <w:szCs w:val="21"/>
                <w:highlight w:val="none"/>
              </w:rPr>
              <w:t>Q 1 、Q 2 ‥‥‥Q n —每种危险物质的临界量，t。</w:t>
            </w:r>
          </w:p>
          <w:p w14:paraId="7B53FC0C">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color w:val="auto"/>
                <w:spacing w:val="0"/>
                <w:sz w:val="21"/>
                <w:szCs w:val="21"/>
                <w:highlight w:val="none"/>
              </w:rPr>
            </w:pPr>
            <w:r>
              <w:rPr>
                <w:rFonts w:hint="default"/>
                <w:color w:val="auto"/>
                <w:spacing w:val="0"/>
                <w:sz w:val="21"/>
                <w:szCs w:val="21"/>
                <w:highlight w:val="none"/>
              </w:rPr>
              <w:t>当 Q＜1时，该项目环境风险潜势为 I。</w:t>
            </w:r>
          </w:p>
          <w:p w14:paraId="00158302">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color w:val="auto"/>
                <w:spacing w:val="0"/>
                <w:sz w:val="21"/>
                <w:szCs w:val="21"/>
                <w:highlight w:val="none"/>
              </w:rPr>
            </w:pPr>
            <w:r>
              <w:rPr>
                <w:rFonts w:hint="default"/>
                <w:color w:val="auto"/>
                <w:spacing w:val="0"/>
                <w:sz w:val="21"/>
                <w:szCs w:val="21"/>
                <w:highlight w:val="none"/>
              </w:rPr>
              <w:t>当 Q≥1时，将 Q 值划分为：1≤Q＜10；10≤Q＜100； Q≥100。</w:t>
            </w:r>
          </w:p>
          <w:p w14:paraId="67FFBEC2">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left"/>
              <w:textAlignment w:val="auto"/>
              <w:rPr>
                <w:rFonts w:hint="default"/>
                <w:color w:val="auto"/>
                <w:spacing w:val="0"/>
                <w:sz w:val="21"/>
                <w:szCs w:val="21"/>
                <w:highlight w:val="none"/>
              </w:rPr>
            </w:pPr>
            <w:r>
              <w:rPr>
                <w:rFonts w:hint="default"/>
                <w:color w:val="auto"/>
                <w:spacing w:val="0"/>
                <w:sz w:val="21"/>
                <w:szCs w:val="21"/>
                <w:highlight w:val="none"/>
              </w:rPr>
              <w:t>根据《建设项目环境风险评价技术导则》（HJ169-2018）附录B进行辨识，本项目涉及的主要风险物质为</w:t>
            </w:r>
            <w:r>
              <w:rPr>
                <w:rFonts w:hint="default" w:ascii="Times New Roman" w:hAnsi="Times New Roman" w:eastAsia="宋体" w:cs="Times New Roman"/>
                <w:color w:val="auto"/>
                <w:spacing w:val="0"/>
                <w:sz w:val="21"/>
                <w:szCs w:val="21"/>
                <w:highlight w:val="none"/>
                <w:lang w:val="en-US" w:eastAsia="zh-CN"/>
              </w:rPr>
              <w:t>液氯及</w:t>
            </w:r>
            <w:r>
              <w:rPr>
                <w:rFonts w:hint="default" w:ascii="Times New Roman" w:hAnsi="Times New Roman" w:eastAsia="宋体" w:cs="Times New Roman"/>
                <w:color w:val="auto"/>
                <w:spacing w:val="0"/>
                <w:sz w:val="21"/>
                <w:szCs w:val="21"/>
              </w:rPr>
              <w:t>38%三氯化铁溶液</w:t>
            </w:r>
            <w:r>
              <w:rPr>
                <w:rFonts w:hint="default"/>
                <w:color w:val="auto"/>
                <w:spacing w:val="0"/>
                <w:sz w:val="21"/>
                <w:szCs w:val="21"/>
                <w:highlight w:val="none"/>
              </w:rPr>
              <w:t>，其Q值计算见下表4-</w:t>
            </w:r>
            <w:r>
              <w:rPr>
                <w:rFonts w:hint="eastAsia"/>
                <w:color w:val="auto"/>
                <w:spacing w:val="0"/>
                <w:sz w:val="21"/>
                <w:szCs w:val="21"/>
                <w:highlight w:val="none"/>
                <w:lang w:val="en-US" w:eastAsia="zh-CN"/>
              </w:rPr>
              <w:t>8</w:t>
            </w:r>
            <w:r>
              <w:rPr>
                <w:rFonts w:hint="default"/>
                <w:color w:val="auto"/>
                <w:spacing w:val="0"/>
                <w:sz w:val="21"/>
                <w:szCs w:val="21"/>
                <w:highlight w:val="none"/>
              </w:rPr>
              <w:t>。</w:t>
            </w:r>
          </w:p>
          <w:p w14:paraId="6C718802">
            <w:pPr>
              <w:keepNext w:val="0"/>
              <w:keepLines w:val="0"/>
              <w:suppressLineNumbers w:val="0"/>
              <w:autoSpaceDE w:val="0"/>
              <w:spacing w:before="0" w:beforeAutospacing="0" w:after="0" w:afterAutospacing="0"/>
              <w:ind w:left="0" w:right="0" w:firstLine="422"/>
              <w:jc w:val="center"/>
              <w:rPr>
                <w:rFonts w:hint="default"/>
                <w:color w:val="auto"/>
                <w:spacing w:val="0"/>
                <w:highlight w:val="none"/>
              </w:rPr>
            </w:pPr>
            <w:r>
              <w:rPr>
                <w:rFonts w:hint="eastAsia"/>
                <w:b/>
                <w:bCs/>
                <w:color w:val="auto"/>
                <w:spacing w:val="0"/>
                <w:highlight w:val="none"/>
              </w:rPr>
              <w:t>表4-</w:t>
            </w:r>
            <w:r>
              <w:rPr>
                <w:rFonts w:hint="eastAsia"/>
                <w:b/>
                <w:bCs/>
                <w:color w:val="auto"/>
                <w:spacing w:val="0"/>
                <w:highlight w:val="none"/>
                <w:lang w:val="en-US" w:eastAsia="zh-CN"/>
              </w:rPr>
              <w:t>8</w:t>
            </w:r>
            <w:r>
              <w:rPr>
                <w:rFonts w:hint="default"/>
                <w:b/>
                <w:bCs/>
                <w:color w:val="auto"/>
                <w:spacing w:val="0"/>
                <w:szCs w:val="21"/>
                <w:highlight w:val="none"/>
              </w:rPr>
              <w:t>项目危险废物风险识别一览表</w:t>
            </w:r>
          </w:p>
          <w:tbl>
            <w:tblPr>
              <w:tblStyle w:val="35"/>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2855"/>
              <w:gridCol w:w="1245"/>
              <w:gridCol w:w="1317"/>
              <w:gridCol w:w="997"/>
              <w:gridCol w:w="945"/>
            </w:tblGrid>
            <w:tr w14:paraId="287DF1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9" w:type="dxa"/>
                  <w:noWrap w:val="0"/>
                  <w:vAlign w:val="center"/>
                </w:tcPr>
                <w:p w14:paraId="1C0B4DCF">
                  <w:pPr>
                    <w:keepNext w:val="0"/>
                    <w:keepLines w:val="0"/>
                    <w:suppressLineNumbers w:val="0"/>
                    <w:spacing w:before="0" w:beforeAutospacing="0" w:after="0" w:afterAutospacing="0"/>
                    <w:ind w:left="0" w:right="0"/>
                    <w:jc w:val="center"/>
                    <w:rPr>
                      <w:rFonts w:hint="default"/>
                      <w:bCs/>
                      <w:color w:val="auto"/>
                      <w:spacing w:val="0"/>
                      <w:sz w:val="18"/>
                      <w:szCs w:val="18"/>
                      <w:highlight w:val="none"/>
                    </w:rPr>
                  </w:pPr>
                  <w:r>
                    <w:rPr>
                      <w:rFonts w:hint="default"/>
                      <w:bCs/>
                      <w:color w:val="auto"/>
                      <w:spacing w:val="0"/>
                      <w:sz w:val="18"/>
                      <w:szCs w:val="18"/>
                      <w:highlight w:val="none"/>
                    </w:rPr>
                    <w:t>序号</w:t>
                  </w:r>
                </w:p>
              </w:tc>
              <w:tc>
                <w:tcPr>
                  <w:tcW w:w="2855" w:type="dxa"/>
                  <w:noWrap w:val="0"/>
                  <w:vAlign w:val="center"/>
                </w:tcPr>
                <w:p w14:paraId="0F723692">
                  <w:pPr>
                    <w:keepNext w:val="0"/>
                    <w:keepLines w:val="0"/>
                    <w:suppressLineNumbers w:val="0"/>
                    <w:spacing w:before="0" w:beforeAutospacing="0" w:after="0" w:afterAutospacing="0"/>
                    <w:ind w:left="0" w:right="0"/>
                    <w:jc w:val="center"/>
                    <w:rPr>
                      <w:rFonts w:hint="default"/>
                      <w:bCs/>
                      <w:color w:val="auto"/>
                      <w:spacing w:val="0"/>
                      <w:sz w:val="18"/>
                      <w:szCs w:val="18"/>
                      <w:highlight w:val="none"/>
                    </w:rPr>
                  </w:pPr>
                  <w:r>
                    <w:rPr>
                      <w:rFonts w:hint="default"/>
                      <w:bCs/>
                      <w:color w:val="auto"/>
                      <w:spacing w:val="0"/>
                      <w:sz w:val="18"/>
                      <w:szCs w:val="18"/>
                      <w:highlight w:val="none"/>
                    </w:rPr>
                    <w:t>危险化学品</w:t>
                  </w:r>
                </w:p>
              </w:tc>
              <w:tc>
                <w:tcPr>
                  <w:tcW w:w="1245" w:type="dxa"/>
                  <w:noWrap w:val="0"/>
                  <w:vAlign w:val="center"/>
                </w:tcPr>
                <w:p w14:paraId="34F05043">
                  <w:pPr>
                    <w:keepNext w:val="0"/>
                    <w:keepLines w:val="0"/>
                    <w:suppressLineNumbers w:val="0"/>
                    <w:spacing w:before="0" w:beforeAutospacing="0" w:after="0" w:afterAutospacing="0"/>
                    <w:ind w:left="0" w:right="0"/>
                    <w:jc w:val="center"/>
                    <w:rPr>
                      <w:rFonts w:hint="default"/>
                      <w:bCs/>
                      <w:color w:val="auto"/>
                      <w:spacing w:val="0"/>
                      <w:sz w:val="18"/>
                      <w:szCs w:val="18"/>
                      <w:highlight w:val="none"/>
                    </w:rPr>
                  </w:pPr>
                  <w:r>
                    <w:rPr>
                      <w:rFonts w:hint="default"/>
                      <w:bCs/>
                      <w:color w:val="auto"/>
                      <w:spacing w:val="0"/>
                      <w:sz w:val="18"/>
                      <w:szCs w:val="18"/>
                      <w:highlight w:val="none"/>
                    </w:rPr>
                    <w:t>CAS号</w:t>
                  </w:r>
                </w:p>
              </w:tc>
              <w:tc>
                <w:tcPr>
                  <w:tcW w:w="1317" w:type="dxa"/>
                  <w:noWrap w:val="0"/>
                  <w:vAlign w:val="center"/>
                </w:tcPr>
                <w:p w14:paraId="767FEEE3">
                  <w:pPr>
                    <w:keepNext w:val="0"/>
                    <w:keepLines w:val="0"/>
                    <w:suppressLineNumbers w:val="0"/>
                    <w:spacing w:before="0" w:beforeAutospacing="0" w:after="0" w:afterAutospacing="0"/>
                    <w:ind w:left="0" w:right="0"/>
                    <w:jc w:val="center"/>
                    <w:rPr>
                      <w:rFonts w:hint="default"/>
                      <w:bCs/>
                      <w:color w:val="auto"/>
                      <w:spacing w:val="0"/>
                      <w:sz w:val="18"/>
                      <w:szCs w:val="18"/>
                      <w:highlight w:val="none"/>
                    </w:rPr>
                  </w:pPr>
                  <w:r>
                    <w:rPr>
                      <w:rFonts w:hint="default"/>
                      <w:bCs/>
                      <w:color w:val="auto"/>
                      <w:spacing w:val="0"/>
                      <w:sz w:val="18"/>
                      <w:szCs w:val="18"/>
                      <w:highlight w:val="none"/>
                    </w:rPr>
                    <w:t>最大储存量</w:t>
                  </w:r>
                </w:p>
                <w:p w14:paraId="2C76BB84">
                  <w:pPr>
                    <w:keepNext w:val="0"/>
                    <w:keepLines w:val="0"/>
                    <w:suppressLineNumbers w:val="0"/>
                    <w:spacing w:before="0" w:beforeAutospacing="0" w:after="0" w:afterAutospacing="0"/>
                    <w:ind w:left="0" w:right="0"/>
                    <w:jc w:val="center"/>
                    <w:rPr>
                      <w:rFonts w:hint="default"/>
                      <w:bCs/>
                      <w:color w:val="auto"/>
                      <w:spacing w:val="0"/>
                      <w:sz w:val="18"/>
                      <w:szCs w:val="18"/>
                      <w:highlight w:val="none"/>
                      <w:lang w:val="de-DE"/>
                    </w:rPr>
                  </w:pPr>
                  <w:r>
                    <w:rPr>
                      <w:rFonts w:hint="default"/>
                      <w:bCs/>
                      <w:color w:val="auto"/>
                      <w:spacing w:val="0"/>
                      <w:sz w:val="18"/>
                      <w:szCs w:val="18"/>
                      <w:highlight w:val="none"/>
                      <w:lang w:val="de-DE"/>
                    </w:rPr>
                    <w:t>q（t）</w:t>
                  </w:r>
                </w:p>
              </w:tc>
              <w:tc>
                <w:tcPr>
                  <w:tcW w:w="997" w:type="dxa"/>
                  <w:noWrap w:val="0"/>
                  <w:vAlign w:val="center"/>
                </w:tcPr>
                <w:p w14:paraId="358C625B">
                  <w:pPr>
                    <w:keepNext w:val="0"/>
                    <w:keepLines w:val="0"/>
                    <w:suppressLineNumbers w:val="0"/>
                    <w:spacing w:before="0" w:beforeAutospacing="0" w:after="0" w:afterAutospacing="0"/>
                    <w:ind w:left="0" w:right="0"/>
                    <w:jc w:val="center"/>
                    <w:rPr>
                      <w:rFonts w:hint="default"/>
                      <w:bCs/>
                      <w:color w:val="auto"/>
                      <w:spacing w:val="0"/>
                      <w:sz w:val="18"/>
                      <w:szCs w:val="18"/>
                      <w:highlight w:val="none"/>
                      <w:lang w:val="de-DE"/>
                    </w:rPr>
                  </w:pPr>
                  <w:r>
                    <w:rPr>
                      <w:rFonts w:hint="default"/>
                      <w:bCs/>
                      <w:color w:val="auto"/>
                      <w:spacing w:val="0"/>
                      <w:sz w:val="18"/>
                      <w:szCs w:val="18"/>
                      <w:highlight w:val="none"/>
                      <w:lang w:val="de-DE"/>
                    </w:rPr>
                    <w:t>临界量</w:t>
                  </w:r>
                </w:p>
                <w:p w14:paraId="543C1FC5">
                  <w:pPr>
                    <w:keepNext w:val="0"/>
                    <w:keepLines w:val="0"/>
                    <w:suppressLineNumbers w:val="0"/>
                    <w:spacing w:before="0" w:beforeAutospacing="0" w:after="0" w:afterAutospacing="0"/>
                    <w:ind w:left="0" w:right="0"/>
                    <w:jc w:val="center"/>
                    <w:rPr>
                      <w:rFonts w:hint="default"/>
                      <w:bCs/>
                      <w:color w:val="auto"/>
                      <w:spacing w:val="0"/>
                      <w:sz w:val="18"/>
                      <w:szCs w:val="18"/>
                      <w:highlight w:val="none"/>
                    </w:rPr>
                  </w:pPr>
                  <w:r>
                    <w:rPr>
                      <w:rFonts w:hint="default"/>
                      <w:bCs/>
                      <w:color w:val="auto"/>
                      <w:spacing w:val="0"/>
                      <w:sz w:val="18"/>
                      <w:szCs w:val="18"/>
                      <w:highlight w:val="none"/>
                      <w:lang w:val="de-DE"/>
                    </w:rPr>
                    <w:t>Q（t）</w:t>
                  </w:r>
                </w:p>
              </w:tc>
              <w:tc>
                <w:tcPr>
                  <w:tcW w:w="945" w:type="dxa"/>
                  <w:noWrap w:val="0"/>
                  <w:vAlign w:val="center"/>
                </w:tcPr>
                <w:p w14:paraId="6F98D2D5">
                  <w:pPr>
                    <w:keepNext w:val="0"/>
                    <w:keepLines w:val="0"/>
                    <w:suppressLineNumbers w:val="0"/>
                    <w:spacing w:before="0" w:beforeAutospacing="0" w:after="0" w:afterAutospacing="0"/>
                    <w:ind w:left="0" w:right="0"/>
                    <w:jc w:val="center"/>
                    <w:rPr>
                      <w:rFonts w:hint="default"/>
                      <w:bCs/>
                      <w:color w:val="auto"/>
                      <w:spacing w:val="0"/>
                      <w:sz w:val="18"/>
                      <w:szCs w:val="18"/>
                      <w:highlight w:val="none"/>
                    </w:rPr>
                  </w:pPr>
                  <w:r>
                    <w:rPr>
                      <w:rFonts w:hint="default"/>
                      <w:bCs/>
                      <w:color w:val="auto"/>
                      <w:spacing w:val="0"/>
                      <w:sz w:val="18"/>
                      <w:szCs w:val="18"/>
                      <w:highlight w:val="none"/>
                    </w:rPr>
                    <w:t>q/Q</w:t>
                  </w:r>
                </w:p>
              </w:tc>
            </w:tr>
            <w:tr w14:paraId="7C94875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9" w:type="dxa"/>
                  <w:noWrap w:val="0"/>
                  <w:vAlign w:val="center"/>
                </w:tcPr>
                <w:p w14:paraId="3A2FDD04">
                  <w:pPr>
                    <w:keepNext w:val="0"/>
                    <w:keepLines w:val="0"/>
                    <w:suppressLineNumbers w:val="0"/>
                    <w:spacing w:before="0" w:beforeAutospacing="0" w:after="0" w:afterAutospacing="0"/>
                    <w:ind w:left="0" w:right="0"/>
                    <w:jc w:val="center"/>
                    <w:rPr>
                      <w:rFonts w:hint="default"/>
                      <w:bCs/>
                      <w:color w:val="auto"/>
                      <w:spacing w:val="0"/>
                      <w:sz w:val="18"/>
                      <w:szCs w:val="18"/>
                      <w:highlight w:val="none"/>
                    </w:rPr>
                  </w:pPr>
                  <w:r>
                    <w:rPr>
                      <w:rFonts w:hint="default"/>
                      <w:bCs/>
                      <w:color w:val="auto"/>
                      <w:spacing w:val="0"/>
                      <w:sz w:val="18"/>
                      <w:szCs w:val="18"/>
                      <w:highlight w:val="none"/>
                    </w:rPr>
                    <w:t>1</w:t>
                  </w:r>
                </w:p>
              </w:tc>
              <w:tc>
                <w:tcPr>
                  <w:tcW w:w="2855" w:type="dxa"/>
                  <w:noWrap w:val="0"/>
                  <w:vAlign w:val="center"/>
                </w:tcPr>
                <w:p w14:paraId="369BE333">
                  <w:pPr>
                    <w:keepNext w:val="0"/>
                    <w:keepLines w:val="0"/>
                    <w:suppressLineNumbers w:val="0"/>
                    <w:spacing w:before="0" w:beforeAutospacing="0" w:after="0" w:afterAutospacing="0"/>
                    <w:ind w:left="0" w:right="0"/>
                    <w:jc w:val="center"/>
                    <w:rPr>
                      <w:rFonts w:hint="default"/>
                      <w:bCs/>
                      <w:color w:val="auto"/>
                      <w:spacing w:val="0"/>
                      <w:sz w:val="18"/>
                      <w:szCs w:val="18"/>
                      <w:highlight w:val="none"/>
                    </w:rPr>
                  </w:pPr>
                  <w:r>
                    <w:rPr>
                      <w:rFonts w:hint="eastAsia"/>
                      <w:bCs/>
                      <w:color w:val="auto"/>
                      <w:spacing w:val="0"/>
                      <w:sz w:val="18"/>
                      <w:szCs w:val="18"/>
                      <w:highlight w:val="none"/>
                      <w:lang w:val="en-US" w:eastAsia="zh-CN"/>
                    </w:rPr>
                    <w:t>液氯</w:t>
                  </w:r>
                </w:p>
              </w:tc>
              <w:tc>
                <w:tcPr>
                  <w:tcW w:w="1245" w:type="dxa"/>
                  <w:noWrap w:val="0"/>
                  <w:vAlign w:val="center"/>
                </w:tcPr>
                <w:p w14:paraId="716AC521">
                  <w:pPr>
                    <w:keepNext w:val="0"/>
                    <w:keepLines w:val="0"/>
                    <w:widowControl/>
                    <w:suppressLineNumbers w:val="0"/>
                    <w:spacing w:before="0" w:beforeAutospacing="0" w:after="0" w:afterAutospacing="0"/>
                    <w:ind w:left="0" w:right="0"/>
                    <w:jc w:val="center"/>
                    <w:rPr>
                      <w:rFonts w:hint="default"/>
                      <w:bCs/>
                      <w:color w:val="auto"/>
                      <w:spacing w:val="0"/>
                      <w:sz w:val="18"/>
                      <w:szCs w:val="18"/>
                      <w:highlight w:val="none"/>
                    </w:rPr>
                  </w:pPr>
                  <w:r>
                    <w:rPr>
                      <w:rFonts w:hint="default"/>
                      <w:bCs/>
                      <w:color w:val="auto"/>
                      <w:spacing w:val="0"/>
                      <w:sz w:val="18"/>
                      <w:szCs w:val="18"/>
                      <w:highlight w:val="none"/>
                    </w:rPr>
                    <w:t>/</w:t>
                  </w:r>
                </w:p>
              </w:tc>
              <w:tc>
                <w:tcPr>
                  <w:tcW w:w="1317" w:type="dxa"/>
                  <w:noWrap w:val="0"/>
                  <w:vAlign w:val="center"/>
                </w:tcPr>
                <w:p w14:paraId="4DBD8D44">
                  <w:pPr>
                    <w:keepNext w:val="0"/>
                    <w:keepLines w:val="0"/>
                    <w:suppressLineNumbers w:val="0"/>
                    <w:spacing w:before="0" w:beforeAutospacing="0" w:after="0" w:afterAutospacing="0"/>
                    <w:ind w:left="0" w:right="0"/>
                    <w:jc w:val="center"/>
                    <w:rPr>
                      <w:rFonts w:hint="eastAsia" w:eastAsia="宋体"/>
                      <w:bCs/>
                      <w:color w:val="auto"/>
                      <w:spacing w:val="0"/>
                      <w:kern w:val="0"/>
                      <w:sz w:val="18"/>
                      <w:szCs w:val="18"/>
                      <w:highlight w:val="none"/>
                      <w:lang w:val="en-US" w:eastAsia="zh-CN"/>
                    </w:rPr>
                  </w:pPr>
                  <w:r>
                    <w:rPr>
                      <w:rFonts w:hint="eastAsia" w:eastAsia="宋体"/>
                      <w:bCs/>
                      <w:color w:val="auto"/>
                      <w:spacing w:val="0"/>
                      <w:kern w:val="0"/>
                      <w:sz w:val="18"/>
                      <w:szCs w:val="18"/>
                      <w:highlight w:val="none"/>
                      <w:lang w:val="en-US" w:eastAsia="zh-CN"/>
                    </w:rPr>
                    <w:t>2</w:t>
                  </w:r>
                </w:p>
              </w:tc>
              <w:tc>
                <w:tcPr>
                  <w:tcW w:w="997" w:type="dxa"/>
                  <w:noWrap w:val="0"/>
                  <w:vAlign w:val="center"/>
                </w:tcPr>
                <w:p w14:paraId="3AEDD475">
                  <w:pPr>
                    <w:keepNext w:val="0"/>
                    <w:keepLines w:val="0"/>
                    <w:suppressLineNumbers w:val="0"/>
                    <w:spacing w:before="0" w:beforeAutospacing="0" w:after="0" w:afterAutospacing="0"/>
                    <w:ind w:left="0" w:right="0"/>
                    <w:jc w:val="center"/>
                    <w:rPr>
                      <w:rFonts w:hint="default"/>
                      <w:bCs/>
                      <w:color w:val="auto"/>
                      <w:spacing w:val="0"/>
                      <w:kern w:val="0"/>
                      <w:sz w:val="18"/>
                      <w:szCs w:val="18"/>
                      <w:highlight w:val="none"/>
                    </w:rPr>
                  </w:pPr>
                  <w:r>
                    <w:rPr>
                      <w:rFonts w:hint="default"/>
                      <w:bCs/>
                      <w:color w:val="auto"/>
                      <w:spacing w:val="0"/>
                      <w:kern w:val="0"/>
                      <w:sz w:val="18"/>
                      <w:szCs w:val="18"/>
                      <w:highlight w:val="none"/>
                    </w:rPr>
                    <w:t>5</w:t>
                  </w:r>
                </w:p>
              </w:tc>
              <w:tc>
                <w:tcPr>
                  <w:tcW w:w="945" w:type="dxa"/>
                  <w:noWrap w:val="0"/>
                  <w:vAlign w:val="center"/>
                </w:tcPr>
                <w:p w14:paraId="047FD8B9">
                  <w:pPr>
                    <w:keepNext w:val="0"/>
                    <w:keepLines w:val="0"/>
                    <w:widowControl/>
                    <w:suppressLineNumbers w:val="0"/>
                    <w:spacing w:before="0" w:beforeAutospacing="0" w:after="0" w:afterAutospacing="0"/>
                    <w:ind w:left="0" w:right="0"/>
                    <w:jc w:val="center"/>
                    <w:textAlignment w:val="center"/>
                    <w:rPr>
                      <w:rFonts w:hint="default" w:eastAsia="宋体"/>
                      <w:bCs/>
                      <w:color w:val="auto"/>
                      <w:spacing w:val="0"/>
                      <w:kern w:val="0"/>
                      <w:sz w:val="18"/>
                      <w:szCs w:val="18"/>
                      <w:highlight w:val="none"/>
                      <w:lang w:val="en-US" w:eastAsia="zh-CN"/>
                    </w:rPr>
                  </w:pPr>
                  <w:r>
                    <w:rPr>
                      <w:rFonts w:hint="default"/>
                      <w:bCs/>
                      <w:color w:val="auto"/>
                      <w:spacing w:val="0"/>
                      <w:kern w:val="0"/>
                      <w:sz w:val="18"/>
                      <w:szCs w:val="18"/>
                      <w:highlight w:val="none"/>
                      <w:lang w:bidi="ar"/>
                    </w:rPr>
                    <w:t>0.</w:t>
                  </w:r>
                  <w:r>
                    <w:rPr>
                      <w:rFonts w:hint="eastAsia"/>
                      <w:bCs/>
                      <w:color w:val="auto"/>
                      <w:spacing w:val="0"/>
                      <w:kern w:val="0"/>
                      <w:sz w:val="18"/>
                      <w:szCs w:val="18"/>
                      <w:highlight w:val="none"/>
                      <w:lang w:val="en-US" w:eastAsia="zh-CN" w:bidi="ar"/>
                    </w:rPr>
                    <w:t>4</w:t>
                  </w:r>
                </w:p>
              </w:tc>
            </w:tr>
            <w:tr w14:paraId="617026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9" w:type="dxa"/>
                  <w:noWrap w:val="0"/>
                  <w:vAlign w:val="center"/>
                </w:tcPr>
                <w:p w14:paraId="445C73EB">
                  <w:pPr>
                    <w:keepNext w:val="0"/>
                    <w:keepLines w:val="0"/>
                    <w:suppressLineNumbers w:val="0"/>
                    <w:spacing w:before="0" w:beforeAutospacing="0" w:after="0" w:afterAutospacing="0"/>
                    <w:ind w:left="0" w:right="0"/>
                    <w:jc w:val="center"/>
                    <w:rPr>
                      <w:rFonts w:hint="eastAsia" w:eastAsia="宋体"/>
                      <w:bCs/>
                      <w:color w:val="auto"/>
                      <w:spacing w:val="0"/>
                      <w:sz w:val="18"/>
                      <w:szCs w:val="18"/>
                      <w:highlight w:val="none"/>
                      <w:lang w:eastAsia="zh-CN"/>
                    </w:rPr>
                  </w:pPr>
                  <w:r>
                    <w:rPr>
                      <w:rFonts w:hint="eastAsia"/>
                      <w:bCs/>
                      <w:color w:val="auto"/>
                      <w:spacing w:val="0"/>
                      <w:sz w:val="18"/>
                      <w:szCs w:val="18"/>
                      <w:highlight w:val="none"/>
                      <w:lang w:val="en-US" w:eastAsia="zh-CN"/>
                    </w:rPr>
                    <w:t>2</w:t>
                  </w:r>
                </w:p>
              </w:tc>
              <w:tc>
                <w:tcPr>
                  <w:tcW w:w="2855" w:type="dxa"/>
                  <w:noWrap w:val="0"/>
                  <w:vAlign w:val="center"/>
                </w:tcPr>
                <w:p w14:paraId="45D607E4">
                  <w:pPr>
                    <w:keepNext w:val="0"/>
                    <w:keepLines w:val="0"/>
                    <w:suppressLineNumbers w:val="0"/>
                    <w:spacing w:before="0" w:beforeAutospacing="0" w:after="0" w:afterAutospacing="0"/>
                    <w:ind w:left="0" w:right="0"/>
                    <w:jc w:val="center"/>
                    <w:rPr>
                      <w:rFonts w:hint="default"/>
                      <w:bCs/>
                      <w:color w:val="auto"/>
                      <w:spacing w:val="0"/>
                      <w:sz w:val="18"/>
                      <w:szCs w:val="18"/>
                      <w:highlight w:val="none"/>
                    </w:rPr>
                  </w:pPr>
                  <w:r>
                    <w:rPr>
                      <w:rFonts w:hint="default" w:ascii="Times New Roman" w:hAnsi="Times New Roman" w:cs="Times New Roman"/>
                      <w:color w:val="auto"/>
                      <w:spacing w:val="0"/>
                      <w:sz w:val="18"/>
                      <w:szCs w:val="18"/>
                    </w:rPr>
                    <w:t>38%三氯化铁溶液</w:t>
                  </w:r>
                </w:p>
              </w:tc>
              <w:tc>
                <w:tcPr>
                  <w:tcW w:w="1245" w:type="dxa"/>
                  <w:noWrap w:val="0"/>
                  <w:vAlign w:val="center"/>
                </w:tcPr>
                <w:p w14:paraId="1C4071AD">
                  <w:pPr>
                    <w:keepNext w:val="0"/>
                    <w:keepLines w:val="0"/>
                    <w:suppressLineNumbers w:val="0"/>
                    <w:spacing w:before="0" w:beforeAutospacing="0" w:after="0" w:afterAutospacing="0"/>
                    <w:ind w:left="0" w:right="0"/>
                    <w:jc w:val="center"/>
                    <w:rPr>
                      <w:rFonts w:hint="default"/>
                      <w:bCs/>
                      <w:color w:val="auto"/>
                      <w:spacing w:val="0"/>
                      <w:sz w:val="18"/>
                      <w:szCs w:val="18"/>
                      <w:highlight w:val="none"/>
                    </w:rPr>
                  </w:pPr>
                  <w:r>
                    <w:rPr>
                      <w:rFonts w:hint="default"/>
                      <w:bCs/>
                      <w:color w:val="auto"/>
                      <w:spacing w:val="0"/>
                      <w:sz w:val="18"/>
                      <w:szCs w:val="18"/>
                      <w:highlight w:val="none"/>
                    </w:rPr>
                    <w:t>/</w:t>
                  </w:r>
                </w:p>
              </w:tc>
              <w:tc>
                <w:tcPr>
                  <w:tcW w:w="1317" w:type="dxa"/>
                  <w:noWrap w:val="0"/>
                  <w:vAlign w:val="center"/>
                </w:tcPr>
                <w:p w14:paraId="76D9E358">
                  <w:pPr>
                    <w:keepNext w:val="0"/>
                    <w:keepLines w:val="0"/>
                    <w:suppressLineNumbers w:val="0"/>
                    <w:spacing w:before="0" w:beforeAutospacing="0" w:after="0" w:afterAutospacing="0"/>
                    <w:ind w:left="0" w:right="0"/>
                    <w:jc w:val="center"/>
                    <w:rPr>
                      <w:rFonts w:hint="eastAsia" w:eastAsia="宋体"/>
                      <w:bCs/>
                      <w:color w:val="auto"/>
                      <w:spacing w:val="0"/>
                      <w:kern w:val="0"/>
                      <w:sz w:val="18"/>
                      <w:szCs w:val="18"/>
                      <w:highlight w:val="none"/>
                      <w:lang w:val="en-US" w:eastAsia="zh-CN"/>
                    </w:rPr>
                  </w:pPr>
                  <w:r>
                    <w:rPr>
                      <w:rFonts w:hint="eastAsia" w:eastAsia="宋体"/>
                      <w:bCs/>
                      <w:color w:val="auto"/>
                      <w:spacing w:val="0"/>
                      <w:kern w:val="0"/>
                      <w:sz w:val="18"/>
                      <w:szCs w:val="18"/>
                      <w:highlight w:val="none"/>
                      <w:lang w:val="en-US" w:eastAsia="zh-CN"/>
                    </w:rPr>
                    <w:t>1</w:t>
                  </w:r>
                </w:p>
              </w:tc>
              <w:tc>
                <w:tcPr>
                  <w:tcW w:w="997" w:type="dxa"/>
                  <w:noWrap w:val="0"/>
                  <w:vAlign w:val="center"/>
                </w:tcPr>
                <w:p w14:paraId="164639DB">
                  <w:pPr>
                    <w:keepNext w:val="0"/>
                    <w:keepLines w:val="0"/>
                    <w:suppressLineNumbers w:val="0"/>
                    <w:spacing w:before="0" w:beforeAutospacing="0" w:after="0" w:afterAutospacing="0"/>
                    <w:ind w:left="0" w:right="0"/>
                    <w:jc w:val="center"/>
                    <w:rPr>
                      <w:rFonts w:hint="default" w:eastAsia="宋体"/>
                      <w:bCs/>
                      <w:color w:val="auto"/>
                      <w:spacing w:val="0"/>
                      <w:kern w:val="0"/>
                      <w:sz w:val="18"/>
                      <w:szCs w:val="18"/>
                      <w:highlight w:val="none"/>
                      <w:lang w:val="en-US" w:eastAsia="zh-CN"/>
                    </w:rPr>
                  </w:pPr>
                  <w:r>
                    <w:rPr>
                      <w:rFonts w:hint="eastAsia"/>
                      <w:bCs/>
                      <w:color w:val="auto"/>
                      <w:spacing w:val="0"/>
                      <w:kern w:val="0"/>
                      <w:sz w:val="18"/>
                      <w:szCs w:val="18"/>
                      <w:highlight w:val="none"/>
                      <w:lang w:val="en-US" w:eastAsia="zh-CN"/>
                    </w:rPr>
                    <w:t>200</w:t>
                  </w:r>
                </w:p>
              </w:tc>
              <w:tc>
                <w:tcPr>
                  <w:tcW w:w="945" w:type="dxa"/>
                  <w:noWrap w:val="0"/>
                  <w:vAlign w:val="center"/>
                </w:tcPr>
                <w:p w14:paraId="152EAB5A">
                  <w:pPr>
                    <w:keepNext w:val="0"/>
                    <w:keepLines w:val="0"/>
                    <w:widowControl/>
                    <w:suppressLineNumbers w:val="0"/>
                    <w:spacing w:before="0" w:beforeAutospacing="0" w:after="0" w:afterAutospacing="0"/>
                    <w:ind w:left="0" w:right="0"/>
                    <w:jc w:val="center"/>
                    <w:textAlignment w:val="center"/>
                    <w:rPr>
                      <w:rFonts w:hint="eastAsia" w:eastAsia="宋体"/>
                      <w:bCs/>
                      <w:color w:val="auto"/>
                      <w:spacing w:val="0"/>
                      <w:kern w:val="0"/>
                      <w:sz w:val="18"/>
                      <w:szCs w:val="18"/>
                      <w:highlight w:val="none"/>
                      <w:lang w:val="en-US" w:eastAsia="zh-CN" w:bidi="ar"/>
                    </w:rPr>
                  </w:pPr>
                  <w:r>
                    <w:rPr>
                      <w:rFonts w:hint="default"/>
                      <w:bCs/>
                      <w:color w:val="auto"/>
                      <w:spacing w:val="0"/>
                      <w:kern w:val="0"/>
                      <w:sz w:val="18"/>
                      <w:szCs w:val="18"/>
                      <w:highlight w:val="none"/>
                      <w:lang w:bidi="ar"/>
                    </w:rPr>
                    <w:t>0.00</w:t>
                  </w:r>
                  <w:r>
                    <w:rPr>
                      <w:rFonts w:hint="eastAsia"/>
                      <w:bCs/>
                      <w:color w:val="auto"/>
                      <w:spacing w:val="0"/>
                      <w:kern w:val="0"/>
                      <w:sz w:val="18"/>
                      <w:szCs w:val="18"/>
                      <w:highlight w:val="none"/>
                      <w:lang w:val="en-US" w:eastAsia="zh-CN" w:bidi="ar"/>
                    </w:rPr>
                    <w:t>5</w:t>
                  </w:r>
                </w:p>
              </w:tc>
            </w:tr>
            <w:tr w14:paraId="3902BE1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96" w:type="dxa"/>
                  <w:gridSpan w:val="4"/>
                  <w:noWrap w:val="0"/>
                  <w:vAlign w:val="center"/>
                </w:tcPr>
                <w:p w14:paraId="5A543923">
                  <w:pPr>
                    <w:keepNext w:val="0"/>
                    <w:keepLines w:val="0"/>
                    <w:suppressLineNumbers w:val="0"/>
                    <w:spacing w:before="0" w:beforeAutospacing="0" w:after="0" w:afterAutospacing="0"/>
                    <w:ind w:left="0" w:right="0"/>
                    <w:jc w:val="center"/>
                    <w:rPr>
                      <w:rFonts w:hint="default"/>
                      <w:bCs/>
                      <w:color w:val="auto"/>
                      <w:spacing w:val="0"/>
                      <w:sz w:val="18"/>
                      <w:szCs w:val="18"/>
                      <w:highlight w:val="none"/>
                    </w:rPr>
                  </w:pPr>
                  <w:r>
                    <w:rPr>
                      <w:rFonts w:hint="default"/>
                      <w:bCs/>
                      <w:color w:val="auto"/>
                      <w:spacing w:val="0"/>
                      <w:sz w:val="18"/>
                      <w:szCs w:val="18"/>
                      <w:highlight w:val="none"/>
                    </w:rPr>
                    <w:t>总计（Σq</w:t>
                  </w:r>
                  <w:r>
                    <w:rPr>
                      <w:rFonts w:hint="default"/>
                      <w:bCs/>
                      <w:color w:val="auto"/>
                      <w:spacing w:val="0"/>
                      <w:sz w:val="18"/>
                      <w:szCs w:val="18"/>
                      <w:highlight w:val="none"/>
                      <w:vertAlign w:val="subscript"/>
                    </w:rPr>
                    <w:t>n</w:t>
                  </w:r>
                  <w:r>
                    <w:rPr>
                      <w:rFonts w:hint="default"/>
                      <w:bCs/>
                      <w:color w:val="auto"/>
                      <w:spacing w:val="0"/>
                      <w:sz w:val="18"/>
                      <w:szCs w:val="18"/>
                      <w:highlight w:val="none"/>
                    </w:rPr>
                    <w:t>/Q</w:t>
                  </w:r>
                  <w:r>
                    <w:rPr>
                      <w:rFonts w:hint="default"/>
                      <w:bCs/>
                      <w:color w:val="auto"/>
                      <w:spacing w:val="0"/>
                      <w:sz w:val="18"/>
                      <w:szCs w:val="18"/>
                      <w:highlight w:val="none"/>
                      <w:vertAlign w:val="subscript"/>
                    </w:rPr>
                    <w:t>n</w:t>
                  </w:r>
                  <w:r>
                    <w:rPr>
                      <w:rFonts w:hint="default"/>
                      <w:bCs/>
                      <w:color w:val="auto"/>
                      <w:spacing w:val="0"/>
                      <w:sz w:val="18"/>
                      <w:szCs w:val="18"/>
                      <w:highlight w:val="none"/>
                    </w:rPr>
                    <w:t>）/</w:t>
                  </w:r>
                </w:p>
              </w:tc>
              <w:tc>
                <w:tcPr>
                  <w:tcW w:w="997" w:type="dxa"/>
                  <w:noWrap w:val="0"/>
                  <w:vAlign w:val="center"/>
                </w:tcPr>
                <w:p w14:paraId="30B68F62">
                  <w:pPr>
                    <w:keepNext w:val="0"/>
                    <w:keepLines w:val="0"/>
                    <w:suppressLineNumbers w:val="0"/>
                    <w:spacing w:before="0" w:beforeAutospacing="0" w:after="0" w:afterAutospacing="0"/>
                    <w:ind w:left="0" w:right="0"/>
                    <w:jc w:val="center"/>
                    <w:rPr>
                      <w:rFonts w:hint="default"/>
                      <w:bCs/>
                      <w:color w:val="auto"/>
                      <w:spacing w:val="0"/>
                      <w:sz w:val="18"/>
                      <w:szCs w:val="18"/>
                      <w:highlight w:val="none"/>
                    </w:rPr>
                  </w:pPr>
                  <w:r>
                    <w:rPr>
                      <w:rFonts w:hint="default"/>
                      <w:bCs/>
                      <w:color w:val="auto"/>
                      <w:spacing w:val="0"/>
                      <w:sz w:val="18"/>
                      <w:szCs w:val="18"/>
                      <w:highlight w:val="none"/>
                    </w:rPr>
                    <w:t>/</w:t>
                  </w:r>
                </w:p>
              </w:tc>
              <w:tc>
                <w:tcPr>
                  <w:tcW w:w="945" w:type="dxa"/>
                  <w:noWrap w:val="0"/>
                  <w:vAlign w:val="center"/>
                </w:tcPr>
                <w:p w14:paraId="755A9DF5">
                  <w:pPr>
                    <w:keepNext w:val="0"/>
                    <w:keepLines w:val="0"/>
                    <w:suppressLineNumbers w:val="0"/>
                    <w:spacing w:before="0" w:beforeAutospacing="0" w:after="0" w:afterAutospacing="0"/>
                    <w:ind w:left="0" w:right="0"/>
                    <w:jc w:val="center"/>
                    <w:rPr>
                      <w:rFonts w:hint="default" w:eastAsia="宋体"/>
                      <w:bCs/>
                      <w:color w:val="auto"/>
                      <w:spacing w:val="0"/>
                      <w:sz w:val="18"/>
                      <w:szCs w:val="18"/>
                      <w:highlight w:val="none"/>
                      <w:lang w:val="en-US" w:eastAsia="zh-CN"/>
                    </w:rPr>
                  </w:pPr>
                  <w:r>
                    <w:rPr>
                      <w:rFonts w:hint="eastAsia" w:eastAsia="宋体"/>
                      <w:bCs/>
                      <w:color w:val="auto"/>
                      <w:spacing w:val="0"/>
                      <w:kern w:val="0"/>
                      <w:sz w:val="18"/>
                      <w:szCs w:val="18"/>
                      <w:highlight w:val="none"/>
                      <w:lang w:val="en-US" w:eastAsia="zh-CN" w:bidi="ar"/>
                    </w:rPr>
                    <w:t>0.405</w:t>
                  </w:r>
                </w:p>
              </w:tc>
            </w:tr>
          </w:tbl>
          <w:p w14:paraId="46F26F67">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由上表可知，本项目Q=</w:t>
            </w:r>
            <w:r>
              <w:rPr>
                <w:rFonts w:hint="default" w:ascii="Times New Roman" w:hAnsi="Times New Roman" w:eastAsia="宋体" w:cs="Times New Roman"/>
                <w:bCs/>
                <w:color w:val="auto"/>
                <w:spacing w:val="0"/>
                <w:kern w:val="0"/>
                <w:sz w:val="21"/>
                <w:szCs w:val="21"/>
                <w:highlight w:val="none"/>
                <w:lang w:val="en-US" w:eastAsia="zh-CN" w:bidi="ar"/>
              </w:rPr>
              <w:t>0.</w:t>
            </w:r>
            <w:r>
              <w:rPr>
                <w:rFonts w:hint="eastAsia" w:ascii="Times New Roman" w:hAnsi="Times New Roman" w:eastAsia="宋体" w:cs="Times New Roman"/>
                <w:bCs/>
                <w:color w:val="auto"/>
                <w:spacing w:val="0"/>
                <w:kern w:val="0"/>
                <w:sz w:val="21"/>
                <w:szCs w:val="21"/>
                <w:highlight w:val="none"/>
                <w:lang w:val="en-US" w:eastAsia="zh-CN" w:bidi="ar"/>
              </w:rPr>
              <w:t>405</w:t>
            </w:r>
            <w:r>
              <w:rPr>
                <w:rFonts w:hint="default" w:ascii="Times New Roman" w:hAnsi="Times New Roman" w:cs="Times New Roman"/>
                <w:color w:val="auto"/>
                <w:spacing w:val="0"/>
                <w:sz w:val="21"/>
                <w:szCs w:val="21"/>
                <w:highlight w:val="none"/>
              </w:rPr>
              <w:t>＜1，项目环境风险潜势为 I。</w:t>
            </w:r>
          </w:p>
          <w:p w14:paraId="7C0A37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spacing w:val="0"/>
                <w:kern w:val="0"/>
                <w:sz w:val="21"/>
                <w:szCs w:val="21"/>
                <w:lang w:val="en-US" w:eastAsia="zh-CN"/>
              </w:rPr>
            </w:pPr>
            <w:r>
              <w:rPr>
                <w:rFonts w:hint="default" w:ascii="Times New Roman" w:hAnsi="Times New Roman" w:cs="Times New Roman"/>
                <w:color w:val="auto"/>
                <w:spacing w:val="0"/>
                <w:sz w:val="21"/>
                <w:szCs w:val="21"/>
                <w:highlight w:val="none"/>
              </w:rPr>
              <w:t>根据《建设项目环境影响报告表编制技术指南》（污染影响类）（试行可知），有毒有害和易燃易爆危险物质储存量超过临界量的建设项目需进行专项评价（临界量及计算方法可参考《建设项目环境风险评价技术导则》（HJ169</w:t>
            </w:r>
            <w:r>
              <w:rPr>
                <w:rFonts w:hint="default" w:ascii="Times New Roman" w:hAnsi="Times New Roman" w:cs="Times New Roman"/>
                <w:color w:val="auto"/>
                <w:spacing w:val="0"/>
                <w:sz w:val="21"/>
                <w:szCs w:val="21"/>
                <w:highlight w:val="none"/>
                <w:lang w:val="en-US" w:eastAsia="zh-CN"/>
              </w:rPr>
              <w:t>-2018</w:t>
            </w:r>
            <w:r>
              <w:rPr>
                <w:rFonts w:hint="default" w:ascii="Times New Roman" w:hAnsi="Times New Roman" w:cs="Times New Roman"/>
                <w:color w:val="auto"/>
                <w:spacing w:val="0"/>
                <w:sz w:val="21"/>
                <w:szCs w:val="21"/>
                <w:highlight w:val="none"/>
              </w:rPr>
              <w:t>）附录B和附录C），本项目危险物质储存量未超过临界量，无需进行专项评价，仅简单分析。</w:t>
            </w:r>
          </w:p>
          <w:p w14:paraId="4EB6FE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Times New Roman" w:hAnsi="Times New Roman" w:eastAsia="宋体" w:cs="Times New Roman"/>
                <w:color w:val="auto"/>
                <w:spacing w:val="0"/>
                <w:sz w:val="21"/>
                <w:szCs w:val="21"/>
                <w:lang w:eastAsia="zh-CN"/>
              </w:rPr>
            </w:pPr>
            <w:r>
              <w:rPr>
                <w:rFonts w:hint="default" w:ascii="Times New Roman" w:hAnsi="Times New Roman" w:eastAsia="宋体" w:cs="Times New Roman"/>
                <w:b w:val="0"/>
                <w:bCs w:val="0"/>
                <w:color w:val="auto"/>
                <w:spacing w:val="0"/>
                <w:kern w:val="0"/>
                <w:sz w:val="21"/>
                <w:szCs w:val="21"/>
                <w:lang w:val="en-US" w:eastAsia="zh-CN"/>
              </w:rPr>
              <w:t>净水厂全厂区风险物质为液氯</w:t>
            </w:r>
            <w:r>
              <w:rPr>
                <w:rFonts w:hint="default" w:ascii="Times New Roman" w:hAnsi="Times New Roman" w:eastAsia="宋体" w:cs="Times New Roman"/>
                <w:color w:val="auto"/>
                <w:spacing w:val="0"/>
                <w:sz w:val="21"/>
                <w:szCs w:val="21"/>
                <w:highlight w:val="none"/>
                <w:lang w:val="en-US" w:eastAsia="zh-CN"/>
              </w:rPr>
              <w:t>及</w:t>
            </w:r>
            <w:r>
              <w:rPr>
                <w:rFonts w:hint="default" w:ascii="Times New Roman" w:hAnsi="Times New Roman" w:eastAsia="宋体" w:cs="Times New Roman"/>
                <w:color w:val="auto"/>
                <w:spacing w:val="0"/>
                <w:sz w:val="21"/>
                <w:szCs w:val="21"/>
              </w:rPr>
              <w:t>38%三氯化铁溶液</w:t>
            </w:r>
            <w:r>
              <w:rPr>
                <w:rFonts w:hint="default" w:ascii="Times New Roman" w:hAnsi="Times New Roman" w:eastAsia="宋体" w:cs="Times New Roman"/>
                <w:b w:val="0"/>
                <w:bCs w:val="0"/>
                <w:color w:val="auto"/>
                <w:spacing w:val="0"/>
                <w:kern w:val="0"/>
                <w:sz w:val="21"/>
                <w:szCs w:val="21"/>
                <w:lang w:val="en-US" w:eastAsia="zh-CN"/>
              </w:rPr>
              <w:t>，风险位置为加氯加药间，</w:t>
            </w:r>
            <w:r>
              <w:rPr>
                <w:rFonts w:hint="default" w:ascii="Times New Roman" w:hAnsi="Times New Roman" w:eastAsia="宋体" w:cs="Times New Roman"/>
                <w:color w:val="auto"/>
                <w:spacing w:val="0"/>
                <w:sz w:val="21"/>
                <w:szCs w:val="21"/>
              </w:rPr>
              <w:t>液氯在贮存和投加消毒过程中主要事故原因可分为：阀门破损、管线破裂、 监控失灵及运氯车驾驶不慎等，其中尤以阀门密封圈破损和物料管线腐蚀破裂易  造成氯气外泄，而液氯钢瓶爆裂几率极小， 一旦爆炸则会引发重大污染事故</w:t>
            </w: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38%三氯化铁溶液在贮存和投加消毒过程中主要事故原因可分为：阀门管线泄漏，冲射器设备故障，操作失误，仪表、电器失灵等。其中，尤以阀门损坏泄露最为严重， 泄露量最大，危害最严重</w:t>
            </w:r>
            <w:r>
              <w:rPr>
                <w:rFonts w:hint="eastAsia" w:cs="Times New Roman"/>
                <w:color w:val="auto"/>
                <w:spacing w:val="0"/>
                <w:sz w:val="21"/>
                <w:szCs w:val="21"/>
                <w:lang w:eastAsia="zh-CN"/>
              </w:rPr>
              <w:t>。</w:t>
            </w:r>
          </w:p>
          <w:p w14:paraId="7851D0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b w:val="0"/>
                <w:bCs w:val="0"/>
                <w:color w:val="auto"/>
                <w:spacing w:val="0"/>
                <w:kern w:val="0"/>
                <w:sz w:val="21"/>
                <w:szCs w:val="21"/>
                <w:lang w:val="en-US" w:eastAsia="zh-CN"/>
              </w:rPr>
            </w:pPr>
            <w:r>
              <w:rPr>
                <w:rFonts w:hint="eastAsia" w:cs="Times New Roman"/>
                <w:b w:val="0"/>
                <w:bCs w:val="0"/>
                <w:color w:val="auto"/>
                <w:spacing w:val="0"/>
                <w:kern w:val="0"/>
                <w:sz w:val="21"/>
                <w:szCs w:val="21"/>
                <w:lang w:val="en-US" w:eastAsia="zh-CN"/>
              </w:rPr>
              <w:t>2）</w:t>
            </w:r>
            <w:r>
              <w:rPr>
                <w:rFonts w:hint="default" w:ascii="Times New Roman" w:hAnsi="Times New Roman" w:eastAsia="宋体" w:cs="Times New Roman"/>
                <w:b w:val="0"/>
                <w:bCs w:val="0"/>
                <w:color w:val="auto"/>
                <w:spacing w:val="0"/>
                <w:kern w:val="0"/>
                <w:sz w:val="21"/>
                <w:szCs w:val="21"/>
                <w:lang w:val="en-US" w:eastAsia="zh-CN"/>
              </w:rPr>
              <w:t>风险防范措施：</w:t>
            </w:r>
          </w:p>
          <w:p w14:paraId="39BEB0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①严格划分水厂生产危险区域，根据生产特点，在保证安全、卫生的原则下进行平面布置，并考虑风向因素、安全防护距离。根据加氯间的危险等级，选用相应的防爆电器设备。</w:t>
            </w:r>
          </w:p>
          <w:p w14:paraId="3D62A5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②建筑物和构筑物按不同的防火等级和生产特点进行设计，加氯间和仓库采用封闭式建筑，氯化氢储存设施设事故处理系统封闭操作间，并设置机械引风设施和气体处理装置，加强通风排毒，以防氯化氢挥发聚集。</w:t>
            </w:r>
          </w:p>
          <w:p w14:paraId="69CE38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③加氯间内增设液氯吸收中和装置，发生恶性泄漏事故时使用。在加氯间内设有轴流风机，每天定时进行通风。设有检测报警仪并与氯化氢吸收中和装置联动。当发生泄漏事故时检测仪报警，PLC自动启动吸收中和装置，将泄漏出的液氯进行中和处理。加氯间设计中充分考虑事故发生时，能顺利地安全疏散和撤离。</w:t>
            </w:r>
          </w:p>
          <w:p w14:paraId="3E028F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④严格执行操作规程，坚守岗位，密切注视加氯设备的工艺参数变化，发现异常应及时报告，并采取行之有效的措施。</w:t>
            </w:r>
          </w:p>
          <w:p w14:paraId="644A4B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⑤操作中加强巡回检查，对出现的</w:t>
            </w:r>
            <w:r>
              <w:rPr>
                <w:rFonts w:hint="default" w:ascii="Times New Roman" w:hAnsi="Times New Roman" w:eastAsia="宋体" w:cs="Times New Roman"/>
                <w:b w:val="0"/>
                <w:bCs w:val="0"/>
                <w:color w:val="auto"/>
                <w:spacing w:val="0"/>
                <w:sz w:val="21"/>
                <w:szCs w:val="21"/>
                <w:lang w:eastAsia="zh-CN"/>
              </w:rPr>
              <w:t>泄漏</w:t>
            </w:r>
            <w:r>
              <w:rPr>
                <w:rFonts w:hint="default" w:ascii="Times New Roman" w:hAnsi="Times New Roman" w:eastAsia="宋体" w:cs="Times New Roman"/>
                <w:b w:val="0"/>
                <w:bCs w:val="0"/>
                <w:color w:val="auto"/>
                <w:spacing w:val="0"/>
                <w:sz w:val="21"/>
                <w:szCs w:val="21"/>
              </w:rPr>
              <w:t>，及时发现立即清除，暂时不能清除的要采取有效的应急措施，以免扩大或发生灾难性的事故。</w:t>
            </w:r>
            <w:r>
              <w:rPr>
                <w:rFonts w:hint="default" w:ascii="Times New Roman" w:hAnsi="Times New Roman" w:eastAsia="宋体" w:cs="Times New Roman"/>
                <w:color w:val="auto"/>
                <w:spacing w:val="0"/>
                <w:sz w:val="21"/>
                <w:szCs w:val="21"/>
              </w:rPr>
              <w:t>加氯间配备有防毒防毒面具、氧气呼吸器及防护衣、眼镜、防护靴及防护手套等个人防护用具，在有可能接触毒性物质的场所就近设置水龙头、安全淋浴和洗眼器，以便灼烧时能及时自救。</w:t>
            </w:r>
          </w:p>
          <w:p w14:paraId="3165F5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⑥如在运输途中发生重大事故，造成车辆严重损坏，液氯大量外流时，应首先通知净水厂救援指挥部，立即组织抢险队用最快速度到达现场进行处理。在通知净水厂的同时，还应对污染区内其他人员进行疏散，禁止靠近事故发生区。在处理事故同时，还应和有关部门取得联系，进行抢救伤员等事项。</w:t>
            </w:r>
          </w:p>
          <w:p w14:paraId="023CDF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eastAsia="zh-CN"/>
              </w:rPr>
              <w:t>⑦环境风险应急预案</w:t>
            </w:r>
          </w:p>
          <w:p w14:paraId="4409295C">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eastAsia="zh-CN"/>
              </w:rPr>
              <w:t>风险事故应急预案是在贯彻预防为主的前提下，对建设项目可能出现事故，为及时控制危害源，抢救受害人员，指导居民防护和组织撤离，消除危害后果而组织的救援活动的预想方案，需要建设单位和社会救援的相结合。</w:t>
            </w:r>
          </w:p>
          <w:p w14:paraId="6040015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20" w:firstLineChars="200"/>
              <w:textAlignment w:val="auto"/>
              <w:outlineLvl w:val="0"/>
              <w:rPr>
                <w:rFonts w:hint="eastAsia" w:ascii="Times New Roman" w:hAnsi="Times New Roman" w:eastAsia="宋体" w:cs="Times New Roman"/>
                <w:b w:val="0"/>
                <w:bCs w:val="0"/>
                <w:color w:val="auto"/>
                <w:spacing w:val="0"/>
                <w:sz w:val="21"/>
                <w:szCs w:val="21"/>
                <w:lang w:val="en-US" w:eastAsia="zh-CN"/>
              </w:rPr>
            </w:pPr>
            <w:r>
              <w:rPr>
                <w:rFonts w:hint="eastAsia"/>
                <w:b w:val="0"/>
                <w:bCs w:val="0"/>
                <w:color w:val="auto"/>
                <w:spacing w:val="0"/>
                <w:sz w:val="21"/>
                <w:szCs w:val="21"/>
                <w:lang w:val="en-US" w:eastAsia="zh-CN"/>
              </w:rPr>
              <w:t>（2）</w:t>
            </w:r>
            <w:r>
              <w:rPr>
                <w:rFonts w:hint="default" w:ascii="Times New Roman" w:hAnsi="Times New Roman" w:eastAsia="宋体" w:cs="Times New Roman"/>
                <w:b w:val="0"/>
                <w:bCs w:val="0"/>
                <w:color w:val="auto"/>
                <w:spacing w:val="0"/>
                <w:sz w:val="21"/>
                <w:szCs w:val="21"/>
                <w:lang w:val="en-US" w:eastAsia="zh-CN"/>
              </w:rPr>
              <w:t>排泥水上清液</w:t>
            </w:r>
            <w:r>
              <w:rPr>
                <w:rFonts w:hint="eastAsia"/>
                <w:b w:val="0"/>
                <w:bCs w:val="0"/>
                <w:color w:val="auto"/>
                <w:spacing w:val="0"/>
                <w:sz w:val="21"/>
                <w:szCs w:val="21"/>
                <w:lang w:val="en-US" w:eastAsia="zh-CN"/>
              </w:rPr>
              <w:t>在</w:t>
            </w:r>
            <w:r>
              <w:rPr>
                <w:rFonts w:hint="eastAsia" w:ascii="Times New Roman" w:hAnsi="Times New Roman" w:eastAsia="宋体" w:cs="Times New Roman"/>
                <w:b w:val="0"/>
                <w:bCs w:val="0"/>
                <w:color w:val="auto"/>
                <w:spacing w:val="0"/>
                <w:sz w:val="21"/>
                <w:szCs w:val="21"/>
                <w:lang w:val="en-US" w:eastAsia="zh-CN"/>
              </w:rPr>
              <w:t>事故情况下的风险管控措施</w:t>
            </w:r>
          </w:p>
          <w:p w14:paraId="70689FFF">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color w:val="auto"/>
                <w:spacing w:val="0"/>
                <w:sz w:val="21"/>
                <w:lang w:val="en-US" w:eastAsia="zh-CN"/>
              </w:rPr>
            </w:pPr>
            <w:r>
              <w:rPr>
                <w:rFonts w:hint="eastAsia"/>
                <w:color w:val="auto"/>
                <w:spacing w:val="0"/>
                <w:sz w:val="21"/>
                <w:lang w:val="en-US" w:eastAsia="zh-CN"/>
              </w:rPr>
              <w:t>①事故风险识别</w:t>
            </w:r>
          </w:p>
          <w:p w14:paraId="46ED7E7A">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color w:val="auto"/>
                <w:spacing w:val="0"/>
                <w:sz w:val="21"/>
                <w:lang w:val="en-US" w:eastAsia="zh-CN"/>
              </w:rPr>
            </w:pPr>
            <w:r>
              <w:rPr>
                <w:rFonts w:hint="eastAsia"/>
                <w:color w:val="auto"/>
                <w:spacing w:val="0"/>
                <w:sz w:val="21"/>
                <w:lang w:val="en-US" w:eastAsia="zh-CN"/>
              </w:rPr>
              <w:t>设备故障，如脱水机、浓缩池、输送泵等关键设备故障导致排泥水溢出或直排；工艺失控，如混凝沉淀环节药剂投加异常，导致污泥浓度、水量突变；管网破裂，如排泥管道泄漏或堵塞，造成污泥外泄；极端天气，如暴雨、洪水等导致厂区积水，排泥系统瘫痪；人为操作失误：错误操作阀门、控制系统参数设置不当等。</w:t>
            </w:r>
          </w:p>
          <w:p w14:paraId="7750A98D">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②本项目排泥水上清液属于工业废水，在其事故情况下的风险管控措施如下：</w:t>
            </w:r>
          </w:p>
          <w:p w14:paraId="2E0688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color w:val="auto"/>
                <w:spacing w:val="0"/>
                <w:sz w:val="21"/>
                <w:lang w:val="en-US" w:eastAsia="zh-CN"/>
              </w:rPr>
            </w:pPr>
            <w:r>
              <w:rPr>
                <w:rFonts w:hint="eastAsia"/>
                <w:color w:val="auto"/>
                <w:spacing w:val="0"/>
                <w:sz w:val="21"/>
                <w:lang w:val="en-US" w:eastAsia="zh-CN"/>
              </w:rPr>
              <w:t>A、</w:t>
            </w:r>
            <w:r>
              <w:rPr>
                <w:rFonts w:hint="default"/>
                <w:color w:val="auto"/>
                <w:spacing w:val="0"/>
                <w:sz w:val="21"/>
                <w:lang w:val="en-US" w:eastAsia="zh-CN"/>
              </w:rPr>
              <w:t>预防与监控措施</w:t>
            </w:r>
          </w:p>
          <w:p w14:paraId="55B0B7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color w:val="auto"/>
                <w:spacing w:val="0"/>
                <w:sz w:val="21"/>
                <w:lang w:val="en-US" w:eastAsia="zh-CN"/>
              </w:rPr>
            </w:pPr>
            <w:r>
              <w:rPr>
                <w:rFonts w:hint="eastAsia"/>
                <w:color w:val="auto"/>
                <w:spacing w:val="0"/>
                <w:sz w:val="21"/>
                <w:lang w:val="en-US" w:eastAsia="zh-CN"/>
              </w:rPr>
              <w:t>a.</w:t>
            </w:r>
            <w:r>
              <w:rPr>
                <w:rFonts w:hint="default"/>
                <w:color w:val="auto"/>
                <w:spacing w:val="0"/>
                <w:sz w:val="21"/>
                <w:lang w:val="en-US" w:eastAsia="zh-CN"/>
              </w:rPr>
              <w:t>设备冗余设计：关键设备（如污泥泵、脱水机）定期检修维护。</w:t>
            </w:r>
          </w:p>
          <w:p w14:paraId="430ABF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color w:val="auto"/>
                <w:spacing w:val="0"/>
                <w:sz w:val="21"/>
                <w:lang w:val="en-US" w:eastAsia="zh-CN"/>
              </w:rPr>
            </w:pPr>
            <w:r>
              <w:rPr>
                <w:rFonts w:hint="eastAsia"/>
                <w:color w:val="auto"/>
                <w:spacing w:val="0"/>
                <w:sz w:val="21"/>
                <w:lang w:val="en-US" w:eastAsia="zh-CN"/>
              </w:rPr>
              <w:t>b.</w:t>
            </w:r>
            <w:r>
              <w:rPr>
                <w:rFonts w:hint="default"/>
                <w:color w:val="auto"/>
                <w:spacing w:val="0"/>
                <w:sz w:val="21"/>
                <w:lang w:val="en-US" w:eastAsia="zh-CN"/>
              </w:rPr>
              <w:t>工艺监控：安装泥位计、流量计、pH/浊度在线监测仪，实时监控排泥水状态。</w:t>
            </w:r>
          </w:p>
          <w:p w14:paraId="5C073F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color w:val="auto"/>
                <w:spacing w:val="0"/>
                <w:sz w:val="21"/>
                <w:lang w:val="en-US" w:eastAsia="zh-CN"/>
              </w:rPr>
            </w:pPr>
            <w:r>
              <w:rPr>
                <w:rFonts w:hint="eastAsia"/>
                <w:color w:val="auto"/>
                <w:spacing w:val="0"/>
                <w:sz w:val="21"/>
                <w:lang w:val="en-US" w:eastAsia="zh-CN"/>
              </w:rPr>
              <w:t>c.</w:t>
            </w:r>
            <w:r>
              <w:rPr>
                <w:rFonts w:hint="default"/>
                <w:color w:val="auto"/>
                <w:spacing w:val="0"/>
                <w:sz w:val="21"/>
                <w:lang w:val="en-US" w:eastAsia="zh-CN"/>
              </w:rPr>
              <w:t>围堰：</w:t>
            </w:r>
            <w:r>
              <w:rPr>
                <w:rFonts w:hint="eastAsia"/>
                <w:color w:val="auto"/>
                <w:spacing w:val="0"/>
                <w:sz w:val="21"/>
                <w:lang w:val="en-US" w:eastAsia="zh-CN"/>
              </w:rPr>
              <w:t>污泥浓缩系统池体及储泥设施</w:t>
            </w:r>
            <w:r>
              <w:rPr>
                <w:rFonts w:hint="default"/>
                <w:color w:val="auto"/>
                <w:spacing w:val="0"/>
                <w:sz w:val="21"/>
                <w:lang w:val="en-US" w:eastAsia="zh-CN"/>
              </w:rPr>
              <w:t>周边设置围堰。</w:t>
            </w:r>
          </w:p>
          <w:p w14:paraId="166489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color w:val="auto"/>
                <w:spacing w:val="0"/>
                <w:sz w:val="21"/>
                <w:lang w:val="en-US" w:eastAsia="zh-CN"/>
              </w:rPr>
            </w:pPr>
            <w:r>
              <w:rPr>
                <w:rFonts w:hint="eastAsia"/>
                <w:color w:val="auto"/>
                <w:spacing w:val="0"/>
                <w:sz w:val="21"/>
                <w:lang w:val="en-US" w:eastAsia="zh-CN"/>
              </w:rPr>
              <w:t>d.</w:t>
            </w:r>
            <w:r>
              <w:rPr>
                <w:rFonts w:hint="default"/>
                <w:color w:val="auto"/>
                <w:spacing w:val="0"/>
                <w:sz w:val="21"/>
                <w:lang w:val="en-US" w:eastAsia="zh-CN"/>
              </w:rPr>
              <w:t>雨污分流：厂区实施雨污分流，防止雨水混入排泥系统造成负荷冲击。</w:t>
            </w:r>
          </w:p>
          <w:p w14:paraId="79BCDA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color w:val="auto"/>
                <w:spacing w:val="0"/>
                <w:sz w:val="21"/>
                <w:lang w:val="en-US" w:eastAsia="zh-CN"/>
              </w:rPr>
            </w:pPr>
            <w:r>
              <w:rPr>
                <w:rFonts w:hint="eastAsia"/>
                <w:color w:val="auto"/>
                <w:spacing w:val="0"/>
                <w:sz w:val="21"/>
                <w:lang w:val="en-US" w:eastAsia="zh-CN"/>
              </w:rPr>
              <w:t>e.</w:t>
            </w:r>
            <w:r>
              <w:rPr>
                <w:rFonts w:hint="default"/>
                <w:color w:val="auto"/>
                <w:spacing w:val="0"/>
                <w:sz w:val="21"/>
                <w:lang w:val="en-US" w:eastAsia="zh-CN"/>
              </w:rPr>
              <w:t>培训与演练：定期开展人员操作培训和应急演练，提高风险意识与处置能力。</w:t>
            </w:r>
          </w:p>
          <w:p w14:paraId="2FFB22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color w:val="auto"/>
                <w:spacing w:val="0"/>
                <w:sz w:val="21"/>
                <w:lang w:val="en-US" w:eastAsia="zh-CN"/>
              </w:rPr>
            </w:pPr>
            <w:r>
              <w:rPr>
                <w:rFonts w:hint="eastAsia"/>
                <w:color w:val="auto"/>
                <w:spacing w:val="0"/>
                <w:sz w:val="21"/>
                <w:lang w:val="en-US" w:eastAsia="zh-CN"/>
              </w:rPr>
              <w:t>B、</w:t>
            </w:r>
            <w:r>
              <w:rPr>
                <w:rFonts w:hint="default"/>
                <w:color w:val="auto"/>
                <w:spacing w:val="0"/>
                <w:sz w:val="21"/>
                <w:lang w:val="en-US" w:eastAsia="zh-CN"/>
              </w:rPr>
              <w:t>事故应急处置措施</w:t>
            </w:r>
          </w:p>
          <w:p w14:paraId="1E317E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color w:val="auto"/>
                <w:spacing w:val="0"/>
                <w:sz w:val="21"/>
                <w:lang w:val="en-US" w:eastAsia="zh-CN"/>
              </w:rPr>
            </w:pPr>
            <w:r>
              <w:rPr>
                <w:rFonts w:hint="eastAsia"/>
                <w:color w:val="auto"/>
                <w:spacing w:val="0"/>
                <w:sz w:val="21"/>
                <w:lang w:val="en-US" w:eastAsia="zh-CN"/>
              </w:rPr>
              <w:t>a.</w:t>
            </w:r>
            <w:r>
              <w:rPr>
                <w:rFonts w:hint="default"/>
                <w:color w:val="auto"/>
                <w:spacing w:val="0"/>
                <w:sz w:val="21"/>
                <w:lang w:val="en-US" w:eastAsia="zh-CN"/>
              </w:rPr>
              <w:t>立即控制源头：关闭故障设备，切换备用设备；调整工艺运行，减少排泥水产生。</w:t>
            </w:r>
          </w:p>
          <w:p w14:paraId="796FF2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color w:val="auto"/>
                <w:spacing w:val="0"/>
                <w:sz w:val="21"/>
                <w:lang w:val="en-US" w:eastAsia="zh-CN"/>
              </w:rPr>
            </w:pPr>
            <w:r>
              <w:rPr>
                <w:rFonts w:hint="eastAsia"/>
                <w:color w:val="auto"/>
                <w:spacing w:val="0"/>
                <w:sz w:val="21"/>
                <w:lang w:val="en-US" w:eastAsia="zh-CN"/>
              </w:rPr>
              <w:t>b.</w:t>
            </w:r>
            <w:r>
              <w:rPr>
                <w:rFonts w:hint="default"/>
                <w:color w:val="auto"/>
                <w:spacing w:val="0"/>
                <w:sz w:val="21"/>
                <w:lang w:val="en-US" w:eastAsia="zh-CN"/>
              </w:rPr>
              <w:t>拦截与封堵：使用沙袋、堵漏器材拦截泄漏点，防止扩散至厂外。</w:t>
            </w:r>
          </w:p>
          <w:p w14:paraId="7C62C2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color w:val="auto"/>
                <w:spacing w:val="0"/>
                <w:sz w:val="21"/>
                <w:lang w:val="en-US" w:eastAsia="zh-CN"/>
              </w:rPr>
            </w:pPr>
            <w:r>
              <w:rPr>
                <w:rFonts w:hint="eastAsia"/>
                <w:color w:val="auto"/>
                <w:spacing w:val="0"/>
                <w:sz w:val="21"/>
                <w:lang w:val="en-US" w:eastAsia="zh-CN"/>
              </w:rPr>
              <w:t>c.</w:t>
            </w:r>
            <w:r>
              <w:rPr>
                <w:rFonts w:hint="default"/>
                <w:color w:val="auto"/>
                <w:spacing w:val="0"/>
                <w:sz w:val="21"/>
                <w:lang w:val="en-US" w:eastAsia="zh-CN"/>
              </w:rPr>
              <w:t>应急储存：启用事故应急池，将溢流排泥水导入暂存。</w:t>
            </w:r>
          </w:p>
          <w:p w14:paraId="7B6302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color w:val="auto"/>
                <w:spacing w:val="0"/>
                <w:sz w:val="21"/>
                <w:lang w:val="en-US" w:eastAsia="zh-CN"/>
              </w:rPr>
            </w:pPr>
            <w:r>
              <w:rPr>
                <w:rFonts w:hint="eastAsia"/>
                <w:color w:val="auto"/>
                <w:spacing w:val="0"/>
                <w:sz w:val="21"/>
                <w:lang w:val="en-US" w:eastAsia="zh-CN"/>
              </w:rPr>
              <w:t>d.</w:t>
            </w:r>
            <w:r>
              <w:rPr>
                <w:rFonts w:hint="default"/>
                <w:color w:val="auto"/>
                <w:spacing w:val="0"/>
                <w:sz w:val="21"/>
                <w:lang w:val="en-US" w:eastAsia="zh-CN"/>
              </w:rPr>
              <w:t>监测与报告：实时监测周边水体水质，按规定向生态环境部门报告事故进展。</w:t>
            </w:r>
          </w:p>
          <w:p w14:paraId="0DF8A5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color w:val="auto"/>
                <w:lang w:val="en-US" w:eastAsia="zh-CN"/>
              </w:rPr>
            </w:pPr>
            <w:r>
              <w:rPr>
                <w:rFonts w:hint="eastAsia"/>
                <w:color w:val="auto"/>
                <w:spacing w:val="0"/>
                <w:sz w:val="21"/>
                <w:lang w:val="en-US" w:eastAsia="zh-CN"/>
              </w:rPr>
              <w:t>e.</w:t>
            </w:r>
            <w:r>
              <w:rPr>
                <w:rFonts w:hint="default"/>
                <w:color w:val="auto"/>
                <w:spacing w:val="0"/>
                <w:sz w:val="21"/>
                <w:lang w:val="en-US" w:eastAsia="zh-CN"/>
              </w:rPr>
              <w:t>协同处置：联系应急处理单位，调配槽车转运排泥水至合规处理场所。</w:t>
            </w:r>
          </w:p>
        </w:tc>
      </w:tr>
    </w:tbl>
    <w:p w14:paraId="02D59930">
      <w:pPr>
        <w:rPr>
          <w:rFonts w:hint="default" w:ascii="Times New Roman" w:hAnsi="Times New Roman" w:eastAsia="黑体" w:cs="Times New Roman"/>
          <w:snapToGrid w:val="0"/>
          <w:color w:val="auto"/>
          <w:kern w:val="21"/>
          <w:sz w:val="30"/>
          <w:szCs w:val="30"/>
          <w:highlight w:val="none"/>
        </w:rPr>
      </w:pPr>
      <w:r>
        <w:rPr>
          <w:rFonts w:hint="default" w:ascii="Times New Roman" w:hAnsi="Times New Roman" w:eastAsia="黑体" w:cs="Times New Roman"/>
          <w:snapToGrid w:val="0"/>
          <w:color w:val="auto"/>
          <w:kern w:val="21"/>
          <w:sz w:val="30"/>
          <w:szCs w:val="30"/>
          <w:highlight w:val="none"/>
        </w:rPr>
        <w:br w:type="page"/>
      </w:r>
    </w:p>
    <w:p w14:paraId="36441619">
      <w:pPr>
        <w:pStyle w:val="30"/>
        <w:spacing w:before="0" w:beforeAutospacing="0" w:after="158" w:afterLines="50" w:afterAutospacing="0"/>
        <w:jc w:val="center"/>
        <w:outlineLvl w:val="0"/>
        <w:rPr>
          <w:rFonts w:hint="eastAsia" w:ascii="Times New Roman" w:hAnsi="Times New Roman" w:eastAsia="黑体" w:cs="Times New Roman"/>
          <w:snapToGrid w:val="0"/>
          <w:color w:val="auto"/>
          <w:kern w:val="21"/>
          <w:sz w:val="30"/>
          <w:szCs w:val="30"/>
          <w:highlight w:val="none"/>
          <w:lang w:eastAsia="zh-CN"/>
        </w:rPr>
      </w:pPr>
      <w:bookmarkStart w:id="21" w:name="_Toc21713"/>
      <w:r>
        <w:rPr>
          <w:rFonts w:hint="default" w:ascii="Times New Roman" w:hAnsi="Times New Roman" w:eastAsia="黑体" w:cs="Times New Roman"/>
          <w:snapToGrid w:val="0"/>
          <w:color w:val="auto"/>
          <w:kern w:val="21"/>
          <w:sz w:val="30"/>
          <w:szCs w:val="30"/>
          <w:highlight w:val="none"/>
        </w:rPr>
        <w:t>五、</w:t>
      </w:r>
      <w:bookmarkStart w:id="22" w:name="_Hlk54167917"/>
      <w:r>
        <w:rPr>
          <w:rFonts w:hint="default" w:ascii="Times New Roman" w:hAnsi="Times New Roman" w:eastAsia="黑体" w:cs="Times New Roman"/>
          <w:snapToGrid w:val="0"/>
          <w:color w:val="auto"/>
          <w:kern w:val="21"/>
          <w:sz w:val="30"/>
          <w:szCs w:val="30"/>
          <w:highlight w:val="none"/>
        </w:rPr>
        <w:t>环境保护措施监督检查清单</w:t>
      </w:r>
      <w:bookmarkEnd w:id="21"/>
      <w:bookmarkEnd w:id="22"/>
    </w:p>
    <w:tbl>
      <w:tblPr>
        <w:tblStyle w:val="35"/>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89"/>
        <w:gridCol w:w="1661"/>
        <w:gridCol w:w="1451"/>
        <w:gridCol w:w="2887"/>
        <w:gridCol w:w="1515"/>
      </w:tblGrid>
      <w:tr w14:paraId="76AFBF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826" w:type="pct"/>
            <w:tcBorders>
              <w:tl2br w:val="nil"/>
              <w:tr2bl w:val="nil"/>
            </w:tcBorders>
            <w:vAlign w:val="center"/>
            <mc:AlternateContent>
              <mc:Choice Requires="wpsCustomData">
                <wpsCustomData:diagonals>
                  <wpsCustomData:diagonal from="10000" to="30000">
                    <wpsCustomData:border w:val="single" w:color="auto" w:sz="8" w:space="0"/>
                  </wpsCustomData:diagonal>
                </wpsCustomData:diagonals>
              </mc:Choice>
            </mc:AlternateContent>
          </w:tcPr>
          <w:p w14:paraId="0764F2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auto"/>
                <w:kern w:val="21"/>
                <w:sz w:val="21"/>
                <w:szCs w:val="21"/>
                <w:highlight w:val="none"/>
                <w:lang w:val="en-US" w:eastAsia="zh-CN" w:bidi="ar-SA"/>
              </w:rPr>
            </w:pPr>
          </w:p>
          <w:p w14:paraId="1E5C30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mc:AlternateContent>
                <mc:Choice Requires="wpsCustomData">
                  <wpsCustomData:diagonalParaType/>
                </mc:Choice>
              </mc:AlternateContent>
              <w:rPr>
                <w:rFonts w:hint="default" w:ascii="Times New Roman" w:hAnsi="Times New Roman" w:eastAsia="宋体" w:cs="Times New Roman"/>
                <w:color w:val="auto"/>
                <w:kern w:val="21"/>
                <w:sz w:val="21"/>
                <w:szCs w:val="21"/>
                <w:highlight w:val="none"/>
                <w:lang w:val="en-US" w:eastAsia="zh-CN" w:bidi="ar-SA"/>
              </w:rPr>
            </w:pPr>
            <w:r>
              <w:rPr>
                <w:rFonts w:hint="default" w:ascii="Times New Roman" w:hAnsi="Times New Roman" w:eastAsia="宋体" w:cs="Times New Roman"/>
                <w:color w:val="auto"/>
                <w:kern w:val="21"/>
                <w:sz w:val="21"/>
                <w:szCs w:val="21"/>
                <w:highlight w:val="none"/>
                <w:lang w:val="en-US" w:eastAsia="zh-CN" w:bidi="ar-SA"/>
              </w:rPr>
              <w:t>要素</w:t>
            </w:r>
          </w:p>
          <w:p w14:paraId="10DC10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210" w:firstLineChars="100"/>
              <w:jc w:val="both"/>
              <w:textAlignment w:val="auto"/>
              <w:rPr>
                <w:rFonts w:hint="default" w:ascii="Times New Roman" w:hAnsi="Times New Roman" w:eastAsia="宋体" w:cs="Times New Roman"/>
                <w:color w:val="auto"/>
                <w:kern w:val="21"/>
                <w:sz w:val="21"/>
                <w:szCs w:val="21"/>
                <w:highlight w:val="none"/>
                <w:lang w:val="en-US" w:eastAsia="zh-CN" w:bidi="ar-SA"/>
              </w:rPr>
            </w:pPr>
            <w:r>
              <w:rPr>
                <w:rFonts w:hint="default" w:ascii="Times New Roman" w:hAnsi="Times New Roman" w:eastAsia="宋体" w:cs="Times New Roman"/>
                <w:color w:val="auto"/>
                <w:kern w:val="21"/>
                <w:sz w:val="21"/>
                <w:szCs w:val="21"/>
                <w:highlight w:val="none"/>
                <w:lang w:val="en-US" w:eastAsia="zh-CN" w:bidi="ar-SA"/>
              </w:rPr>
              <w:t>内容</w:t>
            </w:r>
          </w:p>
          <w:p w14:paraId="48C7A9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auto"/>
                <w:kern w:val="21"/>
                <w:sz w:val="21"/>
                <w:szCs w:val="21"/>
                <w:highlight w:val="none"/>
                <w:lang w:val="en-US" w:eastAsia="zh-CN" w:bidi="ar-SA"/>
              </w:rPr>
            </w:pPr>
          </w:p>
        </w:tc>
        <w:tc>
          <w:tcPr>
            <w:tcW w:w="922" w:type="pct"/>
            <w:tcBorders>
              <w:tl2br w:val="nil"/>
              <w:tr2bl w:val="nil"/>
            </w:tcBorders>
            <w:vAlign w:val="center"/>
          </w:tcPr>
          <w:p w14:paraId="15B69B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lang w:val="en-US" w:eastAsia="zh-CN" w:bidi="ar-SA"/>
              </w:rPr>
            </w:pPr>
            <w:r>
              <w:rPr>
                <w:rFonts w:hint="default" w:ascii="Times New Roman" w:hAnsi="Times New Roman" w:eastAsia="宋体" w:cs="Times New Roman"/>
                <w:color w:val="auto"/>
                <w:kern w:val="21"/>
                <w:sz w:val="21"/>
                <w:szCs w:val="21"/>
                <w:highlight w:val="none"/>
                <w:lang w:val="en-US" w:eastAsia="zh-CN" w:bidi="ar-SA"/>
              </w:rPr>
              <w:t>排放口（编号、名称）/污染源</w:t>
            </w:r>
          </w:p>
        </w:tc>
        <w:tc>
          <w:tcPr>
            <w:tcW w:w="805" w:type="pct"/>
            <w:tcBorders>
              <w:tl2br w:val="nil"/>
              <w:tr2bl w:val="nil"/>
            </w:tcBorders>
            <w:vAlign w:val="center"/>
          </w:tcPr>
          <w:p w14:paraId="3CF1D2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lang w:val="en-US" w:eastAsia="zh-CN" w:bidi="ar-SA"/>
              </w:rPr>
            </w:pPr>
            <w:r>
              <w:rPr>
                <w:rFonts w:hint="default" w:ascii="Times New Roman" w:hAnsi="Times New Roman" w:eastAsia="宋体" w:cs="Times New Roman"/>
                <w:color w:val="auto"/>
                <w:kern w:val="21"/>
                <w:sz w:val="21"/>
                <w:szCs w:val="21"/>
                <w:highlight w:val="none"/>
                <w:lang w:val="en-US" w:eastAsia="zh-CN" w:bidi="ar-SA"/>
              </w:rPr>
              <w:t>污染物项目</w:t>
            </w:r>
          </w:p>
        </w:tc>
        <w:tc>
          <w:tcPr>
            <w:tcW w:w="1603" w:type="pct"/>
            <w:tcBorders>
              <w:tl2br w:val="nil"/>
              <w:tr2bl w:val="nil"/>
            </w:tcBorders>
            <w:vAlign w:val="center"/>
          </w:tcPr>
          <w:p w14:paraId="1A2679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lang w:val="en-US" w:eastAsia="zh-CN" w:bidi="ar-SA"/>
              </w:rPr>
            </w:pPr>
            <w:r>
              <w:rPr>
                <w:rFonts w:hint="default" w:ascii="Times New Roman" w:hAnsi="Times New Roman" w:eastAsia="宋体" w:cs="Times New Roman"/>
                <w:color w:val="auto"/>
                <w:kern w:val="21"/>
                <w:sz w:val="21"/>
                <w:szCs w:val="21"/>
                <w:highlight w:val="none"/>
                <w:lang w:val="en-US" w:eastAsia="zh-CN" w:bidi="ar-SA"/>
              </w:rPr>
              <w:t>环境保护措施</w:t>
            </w:r>
          </w:p>
        </w:tc>
        <w:tc>
          <w:tcPr>
            <w:tcW w:w="841" w:type="pct"/>
            <w:tcBorders>
              <w:tl2br w:val="nil"/>
              <w:tr2bl w:val="nil"/>
            </w:tcBorders>
            <w:vAlign w:val="center"/>
          </w:tcPr>
          <w:p w14:paraId="43A17B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lang w:val="en-US" w:eastAsia="zh-CN" w:bidi="ar-SA"/>
              </w:rPr>
            </w:pPr>
            <w:r>
              <w:rPr>
                <w:rFonts w:hint="default" w:ascii="Times New Roman" w:hAnsi="Times New Roman" w:eastAsia="宋体" w:cs="Times New Roman"/>
                <w:color w:val="auto"/>
                <w:kern w:val="21"/>
                <w:sz w:val="21"/>
                <w:szCs w:val="21"/>
                <w:highlight w:val="none"/>
                <w:lang w:val="en-US" w:eastAsia="zh-CN" w:bidi="ar-SA"/>
              </w:rPr>
              <w:t>执行标准</w:t>
            </w:r>
          </w:p>
        </w:tc>
      </w:tr>
      <w:tr w14:paraId="42BA5E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826" w:type="pct"/>
            <w:vMerge w:val="restart"/>
            <w:tcBorders>
              <w:tl2br w:val="nil"/>
              <w:tr2bl w:val="nil"/>
            </w:tcBorders>
            <w:vAlign w:val="center"/>
          </w:tcPr>
          <w:p w14:paraId="6B5916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大气环境</w:t>
            </w:r>
          </w:p>
        </w:tc>
        <w:tc>
          <w:tcPr>
            <w:tcW w:w="922" w:type="pct"/>
            <w:vMerge w:val="restart"/>
            <w:tcBorders>
              <w:tl2br w:val="nil"/>
              <w:tr2bl w:val="nil"/>
            </w:tcBorders>
            <w:vAlign w:val="center"/>
          </w:tcPr>
          <w:p w14:paraId="3D1F5D0C">
            <w:pPr>
              <w:keepNext w:val="0"/>
              <w:keepLines w:val="0"/>
              <w:widowControl/>
              <w:suppressLineNumbers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厂界</w:t>
            </w:r>
          </w:p>
        </w:tc>
        <w:tc>
          <w:tcPr>
            <w:tcW w:w="805" w:type="pct"/>
            <w:tcBorders>
              <w:tl2br w:val="nil"/>
              <w:tr2bl w:val="nil"/>
            </w:tcBorders>
            <w:vAlign w:val="center"/>
          </w:tcPr>
          <w:p w14:paraId="49BE9A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氨、硫化氢、臭气浓度</w:t>
            </w:r>
          </w:p>
        </w:tc>
        <w:tc>
          <w:tcPr>
            <w:tcW w:w="1603" w:type="pct"/>
            <w:vMerge w:val="restart"/>
            <w:tcBorders>
              <w:tl2br w:val="nil"/>
              <w:tr2bl w:val="nil"/>
            </w:tcBorders>
            <w:vAlign w:val="center"/>
          </w:tcPr>
          <w:p w14:paraId="7A08EB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pacing w:val="0"/>
                <w:sz w:val="21"/>
                <w:szCs w:val="21"/>
                <w:lang w:val="en-US" w:eastAsia="zh-CN"/>
              </w:rPr>
              <w:t>本项目无新增废气，</w:t>
            </w:r>
            <w:r>
              <w:rPr>
                <w:rFonts w:hint="default" w:ascii="Times New Roman" w:hAnsi="Times New Roman" w:eastAsia="宋体" w:cs="Times New Roman"/>
                <w:color w:val="auto"/>
                <w:spacing w:val="0"/>
                <w:sz w:val="21"/>
                <w:szCs w:val="21"/>
                <w:lang w:val="en-US" w:eastAsia="zh-CN"/>
              </w:rPr>
              <w:t>净</w:t>
            </w:r>
            <w:r>
              <w:rPr>
                <w:rFonts w:hint="default" w:ascii="Times New Roman" w:hAnsi="Times New Roman" w:eastAsia="宋体" w:cs="Times New Roman"/>
                <w:color w:val="auto"/>
                <w:spacing w:val="0"/>
                <w:kern w:val="0"/>
                <w:sz w:val="21"/>
                <w:szCs w:val="21"/>
              </w:rPr>
              <w:t>水厂生产过程中不会排放生产废气，加氯间仅有少量游离的Cl产生；在污泥处理区的贮泥池、浓缩池、</w:t>
            </w:r>
            <w:r>
              <w:rPr>
                <w:rFonts w:hint="default" w:ascii="Times New Roman" w:hAnsi="Times New Roman" w:eastAsia="宋体" w:cs="Times New Roman"/>
                <w:color w:val="auto"/>
                <w:spacing w:val="0"/>
                <w:kern w:val="0"/>
                <w:sz w:val="21"/>
                <w:szCs w:val="21"/>
              </w:rPr>
              <w:t>污泥浓缩脱水间</w:t>
            </w:r>
            <w:r>
              <w:rPr>
                <w:rFonts w:hint="eastAsia" w:cs="Times New Roman"/>
                <w:color w:val="auto"/>
                <w:spacing w:val="0"/>
                <w:kern w:val="0"/>
                <w:sz w:val="21"/>
                <w:szCs w:val="21"/>
                <w:lang w:eastAsia="zh-CN"/>
              </w:rPr>
              <w:t>、</w:t>
            </w:r>
            <w:r>
              <w:rPr>
                <w:rFonts w:hint="eastAsia" w:cs="Times New Roman"/>
                <w:color w:val="auto"/>
                <w:spacing w:val="0"/>
                <w:kern w:val="0"/>
                <w:sz w:val="21"/>
                <w:szCs w:val="21"/>
                <w:lang w:val="en-US" w:eastAsia="zh-CN"/>
              </w:rPr>
              <w:t>污泥暂存库</w:t>
            </w:r>
            <w:r>
              <w:rPr>
                <w:rFonts w:hint="default" w:ascii="Times New Roman" w:hAnsi="Times New Roman" w:eastAsia="宋体" w:cs="Times New Roman"/>
                <w:color w:val="auto"/>
                <w:spacing w:val="0"/>
                <w:kern w:val="0"/>
                <w:sz w:val="21"/>
                <w:szCs w:val="21"/>
              </w:rPr>
              <w:t>等会产生轻微的臭味，因比较轻微，且本工程稳压配水间通风次数为2次/h</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设置1台轴流通风机。滤池间通风次数为3次/h, 设置2台轴流通风机。加氯、加药间通风次数为8次h</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设置6台轴流通风机。污泥脱水间</w:t>
            </w:r>
            <w:r>
              <w:rPr>
                <w:rFonts w:hint="eastAsia" w:cs="Times New Roman"/>
                <w:color w:val="auto"/>
                <w:spacing w:val="0"/>
                <w:kern w:val="0"/>
                <w:sz w:val="21"/>
                <w:szCs w:val="21"/>
                <w:lang w:eastAsia="zh-CN"/>
              </w:rPr>
              <w:t>（</w:t>
            </w:r>
            <w:r>
              <w:rPr>
                <w:rFonts w:hint="eastAsia" w:cs="Times New Roman"/>
                <w:color w:val="auto"/>
                <w:spacing w:val="0"/>
                <w:kern w:val="0"/>
                <w:sz w:val="21"/>
                <w:szCs w:val="21"/>
                <w:lang w:val="en-US" w:eastAsia="zh-CN"/>
              </w:rPr>
              <w:t>包括污泥暂存库</w:t>
            </w:r>
            <w:r>
              <w:rPr>
                <w:rFonts w:hint="eastAsia"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通风次数为8次/h</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设置5台轴流通风机。经上述措施，同时加强室内通风及厂区绿化</w:t>
            </w:r>
            <w:r>
              <w:rPr>
                <w:rFonts w:hint="default" w:ascii="Times New Roman" w:hAnsi="Times New Roman" w:eastAsia="宋体" w:cs="Times New Roman"/>
                <w:color w:val="auto"/>
                <w:spacing w:val="0"/>
                <w:kern w:val="0"/>
                <w:sz w:val="21"/>
                <w:szCs w:val="21"/>
                <w:lang w:val="en-US" w:eastAsia="zh-CN"/>
              </w:rPr>
              <w:t>隔离稀释</w:t>
            </w:r>
          </w:p>
        </w:tc>
        <w:tc>
          <w:tcPr>
            <w:tcW w:w="841" w:type="pct"/>
            <w:tcBorders>
              <w:tl2br w:val="nil"/>
              <w:tr2bl w:val="nil"/>
            </w:tcBorders>
            <w:vAlign w:val="center"/>
          </w:tcPr>
          <w:p w14:paraId="32C110C2">
            <w:pPr>
              <w:pStyle w:val="89"/>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eastAsia="宋体" w:cs="Times New Roman"/>
                <w:color w:val="auto"/>
                <w:kern w:val="2"/>
                <w:sz w:val="21"/>
                <w:szCs w:val="21"/>
                <w:highlight w:val="none"/>
                <w:lang w:val="en-US" w:eastAsia="zh-CN" w:bidi="ar-SA"/>
              </w:rPr>
              <w:t>《恶臭污染物排放标准》（GB14554-93）表1中二级新扩改建标准限值</w:t>
            </w:r>
          </w:p>
        </w:tc>
      </w:tr>
      <w:tr w14:paraId="6BFE33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826" w:type="pct"/>
            <w:vMerge w:val="continue"/>
            <w:tcBorders>
              <w:tl2br w:val="nil"/>
              <w:tr2bl w:val="nil"/>
            </w:tcBorders>
            <w:vAlign w:val="center"/>
          </w:tcPr>
          <w:p w14:paraId="097C29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lang w:val="en-US" w:eastAsia="zh-CN"/>
              </w:rPr>
            </w:pPr>
          </w:p>
        </w:tc>
        <w:tc>
          <w:tcPr>
            <w:tcW w:w="922" w:type="pct"/>
            <w:vMerge w:val="continue"/>
            <w:tcBorders>
              <w:tl2br w:val="nil"/>
              <w:tr2bl w:val="nil"/>
            </w:tcBorders>
            <w:vAlign w:val="center"/>
          </w:tcPr>
          <w:p w14:paraId="69D5404F">
            <w:pPr>
              <w:keepNext w:val="0"/>
              <w:keepLines w:val="0"/>
              <w:widowControl/>
              <w:suppressLineNumbers w:val="0"/>
              <w:adjustRightInd/>
              <w:snapToGrid/>
              <w:spacing w:before="0" w:beforeAutospacing="0" w:after="0" w:afterAutospacing="0"/>
              <w:ind w:left="0" w:right="0"/>
              <w:jc w:val="center"/>
              <w:rPr>
                <w:rFonts w:hint="eastAsia" w:cs="Times New Roman"/>
                <w:color w:val="auto"/>
                <w:sz w:val="21"/>
                <w:szCs w:val="21"/>
                <w:highlight w:val="none"/>
                <w:lang w:val="en-US" w:eastAsia="zh-CN"/>
              </w:rPr>
            </w:pPr>
          </w:p>
        </w:tc>
        <w:tc>
          <w:tcPr>
            <w:tcW w:w="805" w:type="pct"/>
            <w:tcBorders>
              <w:tl2br w:val="nil"/>
              <w:tr2bl w:val="nil"/>
            </w:tcBorders>
            <w:vAlign w:val="center"/>
          </w:tcPr>
          <w:p w14:paraId="59F3C0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氯气</w:t>
            </w:r>
          </w:p>
        </w:tc>
        <w:tc>
          <w:tcPr>
            <w:tcW w:w="1603" w:type="pct"/>
            <w:vMerge w:val="continue"/>
            <w:tcBorders>
              <w:tl2br w:val="nil"/>
              <w:tr2bl w:val="nil"/>
            </w:tcBorders>
            <w:vAlign w:val="center"/>
          </w:tcPr>
          <w:p w14:paraId="4CF11B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cs="宋体"/>
                <w:color w:val="auto"/>
                <w:sz w:val="21"/>
                <w:szCs w:val="21"/>
                <w:highlight w:val="none"/>
                <w:lang w:val="en-US" w:eastAsia="zh-CN"/>
              </w:rPr>
            </w:pPr>
          </w:p>
        </w:tc>
        <w:tc>
          <w:tcPr>
            <w:tcW w:w="841" w:type="pct"/>
            <w:tcBorders>
              <w:tl2br w:val="nil"/>
              <w:tr2bl w:val="nil"/>
            </w:tcBorders>
            <w:vAlign w:val="center"/>
          </w:tcPr>
          <w:p w14:paraId="2CD8FA61">
            <w:pPr>
              <w:pStyle w:val="89"/>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hint="eastAsia"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pacing w:val="0"/>
                <w:kern w:val="0"/>
                <w:sz w:val="21"/>
                <w:szCs w:val="21"/>
              </w:rPr>
              <w:t>《大气污染物综合排放标准》</w:t>
            </w:r>
            <w:r>
              <w:rPr>
                <w:rFonts w:hint="eastAsia"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GB16297-1996</w:t>
            </w:r>
            <w:r>
              <w:rPr>
                <w:rFonts w:hint="eastAsia"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中无组织排放监控浓度限值要求</w:t>
            </w:r>
          </w:p>
        </w:tc>
      </w:tr>
      <w:tr w14:paraId="6551DA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826" w:type="pct"/>
            <w:vMerge w:val="continue"/>
            <w:tcBorders>
              <w:tl2br w:val="nil"/>
              <w:tr2bl w:val="nil"/>
            </w:tcBorders>
            <w:vAlign w:val="center"/>
          </w:tcPr>
          <w:p w14:paraId="1D7C14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p>
        </w:tc>
        <w:tc>
          <w:tcPr>
            <w:tcW w:w="922" w:type="pct"/>
            <w:tcBorders>
              <w:tl2br w:val="nil"/>
              <w:tr2bl w:val="nil"/>
            </w:tcBorders>
            <w:vAlign w:val="center"/>
          </w:tcPr>
          <w:p w14:paraId="77CCE0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lang w:val="en-US" w:eastAsia="zh-CN"/>
              </w:rPr>
            </w:pPr>
            <w:r>
              <w:rPr>
                <w:rFonts w:hint="eastAsia" w:cs="Times New Roman"/>
                <w:color w:val="auto"/>
                <w:kern w:val="21"/>
                <w:sz w:val="21"/>
                <w:szCs w:val="21"/>
                <w:highlight w:val="none"/>
                <w:lang w:val="en-US" w:eastAsia="zh-CN"/>
              </w:rPr>
              <w:t>食堂</w:t>
            </w:r>
          </w:p>
        </w:tc>
        <w:tc>
          <w:tcPr>
            <w:tcW w:w="805" w:type="pct"/>
            <w:tcBorders>
              <w:tl2br w:val="nil"/>
              <w:tr2bl w:val="nil"/>
            </w:tcBorders>
            <w:vAlign w:val="center"/>
          </w:tcPr>
          <w:p w14:paraId="302244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lang w:val="en-US" w:eastAsia="zh-CN"/>
              </w:rPr>
            </w:pPr>
            <w:r>
              <w:rPr>
                <w:rFonts w:hint="eastAsia" w:cs="Times New Roman"/>
                <w:color w:val="auto"/>
                <w:kern w:val="21"/>
                <w:sz w:val="21"/>
                <w:szCs w:val="21"/>
                <w:highlight w:val="none"/>
                <w:lang w:val="en-US" w:eastAsia="zh-CN"/>
              </w:rPr>
              <w:t>油烟</w:t>
            </w:r>
          </w:p>
        </w:tc>
        <w:tc>
          <w:tcPr>
            <w:tcW w:w="1603" w:type="pct"/>
            <w:tcBorders>
              <w:tl2br w:val="nil"/>
              <w:tr2bl w:val="nil"/>
            </w:tcBorders>
            <w:vAlign w:val="center"/>
          </w:tcPr>
          <w:p w14:paraId="652EF7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r>
              <w:rPr>
                <w:rFonts w:hint="default" w:ascii="Times New Roman" w:hAnsi="Times New Roman" w:eastAsia="宋体" w:cs="Times New Roman"/>
                <w:color w:val="auto"/>
                <w:spacing w:val="0"/>
                <w:kern w:val="0"/>
                <w:sz w:val="21"/>
                <w:szCs w:val="21"/>
                <w:lang w:val="en-US" w:eastAsia="zh-CN"/>
              </w:rPr>
              <w:t>经油烟净化器（处理效率75%）处理后</w:t>
            </w:r>
            <w:r>
              <w:rPr>
                <w:rFonts w:hint="default" w:ascii="Times New Roman" w:hAnsi="Times New Roman" w:eastAsia="宋体" w:cs="Times New Roman"/>
                <w:color w:val="auto"/>
                <w:spacing w:val="0"/>
                <w:sz w:val="21"/>
                <w:szCs w:val="21"/>
              </w:rPr>
              <w:t>由专用烟道高于楼顶排放</w:t>
            </w:r>
          </w:p>
        </w:tc>
        <w:tc>
          <w:tcPr>
            <w:tcW w:w="841" w:type="pct"/>
            <w:tcBorders>
              <w:tl2br w:val="nil"/>
              <w:tr2bl w:val="nil"/>
            </w:tcBorders>
            <w:vAlign w:val="center"/>
          </w:tcPr>
          <w:p w14:paraId="53A826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0"/>
                <w:sz w:val="21"/>
                <w:szCs w:val="21"/>
              </w:rPr>
              <w:t>《饮食业油烟排放标准》</w:t>
            </w:r>
            <w:r>
              <w:rPr>
                <w:rFonts w:hint="eastAsia"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试行GB18483-2001</w:t>
            </w:r>
            <w:r>
              <w:rPr>
                <w:rFonts w:hint="eastAsia"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中最高允许排放浓度2.0mg/m³</w:t>
            </w:r>
          </w:p>
        </w:tc>
      </w:tr>
      <w:tr w14:paraId="67C32C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826" w:type="pct"/>
            <w:vMerge w:val="restart"/>
            <w:tcBorders>
              <w:tl2br w:val="nil"/>
              <w:tr2bl w:val="nil"/>
            </w:tcBorders>
            <w:vAlign w:val="center"/>
          </w:tcPr>
          <w:p w14:paraId="226622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地表水环境</w:t>
            </w:r>
          </w:p>
        </w:tc>
        <w:tc>
          <w:tcPr>
            <w:tcW w:w="922" w:type="pct"/>
            <w:tcBorders>
              <w:tl2br w:val="nil"/>
              <w:tr2bl w:val="nil"/>
            </w:tcBorders>
            <w:vAlign w:val="center"/>
          </w:tcPr>
          <w:p w14:paraId="5D2617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lang w:eastAsia="zh-CN"/>
              </w:rPr>
            </w:pPr>
            <w:r>
              <w:rPr>
                <w:rFonts w:hint="default" w:ascii="Times New Roman" w:hAnsi="Times New Roman" w:eastAsia="宋体" w:cs="Times New Roman"/>
                <w:color w:val="auto"/>
                <w:kern w:val="21"/>
                <w:sz w:val="21"/>
                <w:szCs w:val="21"/>
                <w:highlight w:val="none"/>
                <w:lang w:eastAsia="zh-CN"/>
              </w:rPr>
              <w:t>生活污水</w:t>
            </w:r>
          </w:p>
        </w:tc>
        <w:tc>
          <w:tcPr>
            <w:tcW w:w="805" w:type="pct"/>
            <w:tcBorders>
              <w:tl2br w:val="nil"/>
              <w:tr2bl w:val="nil"/>
            </w:tcBorders>
            <w:vAlign w:val="center"/>
          </w:tcPr>
          <w:p w14:paraId="0DD93C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lang w:val="en-US" w:eastAsia="zh-CN"/>
              </w:rPr>
              <w:t>COD</w:t>
            </w:r>
            <w:r>
              <w:rPr>
                <w:rFonts w:hint="default" w:ascii="Times New Roman" w:hAnsi="Times New Roman" w:eastAsia="宋体" w:cs="Times New Roman"/>
                <w:color w:val="auto"/>
                <w:kern w:val="21"/>
                <w:sz w:val="21"/>
                <w:szCs w:val="21"/>
                <w:highlight w:val="none"/>
              </w:rPr>
              <w:t>、氨氮、</w:t>
            </w:r>
            <w:r>
              <w:rPr>
                <w:rFonts w:hint="default" w:ascii="Times New Roman" w:hAnsi="Times New Roman" w:eastAsia="宋体" w:cs="Times New Roman"/>
                <w:color w:val="auto"/>
                <w:kern w:val="21"/>
                <w:sz w:val="21"/>
                <w:szCs w:val="21"/>
                <w:highlight w:val="none"/>
                <w:lang w:val="en-US" w:eastAsia="zh-CN"/>
              </w:rPr>
              <w:t>SS</w:t>
            </w:r>
            <w:r>
              <w:rPr>
                <w:rFonts w:hint="default" w:ascii="Times New Roman" w:hAnsi="Times New Roman" w:eastAsia="宋体" w:cs="Times New Roman"/>
                <w:color w:val="auto"/>
                <w:kern w:val="21"/>
                <w:sz w:val="21"/>
                <w:szCs w:val="21"/>
                <w:highlight w:val="none"/>
              </w:rPr>
              <w:t>、</w:t>
            </w:r>
            <w:r>
              <w:rPr>
                <w:rFonts w:hint="default" w:ascii="Times New Roman" w:hAnsi="Times New Roman" w:eastAsia="宋体" w:cs="Times New Roman"/>
                <w:color w:val="auto"/>
                <w:sz w:val="21"/>
                <w:szCs w:val="21"/>
                <w:highlight w:val="none"/>
              </w:rPr>
              <w:t>pH、</w:t>
            </w:r>
            <w:r>
              <w:rPr>
                <w:rFonts w:hint="default" w:ascii="Times New Roman" w:hAnsi="Times New Roman" w:eastAsia="宋体" w:cs="Times New Roman"/>
                <w:color w:val="auto"/>
                <w:kern w:val="21"/>
                <w:sz w:val="21"/>
                <w:szCs w:val="21"/>
                <w:highlight w:val="none"/>
                <w:lang w:val="en-US" w:eastAsia="zh-CN"/>
              </w:rPr>
              <w:t>BOD</w:t>
            </w:r>
            <w:r>
              <w:rPr>
                <w:rFonts w:hint="default" w:ascii="Times New Roman" w:hAnsi="Times New Roman" w:eastAsia="宋体" w:cs="Times New Roman"/>
                <w:color w:val="auto"/>
                <w:kern w:val="21"/>
                <w:sz w:val="21"/>
                <w:szCs w:val="21"/>
                <w:highlight w:val="none"/>
                <w:vertAlign w:val="subscript"/>
                <w:lang w:val="en-US" w:eastAsia="zh-CN"/>
              </w:rPr>
              <w:t>5</w:t>
            </w:r>
          </w:p>
        </w:tc>
        <w:tc>
          <w:tcPr>
            <w:tcW w:w="1603" w:type="pct"/>
            <w:tcBorders>
              <w:tl2br w:val="nil"/>
              <w:tr2bl w:val="nil"/>
            </w:tcBorders>
            <w:vAlign w:val="center"/>
          </w:tcPr>
          <w:p w14:paraId="46637D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排入市政污水管网</w:t>
            </w:r>
          </w:p>
          <w:p w14:paraId="42D14F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ascii="Times New Roman" w:hAnsi="Times New Roman" w:cs="Times New Roman"/>
                <w:bCs/>
                <w:color w:val="auto"/>
                <w:spacing w:val="0"/>
                <w:kern w:val="0"/>
                <w:sz w:val="21"/>
                <w:szCs w:val="21"/>
                <w:highlight w:val="none"/>
                <w:lang w:val="en-US" w:eastAsia="zh-CN"/>
              </w:rPr>
              <w:t>本项目不新增生活污水</w:t>
            </w:r>
          </w:p>
        </w:tc>
        <w:tc>
          <w:tcPr>
            <w:tcW w:w="841" w:type="pct"/>
            <w:tcBorders>
              <w:tl2br w:val="nil"/>
              <w:tr2bl w:val="nil"/>
            </w:tcBorders>
            <w:vAlign w:val="center"/>
          </w:tcPr>
          <w:p w14:paraId="74BB77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lang w:val="en-US"/>
              </w:rPr>
            </w:pPr>
            <w:r>
              <w:rPr>
                <w:rFonts w:hint="default" w:ascii="Times New Roman" w:hAnsi="Times New Roman" w:eastAsia="宋体" w:cs="Times New Roman"/>
                <w:color w:val="auto"/>
                <w:sz w:val="21"/>
                <w:szCs w:val="21"/>
                <w:highlight w:val="none"/>
                <w:lang w:val="en-US" w:eastAsia="zh-CN"/>
              </w:rPr>
              <w:t>《污水综合排放标准》</w:t>
            </w:r>
            <w:r>
              <w:rPr>
                <w:rFonts w:hint="default" w:ascii="Times New Roman" w:hAnsi="Times New Roman" w:eastAsia="宋体" w:cs="Times New Roman"/>
                <w:bCs/>
                <w:color w:val="auto"/>
                <w:spacing w:val="0"/>
                <w:sz w:val="21"/>
                <w:szCs w:val="21"/>
                <w:highlight w:val="none"/>
              </w:rPr>
              <w:t>三级标准</w:t>
            </w:r>
            <w:r>
              <w:rPr>
                <w:rFonts w:hint="default" w:ascii="Times New Roman" w:hAnsi="Times New Roman" w:eastAsia="宋体" w:cs="Times New Roman"/>
                <w:color w:val="auto"/>
                <w:sz w:val="21"/>
                <w:szCs w:val="21"/>
                <w:highlight w:val="none"/>
                <w:lang w:val="en-US" w:eastAsia="zh-CN"/>
              </w:rPr>
              <w:t>及</w:t>
            </w:r>
            <w:r>
              <w:rPr>
                <w:rFonts w:hint="eastAsia" w:cs="Times New Roman"/>
                <w:color w:val="auto"/>
                <w:sz w:val="21"/>
                <w:szCs w:val="21"/>
                <w:highlight w:val="none"/>
                <w:lang w:val="en-US" w:eastAsia="zh-CN"/>
              </w:rPr>
              <w:t>鸡冠区污水处理厂进水标准</w:t>
            </w:r>
          </w:p>
        </w:tc>
      </w:tr>
      <w:tr w14:paraId="71516A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826" w:type="pct"/>
            <w:vMerge w:val="continue"/>
            <w:tcBorders>
              <w:tl2br w:val="nil"/>
              <w:tr2bl w:val="nil"/>
            </w:tcBorders>
            <w:vAlign w:val="center"/>
          </w:tcPr>
          <w:p w14:paraId="0D441C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p>
        </w:tc>
        <w:tc>
          <w:tcPr>
            <w:tcW w:w="922" w:type="pct"/>
            <w:tcBorders>
              <w:tl2br w:val="nil"/>
              <w:tr2bl w:val="nil"/>
            </w:tcBorders>
            <w:vAlign w:val="center"/>
          </w:tcPr>
          <w:p w14:paraId="790011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lang w:eastAsia="zh-CN"/>
              </w:rPr>
            </w:pPr>
            <w:r>
              <w:rPr>
                <w:rFonts w:hint="eastAsia" w:ascii="Times New Roman" w:hAnsi="Times New Roman" w:eastAsia="宋体" w:cs="Times New Roman"/>
                <w:bCs/>
                <w:color w:val="auto"/>
                <w:spacing w:val="0"/>
                <w:kern w:val="0"/>
                <w:sz w:val="21"/>
                <w:szCs w:val="21"/>
                <w:highlight w:val="none"/>
                <w:lang w:val="en-US" w:eastAsia="zh-CN"/>
              </w:rPr>
              <w:t>滤池</w:t>
            </w:r>
            <w:r>
              <w:rPr>
                <w:rFonts w:hint="default" w:ascii="Times New Roman" w:hAnsi="Times New Roman" w:eastAsia="宋体" w:cs="Times New Roman"/>
                <w:bCs/>
                <w:color w:val="auto"/>
                <w:spacing w:val="0"/>
                <w:kern w:val="0"/>
                <w:sz w:val="21"/>
                <w:szCs w:val="21"/>
                <w:highlight w:val="none"/>
                <w:lang w:val="en-US" w:eastAsia="zh-CN"/>
              </w:rPr>
              <w:t>反冲洗废水</w:t>
            </w:r>
          </w:p>
        </w:tc>
        <w:tc>
          <w:tcPr>
            <w:tcW w:w="805" w:type="pct"/>
            <w:tcBorders>
              <w:tl2br w:val="nil"/>
              <w:tr2bl w:val="nil"/>
            </w:tcBorders>
            <w:vAlign w:val="center"/>
          </w:tcPr>
          <w:p w14:paraId="01C713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lang w:val="en-US" w:eastAsia="zh-CN"/>
              </w:rPr>
            </w:pPr>
            <w:r>
              <w:rPr>
                <w:rFonts w:hint="eastAsia" w:cs="Times New Roman"/>
                <w:color w:val="auto"/>
                <w:kern w:val="21"/>
                <w:sz w:val="21"/>
                <w:szCs w:val="21"/>
                <w:highlight w:val="none"/>
                <w:lang w:val="en-US" w:eastAsia="zh-CN"/>
              </w:rPr>
              <w:t>SS</w:t>
            </w:r>
          </w:p>
        </w:tc>
        <w:tc>
          <w:tcPr>
            <w:tcW w:w="1603" w:type="pct"/>
            <w:tcBorders>
              <w:tl2br w:val="nil"/>
              <w:tr2bl w:val="nil"/>
            </w:tcBorders>
            <w:vAlign w:val="center"/>
          </w:tcPr>
          <w:p w14:paraId="6A939F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r>
              <w:rPr>
                <w:rFonts w:hint="default" w:ascii="Times New Roman" w:hAnsi="Times New Roman" w:eastAsia="宋体" w:cs="Times New Roman"/>
                <w:bCs/>
                <w:color w:val="auto"/>
                <w:spacing w:val="0"/>
                <w:kern w:val="0"/>
                <w:sz w:val="21"/>
                <w:szCs w:val="21"/>
                <w:highlight w:val="none"/>
                <w:lang w:val="en-US" w:eastAsia="zh-CN"/>
              </w:rPr>
              <w:t>反冲洗废水</w:t>
            </w:r>
            <w:r>
              <w:rPr>
                <w:rFonts w:hint="eastAsia" w:cs="Times New Roman"/>
                <w:color w:val="auto"/>
                <w:sz w:val="21"/>
                <w:szCs w:val="21"/>
                <w:highlight w:val="none"/>
                <w:lang w:eastAsia="zh-CN"/>
              </w:rPr>
              <w:t>回收</w:t>
            </w:r>
            <w:r>
              <w:rPr>
                <w:rFonts w:hint="eastAsia" w:cs="Times New Roman"/>
                <w:color w:val="auto"/>
                <w:sz w:val="21"/>
                <w:szCs w:val="21"/>
                <w:highlight w:val="none"/>
                <w:lang w:val="en-US" w:eastAsia="zh-CN"/>
              </w:rPr>
              <w:t>排入</w:t>
            </w:r>
            <w:r>
              <w:rPr>
                <w:rFonts w:hint="eastAsia" w:cs="Times New Roman"/>
                <w:color w:val="auto"/>
                <w:sz w:val="21"/>
                <w:szCs w:val="21"/>
                <w:highlight w:val="none"/>
                <w:lang w:eastAsia="zh-CN"/>
              </w:rPr>
              <w:t>配水</w:t>
            </w:r>
            <w:r>
              <w:rPr>
                <w:rFonts w:hint="eastAsia" w:cs="Times New Roman"/>
                <w:color w:val="auto"/>
                <w:sz w:val="21"/>
                <w:szCs w:val="21"/>
                <w:highlight w:val="none"/>
                <w:lang w:val="en-US" w:eastAsia="zh-CN"/>
              </w:rPr>
              <w:t>井</w:t>
            </w:r>
            <w:r>
              <w:rPr>
                <w:rFonts w:hint="eastAsia" w:cs="Times New Roman"/>
                <w:color w:val="auto"/>
                <w:sz w:val="21"/>
                <w:szCs w:val="21"/>
                <w:highlight w:val="none"/>
                <w:lang w:eastAsia="zh-CN"/>
              </w:rPr>
              <w:t>与原水混合回用，不外排。</w:t>
            </w:r>
          </w:p>
        </w:tc>
        <w:tc>
          <w:tcPr>
            <w:tcW w:w="841" w:type="pct"/>
            <w:tcBorders>
              <w:tl2br w:val="nil"/>
              <w:tr2bl w:val="nil"/>
            </w:tcBorders>
            <w:vAlign w:val="center"/>
          </w:tcPr>
          <w:p w14:paraId="0C7465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39F146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826" w:type="pct"/>
            <w:vMerge w:val="continue"/>
            <w:tcBorders>
              <w:tl2br w:val="nil"/>
              <w:tr2bl w:val="nil"/>
            </w:tcBorders>
            <w:vAlign w:val="center"/>
          </w:tcPr>
          <w:p w14:paraId="151638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p>
        </w:tc>
        <w:tc>
          <w:tcPr>
            <w:tcW w:w="922" w:type="pct"/>
            <w:tcBorders>
              <w:tl2br w:val="nil"/>
              <w:tr2bl w:val="nil"/>
            </w:tcBorders>
            <w:vAlign w:val="center"/>
          </w:tcPr>
          <w:p w14:paraId="3478E2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lang w:val="en-US" w:eastAsia="zh-CN"/>
              </w:rPr>
            </w:pPr>
            <w:r>
              <w:rPr>
                <w:rFonts w:hint="eastAsia" w:cs="Times New Roman"/>
                <w:color w:val="auto"/>
                <w:kern w:val="21"/>
                <w:sz w:val="21"/>
                <w:szCs w:val="21"/>
                <w:highlight w:val="none"/>
                <w:lang w:val="en-US" w:eastAsia="zh-CN"/>
              </w:rPr>
              <w:t>排泥水上清液</w:t>
            </w:r>
          </w:p>
        </w:tc>
        <w:tc>
          <w:tcPr>
            <w:tcW w:w="805" w:type="pct"/>
            <w:tcBorders>
              <w:tl2br w:val="nil"/>
              <w:tr2bl w:val="nil"/>
            </w:tcBorders>
            <w:vAlign w:val="center"/>
          </w:tcPr>
          <w:p w14:paraId="141513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eastAsia"/>
                <w:color w:val="auto"/>
                <w:sz w:val="21"/>
                <w:szCs w:val="21"/>
                <w:highlight w:val="none"/>
                <w:lang w:val="en-US" w:eastAsia="zh-CN"/>
              </w:rPr>
              <w:t>COD、BOD</w:t>
            </w:r>
            <w:r>
              <w:rPr>
                <w:rFonts w:hint="eastAsia"/>
                <w:color w:val="auto"/>
                <w:sz w:val="21"/>
                <w:szCs w:val="21"/>
                <w:highlight w:val="none"/>
                <w:vertAlign w:val="subscript"/>
                <w:lang w:val="en-US" w:eastAsia="zh-CN"/>
              </w:rPr>
              <w:t>5</w:t>
            </w:r>
            <w:r>
              <w:rPr>
                <w:rFonts w:hint="eastAsia"/>
                <w:color w:val="auto"/>
                <w:sz w:val="21"/>
                <w:szCs w:val="21"/>
                <w:highlight w:val="none"/>
                <w:lang w:val="en-US" w:eastAsia="zh-CN"/>
              </w:rPr>
              <w:t>、SS、氨氮、pH</w:t>
            </w:r>
          </w:p>
        </w:tc>
        <w:tc>
          <w:tcPr>
            <w:tcW w:w="1603" w:type="pct"/>
            <w:tcBorders>
              <w:tl2br w:val="nil"/>
              <w:tr2bl w:val="nil"/>
            </w:tcBorders>
            <w:vAlign w:val="center"/>
          </w:tcPr>
          <w:p w14:paraId="4A460E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color w:val="auto"/>
                <w:spacing w:val="0"/>
                <w:w w:val="100"/>
                <w:sz w:val="21"/>
                <w:szCs w:val="21"/>
                <w:highlight w:val="none"/>
                <w:lang w:val="en-US" w:eastAsia="zh-CN"/>
              </w:rPr>
            </w:pPr>
            <w:r>
              <w:rPr>
                <w:rFonts w:hint="default" w:ascii="Times New Roman" w:hAnsi="Times New Roman" w:eastAsia="宋体" w:cs="Times New Roman"/>
                <w:color w:val="auto"/>
                <w:spacing w:val="0"/>
                <w:sz w:val="21"/>
                <w:szCs w:val="21"/>
              </w:rPr>
              <w:t>沉淀池排泥水</w:t>
            </w:r>
            <w:r>
              <w:rPr>
                <w:rFonts w:hint="default" w:ascii="Times New Roman" w:hAnsi="Times New Roman" w:eastAsia="宋体" w:cs="Times New Roman"/>
                <w:color w:val="auto"/>
                <w:spacing w:val="0"/>
                <w:kern w:val="21"/>
                <w:sz w:val="21"/>
                <w:szCs w:val="21"/>
                <w:highlight w:val="none"/>
                <w:lang w:val="en-US" w:eastAsia="zh-CN"/>
              </w:rPr>
              <w:t>经絮凝、沉淀处理后</w:t>
            </w:r>
            <w:r>
              <w:rPr>
                <w:rFonts w:hint="default" w:ascii="Times New Roman" w:hAnsi="Times New Roman" w:eastAsia="宋体" w:cs="Times New Roman"/>
                <w:color w:val="auto"/>
                <w:sz w:val="21"/>
                <w:szCs w:val="21"/>
                <w:highlight w:val="none"/>
                <w:lang w:val="en-US" w:eastAsia="zh-CN"/>
              </w:rPr>
              <w:t>排入</w:t>
            </w:r>
            <w:r>
              <w:rPr>
                <w:rFonts w:hint="eastAsia" w:ascii="Times New Roman" w:hAnsi="Times New Roman" w:eastAsia="宋体" w:cs="Times New Roman"/>
                <w:color w:val="auto"/>
                <w:sz w:val="21"/>
                <w:szCs w:val="21"/>
                <w:highlight w:val="none"/>
                <w:lang w:val="en-US" w:eastAsia="zh-CN"/>
              </w:rPr>
              <w:t>红光沟流入</w:t>
            </w:r>
            <w:r>
              <w:rPr>
                <w:rFonts w:hint="default" w:ascii="Times New Roman" w:hAnsi="Times New Roman" w:eastAsia="宋体" w:cs="Times New Roman"/>
                <w:color w:val="auto"/>
                <w:sz w:val="21"/>
                <w:szCs w:val="21"/>
                <w:highlight w:val="none"/>
                <w:lang w:val="en-US" w:eastAsia="zh-CN"/>
              </w:rPr>
              <w:t>穆棱河</w:t>
            </w:r>
            <w:r>
              <w:rPr>
                <w:rFonts w:hint="default" w:ascii="Times New Roman" w:hAnsi="Times New Roman" w:eastAsia="宋体" w:cs="Times New Roman"/>
                <w:color w:val="auto"/>
                <w:spacing w:val="0"/>
                <w:w w:val="100"/>
                <w:sz w:val="21"/>
                <w:szCs w:val="21"/>
                <w:highlight w:val="none"/>
              </w:rPr>
              <w:t>。</w:t>
            </w:r>
          </w:p>
          <w:p w14:paraId="13C2ED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p>
        </w:tc>
        <w:tc>
          <w:tcPr>
            <w:tcW w:w="841" w:type="pct"/>
            <w:tcBorders>
              <w:tl2br w:val="nil"/>
              <w:tr2bl w:val="nil"/>
            </w:tcBorders>
            <w:vAlign w:val="center"/>
          </w:tcPr>
          <w:p w14:paraId="1FABA5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r>
              <w:rPr>
                <w:rFonts w:hint="eastAsia" w:cs="Times New Roman"/>
                <w:color w:val="auto"/>
                <w:spacing w:val="0"/>
                <w:sz w:val="21"/>
                <w:szCs w:val="21"/>
                <w:highlight w:val="none"/>
                <w:lang w:val="en-US" w:eastAsia="zh-CN"/>
              </w:rPr>
              <w:t>《地表水环境质量标准》（GB3838-2002）表1中三类标准、悬浮物执行</w:t>
            </w:r>
            <w:r>
              <w:rPr>
                <w:rFonts w:hint="default" w:cs="Times New Roman"/>
                <w:color w:val="auto"/>
                <w:spacing w:val="0"/>
                <w:sz w:val="21"/>
                <w:szCs w:val="21"/>
                <w:highlight w:val="none"/>
                <w:lang w:val="en-US" w:eastAsia="zh-CN"/>
              </w:rPr>
              <w:t>《污水综合排放标准》</w:t>
            </w:r>
            <w:r>
              <w:rPr>
                <w:rFonts w:hint="eastAsia" w:cs="Times New Roman"/>
                <w:color w:val="auto"/>
                <w:spacing w:val="0"/>
                <w:sz w:val="21"/>
                <w:szCs w:val="21"/>
                <w:highlight w:val="none"/>
                <w:lang w:val="en-US" w:eastAsia="zh-CN"/>
              </w:rPr>
              <w:t>（GB8978-1996）一级标准</w:t>
            </w:r>
          </w:p>
        </w:tc>
      </w:tr>
      <w:tr w14:paraId="706DA4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826" w:type="pct"/>
            <w:tcBorders>
              <w:tl2br w:val="nil"/>
              <w:tr2bl w:val="nil"/>
            </w:tcBorders>
            <w:vAlign w:val="center"/>
          </w:tcPr>
          <w:p w14:paraId="5F015E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地下水及土壤环境</w:t>
            </w:r>
          </w:p>
        </w:tc>
        <w:tc>
          <w:tcPr>
            <w:tcW w:w="922" w:type="pct"/>
            <w:tcBorders>
              <w:tl2br w:val="nil"/>
              <w:tr2bl w:val="nil"/>
            </w:tcBorders>
            <w:vAlign w:val="center"/>
          </w:tcPr>
          <w:p w14:paraId="43CCAB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w:t>
            </w:r>
          </w:p>
        </w:tc>
        <w:tc>
          <w:tcPr>
            <w:tcW w:w="805" w:type="pct"/>
            <w:tcBorders>
              <w:tl2br w:val="nil"/>
              <w:tr2bl w:val="nil"/>
            </w:tcBorders>
            <w:vAlign w:val="center"/>
          </w:tcPr>
          <w:p w14:paraId="75AA54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w:t>
            </w:r>
          </w:p>
        </w:tc>
        <w:tc>
          <w:tcPr>
            <w:tcW w:w="1603" w:type="pct"/>
            <w:tcBorders>
              <w:tl2br w:val="nil"/>
              <w:tr2bl w:val="nil"/>
            </w:tcBorders>
            <w:vAlign w:val="center"/>
          </w:tcPr>
          <w:p w14:paraId="2C37DC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w:t>
            </w:r>
          </w:p>
        </w:tc>
        <w:tc>
          <w:tcPr>
            <w:tcW w:w="841" w:type="pct"/>
            <w:tcBorders>
              <w:tl2br w:val="nil"/>
              <w:tr2bl w:val="nil"/>
            </w:tcBorders>
            <w:vAlign w:val="center"/>
          </w:tcPr>
          <w:p w14:paraId="1177C3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w:t>
            </w:r>
          </w:p>
        </w:tc>
      </w:tr>
      <w:tr w14:paraId="7C9E1E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826" w:type="pct"/>
            <w:tcBorders>
              <w:tl2br w:val="nil"/>
              <w:tr2bl w:val="nil"/>
            </w:tcBorders>
            <w:vAlign w:val="center"/>
          </w:tcPr>
          <w:p w14:paraId="0B4FB4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声环境</w:t>
            </w:r>
          </w:p>
        </w:tc>
        <w:tc>
          <w:tcPr>
            <w:tcW w:w="922" w:type="pct"/>
            <w:tcBorders>
              <w:tl2br w:val="nil"/>
              <w:tr2bl w:val="nil"/>
            </w:tcBorders>
            <w:vAlign w:val="center"/>
          </w:tcPr>
          <w:p w14:paraId="6C67C8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设备运行</w:t>
            </w:r>
          </w:p>
        </w:tc>
        <w:tc>
          <w:tcPr>
            <w:tcW w:w="805" w:type="pct"/>
            <w:tcBorders>
              <w:tl2br w:val="nil"/>
              <w:tr2bl w:val="nil"/>
            </w:tcBorders>
            <w:vAlign w:val="center"/>
          </w:tcPr>
          <w:p w14:paraId="152962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lang w:eastAsia="zh-CN"/>
              </w:rPr>
            </w:pPr>
            <w:r>
              <w:rPr>
                <w:rFonts w:hint="default" w:ascii="Times New Roman" w:hAnsi="Times New Roman" w:eastAsia="宋体" w:cs="Times New Roman"/>
                <w:color w:val="auto"/>
                <w:kern w:val="21"/>
                <w:sz w:val="21"/>
                <w:szCs w:val="21"/>
                <w:highlight w:val="none"/>
                <w:lang w:val="en-US" w:eastAsia="zh-CN"/>
              </w:rPr>
              <w:t>噪声</w:t>
            </w:r>
          </w:p>
        </w:tc>
        <w:tc>
          <w:tcPr>
            <w:tcW w:w="1603" w:type="pct"/>
            <w:tcBorders>
              <w:tl2br w:val="nil"/>
              <w:tr2bl w:val="nil"/>
            </w:tcBorders>
            <w:vAlign w:val="center"/>
          </w:tcPr>
          <w:p w14:paraId="46D4C3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1"/>
                <w:sz w:val="21"/>
                <w:szCs w:val="21"/>
                <w:highlight w:val="none"/>
                <w:lang w:val="en-US" w:eastAsia="zh-CN"/>
              </w:rPr>
            </w:pPr>
            <w:r>
              <w:rPr>
                <w:rFonts w:hint="eastAsia" w:cs="Times New Roman"/>
                <w:color w:val="auto"/>
                <w:sz w:val="21"/>
                <w:szCs w:val="21"/>
                <w:highlight w:val="none"/>
                <w:lang w:val="en-US" w:eastAsia="zh-CN"/>
              </w:rPr>
              <w:t>本项目</w:t>
            </w:r>
            <w:r>
              <w:rPr>
                <w:rFonts w:hint="default" w:ascii="Times New Roman" w:hAnsi="Times New Roman" w:eastAsia="宋体" w:cs="Times New Roman"/>
                <w:color w:val="auto"/>
                <w:sz w:val="21"/>
                <w:szCs w:val="21"/>
                <w:highlight w:val="none"/>
              </w:rPr>
              <w:t>选取低噪声设备，采取减振、隔声</w:t>
            </w:r>
            <w:r>
              <w:rPr>
                <w:rFonts w:hint="eastAsia" w:cs="Times New Roman"/>
                <w:color w:val="auto"/>
                <w:sz w:val="21"/>
                <w:szCs w:val="21"/>
                <w:highlight w:val="none"/>
                <w:lang w:val="en-US" w:eastAsia="zh-CN"/>
              </w:rPr>
              <w:t>等</w:t>
            </w:r>
          </w:p>
        </w:tc>
        <w:tc>
          <w:tcPr>
            <w:tcW w:w="841" w:type="pct"/>
            <w:tcBorders>
              <w:tl2br w:val="nil"/>
              <w:tr2bl w:val="nil"/>
            </w:tcBorders>
            <w:vAlign w:val="center"/>
          </w:tcPr>
          <w:p w14:paraId="615611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lang w:val="en-US" w:eastAsia="zh-CN"/>
              </w:rPr>
            </w:pPr>
            <w:r>
              <w:rPr>
                <w:rFonts w:hint="default" w:ascii="Times New Roman" w:hAnsi="Times New Roman" w:eastAsia="宋体" w:cs="Times New Roman"/>
                <w:color w:val="auto"/>
                <w:kern w:val="21"/>
                <w:sz w:val="21"/>
                <w:szCs w:val="21"/>
                <w:highlight w:val="none"/>
              </w:rPr>
              <w:t>《工业企业厂界环境噪声排放标准》（GB12348-2008）</w:t>
            </w:r>
            <w:r>
              <w:rPr>
                <w:rFonts w:hint="eastAsia" w:cs="Times New Roman"/>
                <w:color w:val="auto"/>
                <w:kern w:val="21"/>
                <w:sz w:val="21"/>
                <w:szCs w:val="21"/>
                <w:highlight w:val="none"/>
                <w:lang w:val="en-US" w:eastAsia="zh-CN"/>
              </w:rPr>
              <w:t>2</w:t>
            </w:r>
            <w:r>
              <w:rPr>
                <w:rFonts w:hint="default"/>
                <w:color w:val="auto"/>
                <w:sz w:val="21"/>
                <w:szCs w:val="21"/>
                <w:highlight w:val="none"/>
              </w:rPr>
              <w:t>类标准限值</w:t>
            </w:r>
          </w:p>
        </w:tc>
      </w:tr>
      <w:tr w14:paraId="0CB37E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826" w:type="pct"/>
            <w:tcBorders>
              <w:tl2br w:val="nil"/>
              <w:tr2bl w:val="nil"/>
            </w:tcBorders>
            <w:vAlign w:val="center"/>
          </w:tcPr>
          <w:p w14:paraId="62176B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电磁辐射</w:t>
            </w:r>
          </w:p>
        </w:tc>
        <w:tc>
          <w:tcPr>
            <w:tcW w:w="922" w:type="pct"/>
            <w:tcBorders>
              <w:tl2br w:val="nil"/>
              <w:tr2bl w:val="nil"/>
            </w:tcBorders>
            <w:vAlign w:val="center"/>
          </w:tcPr>
          <w:p w14:paraId="1A6783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w:t>
            </w:r>
          </w:p>
        </w:tc>
        <w:tc>
          <w:tcPr>
            <w:tcW w:w="805" w:type="pct"/>
            <w:tcBorders>
              <w:tl2br w:val="nil"/>
              <w:tr2bl w:val="nil"/>
            </w:tcBorders>
            <w:vAlign w:val="center"/>
          </w:tcPr>
          <w:p w14:paraId="05BCE9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w:t>
            </w:r>
          </w:p>
        </w:tc>
        <w:tc>
          <w:tcPr>
            <w:tcW w:w="1603" w:type="pct"/>
            <w:tcBorders>
              <w:tl2br w:val="nil"/>
              <w:tr2bl w:val="nil"/>
            </w:tcBorders>
            <w:vAlign w:val="center"/>
          </w:tcPr>
          <w:p w14:paraId="77B439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w:t>
            </w:r>
          </w:p>
        </w:tc>
        <w:tc>
          <w:tcPr>
            <w:tcW w:w="841" w:type="pct"/>
            <w:tcBorders>
              <w:tl2br w:val="nil"/>
              <w:tr2bl w:val="nil"/>
            </w:tcBorders>
            <w:vAlign w:val="center"/>
          </w:tcPr>
          <w:p w14:paraId="78C085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w:t>
            </w:r>
          </w:p>
        </w:tc>
      </w:tr>
      <w:tr w14:paraId="7B38D3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826" w:type="pct"/>
            <w:tcBorders>
              <w:tl2br w:val="nil"/>
              <w:tr2bl w:val="nil"/>
            </w:tcBorders>
            <w:vAlign w:val="center"/>
          </w:tcPr>
          <w:p w14:paraId="0EBC34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固体废物</w:t>
            </w:r>
          </w:p>
        </w:tc>
        <w:tc>
          <w:tcPr>
            <w:tcW w:w="4173" w:type="pct"/>
            <w:gridSpan w:val="4"/>
            <w:tcBorders>
              <w:tl2br w:val="nil"/>
              <w:tr2bl w:val="nil"/>
            </w:tcBorders>
            <w:vAlign w:val="center"/>
          </w:tcPr>
          <w:p w14:paraId="45634F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宋体" w:cs="Times New Roman"/>
                <w:color w:val="auto"/>
                <w:kern w:val="21"/>
                <w:sz w:val="21"/>
                <w:szCs w:val="21"/>
                <w:highlight w:val="none"/>
                <w:lang w:val="en-US" w:eastAsia="zh-CN"/>
              </w:rPr>
            </w:pPr>
            <w:r>
              <w:rPr>
                <w:rFonts w:hint="eastAsia" w:cs="Times New Roman"/>
                <w:color w:val="auto"/>
                <w:sz w:val="21"/>
                <w:szCs w:val="21"/>
                <w:highlight w:val="none"/>
                <w:lang w:val="en-US" w:eastAsia="zh-CN"/>
              </w:rPr>
              <w:t>本项目建成后全厂</w:t>
            </w:r>
            <w:r>
              <w:rPr>
                <w:rFonts w:hint="default" w:ascii="Times New Roman" w:hAnsi="Times New Roman" w:eastAsia="宋体" w:cs="Times New Roman"/>
                <w:color w:val="auto"/>
                <w:sz w:val="21"/>
                <w:szCs w:val="21"/>
                <w:highlight w:val="none"/>
              </w:rPr>
              <w:t>生活垃圾，由</w:t>
            </w:r>
            <w:r>
              <w:rPr>
                <w:rFonts w:hint="eastAsia" w:cs="Times New Roman"/>
                <w:color w:val="auto"/>
                <w:sz w:val="21"/>
                <w:szCs w:val="21"/>
                <w:highlight w:val="none"/>
                <w:lang w:eastAsia="zh-CN"/>
              </w:rPr>
              <w:t>环卫</w:t>
            </w:r>
            <w:r>
              <w:rPr>
                <w:rFonts w:hint="default" w:ascii="Times New Roman" w:hAnsi="Times New Roman" w:eastAsia="宋体" w:cs="Times New Roman"/>
                <w:color w:val="auto"/>
                <w:sz w:val="21"/>
                <w:szCs w:val="21"/>
                <w:highlight w:val="none"/>
              </w:rPr>
              <w:t>部门统一处理</w:t>
            </w:r>
            <w:r>
              <w:rPr>
                <w:rFonts w:hint="eastAsia"/>
                <w:b w:val="0"/>
                <w:bCs/>
                <w:color w:val="auto"/>
                <w:sz w:val="21"/>
                <w:szCs w:val="21"/>
                <w:highlight w:val="none"/>
                <w:lang w:val="en-US" w:eastAsia="zh-CN"/>
              </w:rPr>
              <w:t>；</w:t>
            </w:r>
            <w:r>
              <w:rPr>
                <w:rFonts w:hint="eastAsia"/>
                <w:b w:val="0"/>
                <w:bCs/>
                <w:color w:val="auto"/>
                <w:sz w:val="21"/>
                <w:szCs w:val="21"/>
                <w:highlight w:val="none"/>
                <w:lang w:val="en-US" w:eastAsia="zh-CN"/>
              </w:rPr>
              <w:t>脱水污泥</w:t>
            </w:r>
            <w:r>
              <w:rPr>
                <w:rFonts w:hint="eastAsia" w:cs="Times New Roman"/>
                <w:b w:val="0"/>
                <w:bCs w:val="0"/>
                <w:color w:val="auto"/>
                <w:spacing w:val="0"/>
                <w:w w:val="100"/>
                <w:sz w:val="21"/>
                <w:szCs w:val="21"/>
                <w:highlight w:val="none"/>
                <w:lang w:val="en-US" w:eastAsia="zh-CN"/>
              </w:rPr>
              <w:t>暂存污泥暂存库内，定期</w:t>
            </w:r>
            <w:r>
              <w:rPr>
                <w:rFonts w:hint="eastAsia" w:ascii="宋体" w:hAnsi="宋体" w:cs="宋体"/>
                <w:color w:val="auto"/>
                <w:sz w:val="21"/>
                <w:szCs w:val="21"/>
                <w:highlight w:val="none"/>
                <w:lang w:val="en-US" w:eastAsia="zh-CN"/>
              </w:rPr>
              <w:t>外运委托有资质单位处理</w:t>
            </w:r>
            <w:r>
              <w:rPr>
                <w:rFonts w:hint="eastAsia"/>
                <w:color w:val="auto"/>
                <w:sz w:val="21"/>
                <w:szCs w:val="21"/>
                <w:highlight w:val="none"/>
                <w:lang w:val="en-US" w:eastAsia="zh-CN"/>
              </w:rPr>
              <w:t>。</w:t>
            </w:r>
          </w:p>
        </w:tc>
      </w:tr>
      <w:tr w14:paraId="3A2AC4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826" w:type="pct"/>
            <w:tcBorders>
              <w:tl2br w:val="nil"/>
              <w:tr2bl w:val="nil"/>
            </w:tcBorders>
            <w:vAlign w:val="center"/>
          </w:tcPr>
          <w:p w14:paraId="1AE969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土壤及地下水污染防治措施</w:t>
            </w:r>
          </w:p>
        </w:tc>
        <w:tc>
          <w:tcPr>
            <w:tcW w:w="4173" w:type="pct"/>
            <w:gridSpan w:val="4"/>
            <w:tcBorders>
              <w:tl2br w:val="nil"/>
              <w:tr2bl w:val="nil"/>
            </w:tcBorders>
            <w:vAlign w:val="center"/>
          </w:tcPr>
          <w:p w14:paraId="73AF6A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1"/>
                <w:sz w:val="21"/>
                <w:szCs w:val="21"/>
                <w:highlight w:val="none"/>
                <w:lang w:val="en-US" w:eastAsia="zh-CN"/>
              </w:rPr>
            </w:pPr>
            <w:r>
              <w:rPr>
                <w:rFonts w:hint="eastAsia"/>
                <w:color w:val="auto"/>
                <w:sz w:val="21"/>
                <w:szCs w:val="21"/>
              </w:rPr>
              <w:t>本项目</w:t>
            </w:r>
            <w:r>
              <w:rPr>
                <w:rFonts w:hint="eastAsia"/>
                <w:color w:val="auto"/>
                <w:sz w:val="21"/>
                <w:szCs w:val="21"/>
                <w:lang w:val="en-US" w:eastAsia="zh-CN"/>
              </w:rPr>
              <w:t>依托现有工程防渗措施，</w:t>
            </w:r>
            <w:r>
              <w:rPr>
                <w:rFonts w:hint="eastAsia"/>
                <w:color w:val="auto"/>
                <w:sz w:val="21"/>
                <w:szCs w:val="21"/>
              </w:rPr>
              <w:t>加氯</w:t>
            </w:r>
            <w:r>
              <w:rPr>
                <w:rFonts w:hint="eastAsia"/>
                <w:color w:val="auto"/>
                <w:sz w:val="21"/>
                <w:szCs w:val="21"/>
                <w:lang w:val="en-US" w:eastAsia="zh-CN"/>
              </w:rPr>
              <w:t>加药间</w:t>
            </w:r>
            <w:r>
              <w:rPr>
                <w:rFonts w:hint="eastAsia"/>
                <w:color w:val="auto"/>
                <w:sz w:val="21"/>
                <w:szCs w:val="21"/>
              </w:rPr>
              <w:t>地面进行重点防渗，防渗措施应满足《环境影响评价技术导则地下水环境》（HJ 610—2016）中等效黏土防渗层Mb≥</w:t>
            </w:r>
            <w:r>
              <w:rPr>
                <w:rFonts w:hint="eastAsia"/>
                <w:color w:val="auto"/>
                <w:sz w:val="21"/>
                <w:szCs w:val="21"/>
                <w:lang w:val="en-US" w:eastAsia="zh-CN"/>
              </w:rPr>
              <w:t>6.0</w:t>
            </w:r>
            <w:r>
              <w:rPr>
                <w:rFonts w:hint="eastAsia"/>
                <w:color w:val="auto"/>
                <w:sz w:val="21"/>
                <w:szCs w:val="21"/>
              </w:rPr>
              <w:t>m，渗透系数K≤1×10</w:t>
            </w:r>
            <w:r>
              <w:rPr>
                <w:rFonts w:hint="eastAsia"/>
                <w:color w:val="auto"/>
                <w:sz w:val="21"/>
                <w:szCs w:val="21"/>
                <w:vertAlign w:val="superscript"/>
              </w:rPr>
              <w:t>-7</w:t>
            </w:r>
            <w:r>
              <w:rPr>
                <w:rFonts w:hint="eastAsia"/>
                <w:color w:val="auto"/>
                <w:sz w:val="21"/>
                <w:szCs w:val="21"/>
              </w:rPr>
              <w:t>cm/s</w:t>
            </w:r>
            <w:r>
              <w:rPr>
                <w:rFonts w:hint="eastAsia"/>
                <w:color w:val="auto"/>
                <w:sz w:val="21"/>
                <w:szCs w:val="21"/>
                <w:lang w:eastAsia="zh-CN"/>
              </w:rPr>
              <w:t>。</w:t>
            </w:r>
            <w:r>
              <w:rPr>
                <w:rFonts w:hint="eastAsia" w:ascii="宋体" w:hAnsi="宋体" w:eastAsia="宋体" w:cs="宋体"/>
                <w:color w:val="auto"/>
                <w:sz w:val="21"/>
                <w:szCs w:val="21"/>
                <w:lang w:val="en-US" w:eastAsia="zh-CN"/>
              </w:rPr>
              <w:t>同时采取截流措施，避免进入外环境；</w:t>
            </w:r>
            <w:r>
              <w:rPr>
                <w:rFonts w:hint="default" w:ascii="Times New Roman" w:hAnsi="Times New Roman" w:eastAsia="宋体" w:cs="Times New Roman"/>
                <w:color w:val="auto"/>
                <w:sz w:val="21"/>
                <w:szCs w:val="21"/>
                <w:lang w:val="en-US" w:eastAsia="zh-CN"/>
              </w:rPr>
              <w:t>定</w:t>
            </w:r>
            <w:r>
              <w:rPr>
                <w:rFonts w:hint="eastAsia" w:ascii="宋体" w:hAnsi="宋体" w:eastAsia="宋体" w:cs="宋体"/>
                <w:color w:val="auto"/>
                <w:sz w:val="21"/>
                <w:szCs w:val="21"/>
                <w:lang w:val="en-US" w:eastAsia="zh-CN"/>
              </w:rPr>
              <w:t>期检查</w:t>
            </w:r>
            <w:r>
              <w:rPr>
                <w:rFonts w:hint="eastAsia" w:ascii="宋体" w:hAnsi="宋体" w:cs="宋体"/>
                <w:color w:val="auto"/>
                <w:sz w:val="21"/>
                <w:szCs w:val="21"/>
                <w:lang w:val="en-US" w:eastAsia="zh-CN"/>
              </w:rPr>
              <w:t>药剂及液氯瓶装</w:t>
            </w:r>
            <w:r>
              <w:rPr>
                <w:rFonts w:hint="eastAsia" w:ascii="宋体" w:hAnsi="宋体" w:eastAsia="宋体" w:cs="宋体"/>
                <w:color w:val="auto"/>
                <w:sz w:val="21"/>
                <w:szCs w:val="21"/>
                <w:lang w:val="en-US" w:eastAsia="zh-CN"/>
              </w:rPr>
              <w:t>是否完整无损</w:t>
            </w:r>
            <w:r>
              <w:rPr>
                <w:rFonts w:hint="eastAsia" w:ascii="宋体" w:hAnsi="宋体" w:cs="宋体"/>
                <w:color w:val="auto"/>
                <w:sz w:val="21"/>
                <w:szCs w:val="21"/>
                <w:lang w:val="en-US" w:eastAsia="zh-CN"/>
              </w:rPr>
              <w:t>。</w:t>
            </w:r>
            <w:r>
              <w:rPr>
                <w:rFonts w:hint="default" w:ascii="Times New Roman" w:hAnsi="Times New Roman" w:cs="Times New Roman"/>
                <w:color w:val="auto"/>
                <w:sz w:val="21"/>
                <w:szCs w:val="21"/>
              </w:rPr>
              <w:t>防渗</w:t>
            </w:r>
            <w:r>
              <w:rPr>
                <w:rFonts w:hint="eastAsia" w:cs="Times New Roman"/>
                <w:color w:val="auto"/>
                <w:sz w:val="21"/>
                <w:szCs w:val="21"/>
                <w:lang w:val="en-US" w:eastAsia="zh-CN"/>
              </w:rPr>
              <w:t>化粪池</w:t>
            </w:r>
            <w:r>
              <w:rPr>
                <w:rFonts w:hint="eastAsia"/>
                <w:bCs/>
                <w:color w:val="auto"/>
                <w:sz w:val="21"/>
                <w:szCs w:val="21"/>
              </w:rPr>
              <w:t>采取一般防渗要求，防渗技术要求达到等效粘土防渗层</w:t>
            </w:r>
            <w:r>
              <w:rPr>
                <w:rFonts w:hint="default"/>
                <w:bCs/>
                <w:color w:val="auto"/>
                <w:sz w:val="21"/>
                <w:szCs w:val="21"/>
              </w:rPr>
              <w:t>Mb≥1.5m</w:t>
            </w:r>
            <w:r>
              <w:rPr>
                <w:rFonts w:hint="eastAsia"/>
                <w:bCs/>
                <w:color w:val="auto"/>
                <w:sz w:val="21"/>
                <w:szCs w:val="21"/>
              </w:rPr>
              <w:t>，</w:t>
            </w:r>
            <w:r>
              <w:rPr>
                <w:rFonts w:hint="default"/>
                <w:bCs/>
                <w:color w:val="auto"/>
                <w:sz w:val="21"/>
                <w:szCs w:val="21"/>
              </w:rPr>
              <w:t>K≤1×10</w:t>
            </w:r>
            <w:r>
              <w:rPr>
                <w:rFonts w:hint="default"/>
                <w:bCs/>
                <w:color w:val="auto"/>
                <w:sz w:val="21"/>
                <w:szCs w:val="21"/>
                <w:vertAlign w:val="superscript"/>
              </w:rPr>
              <w:t>-7</w:t>
            </w:r>
            <w:r>
              <w:rPr>
                <w:rFonts w:hint="default"/>
                <w:bCs/>
                <w:color w:val="auto"/>
                <w:sz w:val="21"/>
                <w:szCs w:val="21"/>
              </w:rPr>
              <w:t>cm/s</w:t>
            </w:r>
            <w:r>
              <w:rPr>
                <w:rFonts w:hint="eastAsia"/>
                <w:bCs/>
                <w:color w:val="auto"/>
                <w:sz w:val="21"/>
                <w:szCs w:val="21"/>
                <w:lang w:eastAsia="zh-CN"/>
              </w:rPr>
              <w:t>。</w:t>
            </w:r>
            <w:r>
              <w:rPr>
                <w:rFonts w:hint="eastAsia" w:ascii="Times New Roman" w:hAnsi="Times New Roman" w:eastAsia="宋体" w:cs="Times New Roman"/>
                <w:color w:val="auto"/>
                <w:kern w:val="0"/>
                <w:sz w:val="21"/>
                <w:szCs w:val="21"/>
                <w:highlight w:val="none"/>
                <w:lang w:val="en-US" w:eastAsia="zh-CN"/>
              </w:rPr>
              <w:t>厂区其他区域为简单防渗，进行一般地面硬化。</w:t>
            </w:r>
          </w:p>
        </w:tc>
      </w:tr>
      <w:tr w14:paraId="06AC8B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826" w:type="pct"/>
            <w:tcBorders>
              <w:tl2br w:val="nil"/>
              <w:tr2bl w:val="nil"/>
            </w:tcBorders>
            <w:vAlign w:val="center"/>
          </w:tcPr>
          <w:p w14:paraId="0CB10E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生态保护措施</w:t>
            </w:r>
          </w:p>
        </w:tc>
        <w:tc>
          <w:tcPr>
            <w:tcW w:w="4173" w:type="pct"/>
            <w:gridSpan w:val="4"/>
            <w:tcBorders>
              <w:tl2br w:val="nil"/>
              <w:tr2bl w:val="nil"/>
            </w:tcBorders>
            <w:vAlign w:val="center"/>
          </w:tcPr>
          <w:p w14:paraId="069C6E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lang w:eastAsia="zh-CN"/>
              </w:rPr>
            </w:pPr>
            <w:r>
              <w:rPr>
                <w:rFonts w:hint="default" w:ascii="Times New Roman" w:hAnsi="Times New Roman" w:eastAsia="宋体" w:cs="Times New Roman"/>
                <w:color w:val="auto"/>
                <w:sz w:val="21"/>
                <w:szCs w:val="21"/>
                <w:highlight w:val="none"/>
                <w:lang w:val="en-US" w:eastAsia="zh-CN"/>
              </w:rPr>
              <w:t>无</w:t>
            </w:r>
          </w:p>
        </w:tc>
      </w:tr>
      <w:tr w14:paraId="394E49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826" w:type="pct"/>
            <w:tcBorders>
              <w:tl2br w:val="nil"/>
              <w:tr2bl w:val="nil"/>
            </w:tcBorders>
            <w:vAlign w:val="center"/>
          </w:tcPr>
          <w:p w14:paraId="0F3B14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环境风险防范措施</w:t>
            </w:r>
          </w:p>
        </w:tc>
        <w:tc>
          <w:tcPr>
            <w:tcW w:w="4173" w:type="pct"/>
            <w:gridSpan w:val="4"/>
            <w:tcBorders>
              <w:tl2br w:val="nil"/>
              <w:tr2bl w:val="nil"/>
            </w:tcBorders>
            <w:shd w:val="clear" w:color="auto" w:fill="auto"/>
            <w:vAlign w:val="center"/>
          </w:tcPr>
          <w:p w14:paraId="03B724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eastAsia" w:ascii="宋体" w:hAnsi="宋体" w:eastAsia="宋体" w:cs="宋体"/>
                <w:bCs/>
                <w:color w:val="auto"/>
                <w:kern w:val="2"/>
                <w:sz w:val="21"/>
                <w:szCs w:val="21"/>
                <w:highlight w:val="none"/>
                <w:lang w:val="en-US" w:eastAsia="zh-CN" w:bidi="ar-SA"/>
              </w:rPr>
            </w:pPr>
            <w:r>
              <w:rPr>
                <w:rFonts w:hint="default" w:ascii="Times New Roman" w:hAnsi="Times New Roman" w:eastAsia="宋体" w:cs="Times New Roman"/>
                <w:b w:val="0"/>
                <w:bCs w:val="0"/>
                <w:color w:val="auto"/>
                <w:spacing w:val="0"/>
                <w:sz w:val="21"/>
                <w:szCs w:val="21"/>
              </w:rPr>
              <w:t>①严格划分水厂生产危险区域，根据生产特点，在保证安全、卫生的原则下进行平面布置，并考虑风向因素、安全防护距离。根据加氯间的危险等级，选用相应的防爆电器设备</w:t>
            </w:r>
            <w:r>
              <w:rPr>
                <w:rFonts w:hint="eastAsia" w:ascii="Times New Roman" w:hAnsi="Times New Roman" w:eastAsia="宋体" w:cs="Times New Roman"/>
                <w:b w:val="0"/>
                <w:bCs w:val="0"/>
                <w:color w:val="auto"/>
                <w:spacing w:val="0"/>
                <w:sz w:val="21"/>
                <w:szCs w:val="21"/>
                <w:lang w:eastAsia="zh-CN"/>
              </w:rPr>
              <w:t>；</w:t>
            </w:r>
            <w:r>
              <w:rPr>
                <w:rFonts w:hint="default" w:ascii="Times New Roman" w:hAnsi="Times New Roman" w:eastAsia="宋体" w:cs="Times New Roman"/>
                <w:b w:val="0"/>
                <w:bCs w:val="0"/>
                <w:color w:val="auto"/>
                <w:spacing w:val="0"/>
                <w:sz w:val="21"/>
                <w:szCs w:val="21"/>
              </w:rPr>
              <w:t>②建筑物和构筑物按不同的防火等级和生产特点进行设计，加氯间和仓库采用封闭式建筑，氯化氢储存设施设事故处理系统封闭操作间，并设置机械引风设施和气体处理装置，加强通风排毒，以防氯化氢挥发聚集</w:t>
            </w:r>
            <w:r>
              <w:rPr>
                <w:rFonts w:hint="eastAsia" w:ascii="Times New Roman" w:hAnsi="Times New Roman" w:eastAsia="宋体" w:cs="Times New Roman"/>
                <w:b w:val="0"/>
                <w:bCs w:val="0"/>
                <w:color w:val="auto"/>
                <w:spacing w:val="0"/>
                <w:sz w:val="21"/>
                <w:szCs w:val="21"/>
                <w:lang w:eastAsia="zh-CN"/>
              </w:rPr>
              <w:t>；</w:t>
            </w:r>
            <w:r>
              <w:rPr>
                <w:rFonts w:hint="default" w:ascii="Times New Roman" w:hAnsi="Times New Roman" w:eastAsia="宋体" w:cs="Times New Roman"/>
                <w:b w:val="0"/>
                <w:bCs w:val="0"/>
                <w:color w:val="auto"/>
                <w:spacing w:val="0"/>
                <w:sz w:val="21"/>
                <w:szCs w:val="21"/>
              </w:rPr>
              <w:t>③加氯间内增设液氯吸收中和装置，发生恶性泄漏事故时使用。在加氯间内设有轴流风机，每天定时进行通风。设有检测报警仪并与氯化氢吸收中和装置联动。当发生泄漏事故时检测仪报警，PLC自动启动吸收中和装置，将泄漏出的液氯进行中和处理。加氯间设计中充分考虑事故发生时，能顺利地安全疏散和撤离</w:t>
            </w:r>
            <w:r>
              <w:rPr>
                <w:rFonts w:hint="eastAsia" w:ascii="Times New Roman" w:hAnsi="Times New Roman" w:eastAsia="宋体" w:cs="Times New Roman"/>
                <w:b w:val="0"/>
                <w:bCs w:val="0"/>
                <w:color w:val="auto"/>
                <w:spacing w:val="0"/>
                <w:sz w:val="21"/>
                <w:szCs w:val="21"/>
                <w:lang w:eastAsia="zh-CN"/>
              </w:rPr>
              <w:t>；</w:t>
            </w:r>
            <w:r>
              <w:rPr>
                <w:rFonts w:hint="default" w:ascii="Times New Roman" w:hAnsi="Times New Roman" w:eastAsia="宋体" w:cs="Times New Roman"/>
                <w:b w:val="0"/>
                <w:bCs w:val="0"/>
                <w:color w:val="auto"/>
                <w:spacing w:val="0"/>
                <w:sz w:val="21"/>
                <w:szCs w:val="21"/>
              </w:rPr>
              <w:t>④严格执行操作规程，坚守岗位，密切注视加氯设备的工艺参数变化，发现异常应及时报告，并采取行之有效的措施</w:t>
            </w:r>
            <w:r>
              <w:rPr>
                <w:rFonts w:hint="eastAsia" w:ascii="Times New Roman" w:hAnsi="Times New Roman" w:eastAsia="宋体" w:cs="Times New Roman"/>
                <w:b w:val="0"/>
                <w:bCs w:val="0"/>
                <w:color w:val="auto"/>
                <w:spacing w:val="0"/>
                <w:sz w:val="21"/>
                <w:szCs w:val="21"/>
                <w:lang w:eastAsia="zh-CN"/>
              </w:rPr>
              <w:t>；</w:t>
            </w:r>
            <w:r>
              <w:rPr>
                <w:rFonts w:hint="default" w:ascii="Times New Roman" w:hAnsi="Times New Roman" w:eastAsia="宋体" w:cs="Times New Roman"/>
                <w:b w:val="0"/>
                <w:bCs w:val="0"/>
                <w:color w:val="auto"/>
                <w:spacing w:val="0"/>
                <w:sz w:val="21"/>
                <w:szCs w:val="21"/>
              </w:rPr>
              <w:t>⑤操作中加强巡回检查，对出现的</w:t>
            </w:r>
            <w:r>
              <w:rPr>
                <w:rFonts w:hint="default" w:ascii="Times New Roman" w:hAnsi="Times New Roman" w:eastAsia="宋体" w:cs="Times New Roman"/>
                <w:b w:val="0"/>
                <w:bCs w:val="0"/>
                <w:color w:val="auto"/>
                <w:spacing w:val="0"/>
                <w:sz w:val="21"/>
                <w:szCs w:val="21"/>
                <w:lang w:eastAsia="zh-CN"/>
              </w:rPr>
              <w:t>泄漏</w:t>
            </w:r>
            <w:r>
              <w:rPr>
                <w:rFonts w:hint="default" w:ascii="Times New Roman" w:hAnsi="Times New Roman" w:eastAsia="宋体" w:cs="Times New Roman"/>
                <w:b w:val="0"/>
                <w:bCs w:val="0"/>
                <w:color w:val="auto"/>
                <w:spacing w:val="0"/>
                <w:sz w:val="21"/>
                <w:szCs w:val="21"/>
              </w:rPr>
              <w:t>，及时发现立即清除，暂时不能清除的要采取有效的应急措施，以免扩大或发生灾难性的事故。</w:t>
            </w:r>
            <w:r>
              <w:rPr>
                <w:rFonts w:hint="default" w:ascii="Times New Roman" w:hAnsi="Times New Roman" w:eastAsia="宋体" w:cs="Times New Roman"/>
                <w:color w:val="auto"/>
                <w:spacing w:val="0"/>
                <w:sz w:val="21"/>
                <w:szCs w:val="21"/>
              </w:rPr>
              <w:t>加氯间配备有防毒防毒面具、氧气呼吸器及防护衣、眼镜、防护靴及防 护手套等个人防护用具，在有可能接触毒性物质的场所就近设置水龙头、安全淋 浴和洗眼器，以便灼烧时能及时自救</w:t>
            </w:r>
            <w:r>
              <w:rPr>
                <w:rFonts w:hint="eastAsia" w:ascii="Times New Roman" w:hAnsi="Times New Roman" w:eastAsia="宋体" w:cs="Times New Roman"/>
                <w:color w:val="auto"/>
                <w:spacing w:val="0"/>
                <w:sz w:val="21"/>
                <w:szCs w:val="21"/>
                <w:lang w:eastAsia="zh-CN"/>
              </w:rPr>
              <w:t>；</w:t>
            </w:r>
            <w:r>
              <w:rPr>
                <w:rFonts w:hint="default" w:ascii="Times New Roman" w:hAnsi="Times New Roman" w:eastAsia="宋体" w:cs="Times New Roman"/>
                <w:b w:val="0"/>
                <w:bCs w:val="0"/>
                <w:color w:val="auto"/>
                <w:spacing w:val="0"/>
                <w:sz w:val="21"/>
                <w:szCs w:val="21"/>
              </w:rPr>
              <w:t>⑥如在运输途中发生重大事故，造成车辆严重损坏，液氯大量外流时，应首先通知净水厂救援指挥部，立即组织抢险队用最快速度到达现场进行处理。在通知净水厂的同时，还应对污染区内其他人员进行疏散，禁止靠近事故发生区。在处理事故同时，还应和有关部门取得联系，进行抢救伤员等事项</w:t>
            </w:r>
            <w:r>
              <w:rPr>
                <w:rFonts w:hint="eastAsia" w:ascii="Times New Roman" w:hAnsi="Times New Roman" w:eastAsia="宋体" w:cs="Times New Roman"/>
                <w:b w:val="0"/>
                <w:bCs w:val="0"/>
                <w:color w:val="auto"/>
                <w:spacing w:val="0"/>
                <w:sz w:val="21"/>
                <w:szCs w:val="21"/>
                <w:lang w:eastAsia="zh-CN"/>
              </w:rPr>
              <w:t>；</w:t>
            </w:r>
            <w:r>
              <w:rPr>
                <w:rFonts w:hint="default" w:ascii="Times New Roman" w:hAnsi="Times New Roman" w:eastAsia="宋体" w:cs="Times New Roman"/>
                <w:color w:val="auto"/>
                <w:spacing w:val="0"/>
                <w:sz w:val="21"/>
                <w:szCs w:val="21"/>
                <w:highlight w:val="none"/>
                <w:lang w:eastAsia="zh-CN"/>
              </w:rPr>
              <w:t>⑦环境风险应急预案</w:t>
            </w:r>
            <w:r>
              <w:rPr>
                <w:rFonts w:hint="eastAsia"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lang w:eastAsia="zh-CN"/>
              </w:rPr>
              <w:t>风险事故应急预案是在贯彻预防为主的前提下，对建设项目可能出现事故，为及时控制危害源，抢救受害人员，指导居民防护和组织撤离，消除危害后果而组织的救援活动的预想方案，需要建设单位和社会救援的相结合。</w:t>
            </w:r>
          </w:p>
        </w:tc>
      </w:tr>
      <w:tr w14:paraId="453DC8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6" w:hRule="atLeast"/>
          <w:jc w:val="center"/>
        </w:trPr>
        <w:tc>
          <w:tcPr>
            <w:tcW w:w="826" w:type="pct"/>
            <w:tcBorders>
              <w:tl2br w:val="nil"/>
              <w:tr2bl w:val="nil"/>
            </w:tcBorders>
            <w:vAlign w:val="center"/>
          </w:tcPr>
          <w:p w14:paraId="28F8A9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1"/>
                <w:sz w:val="21"/>
                <w:szCs w:val="21"/>
                <w:highlight w:val="none"/>
              </w:rPr>
            </w:pPr>
            <w:r>
              <w:rPr>
                <w:rFonts w:hint="default" w:ascii="Times New Roman" w:hAnsi="Times New Roman" w:eastAsia="宋体" w:cs="Times New Roman"/>
                <w:color w:val="auto"/>
                <w:kern w:val="21"/>
                <w:sz w:val="21"/>
                <w:szCs w:val="21"/>
                <w:highlight w:val="none"/>
              </w:rPr>
              <w:t>其他环境管理要求</w:t>
            </w:r>
          </w:p>
        </w:tc>
        <w:tc>
          <w:tcPr>
            <w:tcW w:w="4173" w:type="pct"/>
            <w:gridSpan w:val="4"/>
            <w:tcBorders>
              <w:tl2br w:val="nil"/>
              <w:tr2bl w:val="nil"/>
            </w:tcBorders>
            <w:vAlign w:val="center"/>
          </w:tcPr>
          <w:p w14:paraId="63BA21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color w:val="auto"/>
                <w:highlight w:val="none"/>
                <w:lang w:val="en-US" w:eastAsia="zh-CN"/>
              </w:rPr>
            </w:pPr>
            <w:r>
              <w:rPr>
                <w:rFonts w:hint="eastAsia" w:ascii="Times New Roman" w:hAnsi="Times New Roman" w:eastAsia="宋体" w:cs="Times New Roman"/>
                <w:color w:val="auto"/>
                <w:sz w:val="21"/>
                <w:szCs w:val="21"/>
                <w:highlight w:val="none"/>
                <w:lang w:val="en-US" w:eastAsia="zh-CN"/>
              </w:rPr>
              <w:t>根据</w:t>
            </w:r>
            <w:r>
              <w:rPr>
                <w:rFonts w:hint="default" w:ascii="Times New Roman" w:hAnsi="Times New Roman" w:eastAsia="宋体" w:cs="Times New Roman"/>
                <w:color w:val="auto"/>
                <w:sz w:val="21"/>
                <w:szCs w:val="21"/>
                <w:highlight w:val="none"/>
              </w:rPr>
              <w:t>《固定污染源排污许可分类管理名录（2019年版）》</w:t>
            </w:r>
            <w:r>
              <w:rPr>
                <w:rFonts w:hint="eastAsia" w:ascii="Times New Roman" w:hAnsi="Times New Roman" w:eastAsia="宋体" w:cs="Times New Roman"/>
                <w:color w:val="auto"/>
                <w:sz w:val="21"/>
                <w:szCs w:val="21"/>
                <w:highlight w:val="none"/>
                <w:lang w:eastAsia="zh-CN"/>
              </w:rPr>
              <w:t>，</w:t>
            </w:r>
            <w:r>
              <w:rPr>
                <w:rFonts w:hint="eastAsia" w:cs="Times New Roman"/>
                <w:color w:val="auto"/>
                <w:sz w:val="21"/>
                <w:szCs w:val="21"/>
                <w:highlight w:val="none"/>
                <w:lang w:val="en-US" w:eastAsia="zh-CN"/>
              </w:rPr>
              <w:t>本项目建成后属于实施排污登记管理行业，投产运行前需重新申请排污登记</w:t>
            </w:r>
            <w:r>
              <w:rPr>
                <w:rFonts w:hint="default" w:ascii="Times New Roman" w:hAnsi="Times New Roman" w:eastAsia="宋体" w:cs="Times New Roman"/>
                <w:color w:val="auto"/>
                <w:sz w:val="21"/>
                <w:szCs w:val="21"/>
                <w:highlight w:val="none"/>
              </w:rPr>
              <w:t>。工作区内需指定专门的人员</w:t>
            </w:r>
            <w:r>
              <w:rPr>
                <w:rFonts w:hint="eastAsia" w:ascii="宋体" w:hAnsi="宋体" w:eastAsia="宋体" w:cs="宋体"/>
                <w:color w:val="auto"/>
                <w:sz w:val="21"/>
                <w:szCs w:val="21"/>
                <w:highlight w:val="none"/>
              </w:rPr>
              <w:t>，保证项目运营时三废均能得到有效处理后达标排放。在日常生产中，应加强环保管理，大力推行清洁生产，并加强职工对污染要“</w:t>
            </w:r>
            <w:r>
              <w:rPr>
                <w:rFonts w:hint="eastAsia" w:ascii="宋体" w:hAnsi="宋体" w:cs="宋体"/>
                <w:color w:val="auto"/>
                <w:sz w:val="21"/>
                <w:szCs w:val="21"/>
                <w:highlight w:val="none"/>
                <w:lang w:eastAsia="zh-CN"/>
              </w:rPr>
              <w:t>预防为主</w:t>
            </w:r>
            <w:r>
              <w:rPr>
                <w:rFonts w:hint="eastAsia" w:ascii="宋体" w:hAnsi="宋体" w:eastAsia="宋体" w:cs="宋体"/>
                <w:color w:val="auto"/>
                <w:sz w:val="21"/>
                <w:szCs w:val="21"/>
                <w:highlight w:val="none"/>
              </w:rPr>
              <w:t>，防治结合”的认识。另外，应加强对设备运行状况的检查，特别是环保设</w:t>
            </w:r>
            <w:r>
              <w:rPr>
                <w:rFonts w:hint="default" w:ascii="Times New Roman" w:hAnsi="Times New Roman" w:eastAsia="宋体" w:cs="Times New Roman"/>
                <w:color w:val="auto"/>
                <w:sz w:val="21"/>
                <w:szCs w:val="21"/>
                <w:highlight w:val="none"/>
              </w:rPr>
              <w:t>施要做到定期检查，制定检查方案与实施计划，严防出故障，对三废处理装置要定期检修，以确保污染物达标排放。按照相关要求，对排污口进行规范化管理，在正确的排放点位设置标识，以便进行规范化管理</w:t>
            </w:r>
            <w:r>
              <w:rPr>
                <w:rFonts w:hint="eastAsia" w:cs="Times New Roman"/>
                <w:color w:val="auto"/>
                <w:sz w:val="21"/>
                <w:szCs w:val="21"/>
                <w:highlight w:val="none"/>
                <w:lang w:eastAsia="zh-CN"/>
              </w:rPr>
              <w:t>。</w:t>
            </w:r>
          </w:p>
        </w:tc>
      </w:tr>
    </w:tbl>
    <w:p w14:paraId="76BCBEC9">
      <w:pPr>
        <w:pStyle w:val="30"/>
        <w:spacing w:before="0" w:beforeAutospacing="0" w:after="158" w:afterLines="50" w:afterAutospacing="0"/>
        <w:jc w:val="center"/>
        <w:outlineLvl w:val="0"/>
        <w:rPr>
          <w:rFonts w:hint="default" w:ascii="Times New Roman" w:hAnsi="Times New Roman" w:eastAsia="黑体" w:cs="Times New Roman"/>
          <w:snapToGrid w:val="0"/>
          <w:color w:val="auto"/>
          <w:kern w:val="21"/>
          <w:sz w:val="30"/>
          <w:szCs w:val="30"/>
          <w:highlight w:val="none"/>
        </w:rPr>
      </w:pPr>
      <w:r>
        <w:rPr>
          <w:rFonts w:hint="default" w:ascii="Times New Roman" w:hAnsi="Times New Roman" w:eastAsia="黑体" w:cs="Times New Roman"/>
          <w:snapToGrid w:val="0"/>
          <w:color w:val="auto"/>
          <w:sz w:val="30"/>
          <w:szCs w:val="30"/>
          <w:highlight w:val="none"/>
        </w:rPr>
        <w:br w:type="page"/>
      </w:r>
      <w:bookmarkStart w:id="23" w:name="_Toc19724"/>
      <w:r>
        <w:rPr>
          <w:rFonts w:hint="default" w:ascii="Times New Roman" w:hAnsi="Times New Roman" w:eastAsia="黑体" w:cs="Times New Roman"/>
          <w:snapToGrid w:val="0"/>
          <w:color w:val="auto"/>
          <w:kern w:val="21"/>
          <w:sz w:val="30"/>
          <w:szCs w:val="30"/>
          <w:highlight w:val="none"/>
        </w:rPr>
        <w:t>六、结论</w:t>
      </w:r>
      <w:bookmarkEnd w:id="23"/>
    </w:p>
    <w:tbl>
      <w:tblPr>
        <w:tblStyle w:val="35"/>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003"/>
      </w:tblGrid>
      <w:tr w14:paraId="15781B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66" w:hRule="atLeast"/>
          <w:jc w:val="center"/>
        </w:trPr>
        <w:tc>
          <w:tcPr>
            <w:tcW w:w="5000" w:type="pct"/>
            <w:vAlign w:val="center"/>
          </w:tcPr>
          <w:p w14:paraId="3B55E6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default" w:ascii="Times New Roman" w:hAnsi="Times New Roman" w:cs="Times New Roman"/>
                <w:color w:val="auto"/>
                <w:szCs w:val="21"/>
                <w:highlight w:val="none"/>
              </w:rPr>
            </w:pPr>
            <w:r>
              <w:rPr>
                <w:rFonts w:hint="eastAsia"/>
                <w:color w:val="auto"/>
                <w:szCs w:val="21"/>
                <w:highlight w:val="none"/>
              </w:rPr>
              <w:t>本</w:t>
            </w:r>
            <w:r>
              <w:rPr>
                <w:rFonts w:hint="default"/>
                <w:color w:val="auto"/>
                <w:szCs w:val="21"/>
                <w:highlight w:val="none"/>
              </w:rPr>
              <w:t>项目符合国家产业政策，环保治理措施技术可行、污染物达标排放。企业在</w:t>
            </w:r>
            <w:r>
              <w:rPr>
                <w:rFonts w:hint="eastAsia"/>
                <w:color w:val="auto"/>
                <w:szCs w:val="21"/>
                <w:highlight w:val="none"/>
                <w:lang w:eastAsia="zh-CN"/>
              </w:rPr>
              <w:t>切实落实</w:t>
            </w:r>
            <w:r>
              <w:rPr>
                <w:rFonts w:hint="default"/>
                <w:color w:val="auto"/>
                <w:szCs w:val="21"/>
                <w:highlight w:val="none"/>
              </w:rPr>
              <w:t>各项治理措施的情况下，在环保方面是可行的。</w:t>
            </w:r>
          </w:p>
        </w:tc>
      </w:tr>
    </w:tbl>
    <w:p w14:paraId="576DF082">
      <w:pPr>
        <w:pStyle w:val="30"/>
        <w:spacing w:before="0" w:beforeAutospacing="0" w:after="158" w:afterLines="50" w:afterAutospacing="0"/>
        <w:outlineLvl w:val="0"/>
        <w:rPr>
          <w:rFonts w:hint="default" w:ascii="Times New Roman" w:hAnsi="Times New Roman" w:eastAsia="黑体" w:cs="Times New Roman"/>
          <w:snapToGrid w:val="0"/>
          <w:color w:val="auto"/>
          <w:sz w:val="32"/>
          <w:szCs w:val="32"/>
          <w:highlight w:val="none"/>
        </w:rPr>
        <w:sectPr>
          <w:footerReference r:id="rId5" w:type="default"/>
          <w:pgSz w:w="11849" w:h="16781"/>
          <w:pgMar w:top="1497" w:right="1531" w:bottom="1701" w:left="1531" w:header="851" w:footer="1077" w:gutter="0"/>
          <w:pgBorders>
            <w:top w:val="none" w:sz="0" w:space="0"/>
            <w:left w:val="none" w:sz="0" w:space="0"/>
            <w:bottom w:val="none" w:sz="0" w:space="0"/>
            <w:right w:val="none" w:sz="0" w:space="0"/>
          </w:pgBorders>
          <w:pgNumType w:fmt="numberInDash"/>
          <w:cols w:space="0" w:num="1"/>
          <w:docGrid w:type="lines" w:linePitch="316" w:charSpace="0"/>
        </w:sectPr>
      </w:pPr>
    </w:p>
    <w:p w14:paraId="4A917AD4">
      <w:pPr>
        <w:pStyle w:val="30"/>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outlineLvl w:val="0"/>
        <w:rPr>
          <w:rFonts w:hint="default" w:ascii="Times New Roman" w:hAnsi="Times New Roman" w:eastAsia="黑体" w:cs="Times New Roman"/>
          <w:snapToGrid w:val="0"/>
          <w:color w:val="auto"/>
          <w:kern w:val="21"/>
          <w:sz w:val="30"/>
          <w:szCs w:val="30"/>
          <w:highlight w:val="none"/>
        </w:rPr>
      </w:pPr>
      <w:bookmarkStart w:id="24" w:name="_Toc17733"/>
      <w:r>
        <w:rPr>
          <w:rFonts w:hint="default" w:ascii="Times New Roman" w:hAnsi="Times New Roman" w:eastAsia="黑体" w:cs="Times New Roman"/>
          <w:snapToGrid w:val="0"/>
          <w:color w:val="auto"/>
          <w:kern w:val="21"/>
          <w:sz w:val="30"/>
          <w:szCs w:val="30"/>
          <w:highlight w:val="none"/>
        </w:rPr>
        <w:t>附表</w:t>
      </w:r>
      <w:bookmarkEnd w:id="24"/>
    </w:p>
    <w:p w14:paraId="6BEAD17E">
      <w:pPr>
        <w:pStyle w:val="30"/>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rPr>
          <w:rFonts w:hint="eastAsia" w:ascii="Times New Roman" w:hAnsi="Times New Roman" w:eastAsia="黑体" w:cs="Times New Roman"/>
          <w:snapToGrid w:val="0"/>
          <w:color w:val="auto"/>
          <w:kern w:val="21"/>
          <w:sz w:val="30"/>
          <w:szCs w:val="38"/>
          <w:highlight w:val="none"/>
          <w:lang w:eastAsia="zh-CN"/>
        </w:rPr>
      </w:pPr>
      <w:r>
        <w:rPr>
          <w:rFonts w:hint="default" w:ascii="Times New Roman" w:hAnsi="Times New Roman" w:eastAsia="黑体" w:cs="Times New Roman"/>
          <w:snapToGrid w:val="0"/>
          <w:color w:val="auto"/>
          <w:kern w:val="21"/>
          <w:sz w:val="30"/>
          <w:szCs w:val="38"/>
          <w:highlight w:val="none"/>
        </w:rPr>
        <w:t>建设项目污染物排放量汇总表</w:t>
      </w:r>
    </w:p>
    <w:tbl>
      <w:tblPr>
        <w:tblStyle w:val="35"/>
        <w:tblW w:w="137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17"/>
        <w:gridCol w:w="2697"/>
        <w:gridCol w:w="1364"/>
        <w:gridCol w:w="1296"/>
        <w:gridCol w:w="1409"/>
        <w:gridCol w:w="1559"/>
        <w:gridCol w:w="1535"/>
        <w:gridCol w:w="1594"/>
        <w:gridCol w:w="1417"/>
      </w:tblGrid>
      <w:tr w14:paraId="4F7FA7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917" w:type="dxa"/>
            <w:tcBorders>
              <w:tl2br w:val="single" w:color="auto" w:sz="4" w:space="0"/>
            </w:tcBorders>
            <w:tcMar>
              <w:left w:w="28" w:type="dxa"/>
              <w:right w:w="28" w:type="dxa"/>
            </w:tcMar>
            <w:vAlign w:val="center"/>
          </w:tcPr>
          <w:p w14:paraId="54AA0208">
            <w:pPr>
              <w:pStyle w:val="70"/>
              <w:keepNext w:val="0"/>
              <w:keepLines w:val="0"/>
              <w:suppressLineNumbers w:val="0"/>
              <w:spacing w:before="0" w:beforeLines="0" w:beforeAutospacing="0" w:after="0" w:afterLines="0" w:afterAutospacing="0" w:line="240" w:lineRule="auto"/>
              <w:ind w:left="0" w:right="0" w:firstLine="0" w:firstLineChars="0"/>
              <w:jc w:val="right"/>
              <w:rPr>
                <w:rFonts w:hint="default" w:ascii="Times New Roman" w:hAnsi="Times New Roman" w:eastAsia="黑体" w:cs="Times New Roman"/>
                <w:snapToGrid w:val="0"/>
                <w:color w:val="auto"/>
                <w:spacing w:val="-6"/>
                <w:kern w:val="21"/>
                <w:sz w:val="21"/>
                <w:szCs w:val="21"/>
                <w:highlight w:val="none"/>
              </w:rPr>
            </w:pPr>
            <w:r>
              <w:rPr>
                <w:rFonts w:hint="default" w:ascii="Times New Roman" w:hAnsi="Times New Roman" w:eastAsia="黑体" w:cs="Times New Roman"/>
                <w:snapToGrid w:val="0"/>
                <w:color w:val="auto"/>
                <w:spacing w:val="-6"/>
                <w:kern w:val="21"/>
                <w:sz w:val="21"/>
                <w:szCs w:val="21"/>
                <w:highlight w:val="none"/>
              </w:rPr>
              <w:t>项目</w:t>
            </w:r>
          </w:p>
          <w:p w14:paraId="6DF592AD">
            <w:pPr>
              <w:pStyle w:val="70"/>
              <w:keepNext w:val="0"/>
              <w:keepLines w:val="0"/>
              <w:suppressLineNumbers w:val="0"/>
              <w:spacing w:before="0" w:beforeLines="0" w:beforeAutospacing="0" w:after="0" w:afterLines="0" w:afterAutospacing="0" w:line="240" w:lineRule="auto"/>
              <w:ind w:left="0" w:right="0" w:firstLine="0" w:firstLineChars="0"/>
              <w:jc w:val="both"/>
              <w:rPr>
                <w:rFonts w:hint="default" w:ascii="Times New Roman" w:hAnsi="Times New Roman" w:eastAsia="黑体" w:cs="Times New Roman"/>
                <w:snapToGrid w:val="0"/>
                <w:color w:val="auto"/>
                <w:spacing w:val="-6"/>
                <w:kern w:val="21"/>
                <w:sz w:val="21"/>
                <w:szCs w:val="21"/>
                <w:highlight w:val="none"/>
              </w:rPr>
            </w:pPr>
            <w:r>
              <w:rPr>
                <w:rFonts w:hint="default" w:ascii="Times New Roman" w:hAnsi="Times New Roman" w:eastAsia="黑体" w:cs="Times New Roman"/>
                <w:snapToGrid w:val="0"/>
                <w:color w:val="auto"/>
                <w:spacing w:val="-6"/>
                <w:kern w:val="21"/>
                <w:sz w:val="21"/>
                <w:szCs w:val="21"/>
                <w:highlight w:val="none"/>
              </w:rPr>
              <w:t>分类</w:t>
            </w:r>
          </w:p>
        </w:tc>
        <w:tc>
          <w:tcPr>
            <w:tcW w:w="2697" w:type="dxa"/>
            <w:tcMar>
              <w:left w:w="28" w:type="dxa"/>
              <w:right w:w="28" w:type="dxa"/>
            </w:tcMar>
            <w:vAlign w:val="center"/>
          </w:tcPr>
          <w:p w14:paraId="7ACB5B45">
            <w:pPr>
              <w:pStyle w:val="70"/>
              <w:keepNext w:val="0"/>
              <w:keepLines w:val="0"/>
              <w:suppressLineNumbers w:val="0"/>
              <w:spacing w:before="0" w:beforeLines="0" w:beforeAutospacing="0" w:after="0" w:afterLines="0" w:afterAutospacing="0" w:line="240" w:lineRule="auto"/>
              <w:ind w:left="0" w:right="0" w:firstLine="0" w:firstLineChars="0"/>
              <w:rPr>
                <w:rFonts w:hint="default" w:ascii="Times New Roman" w:hAnsi="Times New Roman" w:eastAsia="黑体" w:cs="Times New Roman"/>
                <w:snapToGrid w:val="0"/>
                <w:color w:val="auto"/>
                <w:spacing w:val="-6"/>
                <w:kern w:val="21"/>
                <w:sz w:val="21"/>
                <w:szCs w:val="21"/>
                <w:highlight w:val="none"/>
              </w:rPr>
            </w:pPr>
            <w:r>
              <w:rPr>
                <w:rFonts w:hint="default" w:ascii="Times New Roman" w:hAnsi="Times New Roman" w:eastAsia="黑体" w:cs="Times New Roman"/>
                <w:snapToGrid w:val="0"/>
                <w:color w:val="auto"/>
                <w:spacing w:val="-6"/>
                <w:kern w:val="21"/>
                <w:sz w:val="21"/>
                <w:szCs w:val="21"/>
                <w:highlight w:val="none"/>
              </w:rPr>
              <w:t>污染物名称</w:t>
            </w:r>
          </w:p>
        </w:tc>
        <w:tc>
          <w:tcPr>
            <w:tcW w:w="1364" w:type="dxa"/>
            <w:tcMar>
              <w:left w:w="28" w:type="dxa"/>
              <w:right w:w="28" w:type="dxa"/>
            </w:tcMar>
            <w:vAlign w:val="center"/>
          </w:tcPr>
          <w:p w14:paraId="55293CF9">
            <w:pPr>
              <w:pStyle w:val="70"/>
              <w:keepNext w:val="0"/>
              <w:keepLines w:val="0"/>
              <w:suppressLineNumbers w:val="0"/>
              <w:spacing w:before="0" w:beforeLines="0" w:beforeAutospacing="0" w:after="0" w:afterLines="0" w:afterAutospacing="0" w:line="240" w:lineRule="auto"/>
              <w:ind w:left="0" w:right="0" w:firstLine="0" w:firstLineChars="0"/>
              <w:rPr>
                <w:rFonts w:hint="default" w:ascii="Times New Roman" w:hAnsi="Times New Roman" w:eastAsia="黑体" w:cs="Times New Roman"/>
                <w:snapToGrid w:val="0"/>
                <w:color w:val="auto"/>
                <w:spacing w:val="-6"/>
                <w:kern w:val="21"/>
                <w:sz w:val="21"/>
                <w:szCs w:val="21"/>
                <w:highlight w:val="none"/>
              </w:rPr>
            </w:pPr>
            <w:r>
              <w:rPr>
                <w:rFonts w:hint="default" w:ascii="Times New Roman" w:hAnsi="Times New Roman" w:eastAsia="黑体" w:cs="Times New Roman"/>
                <w:snapToGrid w:val="0"/>
                <w:color w:val="auto"/>
                <w:spacing w:val="-6"/>
                <w:kern w:val="21"/>
                <w:sz w:val="21"/>
                <w:szCs w:val="21"/>
                <w:highlight w:val="none"/>
              </w:rPr>
              <w:t>现有工程</w:t>
            </w:r>
          </w:p>
          <w:p w14:paraId="25364AFD">
            <w:pPr>
              <w:pStyle w:val="70"/>
              <w:keepNext w:val="0"/>
              <w:keepLines w:val="0"/>
              <w:suppressLineNumbers w:val="0"/>
              <w:spacing w:before="0" w:beforeLines="0" w:beforeAutospacing="0" w:after="0" w:afterLines="0" w:afterAutospacing="0" w:line="240" w:lineRule="auto"/>
              <w:ind w:left="0" w:right="0" w:firstLine="0" w:firstLineChars="0"/>
              <w:rPr>
                <w:rFonts w:hint="default" w:ascii="Times New Roman" w:hAnsi="Times New Roman" w:eastAsia="黑体" w:cs="Times New Roman"/>
                <w:snapToGrid w:val="0"/>
                <w:color w:val="auto"/>
                <w:spacing w:val="-6"/>
                <w:kern w:val="21"/>
                <w:sz w:val="21"/>
                <w:szCs w:val="21"/>
                <w:highlight w:val="none"/>
              </w:rPr>
            </w:pPr>
            <w:r>
              <w:rPr>
                <w:rFonts w:hint="default" w:ascii="Times New Roman" w:hAnsi="Times New Roman" w:eastAsia="黑体" w:cs="Times New Roman"/>
                <w:snapToGrid w:val="0"/>
                <w:color w:val="auto"/>
                <w:spacing w:val="-6"/>
                <w:kern w:val="21"/>
                <w:sz w:val="21"/>
                <w:szCs w:val="21"/>
                <w:highlight w:val="none"/>
              </w:rPr>
              <w:t>排放量（固体废物产生量）</w:t>
            </w:r>
            <w:r>
              <w:rPr>
                <w:rFonts w:hint="default" w:ascii="Times New Roman" w:hAnsi="Times New Roman" w:eastAsia="黑体" w:cs="Times New Roman"/>
                <w:snapToGrid w:val="0"/>
                <w:color w:val="auto"/>
                <w:spacing w:val="-6"/>
                <w:kern w:val="21"/>
                <w:sz w:val="21"/>
                <w:szCs w:val="21"/>
                <w:highlight w:val="none"/>
              </w:rPr>
              <w:fldChar w:fldCharType="begin"/>
            </w:r>
            <w:r>
              <w:rPr>
                <w:rFonts w:hint="default" w:ascii="Times New Roman" w:hAnsi="Times New Roman" w:eastAsia="黑体" w:cs="Times New Roman"/>
                <w:snapToGrid w:val="0"/>
                <w:color w:val="auto"/>
                <w:spacing w:val="-6"/>
                <w:kern w:val="21"/>
                <w:sz w:val="21"/>
                <w:szCs w:val="21"/>
                <w:highlight w:val="none"/>
              </w:rPr>
              <w:instrText xml:space="preserve"> = 1 \* GB3 \* MERGEFORMAT </w:instrText>
            </w:r>
            <w:r>
              <w:rPr>
                <w:rFonts w:hint="default" w:ascii="Times New Roman" w:hAnsi="Times New Roman" w:eastAsia="黑体" w:cs="Times New Roman"/>
                <w:snapToGrid w:val="0"/>
                <w:color w:val="auto"/>
                <w:spacing w:val="-6"/>
                <w:kern w:val="21"/>
                <w:sz w:val="21"/>
                <w:szCs w:val="21"/>
                <w:highlight w:val="none"/>
              </w:rPr>
              <w:fldChar w:fldCharType="separate"/>
            </w:r>
            <w:r>
              <w:rPr>
                <w:rFonts w:hint="default" w:ascii="Times New Roman" w:hAnsi="Times New Roman" w:eastAsia="黑体" w:cs="Times New Roman"/>
                <w:color w:val="auto"/>
                <w:kern w:val="2"/>
                <w:sz w:val="21"/>
                <w:szCs w:val="21"/>
                <w:highlight w:val="none"/>
              </w:rPr>
              <w:t>①</w:t>
            </w:r>
            <w:r>
              <w:rPr>
                <w:rFonts w:hint="default" w:ascii="Times New Roman" w:hAnsi="Times New Roman" w:eastAsia="黑体" w:cs="Times New Roman"/>
                <w:snapToGrid w:val="0"/>
                <w:color w:val="auto"/>
                <w:spacing w:val="-6"/>
                <w:kern w:val="21"/>
                <w:sz w:val="21"/>
                <w:szCs w:val="21"/>
                <w:highlight w:val="none"/>
              </w:rPr>
              <w:fldChar w:fldCharType="end"/>
            </w:r>
          </w:p>
        </w:tc>
        <w:tc>
          <w:tcPr>
            <w:tcW w:w="1296" w:type="dxa"/>
            <w:tcMar>
              <w:left w:w="28" w:type="dxa"/>
              <w:right w:w="28" w:type="dxa"/>
            </w:tcMar>
            <w:vAlign w:val="center"/>
          </w:tcPr>
          <w:p w14:paraId="54155B8D">
            <w:pPr>
              <w:pStyle w:val="70"/>
              <w:keepNext w:val="0"/>
              <w:keepLines w:val="0"/>
              <w:suppressLineNumbers w:val="0"/>
              <w:spacing w:before="0" w:beforeLines="0" w:beforeAutospacing="0" w:after="0" w:afterLines="0" w:afterAutospacing="0" w:line="240" w:lineRule="auto"/>
              <w:ind w:left="0" w:right="0" w:firstLine="0" w:firstLineChars="0"/>
              <w:rPr>
                <w:rFonts w:hint="default" w:ascii="Times New Roman" w:hAnsi="Times New Roman" w:eastAsia="黑体" w:cs="Times New Roman"/>
                <w:snapToGrid w:val="0"/>
                <w:color w:val="auto"/>
                <w:spacing w:val="-6"/>
                <w:kern w:val="21"/>
                <w:sz w:val="21"/>
                <w:szCs w:val="21"/>
                <w:highlight w:val="none"/>
              </w:rPr>
            </w:pPr>
            <w:r>
              <w:rPr>
                <w:rFonts w:hint="default" w:ascii="Times New Roman" w:hAnsi="Times New Roman" w:eastAsia="黑体" w:cs="Times New Roman"/>
                <w:snapToGrid w:val="0"/>
                <w:color w:val="auto"/>
                <w:spacing w:val="-6"/>
                <w:kern w:val="21"/>
                <w:sz w:val="21"/>
                <w:szCs w:val="21"/>
                <w:highlight w:val="none"/>
              </w:rPr>
              <w:t>现有工程</w:t>
            </w:r>
          </w:p>
          <w:p w14:paraId="65477B63">
            <w:pPr>
              <w:pStyle w:val="70"/>
              <w:keepNext w:val="0"/>
              <w:keepLines w:val="0"/>
              <w:suppressLineNumbers w:val="0"/>
              <w:spacing w:before="0" w:beforeLines="0" w:beforeAutospacing="0" w:after="0" w:afterLines="0" w:afterAutospacing="0" w:line="240" w:lineRule="auto"/>
              <w:ind w:left="0" w:right="0" w:firstLine="0" w:firstLineChars="0"/>
              <w:rPr>
                <w:rFonts w:hint="default" w:ascii="Times New Roman" w:hAnsi="Times New Roman" w:eastAsia="黑体" w:cs="Times New Roman"/>
                <w:snapToGrid w:val="0"/>
                <w:color w:val="auto"/>
                <w:spacing w:val="-6"/>
                <w:kern w:val="21"/>
                <w:sz w:val="21"/>
                <w:szCs w:val="21"/>
                <w:highlight w:val="none"/>
              </w:rPr>
            </w:pPr>
            <w:r>
              <w:rPr>
                <w:rFonts w:hint="default" w:ascii="Times New Roman" w:hAnsi="Times New Roman" w:eastAsia="黑体" w:cs="Times New Roman"/>
                <w:snapToGrid w:val="0"/>
                <w:color w:val="auto"/>
                <w:spacing w:val="-6"/>
                <w:kern w:val="21"/>
                <w:sz w:val="21"/>
                <w:szCs w:val="21"/>
                <w:highlight w:val="none"/>
              </w:rPr>
              <w:t>许可排放量</w:t>
            </w:r>
          </w:p>
          <w:p w14:paraId="38A367B6">
            <w:pPr>
              <w:pStyle w:val="70"/>
              <w:keepNext w:val="0"/>
              <w:keepLines w:val="0"/>
              <w:suppressLineNumbers w:val="0"/>
              <w:spacing w:before="0" w:beforeLines="0" w:beforeAutospacing="0" w:after="0" w:afterLines="0" w:afterAutospacing="0" w:line="240" w:lineRule="auto"/>
              <w:ind w:left="0" w:right="0" w:firstLine="0" w:firstLineChars="0"/>
              <w:rPr>
                <w:rFonts w:hint="default" w:ascii="Times New Roman" w:hAnsi="Times New Roman" w:eastAsia="黑体" w:cs="Times New Roman"/>
                <w:snapToGrid w:val="0"/>
                <w:color w:val="auto"/>
                <w:spacing w:val="-6"/>
                <w:kern w:val="21"/>
                <w:sz w:val="21"/>
                <w:szCs w:val="21"/>
                <w:highlight w:val="none"/>
              </w:rPr>
            </w:pPr>
            <w:r>
              <w:rPr>
                <w:rFonts w:hint="default" w:ascii="Times New Roman" w:hAnsi="Times New Roman" w:eastAsia="黑体" w:cs="Times New Roman"/>
                <w:snapToGrid w:val="0"/>
                <w:color w:val="auto"/>
                <w:spacing w:val="-6"/>
                <w:kern w:val="21"/>
                <w:sz w:val="21"/>
                <w:szCs w:val="21"/>
                <w:highlight w:val="none"/>
              </w:rPr>
              <w:fldChar w:fldCharType="begin"/>
            </w:r>
            <w:r>
              <w:rPr>
                <w:rFonts w:hint="default" w:ascii="Times New Roman" w:hAnsi="Times New Roman" w:eastAsia="黑体" w:cs="Times New Roman"/>
                <w:snapToGrid w:val="0"/>
                <w:color w:val="auto"/>
                <w:spacing w:val="-6"/>
                <w:kern w:val="21"/>
                <w:sz w:val="21"/>
                <w:szCs w:val="21"/>
                <w:highlight w:val="none"/>
              </w:rPr>
              <w:instrText xml:space="preserve"> = 2 \* GB3 \* MERGEFORMAT </w:instrText>
            </w:r>
            <w:r>
              <w:rPr>
                <w:rFonts w:hint="default" w:ascii="Times New Roman" w:hAnsi="Times New Roman" w:eastAsia="黑体" w:cs="Times New Roman"/>
                <w:snapToGrid w:val="0"/>
                <w:color w:val="auto"/>
                <w:spacing w:val="-6"/>
                <w:kern w:val="21"/>
                <w:sz w:val="21"/>
                <w:szCs w:val="21"/>
                <w:highlight w:val="none"/>
              </w:rPr>
              <w:fldChar w:fldCharType="separate"/>
            </w:r>
            <w:r>
              <w:rPr>
                <w:rFonts w:hint="default" w:ascii="Times New Roman" w:hAnsi="Times New Roman" w:eastAsia="黑体" w:cs="Times New Roman"/>
                <w:snapToGrid w:val="0"/>
                <w:color w:val="auto"/>
                <w:spacing w:val="-6"/>
                <w:kern w:val="21"/>
                <w:sz w:val="21"/>
                <w:szCs w:val="21"/>
                <w:highlight w:val="none"/>
              </w:rPr>
              <w:t>②</w:t>
            </w:r>
            <w:r>
              <w:rPr>
                <w:rFonts w:hint="default" w:ascii="Times New Roman" w:hAnsi="Times New Roman" w:eastAsia="黑体" w:cs="Times New Roman"/>
                <w:snapToGrid w:val="0"/>
                <w:color w:val="auto"/>
                <w:spacing w:val="-6"/>
                <w:kern w:val="21"/>
                <w:sz w:val="21"/>
                <w:szCs w:val="21"/>
                <w:highlight w:val="none"/>
              </w:rPr>
              <w:fldChar w:fldCharType="end"/>
            </w:r>
          </w:p>
        </w:tc>
        <w:tc>
          <w:tcPr>
            <w:tcW w:w="1409" w:type="dxa"/>
            <w:tcMar>
              <w:left w:w="28" w:type="dxa"/>
              <w:right w:w="28" w:type="dxa"/>
            </w:tcMar>
            <w:vAlign w:val="center"/>
          </w:tcPr>
          <w:p w14:paraId="0CEDBA7E">
            <w:pPr>
              <w:pStyle w:val="70"/>
              <w:keepNext w:val="0"/>
              <w:keepLines w:val="0"/>
              <w:suppressLineNumbers w:val="0"/>
              <w:spacing w:before="0" w:beforeLines="0" w:beforeAutospacing="0" w:after="0" w:afterLines="0" w:afterAutospacing="0" w:line="240" w:lineRule="auto"/>
              <w:ind w:left="0" w:right="0" w:firstLine="0" w:firstLineChars="0"/>
              <w:rPr>
                <w:rFonts w:hint="default" w:ascii="Times New Roman" w:hAnsi="Times New Roman" w:eastAsia="黑体" w:cs="Times New Roman"/>
                <w:snapToGrid w:val="0"/>
                <w:color w:val="auto"/>
                <w:spacing w:val="-6"/>
                <w:kern w:val="21"/>
                <w:sz w:val="21"/>
                <w:szCs w:val="21"/>
                <w:highlight w:val="none"/>
              </w:rPr>
            </w:pPr>
            <w:r>
              <w:rPr>
                <w:rFonts w:hint="default" w:ascii="Times New Roman" w:hAnsi="Times New Roman" w:eastAsia="黑体" w:cs="Times New Roman"/>
                <w:snapToGrid w:val="0"/>
                <w:color w:val="auto"/>
                <w:spacing w:val="-6"/>
                <w:kern w:val="21"/>
                <w:sz w:val="21"/>
                <w:szCs w:val="21"/>
                <w:highlight w:val="none"/>
              </w:rPr>
              <w:t>在建工程</w:t>
            </w:r>
          </w:p>
          <w:p w14:paraId="26D4C634">
            <w:pPr>
              <w:pStyle w:val="70"/>
              <w:keepNext w:val="0"/>
              <w:keepLines w:val="0"/>
              <w:suppressLineNumbers w:val="0"/>
              <w:spacing w:before="0" w:beforeLines="0" w:beforeAutospacing="0" w:after="0" w:afterLines="0" w:afterAutospacing="0" w:line="240" w:lineRule="auto"/>
              <w:ind w:left="0" w:right="0" w:firstLine="0" w:firstLineChars="0"/>
              <w:rPr>
                <w:rFonts w:hint="default" w:ascii="Times New Roman" w:hAnsi="Times New Roman" w:eastAsia="黑体" w:cs="Times New Roman"/>
                <w:snapToGrid w:val="0"/>
                <w:color w:val="auto"/>
                <w:spacing w:val="-6"/>
                <w:kern w:val="21"/>
                <w:sz w:val="21"/>
                <w:szCs w:val="21"/>
                <w:highlight w:val="none"/>
              </w:rPr>
            </w:pPr>
            <w:r>
              <w:rPr>
                <w:rFonts w:hint="default" w:ascii="Times New Roman" w:hAnsi="Times New Roman" w:eastAsia="黑体" w:cs="Times New Roman"/>
                <w:snapToGrid w:val="0"/>
                <w:color w:val="auto"/>
                <w:spacing w:val="-6"/>
                <w:kern w:val="21"/>
                <w:sz w:val="21"/>
                <w:szCs w:val="21"/>
                <w:highlight w:val="none"/>
              </w:rPr>
              <w:t>排放量（固体废物产生量）</w:t>
            </w:r>
            <w:r>
              <w:rPr>
                <w:rFonts w:hint="default" w:ascii="Times New Roman" w:hAnsi="Times New Roman" w:eastAsia="黑体" w:cs="Times New Roman"/>
                <w:snapToGrid w:val="0"/>
                <w:color w:val="auto"/>
                <w:spacing w:val="-6"/>
                <w:kern w:val="21"/>
                <w:sz w:val="21"/>
                <w:szCs w:val="21"/>
                <w:highlight w:val="none"/>
              </w:rPr>
              <w:fldChar w:fldCharType="begin"/>
            </w:r>
            <w:r>
              <w:rPr>
                <w:rFonts w:hint="default" w:ascii="Times New Roman" w:hAnsi="Times New Roman" w:eastAsia="黑体" w:cs="Times New Roman"/>
                <w:snapToGrid w:val="0"/>
                <w:color w:val="auto"/>
                <w:spacing w:val="-6"/>
                <w:kern w:val="21"/>
                <w:sz w:val="21"/>
                <w:szCs w:val="21"/>
                <w:highlight w:val="none"/>
              </w:rPr>
              <w:instrText xml:space="preserve"> = 3 \* GB3 \* MERGEFORMAT </w:instrText>
            </w:r>
            <w:r>
              <w:rPr>
                <w:rFonts w:hint="default" w:ascii="Times New Roman" w:hAnsi="Times New Roman" w:eastAsia="黑体" w:cs="Times New Roman"/>
                <w:snapToGrid w:val="0"/>
                <w:color w:val="auto"/>
                <w:spacing w:val="-6"/>
                <w:kern w:val="21"/>
                <w:sz w:val="21"/>
                <w:szCs w:val="21"/>
                <w:highlight w:val="none"/>
              </w:rPr>
              <w:fldChar w:fldCharType="separate"/>
            </w:r>
            <w:r>
              <w:rPr>
                <w:rFonts w:hint="default" w:ascii="Times New Roman" w:hAnsi="Times New Roman" w:eastAsia="黑体" w:cs="Times New Roman"/>
                <w:color w:val="auto"/>
                <w:kern w:val="2"/>
                <w:sz w:val="21"/>
                <w:szCs w:val="21"/>
                <w:highlight w:val="none"/>
              </w:rPr>
              <w:t>③</w:t>
            </w:r>
            <w:r>
              <w:rPr>
                <w:rFonts w:hint="default" w:ascii="Times New Roman" w:hAnsi="Times New Roman" w:eastAsia="黑体" w:cs="Times New Roman"/>
                <w:snapToGrid w:val="0"/>
                <w:color w:val="auto"/>
                <w:spacing w:val="-6"/>
                <w:kern w:val="21"/>
                <w:sz w:val="21"/>
                <w:szCs w:val="21"/>
                <w:highlight w:val="none"/>
              </w:rPr>
              <w:fldChar w:fldCharType="end"/>
            </w:r>
          </w:p>
        </w:tc>
        <w:tc>
          <w:tcPr>
            <w:tcW w:w="1559" w:type="dxa"/>
            <w:tcMar>
              <w:left w:w="28" w:type="dxa"/>
              <w:right w:w="28" w:type="dxa"/>
            </w:tcMar>
            <w:vAlign w:val="center"/>
          </w:tcPr>
          <w:p w14:paraId="52F1064A">
            <w:pPr>
              <w:pStyle w:val="70"/>
              <w:keepNext w:val="0"/>
              <w:keepLines w:val="0"/>
              <w:suppressLineNumbers w:val="0"/>
              <w:spacing w:before="0" w:beforeLines="0" w:beforeAutospacing="0" w:after="0" w:afterLines="0" w:afterAutospacing="0" w:line="240" w:lineRule="auto"/>
              <w:ind w:left="0" w:right="0" w:firstLine="0" w:firstLineChars="0"/>
              <w:rPr>
                <w:rFonts w:hint="default" w:ascii="Times New Roman" w:hAnsi="Times New Roman" w:eastAsia="黑体" w:cs="Times New Roman"/>
                <w:snapToGrid w:val="0"/>
                <w:color w:val="auto"/>
                <w:spacing w:val="-6"/>
                <w:kern w:val="21"/>
                <w:sz w:val="21"/>
                <w:szCs w:val="21"/>
                <w:highlight w:val="none"/>
              </w:rPr>
            </w:pPr>
            <w:r>
              <w:rPr>
                <w:rFonts w:hint="default" w:ascii="Times New Roman" w:hAnsi="Times New Roman" w:eastAsia="黑体" w:cs="Times New Roman"/>
                <w:snapToGrid w:val="0"/>
                <w:color w:val="auto"/>
                <w:spacing w:val="-6"/>
                <w:kern w:val="21"/>
                <w:sz w:val="21"/>
                <w:szCs w:val="21"/>
                <w:highlight w:val="none"/>
              </w:rPr>
              <w:t>本项目</w:t>
            </w:r>
          </w:p>
          <w:p w14:paraId="57A046D0">
            <w:pPr>
              <w:pStyle w:val="70"/>
              <w:keepNext w:val="0"/>
              <w:keepLines w:val="0"/>
              <w:suppressLineNumbers w:val="0"/>
              <w:spacing w:before="0" w:beforeLines="0" w:beforeAutospacing="0" w:after="0" w:afterLines="0" w:afterAutospacing="0" w:line="240" w:lineRule="auto"/>
              <w:ind w:left="0" w:right="0" w:firstLine="0" w:firstLineChars="0"/>
              <w:rPr>
                <w:rFonts w:hint="default" w:ascii="Times New Roman" w:hAnsi="Times New Roman" w:eastAsia="黑体" w:cs="Times New Roman"/>
                <w:snapToGrid w:val="0"/>
                <w:color w:val="auto"/>
                <w:spacing w:val="-6"/>
                <w:kern w:val="21"/>
                <w:sz w:val="21"/>
                <w:szCs w:val="21"/>
                <w:highlight w:val="none"/>
              </w:rPr>
            </w:pPr>
            <w:r>
              <w:rPr>
                <w:rFonts w:hint="default" w:ascii="Times New Roman" w:hAnsi="Times New Roman" w:eastAsia="黑体" w:cs="Times New Roman"/>
                <w:snapToGrid w:val="0"/>
                <w:color w:val="auto"/>
                <w:spacing w:val="-6"/>
                <w:kern w:val="21"/>
                <w:sz w:val="21"/>
                <w:szCs w:val="21"/>
                <w:highlight w:val="none"/>
              </w:rPr>
              <w:t>排放量（固体废物产生量）</w:t>
            </w:r>
            <w:r>
              <w:rPr>
                <w:rFonts w:hint="default" w:ascii="Times New Roman" w:hAnsi="Times New Roman" w:eastAsia="黑体" w:cs="Times New Roman"/>
                <w:snapToGrid w:val="0"/>
                <w:color w:val="auto"/>
                <w:spacing w:val="-6"/>
                <w:kern w:val="21"/>
                <w:sz w:val="21"/>
                <w:szCs w:val="21"/>
                <w:highlight w:val="none"/>
              </w:rPr>
              <w:fldChar w:fldCharType="begin"/>
            </w:r>
            <w:r>
              <w:rPr>
                <w:rFonts w:hint="default" w:ascii="Times New Roman" w:hAnsi="Times New Roman" w:eastAsia="黑体" w:cs="Times New Roman"/>
                <w:snapToGrid w:val="0"/>
                <w:color w:val="auto"/>
                <w:spacing w:val="-6"/>
                <w:kern w:val="21"/>
                <w:sz w:val="21"/>
                <w:szCs w:val="21"/>
                <w:highlight w:val="none"/>
              </w:rPr>
              <w:instrText xml:space="preserve"> = 4 \* GB3 \* MERGEFORMAT </w:instrText>
            </w:r>
            <w:r>
              <w:rPr>
                <w:rFonts w:hint="default" w:ascii="Times New Roman" w:hAnsi="Times New Roman" w:eastAsia="黑体" w:cs="Times New Roman"/>
                <w:snapToGrid w:val="0"/>
                <w:color w:val="auto"/>
                <w:spacing w:val="-6"/>
                <w:kern w:val="21"/>
                <w:sz w:val="21"/>
                <w:szCs w:val="21"/>
                <w:highlight w:val="none"/>
              </w:rPr>
              <w:fldChar w:fldCharType="separate"/>
            </w:r>
            <w:r>
              <w:rPr>
                <w:rFonts w:hint="default" w:ascii="Times New Roman" w:hAnsi="Times New Roman" w:eastAsia="黑体" w:cs="Times New Roman"/>
                <w:color w:val="auto"/>
                <w:kern w:val="2"/>
                <w:sz w:val="21"/>
                <w:szCs w:val="21"/>
                <w:highlight w:val="none"/>
              </w:rPr>
              <w:t>④</w:t>
            </w:r>
            <w:r>
              <w:rPr>
                <w:rFonts w:hint="default" w:ascii="Times New Roman" w:hAnsi="Times New Roman" w:eastAsia="黑体" w:cs="Times New Roman"/>
                <w:snapToGrid w:val="0"/>
                <w:color w:val="auto"/>
                <w:spacing w:val="-6"/>
                <w:kern w:val="21"/>
                <w:sz w:val="21"/>
                <w:szCs w:val="21"/>
                <w:highlight w:val="none"/>
              </w:rPr>
              <w:fldChar w:fldCharType="end"/>
            </w:r>
          </w:p>
        </w:tc>
        <w:tc>
          <w:tcPr>
            <w:tcW w:w="1535" w:type="dxa"/>
            <w:tcMar>
              <w:left w:w="28" w:type="dxa"/>
              <w:right w:w="28" w:type="dxa"/>
            </w:tcMar>
            <w:vAlign w:val="center"/>
          </w:tcPr>
          <w:p w14:paraId="7B15C310">
            <w:pPr>
              <w:pStyle w:val="70"/>
              <w:keepNext w:val="0"/>
              <w:keepLines w:val="0"/>
              <w:suppressLineNumbers w:val="0"/>
              <w:spacing w:before="0" w:beforeLines="0" w:beforeAutospacing="0" w:after="0" w:afterLines="0" w:afterAutospacing="0" w:line="240" w:lineRule="auto"/>
              <w:ind w:left="0" w:right="0" w:firstLine="0" w:firstLineChars="0"/>
              <w:rPr>
                <w:rFonts w:hint="default" w:ascii="Times New Roman" w:hAnsi="Times New Roman" w:eastAsia="黑体" w:cs="Times New Roman"/>
                <w:snapToGrid w:val="0"/>
                <w:color w:val="auto"/>
                <w:spacing w:val="-16"/>
                <w:kern w:val="21"/>
                <w:sz w:val="21"/>
                <w:szCs w:val="21"/>
                <w:highlight w:val="none"/>
              </w:rPr>
            </w:pPr>
            <w:r>
              <w:rPr>
                <w:rFonts w:hint="default" w:ascii="Times New Roman" w:hAnsi="Times New Roman" w:eastAsia="黑体" w:cs="Times New Roman"/>
                <w:snapToGrid w:val="0"/>
                <w:color w:val="auto"/>
                <w:spacing w:val="-16"/>
                <w:kern w:val="21"/>
                <w:sz w:val="21"/>
                <w:szCs w:val="21"/>
                <w:highlight w:val="none"/>
              </w:rPr>
              <w:t>以新带老削减量</w:t>
            </w:r>
          </w:p>
          <w:p w14:paraId="7E4FF59E">
            <w:pPr>
              <w:pStyle w:val="70"/>
              <w:keepNext w:val="0"/>
              <w:keepLines w:val="0"/>
              <w:suppressLineNumbers w:val="0"/>
              <w:spacing w:before="0" w:beforeLines="0" w:beforeAutospacing="0" w:after="0" w:afterLines="0" w:afterAutospacing="0" w:line="240" w:lineRule="auto"/>
              <w:ind w:left="0" w:right="0" w:firstLine="0" w:firstLineChars="0"/>
              <w:rPr>
                <w:rFonts w:hint="default" w:ascii="Times New Roman" w:hAnsi="Times New Roman" w:eastAsia="黑体" w:cs="Times New Roman"/>
                <w:snapToGrid w:val="0"/>
                <w:color w:val="auto"/>
                <w:spacing w:val="-16"/>
                <w:kern w:val="21"/>
                <w:sz w:val="21"/>
                <w:szCs w:val="21"/>
                <w:highlight w:val="none"/>
              </w:rPr>
            </w:pPr>
            <w:r>
              <w:rPr>
                <w:rFonts w:hint="default" w:ascii="Times New Roman" w:hAnsi="Times New Roman" w:eastAsia="黑体" w:cs="Times New Roman"/>
                <w:snapToGrid w:val="0"/>
                <w:color w:val="auto"/>
                <w:spacing w:val="-16"/>
                <w:kern w:val="21"/>
                <w:sz w:val="21"/>
                <w:szCs w:val="21"/>
                <w:highlight w:val="none"/>
              </w:rPr>
              <w:t>（新建项目不填）</w:t>
            </w:r>
            <w:r>
              <w:rPr>
                <w:rFonts w:hint="default" w:ascii="Times New Roman" w:hAnsi="Times New Roman" w:eastAsia="黑体" w:cs="Times New Roman"/>
                <w:snapToGrid w:val="0"/>
                <w:color w:val="auto"/>
                <w:spacing w:val="-16"/>
                <w:kern w:val="21"/>
                <w:sz w:val="21"/>
                <w:szCs w:val="21"/>
                <w:highlight w:val="none"/>
              </w:rPr>
              <w:fldChar w:fldCharType="begin"/>
            </w:r>
            <w:r>
              <w:rPr>
                <w:rFonts w:hint="default" w:ascii="Times New Roman" w:hAnsi="Times New Roman" w:eastAsia="黑体" w:cs="Times New Roman"/>
                <w:snapToGrid w:val="0"/>
                <w:color w:val="auto"/>
                <w:spacing w:val="-16"/>
                <w:kern w:val="21"/>
                <w:sz w:val="21"/>
                <w:szCs w:val="21"/>
                <w:highlight w:val="none"/>
              </w:rPr>
              <w:instrText xml:space="preserve"> = 5 \* GB3 \* MERGEFORMAT </w:instrText>
            </w:r>
            <w:r>
              <w:rPr>
                <w:rFonts w:hint="default" w:ascii="Times New Roman" w:hAnsi="Times New Roman" w:eastAsia="黑体" w:cs="Times New Roman"/>
                <w:snapToGrid w:val="0"/>
                <w:color w:val="auto"/>
                <w:spacing w:val="-16"/>
                <w:kern w:val="21"/>
                <w:sz w:val="21"/>
                <w:szCs w:val="21"/>
                <w:highlight w:val="none"/>
              </w:rPr>
              <w:fldChar w:fldCharType="separate"/>
            </w:r>
            <w:r>
              <w:rPr>
                <w:rFonts w:hint="default" w:ascii="Times New Roman" w:hAnsi="Times New Roman" w:eastAsia="黑体" w:cs="Times New Roman"/>
                <w:color w:val="auto"/>
                <w:kern w:val="2"/>
                <w:sz w:val="21"/>
                <w:szCs w:val="21"/>
                <w:highlight w:val="none"/>
              </w:rPr>
              <w:t>⑤</w:t>
            </w:r>
            <w:r>
              <w:rPr>
                <w:rFonts w:hint="default" w:ascii="Times New Roman" w:hAnsi="Times New Roman" w:eastAsia="黑体" w:cs="Times New Roman"/>
                <w:snapToGrid w:val="0"/>
                <w:color w:val="auto"/>
                <w:spacing w:val="-16"/>
                <w:kern w:val="21"/>
                <w:sz w:val="21"/>
                <w:szCs w:val="21"/>
                <w:highlight w:val="none"/>
              </w:rPr>
              <w:fldChar w:fldCharType="end"/>
            </w:r>
          </w:p>
        </w:tc>
        <w:tc>
          <w:tcPr>
            <w:tcW w:w="1594" w:type="dxa"/>
            <w:tcMar>
              <w:left w:w="28" w:type="dxa"/>
              <w:right w:w="28" w:type="dxa"/>
            </w:tcMar>
            <w:vAlign w:val="center"/>
          </w:tcPr>
          <w:p w14:paraId="0110DE91">
            <w:pPr>
              <w:pStyle w:val="70"/>
              <w:keepNext w:val="0"/>
              <w:keepLines w:val="0"/>
              <w:suppressLineNumbers w:val="0"/>
              <w:spacing w:before="0" w:beforeLines="0" w:beforeAutospacing="0" w:after="0" w:afterLines="0" w:afterAutospacing="0" w:line="240" w:lineRule="auto"/>
              <w:ind w:left="0" w:right="0" w:firstLine="0" w:firstLineChars="0"/>
              <w:rPr>
                <w:rFonts w:hint="default" w:ascii="Times New Roman" w:hAnsi="Times New Roman" w:eastAsia="黑体" w:cs="Times New Roman"/>
                <w:snapToGrid w:val="0"/>
                <w:color w:val="auto"/>
                <w:spacing w:val="-16"/>
                <w:kern w:val="21"/>
                <w:sz w:val="21"/>
                <w:szCs w:val="21"/>
                <w:highlight w:val="none"/>
              </w:rPr>
            </w:pPr>
            <w:r>
              <w:rPr>
                <w:rFonts w:hint="default" w:ascii="Times New Roman" w:hAnsi="Times New Roman" w:eastAsia="黑体" w:cs="Times New Roman"/>
                <w:snapToGrid w:val="0"/>
                <w:color w:val="auto"/>
                <w:spacing w:val="-16"/>
                <w:kern w:val="21"/>
                <w:sz w:val="21"/>
                <w:szCs w:val="21"/>
                <w:highlight w:val="none"/>
              </w:rPr>
              <w:t>本项目建成后</w:t>
            </w:r>
          </w:p>
          <w:p w14:paraId="583790F9">
            <w:pPr>
              <w:pStyle w:val="70"/>
              <w:keepNext w:val="0"/>
              <w:keepLines w:val="0"/>
              <w:suppressLineNumbers w:val="0"/>
              <w:spacing w:before="0" w:beforeLines="0" w:beforeAutospacing="0" w:after="0" w:afterLines="0" w:afterAutospacing="0" w:line="240" w:lineRule="auto"/>
              <w:ind w:left="0" w:right="0" w:firstLine="0" w:firstLineChars="0"/>
              <w:rPr>
                <w:rFonts w:hint="default" w:ascii="Times New Roman" w:hAnsi="Times New Roman" w:eastAsia="黑体" w:cs="Times New Roman"/>
                <w:snapToGrid w:val="0"/>
                <w:color w:val="auto"/>
                <w:spacing w:val="-16"/>
                <w:kern w:val="21"/>
                <w:sz w:val="21"/>
                <w:szCs w:val="21"/>
                <w:highlight w:val="none"/>
              </w:rPr>
            </w:pPr>
            <w:r>
              <w:rPr>
                <w:rFonts w:hint="default" w:ascii="Times New Roman" w:hAnsi="Times New Roman" w:eastAsia="黑体" w:cs="Times New Roman"/>
                <w:snapToGrid w:val="0"/>
                <w:color w:val="auto"/>
                <w:spacing w:val="-16"/>
                <w:kern w:val="21"/>
                <w:sz w:val="21"/>
                <w:szCs w:val="21"/>
                <w:highlight w:val="none"/>
              </w:rPr>
              <w:t>全厂排放量（固体废物产生量）</w:t>
            </w:r>
            <w:r>
              <w:rPr>
                <w:rFonts w:hint="default" w:ascii="Times New Roman" w:hAnsi="Times New Roman" w:eastAsia="黑体" w:cs="Times New Roman"/>
                <w:snapToGrid w:val="0"/>
                <w:color w:val="auto"/>
                <w:spacing w:val="-16"/>
                <w:kern w:val="21"/>
                <w:sz w:val="21"/>
                <w:szCs w:val="21"/>
                <w:highlight w:val="none"/>
              </w:rPr>
              <w:fldChar w:fldCharType="begin"/>
            </w:r>
            <w:r>
              <w:rPr>
                <w:rFonts w:hint="default" w:ascii="Times New Roman" w:hAnsi="Times New Roman" w:eastAsia="黑体" w:cs="Times New Roman"/>
                <w:snapToGrid w:val="0"/>
                <w:color w:val="auto"/>
                <w:spacing w:val="-16"/>
                <w:kern w:val="21"/>
                <w:sz w:val="21"/>
                <w:szCs w:val="21"/>
                <w:highlight w:val="none"/>
              </w:rPr>
              <w:instrText xml:space="preserve"> = 6 \* GB3 \* MERGEFORMAT </w:instrText>
            </w:r>
            <w:r>
              <w:rPr>
                <w:rFonts w:hint="default" w:ascii="Times New Roman" w:hAnsi="Times New Roman" w:eastAsia="黑体" w:cs="Times New Roman"/>
                <w:snapToGrid w:val="0"/>
                <w:color w:val="auto"/>
                <w:spacing w:val="-16"/>
                <w:kern w:val="21"/>
                <w:sz w:val="21"/>
                <w:szCs w:val="21"/>
                <w:highlight w:val="none"/>
              </w:rPr>
              <w:fldChar w:fldCharType="separate"/>
            </w:r>
            <w:r>
              <w:rPr>
                <w:rFonts w:hint="default" w:ascii="Times New Roman" w:hAnsi="Times New Roman" w:eastAsia="黑体" w:cs="Times New Roman"/>
                <w:color w:val="auto"/>
                <w:kern w:val="2"/>
                <w:sz w:val="21"/>
                <w:szCs w:val="21"/>
                <w:highlight w:val="none"/>
              </w:rPr>
              <w:t>⑥</w:t>
            </w:r>
            <w:r>
              <w:rPr>
                <w:rFonts w:hint="default" w:ascii="Times New Roman" w:hAnsi="Times New Roman" w:eastAsia="黑体" w:cs="Times New Roman"/>
                <w:snapToGrid w:val="0"/>
                <w:color w:val="auto"/>
                <w:spacing w:val="-16"/>
                <w:kern w:val="21"/>
                <w:sz w:val="21"/>
                <w:szCs w:val="21"/>
                <w:highlight w:val="none"/>
              </w:rPr>
              <w:fldChar w:fldCharType="end"/>
            </w:r>
          </w:p>
        </w:tc>
        <w:tc>
          <w:tcPr>
            <w:tcW w:w="1417" w:type="dxa"/>
            <w:tcMar>
              <w:left w:w="28" w:type="dxa"/>
              <w:right w:w="28" w:type="dxa"/>
            </w:tcMar>
            <w:vAlign w:val="center"/>
          </w:tcPr>
          <w:p w14:paraId="4D866628">
            <w:pPr>
              <w:pStyle w:val="70"/>
              <w:keepNext w:val="0"/>
              <w:keepLines w:val="0"/>
              <w:suppressLineNumbers w:val="0"/>
              <w:spacing w:before="0" w:beforeLines="0" w:beforeAutospacing="0" w:after="0" w:afterLines="0" w:afterAutospacing="0" w:line="240" w:lineRule="auto"/>
              <w:ind w:left="0" w:right="0" w:firstLine="0" w:firstLineChars="0"/>
              <w:rPr>
                <w:rFonts w:hint="default" w:ascii="Times New Roman" w:hAnsi="Times New Roman" w:eastAsia="黑体" w:cs="Times New Roman"/>
                <w:snapToGrid w:val="0"/>
                <w:color w:val="auto"/>
                <w:spacing w:val="-6"/>
                <w:kern w:val="21"/>
                <w:sz w:val="21"/>
                <w:szCs w:val="21"/>
                <w:highlight w:val="none"/>
              </w:rPr>
            </w:pPr>
            <w:r>
              <w:rPr>
                <w:rFonts w:hint="default" w:ascii="Times New Roman" w:hAnsi="Times New Roman" w:eastAsia="黑体" w:cs="Times New Roman"/>
                <w:snapToGrid w:val="0"/>
                <w:color w:val="auto"/>
                <w:spacing w:val="-6"/>
                <w:kern w:val="21"/>
                <w:sz w:val="21"/>
                <w:szCs w:val="21"/>
                <w:highlight w:val="none"/>
              </w:rPr>
              <w:t>变化量</w:t>
            </w:r>
          </w:p>
          <w:p w14:paraId="037259B3">
            <w:pPr>
              <w:pStyle w:val="70"/>
              <w:keepNext w:val="0"/>
              <w:keepLines w:val="0"/>
              <w:suppressLineNumbers w:val="0"/>
              <w:spacing w:before="0" w:beforeLines="0" w:beforeAutospacing="0" w:after="0" w:afterLines="0" w:afterAutospacing="0" w:line="240" w:lineRule="auto"/>
              <w:ind w:left="0" w:right="0" w:firstLine="0" w:firstLineChars="0"/>
              <w:rPr>
                <w:rFonts w:hint="default" w:ascii="Times New Roman" w:hAnsi="Times New Roman" w:eastAsia="黑体" w:cs="Times New Roman"/>
                <w:snapToGrid w:val="0"/>
                <w:color w:val="auto"/>
                <w:spacing w:val="-6"/>
                <w:kern w:val="21"/>
                <w:sz w:val="21"/>
                <w:szCs w:val="21"/>
                <w:highlight w:val="none"/>
              </w:rPr>
            </w:pPr>
            <w:r>
              <w:rPr>
                <w:rFonts w:hint="default" w:ascii="Times New Roman" w:hAnsi="Times New Roman" w:eastAsia="黑体" w:cs="Times New Roman"/>
                <w:snapToGrid w:val="0"/>
                <w:color w:val="auto"/>
                <w:spacing w:val="-6"/>
                <w:kern w:val="21"/>
                <w:sz w:val="21"/>
                <w:szCs w:val="21"/>
                <w:highlight w:val="none"/>
              </w:rPr>
              <w:fldChar w:fldCharType="begin"/>
            </w:r>
            <w:r>
              <w:rPr>
                <w:rFonts w:hint="default" w:ascii="Times New Roman" w:hAnsi="Times New Roman" w:eastAsia="黑体" w:cs="Times New Roman"/>
                <w:snapToGrid w:val="0"/>
                <w:color w:val="auto"/>
                <w:spacing w:val="-6"/>
                <w:kern w:val="21"/>
                <w:sz w:val="21"/>
                <w:szCs w:val="21"/>
                <w:highlight w:val="none"/>
              </w:rPr>
              <w:instrText xml:space="preserve"> = 7 \* GB3 \* MERGEFORMAT </w:instrText>
            </w:r>
            <w:r>
              <w:rPr>
                <w:rFonts w:hint="default" w:ascii="Times New Roman" w:hAnsi="Times New Roman" w:eastAsia="黑体" w:cs="Times New Roman"/>
                <w:snapToGrid w:val="0"/>
                <w:color w:val="auto"/>
                <w:spacing w:val="-6"/>
                <w:kern w:val="21"/>
                <w:sz w:val="21"/>
                <w:szCs w:val="21"/>
                <w:highlight w:val="none"/>
              </w:rPr>
              <w:fldChar w:fldCharType="separate"/>
            </w:r>
            <w:r>
              <w:rPr>
                <w:rFonts w:hint="default" w:ascii="Times New Roman" w:hAnsi="Times New Roman" w:eastAsia="黑体" w:cs="Times New Roman"/>
                <w:color w:val="auto"/>
                <w:kern w:val="2"/>
                <w:sz w:val="21"/>
                <w:szCs w:val="21"/>
                <w:highlight w:val="none"/>
              </w:rPr>
              <w:t>⑦</w:t>
            </w:r>
            <w:r>
              <w:rPr>
                <w:rFonts w:hint="default" w:ascii="Times New Roman" w:hAnsi="Times New Roman" w:eastAsia="黑体" w:cs="Times New Roman"/>
                <w:snapToGrid w:val="0"/>
                <w:color w:val="auto"/>
                <w:spacing w:val="-6"/>
                <w:kern w:val="21"/>
                <w:sz w:val="21"/>
                <w:szCs w:val="21"/>
                <w:highlight w:val="none"/>
              </w:rPr>
              <w:fldChar w:fldCharType="end"/>
            </w:r>
          </w:p>
        </w:tc>
      </w:tr>
      <w:tr w14:paraId="6CD927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17" w:type="dxa"/>
            <w:vMerge w:val="restart"/>
            <w:vAlign w:val="center"/>
          </w:tcPr>
          <w:p w14:paraId="29F8B9B7">
            <w:pPr>
              <w:pStyle w:val="70"/>
              <w:keepNext w:val="0"/>
              <w:keepLines w:val="0"/>
              <w:suppressLineNumbers w:val="0"/>
              <w:spacing w:before="0" w:beforeLines="0" w:beforeAutospacing="0" w:after="0" w:afterLines="0" w:afterAutospacing="0" w:line="240" w:lineRule="auto"/>
              <w:ind w:left="0" w:right="0" w:firstLine="0" w:firstLineChars="0"/>
              <w:rPr>
                <w:rFonts w:hint="default" w:ascii="Times New Roman" w:cs="Times New Roman"/>
                <w:snapToGrid w:val="0"/>
                <w:color w:val="auto"/>
                <w:kern w:val="21"/>
                <w:sz w:val="21"/>
                <w:szCs w:val="21"/>
                <w:highlight w:val="none"/>
                <w:lang w:val="en-US" w:eastAsia="zh-CN"/>
              </w:rPr>
            </w:pPr>
            <w:r>
              <w:rPr>
                <w:rFonts w:hint="eastAsia" w:ascii="Times New Roman" w:cs="Times New Roman"/>
                <w:snapToGrid w:val="0"/>
                <w:color w:val="auto"/>
                <w:kern w:val="21"/>
                <w:sz w:val="21"/>
                <w:szCs w:val="21"/>
                <w:highlight w:val="none"/>
                <w:lang w:val="en-US" w:eastAsia="zh-CN"/>
              </w:rPr>
              <w:t>废水</w:t>
            </w:r>
          </w:p>
        </w:tc>
        <w:tc>
          <w:tcPr>
            <w:tcW w:w="2697" w:type="dxa"/>
            <w:vAlign w:val="center"/>
          </w:tcPr>
          <w:p w14:paraId="317D8F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color w:val="auto"/>
                <w:kern w:val="0"/>
                <w:sz w:val="21"/>
                <w:szCs w:val="21"/>
                <w:highlight w:val="none"/>
                <w:lang w:bidi="ar"/>
              </w:rPr>
              <w:t>COD</w:t>
            </w:r>
          </w:p>
        </w:tc>
        <w:tc>
          <w:tcPr>
            <w:tcW w:w="1364" w:type="dxa"/>
            <w:vAlign w:val="center"/>
          </w:tcPr>
          <w:p w14:paraId="1EAB6B1E">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cs="Times New Roman"/>
                <w:color w:val="auto"/>
                <w:sz w:val="21"/>
                <w:szCs w:val="21"/>
                <w:highlight w:val="none"/>
                <w:lang w:val="en-US" w:eastAsia="zh-CN"/>
              </w:rPr>
              <w:t>0.504t/a</w:t>
            </w:r>
          </w:p>
        </w:tc>
        <w:tc>
          <w:tcPr>
            <w:tcW w:w="1296" w:type="dxa"/>
            <w:vAlign w:val="center"/>
          </w:tcPr>
          <w:p w14:paraId="5D774B9C">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w:t>
            </w:r>
          </w:p>
        </w:tc>
        <w:tc>
          <w:tcPr>
            <w:tcW w:w="1409" w:type="dxa"/>
            <w:vAlign w:val="center"/>
          </w:tcPr>
          <w:p w14:paraId="552AD5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eastAsia"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w:t>
            </w:r>
          </w:p>
        </w:tc>
        <w:tc>
          <w:tcPr>
            <w:tcW w:w="1559" w:type="dxa"/>
            <w:vAlign w:val="center"/>
          </w:tcPr>
          <w:p w14:paraId="514D6F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position w:val="0"/>
                <w:sz w:val="21"/>
                <w:szCs w:val="21"/>
                <w:highlight w:val="none"/>
                <w:lang w:val="en-US" w:eastAsia="zh-CN"/>
              </w:rPr>
            </w:pPr>
            <w:r>
              <w:rPr>
                <w:rFonts w:hint="eastAsia" w:cs="Times New Roman"/>
                <w:color w:val="auto"/>
                <w:sz w:val="21"/>
                <w:szCs w:val="21"/>
                <w:highlight w:val="none"/>
                <w:lang w:val="en-US" w:eastAsia="zh-CN"/>
              </w:rPr>
              <w:t>4.65t/a</w:t>
            </w:r>
          </w:p>
        </w:tc>
        <w:tc>
          <w:tcPr>
            <w:tcW w:w="1535" w:type="dxa"/>
            <w:vAlign w:val="center"/>
          </w:tcPr>
          <w:p w14:paraId="07FDE958">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bCs/>
                <w:color w:val="auto"/>
                <w:sz w:val="21"/>
                <w:szCs w:val="21"/>
                <w:highlight w:val="none"/>
                <w:lang w:val="en-US"/>
              </w:rPr>
            </w:pPr>
            <w:r>
              <w:rPr>
                <w:rFonts w:hint="eastAsia" w:cs="Times New Roman"/>
                <w:bCs/>
                <w:color w:val="auto"/>
                <w:sz w:val="21"/>
                <w:szCs w:val="21"/>
                <w:highlight w:val="none"/>
                <w:lang w:val="en-US" w:eastAsia="zh-CN"/>
              </w:rPr>
              <w:t>/</w:t>
            </w:r>
          </w:p>
        </w:tc>
        <w:tc>
          <w:tcPr>
            <w:tcW w:w="1594" w:type="dxa"/>
            <w:vAlign w:val="center"/>
          </w:tcPr>
          <w:p w14:paraId="296E5D27">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position w:val="0"/>
                <w:sz w:val="21"/>
                <w:szCs w:val="21"/>
                <w:highlight w:val="none"/>
                <w:lang w:val="en-US"/>
              </w:rPr>
            </w:pPr>
            <w:r>
              <w:rPr>
                <w:rFonts w:hint="eastAsia" w:cs="Times New Roman"/>
                <w:color w:val="auto"/>
                <w:sz w:val="21"/>
                <w:szCs w:val="21"/>
                <w:highlight w:val="none"/>
                <w:lang w:val="en-US" w:eastAsia="zh-CN"/>
              </w:rPr>
              <w:t>5.154t/a</w:t>
            </w:r>
          </w:p>
        </w:tc>
        <w:tc>
          <w:tcPr>
            <w:tcW w:w="1417" w:type="dxa"/>
            <w:vAlign w:val="center"/>
          </w:tcPr>
          <w:p w14:paraId="0CAAC731">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position w:val="0"/>
                <w:sz w:val="21"/>
                <w:szCs w:val="21"/>
                <w:highlight w:val="none"/>
                <w:lang w:val="en-US" w:eastAsia="zh-CN"/>
              </w:rPr>
            </w:pPr>
            <w:r>
              <w:rPr>
                <w:rFonts w:hint="eastAsia" w:cs="Times New Roman"/>
                <w:color w:val="auto"/>
                <w:sz w:val="21"/>
                <w:szCs w:val="21"/>
                <w:highlight w:val="none"/>
                <w:lang w:val="en-US" w:eastAsia="zh-CN"/>
              </w:rPr>
              <w:t>4.65t/a</w:t>
            </w:r>
          </w:p>
        </w:tc>
      </w:tr>
      <w:tr w14:paraId="214777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17" w:type="dxa"/>
            <w:vMerge w:val="continue"/>
            <w:vAlign w:val="center"/>
          </w:tcPr>
          <w:p w14:paraId="21ABE6E8">
            <w:pPr>
              <w:pStyle w:val="70"/>
              <w:keepNext w:val="0"/>
              <w:keepLines w:val="0"/>
              <w:suppressLineNumbers w:val="0"/>
              <w:spacing w:before="0" w:beforeLines="0" w:beforeAutospacing="0" w:after="0" w:afterLines="0" w:afterAutospacing="0" w:line="240" w:lineRule="auto"/>
              <w:ind w:left="0" w:right="0" w:firstLine="0" w:firstLineChars="0"/>
              <w:rPr>
                <w:rFonts w:hint="eastAsia" w:ascii="Times New Roman" w:cs="Times New Roman"/>
                <w:snapToGrid w:val="0"/>
                <w:color w:val="auto"/>
                <w:kern w:val="21"/>
                <w:sz w:val="21"/>
                <w:szCs w:val="21"/>
                <w:highlight w:val="none"/>
                <w:lang w:val="en-US" w:eastAsia="zh-CN"/>
              </w:rPr>
            </w:pPr>
          </w:p>
        </w:tc>
        <w:tc>
          <w:tcPr>
            <w:tcW w:w="2697" w:type="dxa"/>
            <w:vAlign w:val="center"/>
          </w:tcPr>
          <w:p w14:paraId="2004C1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color w:val="auto"/>
                <w:kern w:val="0"/>
                <w:sz w:val="21"/>
                <w:szCs w:val="21"/>
                <w:highlight w:val="none"/>
                <w:lang w:val="en-US" w:eastAsia="zh-CN"/>
              </w:rPr>
              <w:t>氨氮</w:t>
            </w:r>
          </w:p>
        </w:tc>
        <w:tc>
          <w:tcPr>
            <w:tcW w:w="1364" w:type="dxa"/>
            <w:vAlign w:val="center"/>
          </w:tcPr>
          <w:p w14:paraId="1A7D5C6A">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0.05</w:t>
            </w:r>
            <w:r>
              <w:rPr>
                <w:rFonts w:hint="eastAsia" w:cs="Times New Roman"/>
                <w:color w:val="auto"/>
                <w:sz w:val="21"/>
                <w:szCs w:val="21"/>
                <w:highlight w:val="none"/>
                <w:lang w:val="en-US" w:eastAsia="zh-CN"/>
              </w:rPr>
              <w:t>t/a</w:t>
            </w:r>
          </w:p>
        </w:tc>
        <w:tc>
          <w:tcPr>
            <w:tcW w:w="1296" w:type="dxa"/>
            <w:vAlign w:val="center"/>
          </w:tcPr>
          <w:p w14:paraId="0540A8C7">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w:t>
            </w:r>
          </w:p>
        </w:tc>
        <w:tc>
          <w:tcPr>
            <w:tcW w:w="1409" w:type="dxa"/>
            <w:vAlign w:val="center"/>
          </w:tcPr>
          <w:p w14:paraId="42317C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eastAsia"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w:t>
            </w:r>
          </w:p>
        </w:tc>
        <w:tc>
          <w:tcPr>
            <w:tcW w:w="1559" w:type="dxa"/>
            <w:vAlign w:val="center"/>
          </w:tcPr>
          <w:p w14:paraId="7311CC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position w:val="0"/>
                <w:sz w:val="21"/>
                <w:szCs w:val="21"/>
                <w:highlight w:val="none"/>
                <w:lang w:val="en-US" w:eastAsia="zh-CN"/>
              </w:rPr>
            </w:pPr>
            <w:r>
              <w:rPr>
                <w:rFonts w:hint="eastAsia" w:cs="Times New Roman"/>
                <w:color w:val="auto"/>
                <w:sz w:val="21"/>
                <w:szCs w:val="21"/>
                <w:highlight w:val="none"/>
                <w:lang w:val="en-US" w:eastAsia="zh-CN"/>
              </w:rPr>
              <w:t>0.13t/a</w:t>
            </w:r>
          </w:p>
        </w:tc>
        <w:tc>
          <w:tcPr>
            <w:tcW w:w="1535" w:type="dxa"/>
            <w:vAlign w:val="center"/>
          </w:tcPr>
          <w:p w14:paraId="395995AE">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bCs/>
                <w:color w:val="auto"/>
                <w:sz w:val="21"/>
                <w:szCs w:val="21"/>
                <w:highlight w:val="none"/>
                <w:lang w:val="en-US"/>
              </w:rPr>
            </w:pPr>
            <w:r>
              <w:rPr>
                <w:rFonts w:hint="eastAsia" w:cs="Times New Roman"/>
                <w:bCs/>
                <w:color w:val="auto"/>
                <w:sz w:val="21"/>
                <w:szCs w:val="21"/>
                <w:highlight w:val="none"/>
                <w:lang w:val="en-US" w:eastAsia="zh-CN"/>
              </w:rPr>
              <w:t>/</w:t>
            </w:r>
          </w:p>
        </w:tc>
        <w:tc>
          <w:tcPr>
            <w:tcW w:w="1594" w:type="dxa"/>
            <w:vAlign w:val="center"/>
          </w:tcPr>
          <w:p w14:paraId="637329F8">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position w:val="0"/>
                <w:sz w:val="21"/>
                <w:szCs w:val="21"/>
                <w:highlight w:val="none"/>
                <w:lang w:val="en-US" w:eastAsia="zh-CN"/>
              </w:rPr>
            </w:pPr>
            <w:r>
              <w:rPr>
                <w:rFonts w:hint="eastAsia" w:cs="Times New Roman"/>
                <w:color w:val="auto"/>
                <w:position w:val="0"/>
                <w:sz w:val="21"/>
                <w:szCs w:val="21"/>
                <w:highlight w:val="none"/>
                <w:lang w:val="en-US" w:eastAsia="zh-CN"/>
              </w:rPr>
              <w:t>0.18</w:t>
            </w:r>
            <w:r>
              <w:rPr>
                <w:rFonts w:hint="eastAsia" w:cs="Times New Roman"/>
                <w:color w:val="auto"/>
                <w:sz w:val="21"/>
                <w:szCs w:val="21"/>
                <w:highlight w:val="none"/>
                <w:lang w:val="en-US" w:eastAsia="zh-CN"/>
              </w:rPr>
              <w:t>t/a</w:t>
            </w:r>
          </w:p>
        </w:tc>
        <w:tc>
          <w:tcPr>
            <w:tcW w:w="1417" w:type="dxa"/>
            <w:vAlign w:val="center"/>
          </w:tcPr>
          <w:p w14:paraId="180424A9">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position w:val="0"/>
                <w:sz w:val="21"/>
                <w:szCs w:val="21"/>
                <w:highlight w:val="none"/>
                <w:lang w:val="en-US" w:eastAsia="zh-CN"/>
              </w:rPr>
            </w:pPr>
            <w:r>
              <w:rPr>
                <w:rFonts w:hint="eastAsia" w:cs="Times New Roman"/>
                <w:color w:val="auto"/>
                <w:sz w:val="21"/>
                <w:szCs w:val="21"/>
                <w:highlight w:val="none"/>
                <w:lang w:val="en-US" w:eastAsia="zh-CN"/>
              </w:rPr>
              <w:t>0.13t/a</w:t>
            </w:r>
          </w:p>
        </w:tc>
      </w:tr>
      <w:tr w14:paraId="04E4A0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17" w:type="dxa"/>
            <w:vMerge w:val="continue"/>
            <w:vAlign w:val="center"/>
          </w:tcPr>
          <w:p w14:paraId="3D6376F7">
            <w:pPr>
              <w:pStyle w:val="70"/>
              <w:keepNext w:val="0"/>
              <w:keepLines w:val="0"/>
              <w:suppressLineNumbers w:val="0"/>
              <w:spacing w:before="0" w:beforeLines="0" w:beforeAutospacing="0" w:after="0" w:afterLines="0" w:afterAutospacing="0" w:line="240" w:lineRule="auto"/>
              <w:ind w:left="0" w:right="0" w:firstLine="0" w:firstLineChars="0"/>
              <w:rPr>
                <w:rFonts w:hint="eastAsia" w:ascii="Times New Roman" w:cs="Times New Roman"/>
                <w:snapToGrid w:val="0"/>
                <w:color w:val="auto"/>
                <w:kern w:val="21"/>
                <w:sz w:val="21"/>
                <w:szCs w:val="21"/>
                <w:highlight w:val="none"/>
                <w:lang w:val="en-US" w:eastAsia="zh-CN"/>
              </w:rPr>
            </w:pPr>
          </w:p>
        </w:tc>
        <w:tc>
          <w:tcPr>
            <w:tcW w:w="2697" w:type="dxa"/>
            <w:vAlign w:val="center"/>
          </w:tcPr>
          <w:p w14:paraId="36CADA64">
            <w:pPr>
              <w:keepNext w:val="0"/>
              <w:keepLines w:val="0"/>
              <w:widowControl/>
              <w:suppressLineNumbers w:val="0"/>
              <w:spacing w:before="0" w:beforeAutospacing="0" w:after="0" w:afterAutospacing="0"/>
              <w:ind w:left="0" w:right="0"/>
              <w:jc w:val="center"/>
              <w:textAlignment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BOD5</w:t>
            </w:r>
          </w:p>
        </w:tc>
        <w:tc>
          <w:tcPr>
            <w:tcW w:w="1364" w:type="dxa"/>
            <w:vAlign w:val="center"/>
          </w:tcPr>
          <w:p w14:paraId="43607571">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0.336</w:t>
            </w:r>
            <w:r>
              <w:rPr>
                <w:rFonts w:hint="eastAsia" w:cs="Times New Roman"/>
                <w:color w:val="auto"/>
                <w:sz w:val="21"/>
                <w:szCs w:val="21"/>
                <w:highlight w:val="none"/>
                <w:lang w:val="en-US" w:eastAsia="zh-CN"/>
              </w:rPr>
              <w:t>t/a</w:t>
            </w:r>
          </w:p>
        </w:tc>
        <w:tc>
          <w:tcPr>
            <w:tcW w:w="1296" w:type="dxa"/>
            <w:vAlign w:val="center"/>
          </w:tcPr>
          <w:p w14:paraId="169084D2">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color w:val="auto"/>
                <w:position w:val="0"/>
                <w:sz w:val="21"/>
                <w:szCs w:val="21"/>
                <w:highlight w:val="none"/>
                <w:lang w:val="en-US" w:eastAsia="zh-CN"/>
              </w:rPr>
            </w:pPr>
            <w:r>
              <w:rPr>
                <w:rFonts w:hint="eastAsia" w:cs="Times New Roman"/>
                <w:color w:val="auto"/>
                <w:position w:val="0"/>
                <w:sz w:val="21"/>
                <w:szCs w:val="21"/>
                <w:highlight w:val="none"/>
                <w:lang w:val="en-US" w:eastAsia="zh-CN"/>
              </w:rPr>
              <w:t>/</w:t>
            </w:r>
          </w:p>
        </w:tc>
        <w:tc>
          <w:tcPr>
            <w:tcW w:w="1409" w:type="dxa"/>
            <w:vAlign w:val="center"/>
          </w:tcPr>
          <w:p w14:paraId="0007D0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eastAsia" w:cs="Times New Roman"/>
                <w:bCs/>
                <w:color w:val="auto"/>
                <w:sz w:val="21"/>
                <w:szCs w:val="21"/>
                <w:highlight w:val="none"/>
                <w:lang w:val="en-US" w:eastAsia="zh-CN"/>
              </w:rPr>
            </w:pPr>
            <w:r>
              <w:rPr>
                <w:rFonts w:hint="eastAsia" w:cs="Times New Roman"/>
                <w:bCs/>
                <w:color w:val="auto"/>
                <w:sz w:val="21"/>
                <w:szCs w:val="21"/>
                <w:highlight w:val="none"/>
                <w:lang w:val="en-US" w:eastAsia="zh-CN"/>
              </w:rPr>
              <w:t>/</w:t>
            </w:r>
          </w:p>
        </w:tc>
        <w:tc>
          <w:tcPr>
            <w:tcW w:w="1559" w:type="dxa"/>
            <w:vAlign w:val="center"/>
          </w:tcPr>
          <w:p w14:paraId="546A39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cs="Times New Roman"/>
                <w:bCs/>
                <w:color w:val="auto"/>
                <w:sz w:val="21"/>
                <w:szCs w:val="21"/>
                <w:highlight w:val="none"/>
                <w:lang w:val="en-US" w:eastAsia="zh-CN"/>
              </w:rPr>
            </w:pPr>
            <w:r>
              <w:rPr>
                <w:rFonts w:hint="eastAsia" w:cs="Times New Roman"/>
                <w:color w:val="auto"/>
                <w:sz w:val="21"/>
                <w:szCs w:val="21"/>
                <w:highlight w:val="none"/>
                <w:lang w:val="en-US" w:eastAsia="zh-CN"/>
              </w:rPr>
              <w:t>0.91t/a</w:t>
            </w:r>
          </w:p>
        </w:tc>
        <w:tc>
          <w:tcPr>
            <w:tcW w:w="1535" w:type="dxa"/>
            <w:vAlign w:val="center"/>
          </w:tcPr>
          <w:p w14:paraId="5C00FB09">
            <w:pPr>
              <w:keepNext w:val="0"/>
              <w:keepLines w:val="0"/>
              <w:suppressLineNumbers w:val="0"/>
              <w:spacing w:before="0" w:beforeAutospacing="0" w:after="0" w:afterAutospacing="0" w:line="240" w:lineRule="auto"/>
              <w:ind w:left="0" w:leftChars="0" w:right="0" w:rightChars="0"/>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w:t>
            </w:r>
          </w:p>
        </w:tc>
        <w:tc>
          <w:tcPr>
            <w:tcW w:w="1594" w:type="dxa"/>
            <w:vAlign w:val="center"/>
          </w:tcPr>
          <w:p w14:paraId="6F42D144">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1.246</w:t>
            </w:r>
            <w:r>
              <w:rPr>
                <w:rFonts w:hint="eastAsia" w:cs="Times New Roman"/>
                <w:color w:val="auto"/>
                <w:sz w:val="21"/>
                <w:szCs w:val="21"/>
                <w:highlight w:val="none"/>
                <w:lang w:val="en-US" w:eastAsia="zh-CN"/>
              </w:rPr>
              <w:t>t/a</w:t>
            </w:r>
          </w:p>
        </w:tc>
        <w:tc>
          <w:tcPr>
            <w:tcW w:w="1417" w:type="dxa"/>
            <w:vAlign w:val="center"/>
          </w:tcPr>
          <w:p w14:paraId="307224C5">
            <w:pPr>
              <w:keepNext w:val="0"/>
              <w:keepLines w:val="0"/>
              <w:suppressLineNumbers w:val="0"/>
              <w:spacing w:before="0" w:beforeAutospacing="0" w:after="0" w:afterAutospacing="0" w:line="240" w:lineRule="auto"/>
              <w:ind w:left="0" w:leftChars="0" w:right="0" w:rightChars="0"/>
              <w:jc w:val="center"/>
              <w:rPr>
                <w:rFonts w:hint="default" w:cs="Times New Roman"/>
                <w:color w:val="auto"/>
                <w:position w:val="0"/>
                <w:sz w:val="21"/>
                <w:szCs w:val="21"/>
                <w:highlight w:val="none"/>
                <w:lang w:val="en-US" w:eastAsia="zh-CN"/>
              </w:rPr>
            </w:pPr>
            <w:r>
              <w:rPr>
                <w:rFonts w:hint="eastAsia" w:cs="Times New Roman"/>
                <w:color w:val="auto"/>
                <w:sz w:val="21"/>
                <w:szCs w:val="21"/>
                <w:highlight w:val="none"/>
                <w:lang w:val="en-US" w:eastAsia="zh-CN"/>
              </w:rPr>
              <w:t>0.91t/a</w:t>
            </w:r>
          </w:p>
        </w:tc>
      </w:tr>
      <w:tr w14:paraId="20E87F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17" w:type="dxa"/>
            <w:vMerge w:val="continue"/>
            <w:vAlign w:val="center"/>
          </w:tcPr>
          <w:p w14:paraId="77F5F5AC">
            <w:pPr>
              <w:pStyle w:val="70"/>
              <w:keepNext w:val="0"/>
              <w:keepLines w:val="0"/>
              <w:suppressLineNumbers w:val="0"/>
              <w:spacing w:before="0" w:beforeLines="0" w:beforeAutospacing="0" w:after="0" w:afterLines="0" w:afterAutospacing="0" w:line="240" w:lineRule="auto"/>
              <w:ind w:left="0" w:right="0" w:firstLine="0" w:firstLineChars="0"/>
              <w:rPr>
                <w:rFonts w:hint="eastAsia" w:ascii="Times New Roman" w:cs="Times New Roman"/>
                <w:snapToGrid w:val="0"/>
                <w:color w:val="auto"/>
                <w:kern w:val="21"/>
                <w:sz w:val="21"/>
                <w:szCs w:val="21"/>
                <w:highlight w:val="none"/>
                <w:lang w:val="en-US" w:eastAsia="zh-CN"/>
              </w:rPr>
            </w:pPr>
          </w:p>
        </w:tc>
        <w:tc>
          <w:tcPr>
            <w:tcW w:w="2697" w:type="dxa"/>
            <w:vAlign w:val="center"/>
          </w:tcPr>
          <w:p w14:paraId="3BF3F50B">
            <w:pPr>
              <w:keepNext w:val="0"/>
              <w:keepLines w:val="0"/>
              <w:widowControl/>
              <w:suppressLineNumbers w:val="0"/>
              <w:spacing w:before="0" w:beforeAutospacing="0" w:after="0" w:afterAutospacing="0"/>
              <w:ind w:left="0" w:right="0"/>
              <w:jc w:val="center"/>
              <w:textAlignment w:val="center"/>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SS</w:t>
            </w:r>
          </w:p>
        </w:tc>
        <w:tc>
          <w:tcPr>
            <w:tcW w:w="1364" w:type="dxa"/>
            <w:vAlign w:val="center"/>
          </w:tcPr>
          <w:p w14:paraId="1191CBE0">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0.336</w:t>
            </w:r>
            <w:r>
              <w:rPr>
                <w:rFonts w:hint="eastAsia" w:cs="Times New Roman"/>
                <w:color w:val="auto"/>
                <w:sz w:val="21"/>
                <w:szCs w:val="21"/>
                <w:highlight w:val="none"/>
                <w:lang w:val="en-US" w:eastAsia="zh-CN"/>
              </w:rPr>
              <w:t>t/a</w:t>
            </w:r>
          </w:p>
        </w:tc>
        <w:tc>
          <w:tcPr>
            <w:tcW w:w="1296" w:type="dxa"/>
            <w:vAlign w:val="center"/>
          </w:tcPr>
          <w:p w14:paraId="4F3C6419">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color w:val="auto"/>
                <w:position w:val="0"/>
                <w:sz w:val="21"/>
                <w:szCs w:val="21"/>
                <w:highlight w:val="none"/>
                <w:lang w:val="en-US" w:eastAsia="zh-CN"/>
              </w:rPr>
            </w:pPr>
            <w:r>
              <w:rPr>
                <w:rFonts w:hint="eastAsia" w:cs="Times New Roman"/>
                <w:color w:val="auto"/>
                <w:position w:val="0"/>
                <w:sz w:val="21"/>
                <w:szCs w:val="21"/>
                <w:highlight w:val="none"/>
                <w:lang w:val="en-US" w:eastAsia="zh-CN"/>
              </w:rPr>
              <w:t>/</w:t>
            </w:r>
          </w:p>
        </w:tc>
        <w:tc>
          <w:tcPr>
            <w:tcW w:w="1409" w:type="dxa"/>
            <w:vAlign w:val="center"/>
          </w:tcPr>
          <w:p w14:paraId="2EC9AB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eastAsia" w:cs="Times New Roman"/>
                <w:bCs/>
                <w:color w:val="auto"/>
                <w:sz w:val="21"/>
                <w:szCs w:val="21"/>
                <w:highlight w:val="none"/>
                <w:lang w:val="en-US" w:eastAsia="zh-CN"/>
              </w:rPr>
            </w:pPr>
            <w:r>
              <w:rPr>
                <w:rFonts w:hint="eastAsia" w:cs="Times New Roman"/>
                <w:bCs/>
                <w:color w:val="auto"/>
                <w:sz w:val="21"/>
                <w:szCs w:val="21"/>
                <w:highlight w:val="none"/>
                <w:lang w:val="en-US" w:eastAsia="zh-CN"/>
              </w:rPr>
              <w:t>/</w:t>
            </w:r>
          </w:p>
        </w:tc>
        <w:tc>
          <w:tcPr>
            <w:tcW w:w="1559" w:type="dxa"/>
            <w:vAlign w:val="center"/>
          </w:tcPr>
          <w:p w14:paraId="0860D3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cs="Times New Roman"/>
                <w:bCs/>
                <w:color w:val="auto"/>
                <w:sz w:val="21"/>
                <w:szCs w:val="21"/>
                <w:highlight w:val="none"/>
                <w:lang w:val="en-US" w:eastAsia="zh-CN"/>
              </w:rPr>
            </w:pPr>
            <w:r>
              <w:rPr>
                <w:rFonts w:hint="eastAsia" w:cs="Times New Roman"/>
                <w:color w:val="auto"/>
                <w:sz w:val="21"/>
                <w:szCs w:val="21"/>
                <w:highlight w:val="none"/>
                <w:lang w:val="en-US" w:eastAsia="zh-CN"/>
              </w:rPr>
              <w:t>1.62t/a</w:t>
            </w:r>
          </w:p>
        </w:tc>
        <w:tc>
          <w:tcPr>
            <w:tcW w:w="1535" w:type="dxa"/>
            <w:vAlign w:val="center"/>
          </w:tcPr>
          <w:p w14:paraId="431C83E5">
            <w:pPr>
              <w:keepNext w:val="0"/>
              <w:keepLines w:val="0"/>
              <w:suppressLineNumbers w:val="0"/>
              <w:spacing w:before="0" w:beforeAutospacing="0" w:after="0" w:afterAutospacing="0" w:line="240" w:lineRule="auto"/>
              <w:ind w:left="0" w:leftChars="0" w:right="0" w:rightChars="0"/>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w:t>
            </w:r>
          </w:p>
        </w:tc>
        <w:tc>
          <w:tcPr>
            <w:tcW w:w="1594" w:type="dxa"/>
            <w:vAlign w:val="center"/>
          </w:tcPr>
          <w:p w14:paraId="11EDB8E7">
            <w:pPr>
              <w:pStyle w:val="34"/>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1.956t/a</w:t>
            </w:r>
          </w:p>
        </w:tc>
        <w:tc>
          <w:tcPr>
            <w:tcW w:w="1417" w:type="dxa"/>
            <w:vAlign w:val="center"/>
          </w:tcPr>
          <w:p w14:paraId="67DB92C6">
            <w:pPr>
              <w:keepNext w:val="0"/>
              <w:keepLines w:val="0"/>
              <w:suppressLineNumbers w:val="0"/>
              <w:spacing w:before="0" w:beforeAutospacing="0" w:after="0" w:afterAutospacing="0" w:line="240" w:lineRule="auto"/>
              <w:ind w:left="0" w:leftChars="0" w:right="0" w:rightChars="0"/>
              <w:jc w:val="center"/>
              <w:rPr>
                <w:rFonts w:hint="default" w:cs="Times New Roman"/>
                <w:color w:val="auto"/>
                <w:position w:val="0"/>
                <w:sz w:val="21"/>
                <w:szCs w:val="21"/>
                <w:highlight w:val="none"/>
                <w:lang w:val="en-US" w:eastAsia="zh-CN"/>
              </w:rPr>
            </w:pPr>
            <w:r>
              <w:rPr>
                <w:rFonts w:hint="eastAsia" w:cs="Times New Roman"/>
                <w:color w:val="auto"/>
                <w:sz w:val="21"/>
                <w:szCs w:val="21"/>
                <w:highlight w:val="none"/>
                <w:lang w:val="en-US" w:eastAsia="zh-CN"/>
              </w:rPr>
              <w:t>1.62t/a</w:t>
            </w:r>
          </w:p>
        </w:tc>
      </w:tr>
      <w:tr w14:paraId="2B0187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917" w:type="dxa"/>
            <w:vMerge w:val="restart"/>
            <w:vAlign w:val="center"/>
          </w:tcPr>
          <w:p w14:paraId="53F9A9A8">
            <w:pPr>
              <w:pStyle w:val="70"/>
              <w:keepNext w:val="0"/>
              <w:keepLines w:val="0"/>
              <w:suppressLineNumbers w:val="0"/>
              <w:spacing w:before="0" w:beforeLines="0" w:beforeAutospacing="0" w:after="0" w:afterLines="0" w:afterAutospacing="0" w:line="240" w:lineRule="auto"/>
              <w:ind w:left="0" w:right="0" w:firstLine="0" w:firstLineChars="0"/>
              <w:rPr>
                <w:rFonts w:hint="default" w:ascii="Times New Roman" w:hAnsi="Times New Roman" w:cs="Times New Roman"/>
                <w:bCs/>
                <w:color w:val="auto"/>
                <w:sz w:val="21"/>
                <w:szCs w:val="21"/>
                <w:highlight w:val="none"/>
              </w:rPr>
            </w:pPr>
            <w:r>
              <w:rPr>
                <w:rFonts w:hint="default" w:ascii="Times New Roman" w:hAnsi="Times New Roman" w:cs="Times New Roman"/>
                <w:snapToGrid w:val="0"/>
                <w:color w:val="auto"/>
                <w:kern w:val="21"/>
                <w:sz w:val="21"/>
                <w:szCs w:val="21"/>
                <w:highlight w:val="none"/>
                <w:lang w:val="en-US" w:eastAsia="zh-CN"/>
              </w:rPr>
              <w:t>一般</w:t>
            </w:r>
            <w:r>
              <w:rPr>
                <w:rFonts w:hint="default" w:ascii="Times New Roman" w:hAnsi="Times New Roman" w:cs="Times New Roman"/>
                <w:snapToGrid w:val="0"/>
                <w:color w:val="auto"/>
                <w:kern w:val="21"/>
                <w:sz w:val="21"/>
                <w:szCs w:val="21"/>
                <w:highlight w:val="none"/>
              </w:rPr>
              <w:t>固体废物</w:t>
            </w:r>
          </w:p>
        </w:tc>
        <w:tc>
          <w:tcPr>
            <w:tcW w:w="2697" w:type="dxa"/>
            <w:vAlign w:val="center"/>
          </w:tcPr>
          <w:p w14:paraId="7B316D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snapToGrid w:val="0"/>
                <w:color w:val="auto"/>
                <w:kern w:val="21"/>
                <w:sz w:val="21"/>
                <w:szCs w:val="21"/>
                <w:highlight w:val="none"/>
              </w:rPr>
            </w:pPr>
            <w:r>
              <w:rPr>
                <w:rFonts w:hint="default" w:ascii="Times New Roman" w:hAnsi="Times New Roman" w:eastAsia="宋体" w:cs="Times New Roman"/>
                <w:color w:val="auto"/>
                <w:sz w:val="21"/>
                <w:szCs w:val="21"/>
                <w:highlight w:val="none"/>
                <w:lang w:val="en-US" w:eastAsia="zh-CN"/>
              </w:rPr>
              <w:t>生活垃圾</w:t>
            </w:r>
          </w:p>
        </w:tc>
        <w:tc>
          <w:tcPr>
            <w:tcW w:w="1364" w:type="dxa"/>
            <w:vAlign w:val="center"/>
          </w:tcPr>
          <w:p w14:paraId="192C90B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13.1</w:t>
            </w:r>
            <w:r>
              <w:rPr>
                <w:rFonts w:hint="eastAsia" w:cs="Times New Roman"/>
                <w:color w:val="auto"/>
                <w:sz w:val="21"/>
                <w:szCs w:val="21"/>
                <w:highlight w:val="none"/>
                <w:lang w:val="en-US" w:eastAsia="zh-CN"/>
              </w:rPr>
              <w:t>t/a</w:t>
            </w:r>
          </w:p>
        </w:tc>
        <w:tc>
          <w:tcPr>
            <w:tcW w:w="1296" w:type="dxa"/>
            <w:vAlign w:val="center"/>
          </w:tcPr>
          <w:p w14:paraId="7F9A67B4">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409" w:type="dxa"/>
            <w:vAlign w:val="center"/>
          </w:tcPr>
          <w:p w14:paraId="6C91E927">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w:t>
            </w:r>
          </w:p>
        </w:tc>
        <w:tc>
          <w:tcPr>
            <w:tcW w:w="1559" w:type="dxa"/>
            <w:vAlign w:val="center"/>
          </w:tcPr>
          <w:p w14:paraId="589509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bCs/>
                <w:color w:val="auto"/>
                <w:sz w:val="21"/>
                <w:szCs w:val="21"/>
                <w:highlight w:val="none"/>
                <w:lang w:val="en-US" w:eastAsia="zh-CN"/>
              </w:rPr>
              <w:t>/</w:t>
            </w:r>
          </w:p>
        </w:tc>
        <w:tc>
          <w:tcPr>
            <w:tcW w:w="1535" w:type="dxa"/>
            <w:vAlign w:val="center"/>
          </w:tcPr>
          <w:p w14:paraId="7D0E7B0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snapToGrid w:val="0"/>
                <w:color w:val="auto"/>
                <w:kern w:val="21"/>
                <w:sz w:val="21"/>
                <w:szCs w:val="21"/>
                <w:highlight w:val="none"/>
              </w:rPr>
            </w:pPr>
            <w:r>
              <w:rPr>
                <w:rFonts w:hint="eastAsia" w:cs="Times New Roman"/>
                <w:bCs/>
                <w:color w:val="auto"/>
                <w:sz w:val="21"/>
                <w:szCs w:val="21"/>
                <w:highlight w:val="none"/>
                <w:lang w:val="en-US" w:eastAsia="zh-CN"/>
              </w:rPr>
              <w:t>/</w:t>
            </w:r>
          </w:p>
        </w:tc>
        <w:tc>
          <w:tcPr>
            <w:tcW w:w="1594" w:type="dxa"/>
            <w:vAlign w:val="center"/>
          </w:tcPr>
          <w:p w14:paraId="397A3E50">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snapToGrid w:val="0"/>
                <w:color w:val="auto"/>
                <w:kern w:val="21"/>
                <w:sz w:val="21"/>
                <w:szCs w:val="21"/>
                <w:highlight w:val="none"/>
              </w:rPr>
            </w:pPr>
            <w:r>
              <w:rPr>
                <w:rFonts w:hint="eastAsia" w:cs="Times New Roman"/>
                <w:snapToGrid w:val="0"/>
                <w:color w:val="auto"/>
                <w:kern w:val="21"/>
                <w:sz w:val="21"/>
                <w:szCs w:val="21"/>
                <w:highlight w:val="none"/>
                <w:lang w:val="en-US" w:eastAsia="zh-CN"/>
              </w:rPr>
              <w:t>13.1</w:t>
            </w:r>
            <w:r>
              <w:rPr>
                <w:rFonts w:hint="eastAsia" w:cs="Times New Roman"/>
                <w:color w:val="auto"/>
                <w:sz w:val="21"/>
                <w:szCs w:val="21"/>
                <w:highlight w:val="none"/>
                <w:lang w:val="en-US" w:eastAsia="zh-CN"/>
              </w:rPr>
              <w:t>t/a</w:t>
            </w:r>
          </w:p>
        </w:tc>
        <w:tc>
          <w:tcPr>
            <w:tcW w:w="1417" w:type="dxa"/>
            <w:vAlign w:val="center"/>
          </w:tcPr>
          <w:p w14:paraId="35EB85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0</w:t>
            </w:r>
          </w:p>
        </w:tc>
      </w:tr>
      <w:tr w14:paraId="3B25F8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7" w:type="dxa"/>
            <w:vMerge w:val="continue"/>
            <w:vAlign w:val="center"/>
          </w:tcPr>
          <w:p w14:paraId="705E695E">
            <w:pPr>
              <w:pStyle w:val="70"/>
              <w:keepNext w:val="0"/>
              <w:keepLines w:val="0"/>
              <w:suppressLineNumbers w:val="0"/>
              <w:spacing w:before="0" w:beforeLines="0" w:beforeAutospacing="0" w:after="0" w:afterLines="0" w:afterAutospacing="0" w:line="240" w:lineRule="auto"/>
              <w:ind w:left="0" w:right="0" w:firstLine="0" w:firstLineChars="0"/>
              <w:rPr>
                <w:rFonts w:hint="default" w:ascii="Times New Roman" w:hAnsi="Times New Roman" w:cs="Times New Roman"/>
                <w:snapToGrid w:val="0"/>
                <w:color w:val="auto"/>
                <w:kern w:val="21"/>
                <w:sz w:val="21"/>
                <w:szCs w:val="21"/>
                <w:highlight w:val="none"/>
              </w:rPr>
            </w:pPr>
          </w:p>
        </w:tc>
        <w:tc>
          <w:tcPr>
            <w:tcW w:w="2697" w:type="dxa"/>
            <w:vAlign w:val="center"/>
          </w:tcPr>
          <w:p w14:paraId="70BF38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contextualSpacing/>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脱水污泥</w:t>
            </w:r>
          </w:p>
        </w:tc>
        <w:tc>
          <w:tcPr>
            <w:tcW w:w="1364" w:type="dxa"/>
            <w:vAlign w:val="center"/>
          </w:tcPr>
          <w:p w14:paraId="3BAC960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highlight w:val="none"/>
                <w:lang w:val="en-US" w:eastAsia="zh-CN"/>
              </w:rPr>
            </w:pPr>
            <w:r>
              <w:rPr>
                <w:rFonts w:hint="eastAsia"/>
                <w:color w:val="auto"/>
                <w:sz w:val="21"/>
                <w:szCs w:val="21"/>
                <w:highlight w:val="none"/>
                <w:lang w:val="en-US" w:eastAsia="zh-CN"/>
              </w:rPr>
              <w:t>4380</w:t>
            </w:r>
            <w:r>
              <w:rPr>
                <w:rFonts w:hint="eastAsia" w:cs="Times New Roman"/>
                <w:color w:val="auto"/>
                <w:sz w:val="21"/>
                <w:szCs w:val="21"/>
                <w:highlight w:val="none"/>
                <w:lang w:val="en-US" w:eastAsia="zh-CN"/>
              </w:rPr>
              <w:t>t/a</w:t>
            </w:r>
          </w:p>
        </w:tc>
        <w:tc>
          <w:tcPr>
            <w:tcW w:w="1296" w:type="dxa"/>
            <w:vAlign w:val="center"/>
          </w:tcPr>
          <w:p w14:paraId="0E5D5F8D">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w:t>
            </w:r>
          </w:p>
        </w:tc>
        <w:tc>
          <w:tcPr>
            <w:tcW w:w="1409" w:type="dxa"/>
            <w:vAlign w:val="center"/>
          </w:tcPr>
          <w:p w14:paraId="1C527916">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w:t>
            </w:r>
          </w:p>
        </w:tc>
        <w:tc>
          <w:tcPr>
            <w:tcW w:w="1559" w:type="dxa"/>
            <w:vAlign w:val="center"/>
          </w:tcPr>
          <w:p w14:paraId="34C41D72">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kern w:val="0"/>
                <w:sz w:val="21"/>
                <w:szCs w:val="21"/>
                <w:lang w:val="en-US" w:eastAsia="zh-CN"/>
              </w:rPr>
              <w:t>6628.765</w:t>
            </w:r>
            <w:r>
              <w:rPr>
                <w:rFonts w:hint="eastAsia" w:cs="Times New Roman"/>
                <w:color w:val="auto"/>
                <w:sz w:val="21"/>
                <w:szCs w:val="21"/>
                <w:highlight w:val="none"/>
                <w:lang w:val="en-US" w:eastAsia="zh-CN"/>
              </w:rPr>
              <w:t>t/a</w:t>
            </w:r>
          </w:p>
        </w:tc>
        <w:tc>
          <w:tcPr>
            <w:tcW w:w="1535" w:type="dxa"/>
            <w:vAlign w:val="center"/>
          </w:tcPr>
          <w:p w14:paraId="0F63C579">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bCs/>
                <w:color w:val="auto"/>
                <w:sz w:val="21"/>
                <w:szCs w:val="21"/>
                <w:highlight w:val="none"/>
              </w:rPr>
            </w:pPr>
            <w:r>
              <w:rPr>
                <w:rFonts w:hint="eastAsia"/>
                <w:color w:val="auto"/>
                <w:sz w:val="21"/>
                <w:szCs w:val="21"/>
                <w:highlight w:val="none"/>
                <w:lang w:val="en-US" w:eastAsia="zh-CN"/>
              </w:rPr>
              <w:t>4380</w:t>
            </w:r>
            <w:r>
              <w:rPr>
                <w:rFonts w:hint="eastAsia" w:cs="Times New Roman"/>
                <w:color w:val="auto"/>
                <w:sz w:val="21"/>
                <w:szCs w:val="21"/>
                <w:highlight w:val="none"/>
                <w:lang w:val="en-US" w:eastAsia="zh-CN"/>
              </w:rPr>
              <w:t>t/a</w:t>
            </w:r>
          </w:p>
        </w:tc>
        <w:tc>
          <w:tcPr>
            <w:tcW w:w="1594" w:type="dxa"/>
            <w:vAlign w:val="center"/>
          </w:tcPr>
          <w:p w14:paraId="500755EA">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kern w:val="0"/>
                <w:sz w:val="21"/>
                <w:szCs w:val="21"/>
                <w:lang w:val="en-US" w:eastAsia="zh-CN"/>
              </w:rPr>
              <w:t>6628.765</w:t>
            </w:r>
            <w:r>
              <w:rPr>
                <w:rFonts w:hint="eastAsia" w:cs="Times New Roman"/>
                <w:color w:val="auto"/>
                <w:sz w:val="21"/>
                <w:szCs w:val="21"/>
                <w:highlight w:val="none"/>
                <w:lang w:val="en-US" w:eastAsia="zh-CN"/>
              </w:rPr>
              <w:t>t/a</w:t>
            </w:r>
          </w:p>
        </w:tc>
        <w:tc>
          <w:tcPr>
            <w:tcW w:w="1417" w:type="dxa"/>
            <w:vAlign w:val="center"/>
          </w:tcPr>
          <w:p w14:paraId="4E1271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2248.765t/a</w:t>
            </w:r>
          </w:p>
        </w:tc>
      </w:tr>
    </w:tbl>
    <w:p w14:paraId="2C66592E">
      <w:pPr>
        <w:pStyle w:val="70"/>
        <w:adjustRightInd/>
        <w:snapToGrid/>
        <w:spacing w:beforeLines="0" w:afterLines="0" w:line="240" w:lineRule="auto"/>
        <w:ind w:firstLine="0"/>
        <w:jc w:val="left"/>
        <w:rPr>
          <w:rFonts w:hint="default" w:ascii="Times New Roman" w:hAnsi="Times New Roman" w:cs="Times New Roman"/>
          <w:snapToGrid w:val="0"/>
          <w:color w:val="auto"/>
          <w:kern w:val="21"/>
          <w:sz w:val="21"/>
          <w:highlight w:val="none"/>
        </w:rPr>
      </w:pPr>
      <w:r>
        <w:rPr>
          <w:rFonts w:hint="default" w:ascii="Times New Roman" w:hAnsi="Times New Roman" w:cs="Times New Roman"/>
          <w:snapToGrid w:val="0"/>
          <w:color w:val="auto"/>
          <w:kern w:val="21"/>
          <w:sz w:val="21"/>
          <w:highlight w:val="none"/>
        </w:rPr>
        <w:t>注：⑥=①+③+④-⑤；⑦=⑥-①</w:t>
      </w:r>
    </w:p>
    <w:p w14:paraId="2FFDD847">
      <w:pPr>
        <w:pStyle w:val="30"/>
        <w:spacing w:before="0" w:beforeAutospacing="0" w:after="0" w:afterAutospacing="0"/>
        <w:rPr>
          <w:rFonts w:hint="default" w:ascii="Times New Roman" w:hAnsi="Times New Roman" w:cs="Times New Roman"/>
          <w:snapToGrid w:val="0"/>
          <w:color w:val="auto"/>
          <w:kern w:val="21"/>
          <w:sz w:val="21"/>
          <w:szCs w:val="32"/>
          <w:highlight w:val="none"/>
        </w:rPr>
        <w:sectPr>
          <w:pgSz w:w="16781" w:h="11849" w:orient="landscape"/>
          <w:pgMar w:top="1701" w:right="1531" w:bottom="1701" w:left="1531" w:header="851" w:footer="1077" w:gutter="0"/>
          <w:pgBorders>
            <w:top w:val="none" w:sz="0" w:space="0"/>
            <w:left w:val="none" w:sz="0" w:space="0"/>
            <w:bottom w:val="none" w:sz="0" w:space="0"/>
            <w:right w:val="none" w:sz="0" w:space="0"/>
          </w:pgBorders>
          <w:pgNumType w:fmt="numberInDash"/>
          <w:cols w:space="0" w:num="1"/>
          <w:docGrid w:type="lines" w:linePitch="316" w:charSpace="0"/>
        </w:sectPr>
      </w:pPr>
    </w:p>
    <w:p w14:paraId="770521EF">
      <w:pPr>
        <w:pStyle w:val="2"/>
        <w:keepNext w:val="0"/>
        <w:keepLines w:val="0"/>
        <w:pageBreakBefore w:val="0"/>
        <w:widowControl/>
        <w:kinsoku/>
        <w:wordWrap/>
        <w:overflowPunct/>
        <w:topLinePunct w:val="0"/>
        <w:autoSpaceDE/>
        <w:autoSpaceDN/>
        <w:bidi w:val="0"/>
        <w:adjustRightInd/>
        <w:snapToGrid/>
        <w:spacing w:before="0" w:after="0" w:line="240" w:lineRule="auto"/>
        <w:ind w:left="0" w:firstLine="0"/>
        <w:jc w:val="left"/>
        <w:textAlignment w:val="auto"/>
        <w:rPr>
          <w:rFonts w:hint="eastAsia" w:eastAsia="宋体" w:cs="Times New Roman"/>
          <w:b/>
          <w:bCs/>
          <w:color w:val="auto"/>
          <w:kern w:val="0"/>
          <w:sz w:val="21"/>
          <w:szCs w:val="21"/>
          <w:highlight w:val="none"/>
          <w:lang w:val="en-US" w:eastAsia="zh-CN"/>
        </w:rPr>
      </w:pPr>
      <w:bookmarkStart w:id="25" w:name="_Toc20292"/>
      <w:bookmarkStart w:id="26" w:name="_Toc11995"/>
      <w:bookmarkStart w:id="27" w:name="_Toc24197"/>
      <w:r>
        <w:rPr>
          <w:rFonts w:hint="default" w:ascii="Times New Roman" w:hAnsi="Times New Roman" w:eastAsia="宋体" w:cs="Times New Roman"/>
          <w:b/>
          <w:bCs/>
          <w:color w:val="auto"/>
          <w:kern w:val="0"/>
          <w:sz w:val="21"/>
          <w:szCs w:val="21"/>
          <w:highlight w:val="none"/>
        </w:rPr>
        <w:t>附件1</w:t>
      </w:r>
      <w:bookmarkEnd w:id="25"/>
      <w:bookmarkEnd w:id="26"/>
      <w:bookmarkEnd w:id="27"/>
      <w:r>
        <w:rPr>
          <w:rFonts w:hint="eastAsia" w:eastAsia="宋体" w:cs="Times New Roman"/>
          <w:b/>
          <w:bCs/>
          <w:color w:val="auto"/>
          <w:kern w:val="0"/>
          <w:sz w:val="21"/>
          <w:szCs w:val="21"/>
          <w:highlight w:val="none"/>
          <w:lang w:val="en-US" w:eastAsia="zh-CN"/>
        </w:rPr>
        <w:t>营业执照</w:t>
      </w:r>
    </w:p>
    <w:p w14:paraId="1C2F7660">
      <w:pPr>
        <w:jc w:val="center"/>
        <w:rPr>
          <w:rFonts w:hint="eastAsia" w:eastAsia="宋体"/>
          <w:color w:val="auto"/>
          <w:lang w:val="en-US" w:eastAsia="zh-CN"/>
        </w:rPr>
        <w:sectPr>
          <w:pgSz w:w="16781" w:h="11849" w:orient="landscape"/>
          <w:pgMar w:top="1701" w:right="1531" w:bottom="1701" w:left="1531" w:header="851" w:footer="1077" w:gutter="0"/>
          <w:pgBorders>
            <w:top w:val="none" w:sz="0" w:space="0"/>
            <w:left w:val="none" w:sz="0" w:space="0"/>
            <w:bottom w:val="none" w:sz="0" w:space="0"/>
            <w:right w:val="none" w:sz="0" w:space="0"/>
          </w:pgBorders>
          <w:pgNumType w:fmt="numberInDash"/>
          <w:cols w:space="0" w:num="1"/>
          <w:docGrid w:type="lines" w:linePitch="316" w:charSpace="0"/>
        </w:sectPr>
      </w:pPr>
      <w:r>
        <w:rPr>
          <w:rFonts w:hint="eastAsia" w:eastAsia="宋体"/>
          <w:color w:val="auto"/>
          <w:lang w:val="en-US" w:eastAsia="zh-CN"/>
        </w:rPr>
        <w:drawing>
          <wp:inline distT="0" distB="0" distL="114300" distR="114300">
            <wp:extent cx="5671185" cy="3977005"/>
            <wp:effectExtent l="0" t="0" r="5715" b="4445"/>
            <wp:docPr id="64" name="图片 64" descr="供水公司营业执照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供水公司营业执照_01"/>
                    <pic:cNvPicPr>
                      <a:picLocks noChangeAspect="1"/>
                    </pic:cNvPicPr>
                  </pic:nvPicPr>
                  <pic:blipFill>
                    <a:blip r:embed="rId22"/>
                    <a:stretch>
                      <a:fillRect/>
                    </a:stretch>
                  </pic:blipFill>
                  <pic:spPr>
                    <a:xfrm>
                      <a:off x="0" y="0"/>
                      <a:ext cx="5671185" cy="3977005"/>
                    </a:xfrm>
                    <a:prstGeom prst="rect">
                      <a:avLst/>
                    </a:prstGeom>
                  </pic:spPr>
                </pic:pic>
              </a:graphicData>
            </a:graphic>
          </wp:inline>
        </w:drawing>
      </w:r>
    </w:p>
    <w:p w14:paraId="47708029">
      <w:pPr>
        <w:pStyle w:val="150"/>
        <w:keepNext w:val="0"/>
        <w:keepLines w:val="0"/>
        <w:pageBreakBefore w:val="0"/>
        <w:widowControl/>
        <w:kinsoku/>
        <w:wordWrap/>
        <w:overflowPunct/>
        <w:topLinePunct w:val="0"/>
        <w:autoSpaceDE/>
        <w:autoSpaceDN/>
        <w:bidi w:val="0"/>
        <w:adjustRightInd/>
        <w:snapToGrid/>
        <w:spacing w:line="240" w:lineRule="auto"/>
        <w:ind w:left="0"/>
        <w:textAlignment w:val="auto"/>
        <w:rPr>
          <w:rFonts w:hint="default" w:ascii="Times New Roman" w:hAnsi="Times New Roman" w:cs="Times New Roman"/>
          <w:b/>
          <w:bCs/>
          <w:color w:val="auto"/>
          <w:spacing w:val="0"/>
          <w:kern w:val="0"/>
          <w:sz w:val="21"/>
          <w:szCs w:val="21"/>
        </w:rPr>
      </w:pPr>
      <w:r>
        <w:rPr>
          <w:rFonts w:hint="default" w:ascii="Times New Roman" w:hAnsi="Times New Roman" w:cs="Times New Roman"/>
          <w:b/>
          <w:bCs/>
          <w:color w:val="auto"/>
          <w:spacing w:val="0"/>
          <w:kern w:val="0"/>
          <w:sz w:val="21"/>
          <w:szCs w:val="21"/>
          <w:highlight w:val="none"/>
          <w:lang w:val="en-US" w:eastAsia="zh-CN"/>
        </w:rPr>
        <w:t>附件2关于</w:t>
      </w:r>
      <w:r>
        <w:rPr>
          <w:rFonts w:hint="default" w:ascii="Times New Roman" w:hAnsi="Times New Roman" w:cs="Times New Roman"/>
          <w:b/>
          <w:bCs/>
          <w:color w:val="auto"/>
          <w:spacing w:val="0"/>
          <w:kern w:val="0"/>
          <w:sz w:val="21"/>
          <w:szCs w:val="21"/>
        </w:rPr>
        <w:t>鸡西市朝阳净水厂及“四区”输配水工程环境影响评价报告书的批复</w:t>
      </w:r>
    </w:p>
    <w:p w14:paraId="3BDCD1C4">
      <w:pPr>
        <w:pStyle w:val="150"/>
        <w:keepNext w:val="0"/>
        <w:keepLines w:val="0"/>
        <w:pageBreakBefore w:val="0"/>
        <w:widowControl/>
        <w:kinsoku/>
        <w:wordWrap/>
        <w:overflowPunct/>
        <w:topLinePunct w:val="0"/>
        <w:autoSpaceDE/>
        <w:autoSpaceDN/>
        <w:bidi w:val="0"/>
        <w:adjustRightInd/>
        <w:snapToGrid/>
        <w:spacing w:line="240" w:lineRule="auto"/>
        <w:ind w:left="0"/>
        <w:textAlignment w:val="auto"/>
        <w:rPr>
          <w:rFonts w:hint="default" w:ascii="Times New Roman" w:hAnsi="Times New Roman" w:cs="Times New Roman"/>
          <w:b/>
          <w:bCs/>
          <w:color w:val="auto"/>
          <w:spacing w:val="0"/>
          <w:kern w:val="0"/>
          <w:sz w:val="21"/>
          <w:szCs w:val="21"/>
          <w:lang w:eastAsia="zh-CN"/>
        </w:rPr>
      </w:pPr>
      <w:r>
        <w:rPr>
          <w:rFonts w:hint="eastAsia" w:eastAsia="宋体"/>
          <w:color w:val="auto"/>
          <w:lang w:eastAsia="zh-CN"/>
        </w:rPr>
        <w:drawing>
          <wp:inline distT="0" distB="0" distL="114300" distR="114300">
            <wp:extent cx="5266690" cy="7023735"/>
            <wp:effectExtent l="0" t="0" r="10160" b="5715"/>
            <wp:docPr id="33" name="图片 3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1"/>
                    <pic:cNvPicPr>
                      <a:picLocks noChangeAspect="1"/>
                    </pic:cNvPicPr>
                  </pic:nvPicPr>
                  <pic:blipFill>
                    <a:blip r:embed="rId23"/>
                    <a:stretch>
                      <a:fillRect/>
                    </a:stretch>
                  </pic:blipFill>
                  <pic:spPr>
                    <a:xfrm>
                      <a:off x="0" y="0"/>
                      <a:ext cx="5266690" cy="7023735"/>
                    </a:xfrm>
                    <a:prstGeom prst="rect">
                      <a:avLst/>
                    </a:prstGeom>
                  </pic:spPr>
                </pic:pic>
              </a:graphicData>
            </a:graphic>
          </wp:inline>
        </w:drawing>
      </w:r>
    </w:p>
    <w:p w14:paraId="560C777C">
      <w:pPr>
        <w:pStyle w:val="34"/>
        <w:ind w:left="0" w:leftChars="0" w:firstLine="0" w:firstLineChars="0"/>
        <w:rPr>
          <w:rFonts w:hint="eastAsia" w:eastAsia="宋体"/>
          <w:color w:val="auto"/>
          <w:lang w:eastAsia="zh-CN"/>
        </w:rPr>
      </w:pPr>
      <w:r>
        <w:rPr>
          <w:rFonts w:hint="eastAsia" w:eastAsia="宋体"/>
          <w:color w:val="auto"/>
          <w:lang w:eastAsia="zh-CN"/>
        </w:rPr>
        <w:drawing>
          <wp:inline distT="0" distB="0" distL="114300" distR="114300">
            <wp:extent cx="5266690" cy="7023735"/>
            <wp:effectExtent l="0" t="0" r="10160" b="5715"/>
            <wp:docPr id="51" name="图片 5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2"/>
                    <pic:cNvPicPr>
                      <a:picLocks noChangeAspect="1"/>
                    </pic:cNvPicPr>
                  </pic:nvPicPr>
                  <pic:blipFill>
                    <a:blip r:embed="rId24"/>
                    <a:stretch>
                      <a:fillRect/>
                    </a:stretch>
                  </pic:blipFill>
                  <pic:spPr>
                    <a:xfrm>
                      <a:off x="0" y="0"/>
                      <a:ext cx="5266690" cy="7023735"/>
                    </a:xfrm>
                    <a:prstGeom prst="rect">
                      <a:avLst/>
                    </a:prstGeom>
                  </pic:spPr>
                </pic:pic>
              </a:graphicData>
            </a:graphic>
          </wp:inline>
        </w:drawing>
      </w:r>
      <w:r>
        <w:rPr>
          <w:rFonts w:hint="eastAsia" w:eastAsia="宋体"/>
          <w:color w:val="auto"/>
          <w:lang w:eastAsia="zh-CN"/>
        </w:rPr>
        <w:drawing>
          <wp:inline distT="0" distB="0" distL="114300" distR="114300">
            <wp:extent cx="5266690" cy="7023735"/>
            <wp:effectExtent l="0" t="0" r="10160" b="5715"/>
            <wp:docPr id="58" name="图片 5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3"/>
                    <pic:cNvPicPr>
                      <a:picLocks noChangeAspect="1"/>
                    </pic:cNvPicPr>
                  </pic:nvPicPr>
                  <pic:blipFill>
                    <a:blip r:embed="rId25"/>
                    <a:stretch>
                      <a:fillRect/>
                    </a:stretch>
                  </pic:blipFill>
                  <pic:spPr>
                    <a:xfrm>
                      <a:off x="0" y="0"/>
                      <a:ext cx="5266690" cy="7023735"/>
                    </a:xfrm>
                    <a:prstGeom prst="rect">
                      <a:avLst/>
                    </a:prstGeom>
                  </pic:spPr>
                </pic:pic>
              </a:graphicData>
            </a:graphic>
          </wp:inline>
        </w:drawing>
      </w:r>
      <w:r>
        <w:rPr>
          <w:rFonts w:hint="eastAsia" w:eastAsia="宋体"/>
          <w:color w:val="auto"/>
          <w:lang w:eastAsia="zh-CN"/>
        </w:rPr>
        <w:drawing>
          <wp:inline distT="0" distB="0" distL="114300" distR="114300">
            <wp:extent cx="5266690" cy="7023735"/>
            <wp:effectExtent l="0" t="0" r="10160" b="5715"/>
            <wp:docPr id="59" name="图片 5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4"/>
                    <pic:cNvPicPr>
                      <a:picLocks noChangeAspect="1"/>
                    </pic:cNvPicPr>
                  </pic:nvPicPr>
                  <pic:blipFill>
                    <a:blip r:embed="rId26"/>
                    <a:stretch>
                      <a:fillRect/>
                    </a:stretch>
                  </pic:blipFill>
                  <pic:spPr>
                    <a:xfrm>
                      <a:off x="0" y="0"/>
                      <a:ext cx="5266690" cy="7023735"/>
                    </a:xfrm>
                    <a:prstGeom prst="rect">
                      <a:avLst/>
                    </a:prstGeom>
                  </pic:spPr>
                </pic:pic>
              </a:graphicData>
            </a:graphic>
          </wp:inline>
        </w:drawing>
      </w:r>
      <w:r>
        <w:rPr>
          <w:rFonts w:hint="eastAsia" w:eastAsia="宋体"/>
          <w:color w:val="auto"/>
          <w:lang w:eastAsia="zh-CN"/>
        </w:rPr>
        <w:drawing>
          <wp:inline distT="0" distB="0" distL="114300" distR="114300">
            <wp:extent cx="5266690" cy="7023735"/>
            <wp:effectExtent l="0" t="0" r="10160" b="5715"/>
            <wp:docPr id="60" name="图片 6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5"/>
                    <pic:cNvPicPr>
                      <a:picLocks noChangeAspect="1"/>
                    </pic:cNvPicPr>
                  </pic:nvPicPr>
                  <pic:blipFill>
                    <a:blip r:embed="rId27"/>
                    <a:stretch>
                      <a:fillRect/>
                    </a:stretch>
                  </pic:blipFill>
                  <pic:spPr>
                    <a:xfrm>
                      <a:off x="0" y="0"/>
                      <a:ext cx="5266690" cy="7023735"/>
                    </a:xfrm>
                    <a:prstGeom prst="rect">
                      <a:avLst/>
                    </a:prstGeom>
                  </pic:spPr>
                </pic:pic>
              </a:graphicData>
            </a:graphic>
          </wp:inline>
        </w:drawing>
      </w:r>
    </w:p>
    <w:p w14:paraId="0589EF7B">
      <w:pPr>
        <w:pStyle w:val="21"/>
        <w:rPr>
          <w:rFonts w:hint="eastAsia"/>
          <w:color w:val="auto"/>
          <w:lang w:eastAsia="zh-CN"/>
        </w:rPr>
      </w:pPr>
    </w:p>
    <w:p w14:paraId="0584FB12">
      <w:pPr>
        <w:pStyle w:val="13"/>
        <w:rPr>
          <w:color w:val="auto"/>
        </w:rPr>
      </w:pPr>
    </w:p>
    <w:p w14:paraId="7E6ACCAB">
      <w:pPr>
        <w:pStyle w:val="44"/>
        <w:rPr>
          <w:color w:val="auto"/>
        </w:rPr>
      </w:pPr>
    </w:p>
    <w:p w14:paraId="2EDF7103">
      <w:pPr>
        <w:pStyle w:val="45"/>
        <w:rPr>
          <w:color w:val="auto"/>
        </w:rPr>
      </w:pPr>
    </w:p>
    <w:p w14:paraId="7606F7D2">
      <w:pPr>
        <w:rPr>
          <w:color w:val="auto"/>
        </w:rPr>
      </w:pPr>
    </w:p>
    <w:p w14:paraId="40FF0A6E">
      <w:pPr>
        <w:pStyle w:val="13"/>
        <w:rPr>
          <w:color w:val="auto"/>
        </w:rPr>
      </w:pPr>
    </w:p>
    <w:p w14:paraId="0142B05D">
      <w:pPr>
        <w:bidi w:val="0"/>
        <w:rPr>
          <w:rFonts w:hint="eastAsia"/>
          <w:color w:val="auto"/>
          <w:lang w:val="en-US" w:eastAsia="zh-CN"/>
        </w:rPr>
      </w:pPr>
    </w:p>
    <w:p w14:paraId="640FD348">
      <w:pPr>
        <w:pStyle w:val="2"/>
        <w:keepNext w:val="0"/>
        <w:keepLines w:val="0"/>
        <w:pageBreakBefore w:val="0"/>
        <w:widowControl/>
        <w:kinsoku/>
        <w:wordWrap/>
        <w:overflowPunct/>
        <w:topLinePunct w:val="0"/>
        <w:autoSpaceDE/>
        <w:autoSpaceDN/>
        <w:bidi w:val="0"/>
        <w:adjustRightInd/>
        <w:snapToGrid/>
        <w:spacing w:before="0" w:after="0" w:line="240" w:lineRule="auto"/>
        <w:ind w:left="0" w:firstLine="0"/>
        <w:jc w:val="left"/>
        <w:textAlignment w:val="auto"/>
        <w:rPr>
          <w:rFonts w:hint="eastAsia" w:eastAsia="宋体" w:cs="Times New Roman"/>
          <w:b/>
          <w:bCs/>
          <w:color w:val="auto"/>
          <w:kern w:val="0"/>
          <w:sz w:val="21"/>
          <w:szCs w:val="21"/>
          <w:highlight w:val="none"/>
          <w:lang w:val="en-US" w:eastAsia="zh-CN"/>
        </w:rPr>
      </w:pPr>
      <w:r>
        <w:rPr>
          <w:rFonts w:hint="eastAsia" w:eastAsia="宋体" w:cs="Times New Roman"/>
          <w:b/>
          <w:bCs/>
          <w:color w:val="auto"/>
          <w:kern w:val="0"/>
          <w:sz w:val="21"/>
          <w:szCs w:val="21"/>
          <w:highlight w:val="none"/>
          <w:lang w:val="en-US" w:eastAsia="zh-CN"/>
        </w:rPr>
        <w:t>附件3检测报告</w:t>
      </w:r>
    </w:p>
    <w:p w14:paraId="20550C2F">
      <w:pPr>
        <w:pStyle w:val="8"/>
        <w:ind w:left="0" w:leftChars="0" w:firstLine="0" w:firstLineChars="0"/>
        <w:rPr>
          <w:rFonts w:hint="eastAsia" w:eastAsia="宋体"/>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color w:val="auto"/>
        </w:rPr>
        <w:drawing>
          <wp:inline distT="0" distB="0" distL="114300" distR="114300">
            <wp:extent cx="5267960" cy="7450455"/>
            <wp:effectExtent l="0" t="0" r="8890" b="17145"/>
            <wp:docPr id="2" name="图片 2" descr="鸡西市供水公司（鸡西市供水有限公司朝阳净水厂改建项目）-废水、地表水（3天）、废气、噪声-8月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鸡西市供水公司（鸡西市供水有限公司朝阳净水厂改建项目）-废水、地表水（3天）、废气、噪声-8月_01"/>
                    <pic:cNvPicPr>
                      <a:picLocks noChangeAspect="1"/>
                    </pic:cNvPicPr>
                  </pic:nvPicPr>
                  <pic:blipFill>
                    <a:blip r:embed="rId28"/>
                    <a:stretch>
                      <a:fillRect/>
                    </a:stretch>
                  </pic:blipFill>
                  <pic:spPr>
                    <a:xfrm>
                      <a:off x="0" y="0"/>
                      <a:ext cx="5267960" cy="7450455"/>
                    </a:xfrm>
                    <a:prstGeom prst="rect">
                      <a:avLst/>
                    </a:prstGeom>
                  </pic:spPr>
                </pic:pic>
              </a:graphicData>
            </a:graphic>
          </wp:inline>
        </w:drawing>
      </w:r>
      <w:r>
        <w:rPr>
          <w:color w:val="auto"/>
        </w:rPr>
        <w:drawing>
          <wp:inline distT="0" distB="0" distL="114300" distR="114300">
            <wp:extent cx="5267960" cy="7450455"/>
            <wp:effectExtent l="0" t="0" r="8890" b="17145"/>
            <wp:docPr id="3" name="图片 3" descr="鸡西市供水公司（鸡西市供水有限公司朝阳净水厂改建项目）-废水、地表水（3天）、废气、噪声-8月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鸡西市供水公司（鸡西市供水有限公司朝阳净水厂改建项目）-废水、地表水（3天）、废气、噪声-8月_02"/>
                    <pic:cNvPicPr>
                      <a:picLocks noChangeAspect="1"/>
                    </pic:cNvPicPr>
                  </pic:nvPicPr>
                  <pic:blipFill>
                    <a:blip r:embed="rId29"/>
                    <a:stretch>
                      <a:fillRect/>
                    </a:stretch>
                  </pic:blipFill>
                  <pic:spPr>
                    <a:xfrm>
                      <a:off x="0" y="0"/>
                      <a:ext cx="5267960" cy="7450455"/>
                    </a:xfrm>
                    <a:prstGeom prst="rect">
                      <a:avLst/>
                    </a:prstGeom>
                  </pic:spPr>
                </pic:pic>
              </a:graphicData>
            </a:graphic>
          </wp:inline>
        </w:drawing>
      </w:r>
      <w:r>
        <w:rPr>
          <w:color w:val="auto"/>
        </w:rPr>
        <w:drawing>
          <wp:inline distT="0" distB="0" distL="114300" distR="114300">
            <wp:extent cx="5267960" cy="7450455"/>
            <wp:effectExtent l="0" t="0" r="8890" b="17145"/>
            <wp:docPr id="4" name="图片 4" descr="鸡西市供水公司（鸡西市供水有限公司朝阳净水厂改建项目）-废水、地表水（3天）、废气、噪声-8月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鸡西市供水公司（鸡西市供水有限公司朝阳净水厂改建项目）-废水、地表水（3天）、废气、噪声-8月_03"/>
                    <pic:cNvPicPr>
                      <a:picLocks noChangeAspect="1"/>
                    </pic:cNvPicPr>
                  </pic:nvPicPr>
                  <pic:blipFill>
                    <a:blip r:embed="rId30"/>
                    <a:stretch>
                      <a:fillRect/>
                    </a:stretch>
                  </pic:blipFill>
                  <pic:spPr>
                    <a:xfrm>
                      <a:off x="0" y="0"/>
                      <a:ext cx="5267960" cy="7450455"/>
                    </a:xfrm>
                    <a:prstGeom prst="rect">
                      <a:avLst/>
                    </a:prstGeom>
                  </pic:spPr>
                </pic:pic>
              </a:graphicData>
            </a:graphic>
          </wp:inline>
        </w:drawing>
      </w:r>
      <w:r>
        <w:rPr>
          <w:color w:val="auto"/>
        </w:rPr>
        <w:drawing>
          <wp:inline distT="0" distB="0" distL="114300" distR="114300">
            <wp:extent cx="5267960" cy="7450455"/>
            <wp:effectExtent l="0" t="0" r="8890" b="17145"/>
            <wp:docPr id="6" name="图片 6" descr="鸡西市供水公司（鸡西市供水有限公司朝阳净水厂改建项目）-废水、地表水（3天）、废气、噪声-8月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鸡西市供水公司（鸡西市供水有限公司朝阳净水厂改建项目）-废水、地表水（3天）、废气、噪声-8月_04"/>
                    <pic:cNvPicPr>
                      <a:picLocks noChangeAspect="1"/>
                    </pic:cNvPicPr>
                  </pic:nvPicPr>
                  <pic:blipFill>
                    <a:blip r:embed="rId31"/>
                    <a:stretch>
                      <a:fillRect/>
                    </a:stretch>
                  </pic:blipFill>
                  <pic:spPr>
                    <a:xfrm>
                      <a:off x="0" y="0"/>
                      <a:ext cx="5267960" cy="7450455"/>
                    </a:xfrm>
                    <a:prstGeom prst="rect">
                      <a:avLst/>
                    </a:prstGeom>
                  </pic:spPr>
                </pic:pic>
              </a:graphicData>
            </a:graphic>
          </wp:inline>
        </w:drawing>
      </w:r>
      <w:r>
        <w:rPr>
          <w:rFonts w:hint="eastAsia" w:eastAsia="宋体"/>
          <w:color w:val="auto"/>
          <w:lang w:val="en-US" w:eastAsia="zh-CN"/>
        </w:rPr>
        <w:drawing>
          <wp:inline distT="0" distB="0" distL="114300" distR="114300">
            <wp:extent cx="5267960" cy="7450455"/>
            <wp:effectExtent l="0" t="0" r="8890" b="17145"/>
            <wp:docPr id="8" name="图片 8" descr="鸡西市供水公司（鸡西市供水有限公司朝阳净水厂改建项目）-废水、地表水（3天）、废气、噪声-8月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鸡西市供水公司（鸡西市供水有限公司朝阳净水厂改建项目）-废水、地表水（3天）、废气、噪声-8月_05"/>
                    <pic:cNvPicPr>
                      <a:picLocks noChangeAspect="1"/>
                    </pic:cNvPicPr>
                  </pic:nvPicPr>
                  <pic:blipFill>
                    <a:blip r:embed="rId32"/>
                    <a:stretch>
                      <a:fillRect/>
                    </a:stretch>
                  </pic:blipFill>
                  <pic:spPr>
                    <a:xfrm>
                      <a:off x="0" y="0"/>
                      <a:ext cx="5267960" cy="7450455"/>
                    </a:xfrm>
                    <a:prstGeom prst="rect">
                      <a:avLst/>
                    </a:prstGeom>
                  </pic:spPr>
                </pic:pic>
              </a:graphicData>
            </a:graphic>
          </wp:inline>
        </w:drawing>
      </w:r>
      <w:r>
        <w:rPr>
          <w:rFonts w:hint="eastAsia" w:eastAsia="宋体"/>
          <w:color w:val="auto"/>
          <w:lang w:val="en-US" w:eastAsia="zh-CN"/>
        </w:rPr>
        <w:drawing>
          <wp:inline distT="0" distB="0" distL="114300" distR="114300">
            <wp:extent cx="5267960" cy="7450455"/>
            <wp:effectExtent l="0" t="0" r="8890" b="17145"/>
            <wp:docPr id="11" name="图片 11" descr="鸡西市供水公司（鸡西市供水有限公司朝阳净水厂改建项目）-废水、地表水（3天）、废气、噪声-8月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鸡西市供水公司（鸡西市供水有限公司朝阳净水厂改建项目）-废水、地表水（3天）、废气、噪声-8月_06"/>
                    <pic:cNvPicPr>
                      <a:picLocks noChangeAspect="1"/>
                    </pic:cNvPicPr>
                  </pic:nvPicPr>
                  <pic:blipFill>
                    <a:blip r:embed="rId33"/>
                    <a:stretch>
                      <a:fillRect/>
                    </a:stretch>
                  </pic:blipFill>
                  <pic:spPr>
                    <a:xfrm>
                      <a:off x="0" y="0"/>
                      <a:ext cx="5267960" cy="7450455"/>
                    </a:xfrm>
                    <a:prstGeom prst="rect">
                      <a:avLst/>
                    </a:prstGeom>
                  </pic:spPr>
                </pic:pic>
              </a:graphicData>
            </a:graphic>
          </wp:inline>
        </w:drawing>
      </w:r>
      <w:r>
        <w:rPr>
          <w:rFonts w:hint="eastAsia" w:eastAsia="宋体"/>
          <w:color w:val="auto"/>
          <w:lang w:val="en-US" w:eastAsia="zh-CN"/>
        </w:rPr>
        <w:drawing>
          <wp:inline distT="0" distB="0" distL="114300" distR="114300">
            <wp:extent cx="5267960" cy="7450455"/>
            <wp:effectExtent l="0" t="0" r="8890" b="17145"/>
            <wp:docPr id="12" name="图片 12" descr="鸡西市供水公司（鸡西市供水有限公司朝阳净水厂改建项目）-废水、地表水（3天）、废气、噪声-8月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鸡西市供水公司（鸡西市供水有限公司朝阳净水厂改建项目）-废水、地表水（3天）、废气、噪声-8月_07"/>
                    <pic:cNvPicPr>
                      <a:picLocks noChangeAspect="1"/>
                    </pic:cNvPicPr>
                  </pic:nvPicPr>
                  <pic:blipFill>
                    <a:blip r:embed="rId34"/>
                    <a:stretch>
                      <a:fillRect/>
                    </a:stretch>
                  </pic:blipFill>
                  <pic:spPr>
                    <a:xfrm>
                      <a:off x="0" y="0"/>
                      <a:ext cx="5267960" cy="7450455"/>
                    </a:xfrm>
                    <a:prstGeom prst="rect">
                      <a:avLst/>
                    </a:prstGeom>
                  </pic:spPr>
                </pic:pic>
              </a:graphicData>
            </a:graphic>
          </wp:inline>
        </w:drawing>
      </w:r>
      <w:r>
        <w:rPr>
          <w:rFonts w:hint="eastAsia" w:eastAsia="宋体"/>
          <w:color w:val="auto"/>
          <w:lang w:val="en-US" w:eastAsia="zh-CN"/>
        </w:rPr>
        <w:drawing>
          <wp:inline distT="0" distB="0" distL="114300" distR="114300">
            <wp:extent cx="5267960" cy="7450455"/>
            <wp:effectExtent l="0" t="0" r="8890" b="17145"/>
            <wp:docPr id="13" name="图片 13" descr="鸡西市供水公司（鸡西市供水有限公司朝阳净水厂改建项目）-废水、地表水（3天）、废气、噪声-8月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鸡西市供水公司（鸡西市供水有限公司朝阳净水厂改建项目）-废水、地表水（3天）、废气、噪声-8月_08"/>
                    <pic:cNvPicPr>
                      <a:picLocks noChangeAspect="1"/>
                    </pic:cNvPicPr>
                  </pic:nvPicPr>
                  <pic:blipFill>
                    <a:blip r:embed="rId35"/>
                    <a:stretch>
                      <a:fillRect/>
                    </a:stretch>
                  </pic:blipFill>
                  <pic:spPr>
                    <a:xfrm>
                      <a:off x="0" y="0"/>
                      <a:ext cx="5267960" cy="7450455"/>
                    </a:xfrm>
                    <a:prstGeom prst="rect">
                      <a:avLst/>
                    </a:prstGeom>
                  </pic:spPr>
                </pic:pic>
              </a:graphicData>
            </a:graphic>
          </wp:inline>
        </w:drawing>
      </w:r>
      <w:r>
        <w:rPr>
          <w:rFonts w:hint="eastAsia" w:eastAsia="宋体"/>
          <w:color w:val="auto"/>
          <w:lang w:val="en-US" w:eastAsia="zh-CN"/>
        </w:rPr>
        <w:drawing>
          <wp:inline distT="0" distB="0" distL="114300" distR="114300">
            <wp:extent cx="5267960" cy="7450455"/>
            <wp:effectExtent l="0" t="0" r="8890" b="17145"/>
            <wp:docPr id="16" name="图片 16" descr="鸡西市供水公司（鸡西市供水有限公司朝阳净水厂改建项目）-废水、地表水（3天）、废气、噪声-8月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鸡西市供水公司（鸡西市供水有限公司朝阳净水厂改建项目）-废水、地表水（3天）、废气、噪声-8月_09"/>
                    <pic:cNvPicPr>
                      <a:picLocks noChangeAspect="1"/>
                    </pic:cNvPicPr>
                  </pic:nvPicPr>
                  <pic:blipFill>
                    <a:blip r:embed="rId36"/>
                    <a:stretch>
                      <a:fillRect/>
                    </a:stretch>
                  </pic:blipFill>
                  <pic:spPr>
                    <a:xfrm>
                      <a:off x="0" y="0"/>
                      <a:ext cx="5267960" cy="7450455"/>
                    </a:xfrm>
                    <a:prstGeom prst="rect">
                      <a:avLst/>
                    </a:prstGeom>
                  </pic:spPr>
                </pic:pic>
              </a:graphicData>
            </a:graphic>
          </wp:inline>
        </w:drawing>
      </w:r>
      <w:r>
        <w:rPr>
          <w:rFonts w:hint="eastAsia" w:eastAsia="宋体"/>
          <w:color w:val="auto"/>
          <w:lang w:val="en-US" w:eastAsia="zh-CN"/>
        </w:rPr>
        <w:drawing>
          <wp:inline distT="0" distB="0" distL="114300" distR="114300">
            <wp:extent cx="5267960" cy="7450455"/>
            <wp:effectExtent l="0" t="0" r="8890" b="17145"/>
            <wp:docPr id="17" name="图片 17" descr="鸡西市供水公司（鸡西市供水有限公司朝阳净水厂改建项目）-废水、地表水（3天）、废气、噪声-8月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鸡西市供水公司（鸡西市供水有限公司朝阳净水厂改建项目）-废水、地表水（3天）、废气、噪声-8月_10"/>
                    <pic:cNvPicPr>
                      <a:picLocks noChangeAspect="1"/>
                    </pic:cNvPicPr>
                  </pic:nvPicPr>
                  <pic:blipFill>
                    <a:blip r:embed="rId37"/>
                    <a:stretch>
                      <a:fillRect/>
                    </a:stretch>
                  </pic:blipFill>
                  <pic:spPr>
                    <a:xfrm>
                      <a:off x="0" y="0"/>
                      <a:ext cx="5267960" cy="7450455"/>
                    </a:xfrm>
                    <a:prstGeom prst="rect">
                      <a:avLst/>
                    </a:prstGeom>
                  </pic:spPr>
                </pic:pic>
              </a:graphicData>
            </a:graphic>
          </wp:inline>
        </w:drawing>
      </w:r>
      <w:r>
        <w:rPr>
          <w:rFonts w:hint="eastAsia" w:eastAsia="宋体"/>
          <w:color w:val="auto"/>
          <w:lang w:val="en-US" w:eastAsia="zh-CN"/>
        </w:rPr>
        <w:drawing>
          <wp:inline distT="0" distB="0" distL="114300" distR="114300">
            <wp:extent cx="5267960" cy="7450455"/>
            <wp:effectExtent l="0" t="0" r="8890" b="17145"/>
            <wp:docPr id="22" name="图片 22" descr="鸡西市供水公司（鸡西市供水有限公司朝阳净水厂改建项目）-废水、地表水（3天）、废气、噪声-8月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鸡西市供水公司（鸡西市供水有限公司朝阳净水厂改建项目）-废水、地表水（3天）、废气、噪声-8月_11"/>
                    <pic:cNvPicPr>
                      <a:picLocks noChangeAspect="1"/>
                    </pic:cNvPicPr>
                  </pic:nvPicPr>
                  <pic:blipFill>
                    <a:blip r:embed="rId38"/>
                    <a:stretch>
                      <a:fillRect/>
                    </a:stretch>
                  </pic:blipFill>
                  <pic:spPr>
                    <a:xfrm>
                      <a:off x="0" y="0"/>
                      <a:ext cx="5267960" cy="7450455"/>
                    </a:xfrm>
                    <a:prstGeom prst="rect">
                      <a:avLst/>
                    </a:prstGeom>
                  </pic:spPr>
                </pic:pic>
              </a:graphicData>
            </a:graphic>
          </wp:inline>
        </w:drawing>
      </w:r>
      <w:r>
        <w:rPr>
          <w:rFonts w:hint="eastAsia" w:eastAsia="宋体"/>
          <w:color w:val="auto"/>
          <w:lang w:val="en-US" w:eastAsia="zh-CN"/>
        </w:rPr>
        <w:drawing>
          <wp:inline distT="0" distB="0" distL="114300" distR="114300">
            <wp:extent cx="5267960" cy="7450455"/>
            <wp:effectExtent l="0" t="0" r="8890" b="17145"/>
            <wp:docPr id="23" name="图片 23" descr="鸡西市供水公司（鸡西市供水有限公司朝阳净水厂改建项目）-废水、地表水（3天）、废气、噪声-8月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鸡西市供水公司（鸡西市供水有限公司朝阳净水厂改建项目）-废水、地表水（3天）、废气、噪声-8月_12"/>
                    <pic:cNvPicPr>
                      <a:picLocks noChangeAspect="1"/>
                    </pic:cNvPicPr>
                  </pic:nvPicPr>
                  <pic:blipFill>
                    <a:blip r:embed="rId39"/>
                    <a:stretch>
                      <a:fillRect/>
                    </a:stretch>
                  </pic:blipFill>
                  <pic:spPr>
                    <a:xfrm>
                      <a:off x="0" y="0"/>
                      <a:ext cx="5267960" cy="7450455"/>
                    </a:xfrm>
                    <a:prstGeom prst="rect">
                      <a:avLst/>
                    </a:prstGeom>
                  </pic:spPr>
                </pic:pic>
              </a:graphicData>
            </a:graphic>
          </wp:inline>
        </w:drawing>
      </w:r>
      <w:r>
        <w:rPr>
          <w:rFonts w:hint="eastAsia" w:eastAsia="宋体"/>
          <w:color w:val="auto"/>
          <w:lang w:val="en-US" w:eastAsia="zh-CN"/>
        </w:rPr>
        <w:drawing>
          <wp:inline distT="0" distB="0" distL="114300" distR="114300">
            <wp:extent cx="5267960" cy="7450455"/>
            <wp:effectExtent l="0" t="0" r="8890" b="17145"/>
            <wp:docPr id="24" name="图片 24" descr="鸡西市供水公司（鸡西市供水有限公司朝阳净水厂改建项目）-废水、地表水（3天）、废气、噪声-8月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鸡西市供水公司（鸡西市供水有限公司朝阳净水厂改建项目）-废水、地表水（3天）、废气、噪声-8月_13"/>
                    <pic:cNvPicPr>
                      <a:picLocks noChangeAspect="1"/>
                    </pic:cNvPicPr>
                  </pic:nvPicPr>
                  <pic:blipFill>
                    <a:blip r:embed="rId40"/>
                    <a:stretch>
                      <a:fillRect/>
                    </a:stretch>
                  </pic:blipFill>
                  <pic:spPr>
                    <a:xfrm>
                      <a:off x="0" y="0"/>
                      <a:ext cx="5267960" cy="7450455"/>
                    </a:xfrm>
                    <a:prstGeom prst="rect">
                      <a:avLst/>
                    </a:prstGeom>
                  </pic:spPr>
                </pic:pic>
              </a:graphicData>
            </a:graphic>
          </wp:inline>
        </w:drawing>
      </w:r>
      <w:r>
        <w:rPr>
          <w:rFonts w:hint="eastAsia" w:eastAsia="宋体"/>
          <w:color w:val="auto"/>
          <w:lang w:val="en-US" w:eastAsia="zh-CN"/>
        </w:rPr>
        <w:drawing>
          <wp:inline distT="0" distB="0" distL="114300" distR="114300">
            <wp:extent cx="5267960" cy="7450455"/>
            <wp:effectExtent l="0" t="0" r="8890" b="17145"/>
            <wp:docPr id="31" name="图片 31" descr="鸡西市供水公司（鸡西市供水有限公司朝阳净水厂改建项目）-废水、地表水（3天）、废气、噪声-8月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鸡西市供水公司（鸡西市供水有限公司朝阳净水厂改建项目）-废水、地表水（3天）、废气、噪声-8月_14"/>
                    <pic:cNvPicPr>
                      <a:picLocks noChangeAspect="1"/>
                    </pic:cNvPicPr>
                  </pic:nvPicPr>
                  <pic:blipFill>
                    <a:blip r:embed="rId41"/>
                    <a:stretch>
                      <a:fillRect/>
                    </a:stretch>
                  </pic:blipFill>
                  <pic:spPr>
                    <a:xfrm>
                      <a:off x="0" y="0"/>
                      <a:ext cx="5267960" cy="7450455"/>
                    </a:xfrm>
                    <a:prstGeom prst="rect">
                      <a:avLst/>
                    </a:prstGeom>
                  </pic:spPr>
                </pic:pic>
              </a:graphicData>
            </a:graphic>
          </wp:inline>
        </w:drawing>
      </w:r>
      <w:r>
        <w:rPr>
          <w:rFonts w:hint="eastAsia" w:eastAsia="宋体"/>
          <w:color w:val="auto"/>
          <w:lang w:val="en-US" w:eastAsia="zh-CN"/>
        </w:rPr>
        <w:drawing>
          <wp:inline distT="0" distB="0" distL="114300" distR="114300">
            <wp:extent cx="5267960" cy="7450455"/>
            <wp:effectExtent l="0" t="0" r="8890" b="17145"/>
            <wp:docPr id="34" name="图片 34" descr="鸡西市供水公司（鸡西市供水有限公司朝阳净水厂改建项目）-废水、地表水（3天）、废气、噪声-8月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鸡西市供水公司（鸡西市供水有限公司朝阳净水厂改建项目）-废水、地表水（3天）、废气、噪声-8月_15"/>
                    <pic:cNvPicPr>
                      <a:picLocks noChangeAspect="1"/>
                    </pic:cNvPicPr>
                  </pic:nvPicPr>
                  <pic:blipFill>
                    <a:blip r:embed="rId42"/>
                    <a:stretch>
                      <a:fillRect/>
                    </a:stretch>
                  </pic:blipFill>
                  <pic:spPr>
                    <a:xfrm>
                      <a:off x="0" y="0"/>
                      <a:ext cx="5267960" cy="7450455"/>
                    </a:xfrm>
                    <a:prstGeom prst="rect">
                      <a:avLst/>
                    </a:prstGeom>
                  </pic:spPr>
                </pic:pic>
              </a:graphicData>
            </a:graphic>
          </wp:inline>
        </w:drawing>
      </w:r>
      <w:r>
        <w:rPr>
          <w:rFonts w:hint="eastAsia" w:eastAsia="宋体"/>
          <w:color w:val="auto"/>
          <w:lang w:val="en-US" w:eastAsia="zh-CN"/>
        </w:rPr>
        <w:drawing>
          <wp:inline distT="0" distB="0" distL="114300" distR="114300">
            <wp:extent cx="5267960" cy="7450455"/>
            <wp:effectExtent l="0" t="0" r="8890" b="17145"/>
            <wp:docPr id="35" name="图片 35" descr="鸡西市供水公司（鸡西市供水有限公司朝阳净水厂改建项目）-废水、地表水（3天）、废气、噪声-8月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鸡西市供水公司（鸡西市供水有限公司朝阳净水厂改建项目）-废水、地表水（3天）、废气、噪声-8月_16"/>
                    <pic:cNvPicPr>
                      <a:picLocks noChangeAspect="1"/>
                    </pic:cNvPicPr>
                  </pic:nvPicPr>
                  <pic:blipFill>
                    <a:blip r:embed="rId43"/>
                    <a:stretch>
                      <a:fillRect/>
                    </a:stretch>
                  </pic:blipFill>
                  <pic:spPr>
                    <a:xfrm>
                      <a:off x="0" y="0"/>
                      <a:ext cx="5267960" cy="7450455"/>
                    </a:xfrm>
                    <a:prstGeom prst="rect">
                      <a:avLst/>
                    </a:prstGeom>
                  </pic:spPr>
                </pic:pic>
              </a:graphicData>
            </a:graphic>
          </wp:inline>
        </w:drawing>
      </w:r>
      <w:r>
        <w:rPr>
          <w:rFonts w:hint="eastAsia" w:eastAsia="宋体"/>
          <w:color w:val="auto"/>
          <w:lang w:val="en-US" w:eastAsia="zh-CN"/>
        </w:rPr>
        <w:drawing>
          <wp:inline distT="0" distB="0" distL="114300" distR="114300">
            <wp:extent cx="5267960" cy="7450455"/>
            <wp:effectExtent l="0" t="0" r="8890" b="17145"/>
            <wp:docPr id="36" name="图片 36" descr="鸡西市供水公司（鸡西市供水有限公司朝阳净水厂改建项目）-废水、地表水（3天）、废气、噪声-8月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鸡西市供水公司（鸡西市供水有限公司朝阳净水厂改建项目）-废水、地表水（3天）、废气、噪声-8月_17"/>
                    <pic:cNvPicPr>
                      <a:picLocks noChangeAspect="1"/>
                    </pic:cNvPicPr>
                  </pic:nvPicPr>
                  <pic:blipFill>
                    <a:blip r:embed="rId44"/>
                    <a:stretch>
                      <a:fillRect/>
                    </a:stretch>
                  </pic:blipFill>
                  <pic:spPr>
                    <a:xfrm>
                      <a:off x="0" y="0"/>
                      <a:ext cx="5267960" cy="7450455"/>
                    </a:xfrm>
                    <a:prstGeom prst="rect">
                      <a:avLst/>
                    </a:prstGeom>
                  </pic:spPr>
                </pic:pic>
              </a:graphicData>
            </a:graphic>
          </wp:inline>
        </w:drawing>
      </w:r>
      <w:r>
        <w:rPr>
          <w:rFonts w:hint="eastAsia" w:eastAsia="宋体"/>
          <w:color w:val="auto"/>
          <w:lang w:val="en-US" w:eastAsia="zh-CN"/>
        </w:rPr>
        <w:drawing>
          <wp:inline distT="0" distB="0" distL="114300" distR="114300">
            <wp:extent cx="5267960" cy="7450455"/>
            <wp:effectExtent l="0" t="0" r="8890" b="17145"/>
            <wp:docPr id="37" name="图片 37" descr="鸡西市供水公司（鸡西市供水有限公司朝阳净水厂改建项目）-废水、地表水（3天）、废气、噪声-8月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鸡西市供水公司（鸡西市供水有限公司朝阳净水厂改建项目）-废水、地表水（3天）、废气、噪声-8月_18"/>
                    <pic:cNvPicPr>
                      <a:picLocks noChangeAspect="1"/>
                    </pic:cNvPicPr>
                  </pic:nvPicPr>
                  <pic:blipFill>
                    <a:blip r:embed="rId45"/>
                    <a:stretch>
                      <a:fillRect/>
                    </a:stretch>
                  </pic:blipFill>
                  <pic:spPr>
                    <a:xfrm>
                      <a:off x="0" y="0"/>
                      <a:ext cx="5267960" cy="7450455"/>
                    </a:xfrm>
                    <a:prstGeom prst="rect">
                      <a:avLst/>
                    </a:prstGeom>
                  </pic:spPr>
                </pic:pic>
              </a:graphicData>
            </a:graphic>
          </wp:inline>
        </w:drawing>
      </w:r>
      <w:r>
        <w:rPr>
          <w:rFonts w:hint="eastAsia" w:eastAsia="宋体"/>
          <w:color w:val="auto"/>
          <w:lang w:val="en-US" w:eastAsia="zh-CN"/>
        </w:rPr>
        <w:drawing>
          <wp:inline distT="0" distB="0" distL="114300" distR="114300">
            <wp:extent cx="5267960" cy="7450455"/>
            <wp:effectExtent l="0" t="0" r="8890" b="17145"/>
            <wp:docPr id="38" name="图片 38" descr="鸡西市供水公司（鸡西市供水有限公司朝阳净水厂改建项目）-废水、地表水（3天）、废气、噪声-8月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鸡西市供水公司（鸡西市供水有限公司朝阳净水厂改建项目）-废水、地表水（3天）、废气、噪声-8月_19"/>
                    <pic:cNvPicPr>
                      <a:picLocks noChangeAspect="1"/>
                    </pic:cNvPicPr>
                  </pic:nvPicPr>
                  <pic:blipFill>
                    <a:blip r:embed="rId46"/>
                    <a:stretch>
                      <a:fillRect/>
                    </a:stretch>
                  </pic:blipFill>
                  <pic:spPr>
                    <a:xfrm>
                      <a:off x="0" y="0"/>
                      <a:ext cx="5267960" cy="7450455"/>
                    </a:xfrm>
                    <a:prstGeom prst="rect">
                      <a:avLst/>
                    </a:prstGeom>
                  </pic:spPr>
                </pic:pic>
              </a:graphicData>
            </a:graphic>
          </wp:inline>
        </w:drawing>
      </w:r>
      <w:r>
        <w:rPr>
          <w:rFonts w:hint="eastAsia" w:eastAsia="宋体"/>
          <w:color w:val="auto"/>
          <w:lang w:val="en-US" w:eastAsia="zh-CN"/>
        </w:rPr>
        <w:drawing>
          <wp:inline distT="0" distB="0" distL="114300" distR="114300">
            <wp:extent cx="5267960" cy="7450455"/>
            <wp:effectExtent l="0" t="0" r="8890" b="17145"/>
            <wp:docPr id="39" name="图片 39" descr="鸡西市供水公司（鸡西市供水有限公司朝阳净水厂改建项目）-废水、地表水（3天）、废气、噪声-8月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鸡西市供水公司（鸡西市供水有限公司朝阳净水厂改建项目）-废水、地表水（3天）、废气、噪声-8月_20"/>
                    <pic:cNvPicPr>
                      <a:picLocks noChangeAspect="1"/>
                    </pic:cNvPicPr>
                  </pic:nvPicPr>
                  <pic:blipFill>
                    <a:blip r:embed="rId47"/>
                    <a:stretch>
                      <a:fillRect/>
                    </a:stretch>
                  </pic:blipFill>
                  <pic:spPr>
                    <a:xfrm>
                      <a:off x="0" y="0"/>
                      <a:ext cx="5267960" cy="7450455"/>
                    </a:xfrm>
                    <a:prstGeom prst="rect">
                      <a:avLst/>
                    </a:prstGeom>
                  </pic:spPr>
                </pic:pic>
              </a:graphicData>
            </a:graphic>
          </wp:inline>
        </w:drawing>
      </w:r>
      <w:r>
        <w:rPr>
          <w:rFonts w:hint="eastAsia" w:eastAsia="宋体"/>
          <w:color w:val="auto"/>
          <w:lang w:val="en-US" w:eastAsia="zh-CN"/>
        </w:rPr>
        <w:drawing>
          <wp:inline distT="0" distB="0" distL="114300" distR="114300">
            <wp:extent cx="5267960" cy="7450455"/>
            <wp:effectExtent l="0" t="0" r="8890" b="17145"/>
            <wp:docPr id="40" name="图片 40" descr="鸡西市供水公司（鸡西市供水有限公司朝阳净水厂改建项目）-废水、地表水（3天）、废气、噪声-8月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鸡西市供水公司（鸡西市供水有限公司朝阳净水厂改建项目）-废水、地表水（3天）、废气、噪声-8月_21"/>
                    <pic:cNvPicPr>
                      <a:picLocks noChangeAspect="1"/>
                    </pic:cNvPicPr>
                  </pic:nvPicPr>
                  <pic:blipFill>
                    <a:blip r:embed="rId48"/>
                    <a:stretch>
                      <a:fillRect/>
                    </a:stretch>
                  </pic:blipFill>
                  <pic:spPr>
                    <a:xfrm>
                      <a:off x="0" y="0"/>
                      <a:ext cx="5267960" cy="7450455"/>
                    </a:xfrm>
                    <a:prstGeom prst="rect">
                      <a:avLst/>
                    </a:prstGeom>
                  </pic:spPr>
                </pic:pic>
              </a:graphicData>
            </a:graphic>
          </wp:inline>
        </w:drawing>
      </w:r>
    </w:p>
    <w:p w14:paraId="4328D02E">
      <w:pPr>
        <w:pStyle w:val="2"/>
        <w:keepNext w:val="0"/>
        <w:keepLines w:val="0"/>
        <w:pageBreakBefore w:val="0"/>
        <w:widowControl/>
        <w:kinsoku/>
        <w:wordWrap/>
        <w:overflowPunct/>
        <w:topLinePunct w:val="0"/>
        <w:autoSpaceDE/>
        <w:autoSpaceDN/>
        <w:bidi w:val="0"/>
        <w:adjustRightInd/>
        <w:snapToGrid/>
        <w:spacing w:before="0" w:after="0" w:line="360" w:lineRule="auto"/>
        <w:ind w:left="0" w:firstLine="0"/>
        <w:jc w:val="left"/>
        <w:textAlignment w:val="auto"/>
        <w:rPr>
          <w:rFonts w:hint="default"/>
          <w:color w:val="auto"/>
          <w:highlight w:val="none"/>
          <w:lang w:val="en-US" w:eastAsia="zh-CN"/>
        </w:rPr>
      </w:pPr>
      <w:r>
        <w:rPr>
          <w:rFonts w:hint="default" w:ascii="Times New Roman" w:hAnsi="Times New Roman" w:eastAsia="宋体" w:cs="Times New Roman"/>
          <w:b/>
          <w:bCs/>
          <w:color w:val="auto"/>
          <w:kern w:val="0"/>
          <w:sz w:val="21"/>
          <w:szCs w:val="21"/>
          <w:highlight w:val="none"/>
        </w:rPr>
        <w:t>附件</w:t>
      </w:r>
      <w:r>
        <w:rPr>
          <w:rFonts w:hint="eastAsia" w:eastAsia="宋体" w:cs="Times New Roman"/>
          <w:b/>
          <w:bCs/>
          <w:color w:val="auto"/>
          <w:kern w:val="0"/>
          <w:sz w:val="21"/>
          <w:szCs w:val="21"/>
          <w:highlight w:val="none"/>
          <w:lang w:val="en-US" w:eastAsia="zh-CN"/>
        </w:rPr>
        <w:t>4核定排放量计算说明</w:t>
      </w:r>
    </w:p>
    <w:p w14:paraId="2AAE98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w:t>
      </w:r>
      <w:r>
        <w:rPr>
          <w:rFonts w:hint="eastAsia" w:ascii="Times New Roman" w:hAnsi="Times New Roman" w:eastAsia="宋体" w:cs="Times New Roman"/>
          <w:bCs/>
          <w:color w:val="auto"/>
          <w:spacing w:val="0"/>
          <w:kern w:val="0"/>
          <w:sz w:val="21"/>
          <w:szCs w:val="21"/>
          <w:highlight w:val="none"/>
          <w:lang w:val="en-US" w:eastAsia="zh-CN"/>
        </w:rPr>
        <w:t>排泥水</w:t>
      </w:r>
      <w:r>
        <w:rPr>
          <w:rFonts w:hint="eastAsia" w:ascii="Times New Roman" w:cs="Times New Roman"/>
          <w:color w:val="auto"/>
          <w:sz w:val="21"/>
          <w:szCs w:val="21"/>
          <w:highlight w:val="none"/>
          <w:lang w:val="en-US" w:eastAsia="zh-CN"/>
        </w:rPr>
        <w:t>上清液排放量为</w:t>
      </w:r>
      <w:r>
        <w:rPr>
          <w:rFonts w:hint="eastAsia" w:cs="Times New Roman"/>
          <w:bCs/>
          <w:color w:val="auto"/>
          <w:sz w:val="21"/>
          <w:szCs w:val="21"/>
          <w:highlight w:val="none"/>
          <w:lang w:val="en-US" w:eastAsia="zh-CN"/>
        </w:rPr>
        <w:t>708.435t/d，258578.775t/a</w:t>
      </w:r>
      <w:r>
        <w:rPr>
          <w:rFonts w:hint="eastAsia" w:ascii="Times New Roman" w:cs="Times New Roman"/>
          <w:color w:val="auto"/>
          <w:sz w:val="21"/>
          <w:szCs w:val="21"/>
          <w:highlight w:val="none"/>
          <w:lang w:val="en-US" w:eastAsia="zh-CN"/>
        </w:rPr>
        <w:t>，</w:t>
      </w:r>
      <w:r>
        <w:rPr>
          <w:rFonts w:hint="eastAsia" w:ascii="Times New Roman" w:hAnsi="Times New Roman" w:cs="Times New Roman"/>
          <w:bCs/>
          <w:color w:val="auto"/>
          <w:spacing w:val="0"/>
          <w:kern w:val="0"/>
          <w:sz w:val="21"/>
          <w:szCs w:val="21"/>
          <w:highlight w:val="none"/>
          <w:lang w:val="en-US" w:eastAsia="zh-CN"/>
        </w:rPr>
        <w:t>本项目不新增生活污水，</w:t>
      </w:r>
      <w:r>
        <w:rPr>
          <w:rFonts w:hint="default" w:ascii="Times New Roman" w:hAnsi="Times New Roman" w:eastAsia="宋体" w:cs="Times New Roman"/>
          <w:bCs/>
          <w:color w:val="auto"/>
          <w:spacing w:val="0"/>
          <w:kern w:val="0"/>
          <w:sz w:val="21"/>
          <w:szCs w:val="21"/>
          <w:highlight w:val="none"/>
          <w:lang w:val="en-US" w:eastAsia="zh-CN"/>
        </w:rPr>
        <w:t>反冲洗废水</w:t>
      </w:r>
      <w:r>
        <w:rPr>
          <w:rFonts w:hint="eastAsia" w:cs="Times New Roman"/>
          <w:color w:val="auto"/>
          <w:sz w:val="21"/>
          <w:szCs w:val="21"/>
          <w:highlight w:val="none"/>
          <w:lang w:eastAsia="zh-CN"/>
        </w:rPr>
        <w:t>回收</w:t>
      </w:r>
      <w:r>
        <w:rPr>
          <w:rFonts w:hint="eastAsia" w:cs="Times New Roman"/>
          <w:color w:val="auto"/>
          <w:sz w:val="21"/>
          <w:szCs w:val="21"/>
          <w:highlight w:val="none"/>
          <w:lang w:val="en-US" w:eastAsia="zh-CN"/>
        </w:rPr>
        <w:t>排入</w:t>
      </w:r>
      <w:r>
        <w:rPr>
          <w:rFonts w:hint="eastAsia" w:cs="Times New Roman"/>
          <w:color w:val="auto"/>
          <w:sz w:val="21"/>
          <w:szCs w:val="21"/>
          <w:highlight w:val="none"/>
          <w:lang w:eastAsia="zh-CN"/>
        </w:rPr>
        <w:t>配水</w:t>
      </w:r>
      <w:r>
        <w:rPr>
          <w:rFonts w:hint="eastAsia" w:cs="Times New Roman"/>
          <w:color w:val="auto"/>
          <w:sz w:val="21"/>
          <w:szCs w:val="21"/>
          <w:highlight w:val="none"/>
          <w:lang w:val="en-US" w:eastAsia="zh-CN"/>
        </w:rPr>
        <w:t>井</w:t>
      </w:r>
      <w:r>
        <w:rPr>
          <w:rFonts w:hint="eastAsia" w:cs="Times New Roman"/>
          <w:color w:val="auto"/>
          <w:sz w:val="21"/>
          <w:szCs w:val="21"/>
          <w:highlight w:val="none"/>
          <w:lang w:eastAsia="zh-CN"/>
        </w:rPr>
        <w:t>与原水混合回用，不外排，</w:t>
      </w:r>
      <w:r>
        <w:rPr>
          <w:rFonts w:hint="default" w:ascii="Times New Roman" w:hAnsi="Times New Roman" w:eastAsia="宋体" w:cs="Times New Roman"/>
          <w:color w:val="auto"/>
          <w:spacing w:val="0"/>
          <w:sz w:val="21"/>
          <w:szCs w:val="21"/>
        </w:rPr>
        <w:t>沉淀池排泥水</w:t>
      </w:r>
      <w:r>
        <w:rPr>
          <w:rFonts w:hint="default" w:ascii="Times New Roman" w:hAnsi="Times New Roman" w:eastAsia="宋体" w:cs="Times New Roman"/>
          <w:color w:val="auto"/>
          <w:spacing w:val="0"/>
          <w:kern w:val="21"/>
          <w:sz w:val="21"/>
          <w:szCs w:val="21"/>
          <w:highlight w:val="none"/>
          <w:lang w:val="en-US" w:eastAsia="zh-CN"/>
        </w:rPr>
        <w:t>经絮凝、沉淀处理后满足</w:t>
      </w:r>
      <w:r>
        <w:rPr>
          <w:rFonts w:hint="default" w:ascii="Times New Roman" w:hAnsi="Times New Roman" w:eastAsia="宋体" w:cs="Times New Roman"/>
          <w:color w:val="auto"/>
          <w:spacing w:val="0"/>
          <w:sz w:val="21"/>
          <w:szCs w:val="21"/>
          <w:highlight w:val="none"/>
          <w:lang w:val="en-US" w:eastAsia="zh-CN"/>
        </w:rPr>
        <w:t>《地表水环境质量标准》（GB3838-2002）表1中三类标准、悬浮物满足《污水综合排放标准》（GB8978-1996）一级标准</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排入</w:t>
      </w:r>
      <w:r>
        <w:rPr>
          <w:rFonts w:hint="eastAsia" w:ascii="Times New Roman" w:hAnsi="Times New Roman" w:eastAsia="宋体" w:cs="Times New Roman"/>
          <w:color w:val="auto"/>
          <w:sz w:val="21"/>
          <w:szCs w:val="21"/>
          <w:highlight w:val="none"/>
          <w:lang w:val="en-US" w:eastAsia="zh-CN"/>
        </w:rPr>
        <w:t>红光沟流入</w:t>
      </w:r>
      <w:r>
        <w:rPr>
          <w:rFonts w:hint="default" w:ascii="Times New Roman" w:hAnsi="Times New Roman" w:eastAsia="宋体" w:cs="Times New Roman"/>
          <w:color w:val="auto"/>
          <w:sz w:val="21"/>
          <w:szCs w:val="21"/>
          <w:highlight w:val="none"/>
          <w:lang w:val="en-US" w:eastAsia="zh-CN"/>
        </w:rPr>
        <w:t>穆棱河</w:t>
      </w:r>
      <w:r>
        <w:rPr>
          <w:rFonts w:hint="default" w:ascii="Times New Roman" w:hAnsi="Times New Roman" w:eastAsia="宋体" w:cs="Times New Roman"/>
          <w:color w:val="auto"/>
          <w:spacing w:val="0"/>
          <w:w w:val="100"/>
          <w:sz w:val="21"/>
          <w:szCs w:val="21"/>
          <w:highlight w:val="none"/>
        </w:rPr>
        <w:t>。</w:t>
      </w:r>
    </w:p>
    <w:p w14:paraId="1BFDA92E">
      <w:pPr>
        <w:keepNext w:val="0"/>
        <w:keepLines w:val="0"/>
        <w:pageBreakBefore w:val="0"/>
        <w:kinsoku/>
        <w:wordWrap/>
        <w:overflowPunct/>
        <w:topLinePunct w:val="0"/>
        <w:autoSpaceDE/>
        <w:autoSpaceDN/>
        <w:bidi w:val="0"/>
        <w:spacing w:line="360" w:lineRule="auto"/>
        <w:ind w:firstLine="420" w:firstLineChars="200"/>
        <w:textAlignment w:val="auto"/>
        <w:rPr>
          <w:rFonts w:hint="default" w:ascii="Times New Roman" w:hAnsi="Times New Roman" w:cs="Times New Roman"/>
          <w:bCs/>
          <w:color w:val="auto"/>
          <w:sz w:val="21"/>
          <w:szCs w:val="21"/>
          <w:highlight w:val="none"/>
          <w:lang w:eastAsia="zh-CN"/>
        </w:rPr>
      </w:pPr>
      <w:r>
        <w:rPr>
          <w:rFonts w:hint="default" w:ascii="Times New Roman" w:hAnsi="Times New Roman" w:cs="Times New Roman"/>
          <w:bCs/>
          <w:color w:val="auto"/>
          <w:sz w:val="21"/>
          <w:szCs w:val="21"/>
          <w:highlight w:val="none"/>
        </w:rPr>
        <w:t>COD核定排放量=</w:t>
      </w:r>
      <w:r>
        <w:rPr>
          <w:rFonts w:hint="eastAsia" w:cs="Times New Roman"/>
          <w:bCs/>
          <w:color w:val="auto"/>
          <w:sz w:val="21"/>
          <w:szCs w:val="21"/>
          <w:highlight w:val="none"/>
          <w:lang w:val="en-US" w:eastAsia="zh-CN"/>
        </w:rPr>
        <w:t>258578.775</w:t>
      </w:r>
      <w:r>
        <w:rPr>
          <w:rFonts w:hint="default" w:ascii="Times New Roman" w:hAnsi="Times New Roman" w:cs="Times New Roman"/>
          <w:color w:val="auto"/>
          <w:sz w:val="21"/>
          <w:szCs w:val="21"/>
          <w:highlight w:val="none"/>
        </w:rPr>
        <w:t>t/a</w:t>
      </w:r>
      <w:r>
        <w:rPr>
          <w:rFonts w:hint="default" w:ascii="Times New Roman" w:hAnsi="Times New Roman" w:cs="Times New Roman"/>
          <w:bCs/>
          <w:color w:val="auto"/>
          <w:sz w:val="21"/>
          <w:szCs w:val="21"/>
          <w:highlight w:val="none"/>
        </w:rPr>
        <w:t>×</w:t>
      </w:r>
      <w:r>
        <w:rPr>
          <w:rFonts w:hint="eastAsia" w:cs="Times New Roman"/>
          <w:bCs/>
          <w:color w:val="auto"/>
          <w:sz w:val="21"/>
          <w:szCs w:val="21"/>
          <w:highlight w:val="none"/>
          <w:lang w:val="en-US" w:eastAsia="zh-CN"/>
        </w:rPr>
        <w:t>20</w:t>
      </w:r>
      <w:r>
        <w:rPr>
          <w:rFonts w:hint="default" w:ascii="Times New Roman" w:hAnsi="Times New Roman" w:cs="Times New Roman"/>
          <w:bCs/>
          <w:color w:val="auto"/>
          <w:sz w:val="21"/>
          <w:szCs w:val="21"/>
          <w:highlight w:val="none"/>
        </w:rPr>
        <w:t>mg/L×10</w:t>
      </w:r>
      <w:r>
        <w:rPr>
          <w:rFonts w:hint="default" w:ascii="Times New Roman" w:hAnsi="Times New Roman" w:cs="Times New Roman"/>
          <w:bCs/>
          <w:color w:val="auto"/>
          <w:sz w:val="21"/>
          <w:szCs w:val="21"/>
          <w:highlight w:val="none"/>
          <w:vertAlign w:val="superscript"/>
        </w:rPr>
        <w:t>-6</w:t>
      </w:r>
      <w:r>
        <w:rPr>
          <w:rFonts w:hint="default" w:ascii="Times New Roman" w:hAnsi="Times New Roman" w:cs="Times New Roman"/>
          <w:bCs/>
          <w:color w:val="auto"/>
          <w:sz w:val="21"/>
          <w:szCs w:val="21"/>
          <w:highlight w:val="none"/>
        </w:rPr>
        <w:t>=</w:t>
      </w:r>
      <w:r>
        <w:rPr>
          <w:rFonts w:hint="eastAsia" w:cs="Times New Roman"/>
          <w:bCs/>
          <w:color w:val="auto"/>
          <w:sz w:val="21"/>
          <w:szCs w:val="21"/>
          <w:highlight w:val="none"/>
          <w:lang w:val="en-US" w:eastAsia="zh-CN"/>
        </w:rPr>
        <w:t>5.172</w:t>
      </w:r>
      <w:r>
        <w:rPr>
          <w:rFonts w:hint="default" w:ascii="Times New Roman" w:hAnsi="Times New Roman" w:cs="Times New Roman"/>
          <w:bCs/>
          <w:color w:val="auto"/>
          <w:sz w:val="21"/>
          <w:szCs w:val="21"/>
          <w:highlight w:val="none"/>
        </w:rPr>
        <w:t>t/a</w:t>
      </w:r>
      <w:r>
        <w:rPr>
          <w:rFonts w:hint="default" w:ascii="Times New Roman" w:hAnsi="Times New Roman" w:cs="Times New Roman"/>
          <w:bCs/>
          <w:color w:val="auto"/>
          <w:sz w:val="21"/>
          <w:szCs w:val="21"/>
          <w:highlight w:val="none"/>
          <w:lang w:eastAsia="zh-CN"/>
        </w:rPr>
        <w:t>。</w:t>
      </w:r>
    </w:p>
    <w:p w14:paraId="20EEDF2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color w:val="auto"/>
          <w:highlight w:val="none"/>
          <w:lang w:eastAsia="zh-CN"/>
        </w:rPr>
      </w:pPr>
      <w:r>
        <w:rPr>
          <w:rFonts w:hint="default" w:ascii="Times New Roman" w:hAnsi="Times New Roman" w:cs="Times New Roman"/>
          <w:color w:val="auto"/>
          <w:sz w:val="21"/>
          <w:szCs w:val="21"/>
          <w:highlight w:val="none"/>
        </w:rPr>
        <w:t>氨氮核定排放量</w:t>
      </w:r>
      <w:r>
        <w:rPr>
          <w:rFonts w:hint="default" w:ascii="Times New Roman" w:hAnsi="Times New Roman" w:cs="Times New Roman"/>
          <w:bCs/>
          <w:color w:val="auto"/>
          <w:sz w:val="21"/>
          <w:szCs w:val="21"/>
          <w:highlight w:val="none"/>
        </w:rPr>
        <w:t>=</w:t>
      </w:r>
      <w:r>
        <w:rPr>
          <w:rFonts w:hint="eastAsia" w:cs="Times New Roman"/>
          <w:bCs/>
          <w:color w:val="auto"/>
          <w:sz w:val="21"/>
          <w:szCs w:val="21"/>
          <w:highlight w:val="none"/>
          <w:lang w:val="en-US" w:eastAsia="zh-CN"/>
        </w:rPr>
        <w:t>258578.775</w:t>
      </w:r>
      <w:r>
        <w:rPr>
          <w:rFonts w:hint="default" w:ascii="Times New Roman" w:hAnsi="Times New Roman" w:cs="Times New Roman"/>
          <w:color w:val="auto"/>
          <w:sz w:val="21"/>
          <w:szCs w:val="21"/>
          <w:highlight w:val="none"/>
        </w:rPr>
        <w:t>t/a</w:t>
      </w:r>
      <w:r>
        <w:rPr>
          <w:rFonts w:hint="default" w:ascii="Times New Roman" w:hAnsi="Times New Roman" w:cs="Times New Roman"/>
          <w:bCs/>
          <w:color w:val="auto"/>
          <w:sz w:val="21"/>
          <w:szCs w:val="21"/>
          <w:highlight w:val="none"/>
        </w:rPr>
        <w:t>×</w:t>
      </w:r>
      <w:r>
        <w:rPr>
          <w:rFonts w:hint="eastAsia" w:cs="Times New Roman"/>
          <w:bCs/>
          <w:color w:val="auto"/>
          <w:sz w:val="21"/>
          <w:szCs w:val="21"/>
          <w:highlight w:val="none"/>
          <w:lang w:val="en-US" w:eastAsia="zh-CN"/>
        </w:rPr>
        <w:t>1</w:t>
      </w:r>
      <w:r>
        <w:rPr>
          <w:rFonts w:hint="default" w:ascii="Times New Roman" w:hAnsi="Times New Roman" w:cs="Times New Roman"/>
          <w:bCs/>
          <w:color w:val="auto"/>
          <w:sz w:val="21"/>
          <w:szCs w:val="21"/>
          <w:highlight w:val="none"/>
        </w:rPr>
        <w:t>mg/L×10</w:t>
      </w:r>
      <w:r>
        <w:rPr>
          <w:rFonts w:hint="default" w:ascii="Times New Roman" w:hAnsi="Times New Roman" w:cs="Times New Roman"/>
          <w:bCs/>
          <w:color w:val="auto"/>
          <w:sz w:val="21"/>
          <w:szCs w:val="21"/>
          <w:highlight w:val="none"/>
          <w:vertAlign w:val="superscript"/>
        </w:rPr>
        <w:t>-6</w:t>
      </w:r>
      <w:r>
        <w:rPr>
          <w:rFonts w:hint="default" w:ascii="Times New Roman" w:hAnsi="Times New Roman" w:cs="Times New Roman"/>
          <w:bCs/>
          <w:color w:val="auto"/>
          <w:sz w:val="21"/>
          <w:szCs w:val="21"/>
          <w:highlight w:val="none"/>
        </w:rPr>
        <w:t>=</w:t>
      </w:r>
      <w:r>
        <w:rPr>
          <w:rFonts w:hint="eastAsia" w:cs="Times New Roman"/>
          <w:bCs/>
          <w:color w:val="auto"/>
          <w:sz w:val="21"/>
          <w:szCs w:val="21"/>
          <w:highlight w:val="none"/>
          <w:lang w:val="en-US" w:eastAsia="zh-CN"/>
        </w:rPr>
        <w:t>0.259</w:t>
      </w:r>
      <w:r>
        <w:rPr>
          <w:rFonts w:hint="default" w:ascii="Times New Roman" w:hAnsi="Times New Roman" w:cs="Times New Roman"/>
          <w:bCs/>
          <w:color w:val="auto"/>
          <w:sz w:val="21"/>
          <w:szCs w:val="21"/>
          <w:highlight w:val="none"/>
        </w:rPr>
        <w:t>t/a</w:t>
      </w:r>
      <w:r>
        <w:rPr>
          <w:rFonts w:hint="default" w:ascii="Times New Roman" w:hAnsi="Times New Roman" w:cs="Times New Roman"/>
          <w:bCs/>
          <w:color w:val="auto"/>
          <w:sz w:val="21"/>
          <w:szCs w:val="21"/>
          <w:highlight w:val="none"/>
          <w:lang w:eastAsia="zh-CN"/>
        </w:rPr>
        <w:t>。</w:t>
      </w:r>
    </w:p>
    <w:p w14:paraId="50EBD09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imes New Roman" w:hAnsi="Times New Roman" w:cs="Times New Roman"/>
          <w:bCs/>
          <w:color w:val="auto"/>
          <w:sz w:val="21"/>
          <w:szCs w:val="21"/>
          <w:highlight w:val="none"/>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Times New Roman" w:hAnsi="Times New Roman" w:cs="Times New Roman"/>
          <w:bCs/>
          <w:color w:val="auto"/>
          <w:sz w:val="21"/>
          <w:szCs w:val="21"/>
          <w:highlight w:val="none"/>
          <w:lang w:val="en-US" w:eastAsia="zh-CN"/>
        </w:rPr>
        <w:t>则COD</w:t>
      </w:r>
      <w:r>
        <w:rPr>
          <w:rFonts w:hint="default" w:ascii="Times New Roman" w:hAnsi="Times New Roman" w:cs="Times New Roman"/>
          <w:bCs/>
          <w:color w:val="auto"/>
          <w:sz w:val="21"/>
          <w:szCs w:val="21"/>
          <w:highlight w:val="none"/>
        </w:rPr>
        <w:t>核定排放量</w:t>
      </w:r>
      <w:r>
        <w:rPr>
          <w:rFonts w:hint="eastAsia" w:ascii="Times New Roman" w:hAnsi="Times New Roman" w:cs="Times New Roman"/>
          <w:bCs/>
          <w:color w:val="auto"/>
          <w:sz w:val="21"/>
          <w:szCs w:val="21"/>
          <w:highlight w:val="none"/>
          <w:lang w:val="en-US" w:eastAsia="zh-CN"/>
        </w:rPr>
        <w:t>为</w:t>
      </w:r>
      <w:r>
        <w:rPr>
          <w:rFonts w:hint="eastAsia" w:cs="Times New Roman"/>
          <w:bCs/>
          <w:color w:val="auto"/>
          <w:sz w:val="21"/>
          <w:szCs w:val="21"/>
          <w:highlight w:val="none"/>
          <w:lang w:val="en-US" w:eastAsia="zh-CN"/>
        </w:rPr>
        <w:t>5.172</w:t>
      </w:r>
      <w:r>
        <w:rPr>
          <w:rFonts w:hint="eastAsia" w:ascii="Times New Roman" w:hAnsi="Times New Roman" w:cs="Times New Roman"/>
          <w:bCs/>
          <w:color w:val="auto"/>
          <w:sz w:val="21"/>
          <w:szCs w:val="21"/>
          <w:highlight w:val="none"/>
          <w:lang w:val="en-US" w:eastAsia="zh-CN"/>
        </w:rPr>
        <w:t>t/a，</w:t>
      </w:r>
      <w:r>
        <w:rPr>
          <w:rFonts w:hint="default" w:ascii="Times New Roman" w:hAnsi="Times New Roman" w:cs="Times New Roman"/>
          <w:color w:val="auto"/>
          <w:sz w:val="21"/>
          <w:szCs w:val="21"/>
          <w:highlight w:val="none"/>
        </w:rPr>
        <w:t>氨氮核定排放量</w:t>
      </w:r>
      <w:r>
        <w:rPr>
          <w:rFonts w:hint="eastAsia" w:ascii="Times New Roman" w:hAnsi="Times New Roman" w:cs="Times New Roman"/>
          <w:color w:val="auto"/>
          <w:sz w:val="21"/>
          <w:szCs w:val="21"/>
          <w:highlight w:val="none"/>
          <w:lang w:val="en-US" w:eastAsia="zh-CN"/>
        </w:rPr>
        <w:t>为</w:t>
      </w:r>
      <w:r>
        <w:rPr>
          <w:rFonts w:hint="eastAsia" w:cs="Times New Roman"/>
          <w:bCs/>
          <w:color w:val="auto"/>
          <w:sz w:val="21"/>
          <w:szCs w:val="21"/>
          <w:highlight w:val="none"/>
          <w:lang w:val="en-US" w:eastAsia="zh-CN"/>
        </w:rPr>
        <w:t>0.259</w:t>
      </w:r>
      <w:r>
        <w:rPr>
          <w:rFonts w:hint="default" w:ascii="Times New Roman" w:hAnsi="Times New Roman" w:cs="Times New Roman"/>
          <w:bCs/>
          <w:color w:val="auto"/>
          <w:sz w:val="21"/>
          <w:szCs w:val="21"/>
          <w:highlight w:val="none"/>
        </w:rPr>
        <w:t>t/a</w:t>
      </w:r>
      <w:r>
        <w:rPr>
          <w:rFonts w:hint="eastAsia" w:ascii="Times New Roman" w:hAnsi="Times New Roman" w:cs="Times New Roman"/>
          <w:bCs/>
          <w:color w:val="auto"/>
          <w:sz w:val="21"/>
          <w:szCs w:val="21"/>
          <w:highlight w:val="none"/>
          <w:lang w:eastAsia="zh-CN"/>
        </w:rPr>
        <w:t>。</w:t>
      </w:r>
    </w:p>
    <w:p w14:paraId="2CCB901E">
      <w:pPr>
        <w:pStyle w:val="2"/>
        <w:keepNext w:val="0"/>
        <w:keepLines w:val="0"/>
        <w:pageBreakBefore w:val="0"/>
        <w:widowControl/>
        <w:kinsoku/>
        <w:wordWrap/>
        <w:overflowPunct/>
        <w:topLinePunct w:val="0"/>
        <w:autoSpaceDE/>
        <w:autoSpaceDN/>
        <w:bidi w:val="0"/>
        <w:adjustRightInd/>
        <w:snapToGrid/>
        <w:spacing w:before="0" w:after="0" w:line="240" w:lineRule="auto"/>
        <w:ind w:left="0" w:firstLine="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附件</w:t>
      </w:r>
      <w:r>
        <w:rPr>
          <w:rFonts w:hint="eastAsia" w:eastAsia="宋体" w:cs="Times New Roman"/>
          <w:b/>
          <w:bCs/>
          <w:color w:val="auto"/>
          <w:kern w:val="0"/>
          <w:sz w:val="21"/>
          <w:szCs w:val="21"/>
          <w:highlight w:val="none"/>
          <w:lang w:val="en-US" w:eastAsia="zh-CN"/>
        </w:rPr>
        <w:t>5</w:t>
      </w:r>
      <w:r>
        <w:rPr>
          <w:rFonts w:hint="default" w:ascii="Times New Roman" w:hAnsi="Times New Roman" w:eastAsia="宋体" w:cs="Times New Roman"/>
          <w:b/>
          <w:bCs/>
          <w:color w:val="auto"/>
          <w:kern w:val="0"/>
          <w:sz w:val="21"/>
          <w:szCs w:val="21"/>
          <w:highlight w:val="none"/>
          <w:lang w:val="en-US" w:eastAsia="zh-CN"/>
        </w:rPr>
        <w:t>生态环境分区管控分析报告</w:t>
      </w:r>
    </w:p>
    <w:p w14:paraId="7B645544">
      <w:pPr>
        <w:pStyle w:val="13"/>
        <w:rPr>
          <w:rFonts w:hint="eastAsia" w:eastAsia="宋体"/>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color w:val="auto"/>
        </w:rPr>
        <w:drawing>
          <wp:inline distT="0" distB="0" distL="114300" distR="114300">
            <wp:extent cx="5272405" cy="3728085"/>
            <wp:effectExtent l="0" t="0" r="4445" b="5715"/>
            <wp:docPr id="5" name="图片 5" descr="鸡西市供水有限公司朝阳净水厂改建_2025年09月05日150539_分析报告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鸡西市供水有限公司朝阳净水厂改建_2025年09月05日150539_分析报告_01"/>
                    <pic:cNvPicPr>
                      <a:picLocks noChangeAspect="1"/>
                    </pic:cNvPicPr>
                  </pic:nvPicPr>
                  <pic:blipFill>
                    <a:blip r:embed="rId49"/>
                    <a:stretch>
                      <a:fillRect/>
                    </a:stretch>
                  </pic:blipFill>
                  <pic:spPr>
                    <a:xfrm>
                      <a:off x="0" y="0"/>
                      <a:ext cx="5272405" cy="3728085"/>
                    </a:xfrm>
                    <a:prstGeom prst="rect">
                      <a:avLst/>
                    </a:prstGeom>
                  </pic:spPr>
                </pic:pic>
              </a:graphicData>
            </a:graphic>
          </wp:inline>
        </w:drawing>
      </w:r>
      <w:r>
        <w:rPr>
          <w:color w:val="auto"/>
        </w:rPr>
        <w:drawing>
          <wp:inline distT="0" distB="0" distL="114300" distR="114300">
            <wp:extent cx="5272405" cy="3728085"/>
            <wp:effectExtent l="0" t="0" r="4445" b="5715"/>
            <wp:docPr id="18" name="图片 18" descr="鸡西市供水有限公司朝阳净水厂改建_2025年09月05日150539_分析报告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鸡西市供水有限公司朝阳净水厂改建_2025年09月05日150539_分析报告_02"/>
                    <pic:cNvPicPr>
                      <a:picLocks noChangeAspect="1"/>
                    </pic:cNvPicPr>
                  </pic:nvPicPr>
                  <pic:blipFill>
                    <a:blip r:embed="rId50"/>
                    <a:stretch>
                      <a:fillRect/>
                    </a:stretch>
                  </pic:blipFill>
                  <pic:spPr>
                    <a:xfrm>
                      <a:off x="0" y="0"/>
                      <a:ext cx="5272405" cy="3728085"/>
                    </a:xfrm>
                    <a:prstGeom prst="rect">
                      <a:avLst/>
                    </a:prstGeom>
                  </pic:spPr>
                </pic:pic>
              </a:graphicData>
            </a:graphic>
          </wp:inline>
        </w:drawing>
      </w:r>
      <w:r>
        <w:rPr>
          <w:color w:val="auto"/>
        </w:rPr>
        <w:drawing>
          <wp:inline distT="0" distB="0" distL="114300" distR="114300">
            <wp:extent cx="5272405" cy="3728085"/>
            <wp:effectExtent l="0" t="0" r="4445" b="5715"/>
            <wp:docPr id="19" name="图片 19" descr="鸡西市供水有限公司朝阳净水厂改建_2025年09月05日150539_分析报告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鸡西市供水有限公司朝阳净水厂改建_2025年09月05日150539_分析报告_03"/>
                    <pic:cNvPicPr>
                      <a:picLocks noChangeAspect="1"/>
                    </pic:cNvPicPr>
                  </pic:nvPicPr>
                  <pic:blipFill>
                    <a:blip r:embed="rId51"/>
                    <a:stretch>
                      <a:fillRect/>
                    </a:stretch>
                  </pic:blipFill>
                  <pic:spPr>
                    <a:xfrm>
                      <a:off x="0" y="0"/>
                      <a:ext cx="5272405" cy="3728085"/>
                    </a:xfrm>
                    <a:prstGeom prst="rect">
                      <a:avLst/>
                    </a:prstGeom>
                  </pic:spPr>
                </pic:pic>
              </a:graphicData>
            </a:graphic>
          </wp:inline>
        </w:drawing>
      </w:r>
      <w:r>
        <w:rPr>
          <w:rFonts w:hint="eastAsia" w:eastAsia="宋体"/>
          <w:color w:val="auto"/>
          <w:lang w:val="en-US" w:eastAsia="zh-CN"/>
        </w:rPr>
        <w:drawing>
          <wp:inline distT="0" distB="0" distL="114300" distR="114300">
            <wp:extent cx="5272405" cy="3728085"/>
            <wp:effectExtent l="0" t="0" r="4445" b="5715"/>
            <wp:docPr id="20" name="图片 20" descr="鸡西市供水有限公司朝阳净水厂改建_2025年09月05日150539_分析报告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鸡西市供水有限公司朝阳净水厂改建_2025年09月05日150539_分析报告_04"/>
                    <pic:cNvPicPr>
                      <a:picLocks noChangeAspect="1"/>
                    </pic:cNvPicPr>
                  </pic:nvPicPr>
                  <pic:blipFill>
                    <a:blip r:embed="rId52"/>
                    <a:stretch>
                      <a:fillRect/>
                    </a:stretch>
                  </pic:blipFill>
                  <pic:spPr>
                    <a:xfrm>
                      <a:off x="0" y="0"/>
                      <a:ext cx="5272405" cy="3728085"/>
                    </a:xfrm>
                    <a:prstGeom prst="rect">
                      <a:avLst/>
                    </a:prstGeom>
                  </pic:spPr>
                </pic:pic>
              </a:graphicData>
            </a:graphic>
          </wp:inline>
        </w:drawing>
      </w:r>
    </w:p>
    <w:p w14:paraId="56049F25">
      <w:pPr>
        <w:rPr>
          <w:rFonts w:hint="eastAsia" w:eastAsia="宋体"/>
          <w:color w:val="auto"/>
          <w:lang w:eastAsia="zh-CN"/>
        </w:rPr>
      </w:pPr>
      <w:r>
        <w:rPr>
          <w:rFonts w:hint="eastAsia" w:eastAsia="宋体"/>
          <w:color w:val="auto"/>
          <w:lang w:eastAsia="zh-CN"/>
        </w:rPr>
        <w:drawing>
          <wp:inline distT="0" distB="0" distL="114300" distR="114300">
            <wp:extent cx="5357495" cy="3788410"/>
            <wp:effectExtent l="0" t="0" r="14605" b="2540"/>
            <wp:docPr id="21" name="图片 21" descr="鸡西市供水有限公司朝阳净水厂改建_2025年09月05日150539_分析报告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鸡西市供水有限公司朝阳净水厂改建_2025年09月05日150539_分析报告_05"/>
                    <pic:cNvPicPr>
                      <a:picLocks noChangeAspect="1"/>
                    </pic:cNvPicPr>
                  </pic:nvPicPr>
                  <pic:blipFill>
                    <a:blip r:embed="rId53"/>
                    <a:stretch>
                      <a:fillRect/>
                    </a:stretch>
                  </pic:blipFill>
                  <pic:spPr>
                    <a:xfrm>
                      <a:off x="0" y="0"/>
                      <a:ext cx="5357495" cy="3788410"/>
                    </a:xfrm>
                    <a:prstGeom prst="rect">
                      <a:avLst/>
                    </a:prstGeom>
                  </pic:spPr>
                </pic:pic>
              </a:graphicData>
            </a:graphic>
          </wp:inline>
        </w:drawing>
      </w:r>
    </w:p>
    <w:p w14:paraId="03703FB0">
      <w:pPr>
        <w:pStyle w:val="13"/>
        <w:rPr>
          <w:rFonts w:hint="eastAsia" w:eastAsia="宋体"/>
          <w:color w:val="auto"/>
          <w:lang w:eastAsia="zh-CN"/>
        </w:rPr>
      </w:pPr>
      <w:r>
        <w:rPr>
          <w:rFonts w:hint="eastAsia" w:eastAsia="宋体"/>
          <w:color w:val="auto"/>
          <w:lang w:eastAsia="zh-CN"/>
        </w:rPr>
        <w:drawing>
          <wp:inline distT="0" distB="0" distL="114300" distR="114300">
            <wp:extent cx="5357495" cy="3788410"/>
            <wp:effectExtent l="0" t="0" r="14605" b="2540"/>
            <wp:docPr id="25" name="图片 25" descr="鸡西市供水有限公司朝阳净水厂改建_2025年09月05日150539_分析报告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鸡西市供水有限公司朝阳净水厂改建_2025年09月05日150539_分析报告_06"/>
                    <pic:cNvPicPr>
                      <a:picLocks noChangeAspect="1"/>
                    </pic:cNvPicPr>
                  </pic:nvPicPr>
                  <pic:blipFill>
                    <a:blip r:embed="rId54"/>
                    <a:stretch>
                      <a:fillRect/>
                    </a:stretch>
                  </pic:blipFill>
                  <pic:spPr>
                    <a:xfrm>
                      <a:off x="0" y="0"/>
                      <a:ext cx="5357495" cy="3788410"/>
                    </a:xfrm>
                    <a:prstGeom prst="rect">
                      <a:avLst/>
                    </a:prstGeom>
                  </pic:spPr>
                </pic:pic>
              </a:graphicData>
            </a:graphic>
          </wp:inline>
        </w:drawing>
      </w:r>
    </w:p>
    <w:p w14:paraId="0B069FEA">
      <w:pPr>
        <w:pStyle w:val="44"/>
        <w:rPr>
          <w:color w:val="auto"/>
        </w:rPr>
      </w:pPr>
    </w:p>
    <w:p w14:paraId="0D6F553D">
      <w:pPr>
        <w:pStyle w:val="45"/>
        <w:rPr>
          <w:color w:val="auto"/>
        </w:rPr>
      </w:pPr>
    </w:p>
    <w:p w14:paraId="66EF7816">
      <w:pPr>
        <w:rPr>
          <w:color w:val="auto"/>
        </w:rPr>
      </w:pPr>
    </w:p>
    <w:p w14:paraId="23F30C59">
      <w:pPr>
        <w:pStyle w:val="13"/>
        <w:rPr>
          <w:color w:val="auto"/>
        </w:rPr>
      </w:pPr>
    </w:p>
    <w:p w14:paraId="7963B45A">
      <w:pPr>
        <w:pStyle w:val="44"/>
        <w:rPr>
          <w:color w:val="auto"/>
        </w:rPr>
      </w:pPr>
    </w:p>
    <w:p w14:paraId="297C998D">
      <w:pPr>
        <w:pStyle w:val="45"/>
        <w:rPr>
          <w:color w:val="auto"/>
        </w:rPr>
      </w:pPr>
    </w:p>
    <w:p w14:paraId="4C2F91F5">
      <w:pPr>
        <w:rPr>
          <w:color w:val="auto"/>
        </w:rPr>
      </w:pPr>
    </w:p>
    <w:p w14:paraId="05566AE6">
      <w:pPr>
        <w:pStyle w:val="13"/>
        <w:rPr>
          <w:rFonts w:hint="eastAsia" w:eastAsia="宋体"/>
          <w:color w:val="auto"/>
          <w:lang w:eastAsia="zh-CN"/>
        </w:rPr>
      </w:pPr>
      <w:r>
        <w:rPr>
          <w:color w:val="auto"/>
        </w:rPr>
        <w:drawing>
          <wp:inline distT="0" distB="0" distL="114300" distR="114300">
            <wp:extent cx="5357495" cy="3788410"/>
            <wp:effectExtent l="0" t="0" r="14605" b="2540"/>
            <wp:docPr id="26" name="图片 26" descr="鸡西市供水有限公司朝阳净水厂改建_2025年09月05日150539_分析报告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鸡西市供水有限公司朝阳净水厂改建_2025年09月05日150539_分析报告_07"/>
                    <pic:cNvPicPr>
                      <a:picLocks noChangeAspect="1"/>
                    </pic:cNvPicPr>
                  </pic:nvPicPr>
                  <pic:blipFill>
                    <a:blip r:embed="rId55"/>
                    <a:stretch>
                      <a:fillRect/>
                    </a:stretch>
                  </pic:blipFill>
                  <pic:spPr>
                    <a:xfrm>
                      <a:off x="0" y="0"/>
                      <a:ext cx="5357495" cy="3788410"/>
                    </a:xfrm>
                    <a:prstGeom prst="rect">
                      <a:avLst/>
                    </a:prstGeom>
                  </pic:spPr>
                </pic:pic>
              </a:graphicData>
            </a:graphic>
          </wp:inline>
        </w:drawing>
      </w:r>
      <w:r>
        <w:rPr>
          <w:color w:val="auto"/>
        </w:rPr>
        <w:drawing>
          <wp:inline distT="0" distB="0" distL="114300" distR="114300">
            <wp:extent cx="5357495" cy="3788410"/>
            <wp:effectExtent l="0" t="0" r="14605" b="2540"/>
            <wp:docPr id="27" name="图片 27" descr="鸡西市供水有限公司朝阳净水厂改建_2025年09月05日150539_分析报告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鸡西市供水有限公司朝阳净水厂改建_2025年09月05日150539_分析报告_08"/>
                    <pic:cNvPicPr>
                      <a:picLocks noChangeAspect="1"/>
                    </pic:cNvPicPr>
                  </pic:nvPicPr>
                  <pic:blipFill>
                    <a:blip r:embed="rId56"/>
                    <a:stretch>
                      <a:fillRect/>
                    </a:stretch>
                  </pic:blipFill>
                  <pic:spPr>
                    <a:xfrm>
                      <a:off x="0" y="0"/>
                      <a:ext cx="5357495" cy="3788410"/>
                    </a:xfrm>
                    <a:prstGeom prst="rect">
                      <a:avLst/>
                    </a:prstGeom>
                  </pic:spPr>
                </pic:pic>
              </a:graphicData>
            </a:graphic>
          </wp:inline>
        </w:drawing>
      </w:r>
      <w:r>
        <w:rPr>
          <w:color w:val="auto"/>
        </w:rPr>
        <w:drawing>
          <wp:inline distT="0" distB="0" distL="114300" distR="114300">
            <wp:extent cx="5357495" cy="3788410"/>
            <wp:effectExtent l="0" t="0" r="14605" b="2540"/>
            <wp:docPr id="28" name="图片 28" descr="鸡西市供水有限公司朝阳净水厂改建_2025年09月05日150539_分析报告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鸡西市供水有限公司朝阳净水厂改建_2025年09月05日150539_分析报告_09"/>
                    <pic:cNvPicPr>
                      <a:picLocks noChangeAspect="1"/>
                    </pic:cNvPicPr>
                  </pic:nvPicPr>
                  <pic:blipFill>
                    <a:blip r:embed="rId57"/>
                    <a:stretch>
                      <a:fillRect/>
                    </a:stretch>
                  </pic:blipFill>
                  <pic:spPr>
                    <a:xfrm>
                      <a:off x="0" y="0"/>
                      <a:ext cx="5357495" cy="3788410"/>
                    </a:xfrm>
                    <a:prstGeom prst="rect">
                      <a:avLst/>
                    </a:prstGeom>
                  </pic:spPr>
                </pic:pic>
              </a:graphicData>
            </a:graphic>
          </wp:inline>
        </w:drawing>
      </w:r>
      <w:r>
        <w:rPr>
          <w:rFonts w:hint="eastAsia" w:eastAsia="宋体"/>
          <w:color w:val="auto"/>
          <w:lang w:eastAsia="zh-CN"/>
        </w:rPr>
        <w:drawing>
          <wp:inline distT="0" distB="0" distL="114300" distR="114300">
            <wp:extent cx="5357495" cy="3788410"/>
            <wp:effectExtent l="0" t="0" r="14605" b="2540"/>
            <wp:docPr id="29" name="图片 29" descr="鸡西市供水有限公司朝阳净水厂改建_2025年09月05日150539_分析报告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鸡西市供水有限公司朝阳净水厂改建_2025年09月05日150539_分析报告_10"/>
                    <pic:cNvPicPr>
                      <a:picLocks noChangeAspect="1"/>
                    </pic:cNvPicPr>
                  </pic:nvPicPr>
                  <pic:blipFill>
                    <a:blip r:embed="rId58"/>
                    <a:stretch>
                      <a:fillRect/>
                    </a:stretch>
                  </pic:blipFill>
                  <pic:spPr>
                    <a:xfrm>
                      <a:off x="0" y="0"/>
                      <a:ext cx="5357495" cy="3788410"/>
                    </a:xfrm>
                    <a:prstGeom prst="rect">
                      <a:avLst/>
                    </a:prstGeom>
                  </pic:spPr>
                </pic:pic>
              </a:graphicData>
            </a:graphic>
          </wp:inline>
        </w:drawing>
      </w:r>
    </w:p>
    <w:p w14:paraId="419ABA50">
      <w:pPr>
        <w:pStyle w:val="44"/>
        <w:rPr>
          <w:rFonts w:hint="eastAsia" w:eastAsia="宋体"/>
          <w:color w:val="auto"/>
          <w:lang w:eastAsia="zh-CN"/>
        </w:rPr>
      </w:pPr>
    </w:p>
    <w:p w14:paraId="1AAC9779">
      <w:pPr>
        <w:pStyle w:val="45"/>
        <w:rPr>
          <w:rFonts w:hint="eastAsia" w:eastAsia="宋体"/>
          <w:color w:val="auto"/>
          <w:lang w:eastAsia="zh-CN"/>
        </w:rPr>
      </w:pPr>
    </w:p>
    <w:p w14:paraId="68EE7EB3">
      <w:pPr>
        <w:rPr>
          <w:rFonts w:hint="eastAsia" w:eastAsia="宋体"/>
          <w:color w:val="auto"/>
          <w:lang w:eastAsia="zh-CN"/>
        </w:rPr>
      </w:pPr>
    </w:p>
    <w:p w14:paraId="0B1BB21E">
      <w:pPr>
        <w:pStyle w:val="8"/>
        <w:rPr>
          <w:rFonts w:hint="eastAsia" w:eastAsia="宋体"/>
          <w:color w:val="auto"/>
          <w:lang w:eastAsia="zh-CN"/>
        </w:rPr>
      </w:pPr>
    </w:p>
    <w:p w14:paraId="5124AFC2">
      <w:pPr>
        <w:rPr>
          <w:rFonts w:hint="eastAsia"/>
          <w:b/>
          <w:bCs/>
          <w:color w:val="auto"/>
          <w:lang w:val="en-US" w:eastAsia="zh-CN"/>
        </w:rPr>
      </w:pPr>
    </w:p>
    <w:p w14:paraId="3751B2F6">
      <w:pPr>
        <w:rPr>
          <w:rFonts w:hint="eastAsia"/>
          <w:b/>
          <w:bCs/>
          <w:color w:val="auto"/>
          <w:lang w:val="en-US" w:eastAsia="zh-CN"/>
        </w:rPr>
      </w:pPr>
    </w:p>
    <w:p w14:paraId="23693EEE">
      <w:pPr>
        <w:rPr>
          <w:rFonts w:hint="default"/>
          <w:b/>
          <w:bCs/>
          <w:color w:val="auto"/>
          <w:lang w:val="en-US" w:eastAsia="zh-CN"/>
        </w:rPr>
      </w:pPr>
      <w:r>
        <w:rPr>
          <w:rFonts w:hint="eastAsia"/>
          <w:b/>
          <w:bCs/>
          <w:color w:val="auto"/>
          <w:lang w:val="en-US" w:eastAsia="zh-CN"/>
        </w:rPr>
        <w:t>附件6排污登记回执</w:t>
      </w:r>
    </w:p>
    <w:p w14:paraId="1336508E">
      <w:pPr>
        <w:pStyle w:val="8"/>
        <w:ind w:left="0" w:leftChars="0" w:firstLine="0" w:firstLineChars="0"/>
        <w:rPr>
          <w:rFonts w:hint="default"/>
          <w:color w:val="auto"/>
          <w:lang w:val="en-US" w:eastAsia="zh-CN"/>
        </w:rPr>
      </w:pPr>
      <w:r>
        <w:rPr>
          <w:rFonts w:hint="default"/>
          <w:color w:val="auto"/>
          <w:lang w:val="en-US" w:eastAsia="zh-CN"/>
        </w:rPr>
        <w:drawing>
          <wp:inline distT="0" distB="0" distL="114300" distR="114300">
            <wp:extent cx="5363845" cy="7585710"/>
            <wp:effectExtent l="0" t="0" r="8255" b="15240"/>
            <wp:docPr id="52" name="图片 52" descr="90356272d89a4f15b5f5e9d04cd655a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90356272d89a4f15b5f5e9d04cd655a3_1"/>
                    <pic:cNvPicPr>
                      <a:picLocks noChangeAspect="1"/>
                    </pic:cNvPicPr>
                  </pic:nvPicPr>
                  <pic:blipFill>
                    <a:blip r:embed="rId59"/>
                    <a:stretch>
                      <a:fillRect/>
                    </a:stretch>
                  </pic:blipFill>
                  <pic:spPr>
                    <a:xfrm>
                      <a:off x="0" y="0"/>
                      <a:ext cx="5363845" cy="7585710"/>
                    </a:xfrm>
                    <a:prstGeom prst="rect">
                      <a:avLst/>
                    </a:prstGeom>
                  </pic:spPr>
                </pic:pic>
              </a:graphicData>
            </a:graphic>
          </wp:inline>
        </w:drawing>
      </w:r>
    </w:p>
    <w:p w14:paraId="389831C5">
      <w:pPr>
        <w:pStyle w:val="44"/>
        <w:rPr>
          <w:color w:val="auto"/>
        </w:rPr>
      </w:pPr>
    </w:p>
    <w:p w14:paraId="1C87F338">
      <w:pPr>
        <w:pStyle w:val="45"/>
        <w:rPr>
          <w:color w:val="auto"/>
        </w:rPr>
      </w:pPr>
    </w:p>
    <w:p w14:paraId="686A2534">
      <w:pPr>
        <w:rPr>
          <w:color w:val="auto"/>
        </w:rPr>
      </w:pPr>
    </w:p>
    <w:p w14:paraId="49FA5774">
      <w:pPr>
        <w:rPr>
          <w:color w:val="auto"/>
        </w:rPr>
      </w:pPr>
    </w:p>
    <w:p w14:paraId="23B145F9">
      <w:pPr>
        <w:pStyle w:val="13"/>
        <w:rPr>
          <w:color w:val="auto"/>
        </w:rPr>
      </w:pPr>
    </w:p>
    <w:p w14:paraId="481B4460">
      <w:pPr>
        <w:pStyle w:val="13"/>
        <w:keepNext w:val="0"/>
        <w:keepLines w:val="0"/>
        <w:pageBreakBefore w:val="0"/>
        <w:widowControl/>
        <w:kinsoku/>
        <w:wordWrap/>
        <w:overflowPunct/>
        <w:topLinePunct w:val="0"/>
        <w:autoSpaceDE/>
        <w:autoSpaceDN/>
        <w:bidi w:val="0"/>
        <w:adjustRightInd/>
        <w:snapToGrid/>
        <w:spacing w:before="0" w:after="0" w:line="360" w:lineRule="auto"/>
        <w:ind w:right="0"/>
        <w:textAlignment w:val="auto"/>
        <w:rPr>
          <w:rFonts w:hint="eastAsia"/>
          <w:b/>
          <w:bCs/>
          <w:color w:val="auto"/>
          <w:sz w:val="21"/>
          <w:szCs w:val="21"/>
          <w:lang w:val="en-US" w:eastAsia="zh-CN"/>
        </w:rPr>
        <w:sectPr>
          <w:pgSz w:w="11906" w:h="16839"/>
          <w:pgMar w:top="1417" w:right="1417" w:bottom="1417" w:left="1417" w:header="0" w:footer="850" w:gutter="0"/>
          <w:pgBorders>
            <w:top w:val="none" w:sz="0" w:space="0"/>
            <w:left w:val="none" w:sz="0" w:space="0"/>
            <w:bottom w:val="none" w:sz="0" w:space="0"/>
            <w:right w:val="none" w:sz="0" w:space="0"/>
          </w:pgBorders>
          <w:pgNumType w:fmt="numberInDash"/>
          <w:cols w:space="0" w:num="1"/>
          <w:rtlGutter w:val="0"/>
          <w:docGrid w:linePitch="0" w:charSpace="0"/>
        </w:sectPr>
      </w:pPr>
      <w:bookmarkStart w:id="28" w:name="_Toc219"/>
    </w:p>
    <w:p w14:paraId="55C59903">
      <w:pPr>
        <w:pStyle w:val="13"/>
        <w:keepNext w:val="0"/>
        <w:keepLines w:val="0"/>
        <w:pageBreakBefore w:val="0"/>
        <w:widowControl/>
        <w:kinsoku/>
        <w:wordWrap/>
        <w:overflowPunct/>
        <w:topLinePunct w:val="0"/>
        <w:autoSpaceDE/>
        <w:autoSpaceDN/>
        <w:bidi w:val="0"/>
        <w:adjustRightInd/>
        <w:snapToGrid/>
        <w:spacing w:before="0" w:after="0" w:line="360" w:lineRule="auto"/>
        <w:ind w:right="0"/>
        <w:textAlignment w:val="auto"/>
        <w:rPr>
          <w:rFonts w:hint="eastAsia"/>
          <w:b/>
          <w:bCs/>
          <w:color w:val="auto"/>
          <w:sz w:val="21"/>
          <w:szCs w:val="21"/>
          <w:highlight w:val="yellow"/>
          <w:lang w:val="en-US" w:eastAsia="zh-CN"/>
        </w:rPr>
      </w:pPr>
      <w:r>
        <w:rPr>
          <w:rFonts w:hint="eastAsia"/>
          <w:b/>
          <w:bCs/>
          <w:color w:val="auto"/>
          <w:sz w:val="21"/>
          <w:szCs w:val="21"/>
          <w:highlight w:val="yellow"/>
          <w:lang w:val="en-US" w:eastAsia="zh-CN"/>
        </w:rPr>
        <w:t>附件7污泥委托处理合同</w:t>
      </w:r>
    </w:p>
    <w:p w14:paraId="2691E662">
      <w:pPr>
        <w:pStyle w:val="13"/>
        <w:keepNext w:val="0"/>
        <w:keepLines w:val="0"/>
        <w:pageBreakBefore w:val="0"/>
        <w:widowControl/>
        <w:kinsoku/>
        <w:wordWrap/>
        <w:overflowPunct/>
        <w:topLinePunct w:val="0"/>
        <w:autoSpaceDE/>
        <w:autoSpaceDN/>
        <w:bidi w:val="0"/>
        <w:adjustRightInd/>
        <w:snapToGrid/>
        <w:spacing w:before="0" w:after="0" w:line="360" w:lineRule="auto"/>
        <w:ind w:right="0"/>
        <w:textAlignment w:val="auto"/>
        <w:rPr>
          <w:rFonts w:hint="default"/>
          <w:b/>
          <w:bCs/>
          <w:color w:val="auto"/>
          <w:sz w:val="21"/>
          <w:szCs w:val="21"/>
          <w:highlight w:val="yellow"/>
          <w:lang w:val="en-US" w:eastAsia="zh-CN"/>
        </w:rPr>
      </w:pPr>
      <w:r>
        <w:rPr>
          <w:color w:val="auto"/>
        </w:rPr>
        <w:drawing>
          <wp:inline distT="0" distB="0" distL="114300" distR="114300">
            <wp:extent cx="5581650" cy="7820025"/>
            <wp:effectExtent l="0" t="0" r="0" b="9525"/>
            <wp:docPr id="4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7"/>
                    <pic:cNvPicPr>
                      <a:picLocks noChangeAspect="1"/>
                    </pic:cNvPicPr>
                  </pic:nvPicPr>
                  <pic:blipFill>
                    <a:blip r:embed="rId60"/>
                    <a:stretch>
                      <a:fillRect/>
                    </a:stretch>
                  </pic:blipFill>
                  <pic:spPr>
                    <a:xfrm>
                      <a:off x="0" y="0"/>
                      <a:ext cx="5581650" cy="7820025"/>
                    </a:xfrm>
                    <a:prstGeom prst="rect">
                      <a:avLst/>
                    </a:prstGeom>
                    <a:noFill/>
                    <a:ln>
                      <a:noFill/>
                    </a:ln>
                  </pic:spPr>
                </pic:pic>
              </a:graphicData>
            </a:graphic>
          </wp:inline>
        </w:drawing>
      </w:r>
    </w:p>
    <w:p w14:paraId="58862E2F">
      <w:pPr>
        <w:pStyle w:val="13"/>
        <w:keepNext w:val="0"/>
        <w:keepLines w:val="0"/>
        <w:pageBreakBefore w:val="0"/>
        <w:widowControl/>
        <w:kinsoku/>
        <w:wordWrap/>
        <w:overflowPunct/>
        <w:topLinePunct w:val="0"/>
        <w:autoSpaceDE/>
        <w:autoSpaceDN/>
        <w:bidi w:val="0"/>
        <w:adjustRightInd/>
        <w:snapToGrid/>
        <w:spacing w:before="0" w:after="0" w:line="360" w:lineRule="auto"/>
        <w:ind w:right="0"/>
        <w:textAlignment w:val="auto"/>
        <w:rPr>
          <w:rFonts w:hint="default"/>
          <w:b/>
          <w:bCs/>
          <w:color w:val="auto"/>
          <w:sz w:val="21"/>
          <w:szCs w:val="21"/>
          <w:lang w:val="en-US" w:eastAsia="zh-CN"/>
        </w:rPr>
      </w:pPr>
      <w:r>
        <w:rPr>
          <w:color w:val="auto"/>
        </w:rPr>
        <w:drawing>
          <wp:inline distT="0" distB="0" distL="114300" distR="114300">
            <wp:extent cx="5543550" cy="7877175"/>
            <wp:effectExtent l="0" t="0" r="0" b="9525"/>
            <wp:docPr id="4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8"/>
                    <pic:cNvPicPr>
                      <a:picLocks noChangeAspect="1"/>
                    </pic:cNvPicPr>
                  </pic:nvPicPr>
                  <pic:blipFill>
                    <a:blip r:embed="rId61"/>
                    <a:stretch>
                      <a:fillRect/>
                    </a:stretch>
                  </pic:blipFill>
                  <pic:spPr>
                    <a:xfrm>
                      <a:off x="0" y="0"/>
                      <a:ext cx="5543550" cy="7877175"/>
                    </a:xfrm>
                    <a:prstGeom prst="rect">
                      <a:avLst/>
                    </a:prstGeom>
                    <a:noFill/>
                    <a:ln>
                      <a:noFill/>
                    </a:ln>
                  </pic:spPr>
                </pic:pic>
              </a:graphicData>
            </a:graphic>
          </wp:inline>
        </w:drawing>
      </w:r>
      <w:r>
        <w:rPr>
          <w:color w:val="auto"/>
        </w:rPr>
        <w:drawing>
          <wp:inline distT="0" distB="0" distL="114300" distR="114300">
            <wp:extent cx="4829175" cy="6953250"/>
            <wp:effectExtent l="0" t="0" r="9525" b="0"/>
            <wp:docPr id="5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9"/>
                    <pic:cNvPicPr>
                      <a:picLocks noChangeAspect="1"/>
                    </pic:cNvPicPr>
                  </pic:nvPicPr>
                  <pic:blipFill>
                    <a:blip r:embed="rId62"/>
                    <a:stretch>
                      <a:fillRect/>
                    </a:stretch>
                  </pic:blipFill>
                  <pic:spPr>
                    <a:xfrm>
                      <a:off x="0" y="0"/>
                      <a:ext cx="4829175" cy="6953250"/>
                    </a:xfrm>
                    <a:prstGeom prst="rect">
                      <a:avLst/>
                    </a:prstGeom>
                    <a:noFill/>
                    <a:ln>
                      <a:noFill/>
                    </a:ln>
                  </pic:spPr>
                </pic:pic>
              </a:graphicData>
            </a:graphic>
          </wp:inline>
        </w:drawing>
      </w:r>
      <w:r>
        <w:rPr>
          <w:color w:val="auto"/>
        </w:rPr>
        <w:drawing>
          <wp:inline distT="0" distB="0" distL="114300" distR="114300">
            <wp:extent cx="5019675" cy="7372350"/>
            <wp:effectExtent l="0" t="0" r="9525" b="0"/>
            <wp:docPr id="5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0"/>
                    <pic:cNvPicPr>
                      <a:picLocks noChangeAspect="1"/>
                    </pic:cNvPicPr>
                  </pic:nvPicPr>
                  <pic:blipFill>
                    <a:blip r:embed="rId63"/>
                    <a:stretch>
                      <a:fillRect/>
                    </a:stretch>
                  </pic:blipFill>
                  <pic:spPr>
                    <a:xfrm>
                      <a:off x="0" y="0"/>
                      <a:ext cx="5019675" cy="7372350"/>
                    </a:xfrm>
                    <a:prstGeom prst="rect">
                      <a:avLst/>
                    </a:prstGeom>
                    <a:noFill/>
                    <a:ln>
                      <a:noFill/>
                    </a:ln>
                  </pic:spPr>
                </pic:pic>
              </a:graphicData>
            </a:graphic>
          </wp:inline>
        </w:drawing>
      </w:r>
      <w:r>
        <w:rPr>
          <w:rFonts w:hint="eastAsia"/>
          <w:color w:val="auto"/>
          <w:lang w:val="en-US" w:eastAsia="zh-CN"/>
        </w:rPr>
        <w:t>=</w:t>
      </w:r>
      <w:r>
        <w:rPr>
          <w:color w:val="auto"/>
        </w:rPr>
        <w:drawing>
          <wp:inline distT="0" distB="0" distL="114300" distR="114300">
            <wp:extent cx="4981575" cy="6419850"/>
            <wp:effectExtent l="0" t="0" r="9525" b="0"/>
            <wp:docPr id="8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1"/>
                    <pic:cNvPicPr>
                      <a:picLocks noChangeAspect="1"/>
                    </pic:cNvPicPr>
                  </pic:nvPicPr>
                  <pic:blipFill>
                    <a:blip r:embed="rId64"/>
                    <a:stretch>
                      <a:fillRect/>
                    </a:stretch>
                  </pic:blipFill>
                  <pic:spPr>
                    <a:xfrm>
                      <a:off x="0" y="0"/>
                      <a:ext cx="4981575" cy="6419850"/>
                    </a:xfrm>
                    <a:prstGeom prst="rect">
                      <a:avLst/>
                    </a:prstGeom>
                    <a:noFill/>
                    <a:ln>
                      <a:noFill/>
                    </a:ln>
                  </pic:spPr>
                </pic:pic>
              </a:graphicData>
            </a:graphic>
          </wp:inline>
        </w:drawing>
      </w:r>
    </w:p>
    <w:p w14:paraId="6E556F8F">
      <w:pPr>
        <w:pStyle w:val="13"/>
        <w:keepNext w:val="0"/>
        <w:keepLines w:val="0"/>
        <w:pageBreakBefore w:val="0"/>
        <w:widowControl/>
        <w:kinsoku/>
        <w:wordWrap/>
        <w:overflowPunct/>
        <w:topLinePunct w:val="0"/>
        <w:autoSpaceDE/>
        <w:autoSpaceDN/>
        <w:bidi w:val="0"/>
        <w:adjustRightInd/>
        <w:snapToGrid/>
        <w:spacing w:before="0" w:after="0" w:line="360" w:lineRule="auto"/>
        <w:ind w:right="0"/>
        <w:textAlignment w:val="auto"/>
        <w:rPr>
          <w:rFonts w:hint="eastAsia"/>
          <w:b/>
          <w:bCs/>
          <w:color w:val="auto"/>
          <w:sz w:val="21"/>
          <w:szCs w:val="21"/>
          <w:lang w:val="en-US" w:eastAsia="zh-CN"/>
        </w:rPr>
      </w:pPr>
    </w:p>
    <w:p w14:paraId="135EECD8">
      <w:pPr>
        <w:pStyle w:val="13"/>
        <w:keepNext w:val="0"/>
        <w:keepLines w:val="0"/>
        <w:pageBreakBefore w:val="0"/>
        <w:widowControl/>
        <w:kinsoku/>
        <w:wordWrap/>
        <w:overflowPunct/>
        <w:topLinePunct w:val="0"/>
        <w:autoSpaceDE/>
        <w:autoSpaceDN/>
        <w:bidi w:val="0"/>
        <w:adjustRightInd/>
        <w:snapToGrid/>
        <w:spacing w:before="0" w:after="0" w:line="360" w:lineRule="auto"/>
        <w:ind w:right="0"/>
        <w:textAlignment w:val="auto"/>
        <w:rPr>
          <w:rFonts w:hint="eastAsia"/>
          <w:b/>
          <w:bCs/>
          <w:color w:val="auto"/>
          <w:sz w:val="21"/>
          <w:szCs w:val="21"/>
          <w:lang w:val="en-US" w:eastAsia="zh-CN"/>
        </w:rPr>
      </w:pPr>
    </w:p>
    <w:p w14:paraId="4767DBCE">
      <w:pPr>
        <w:pStyle w:val="13"/>
        <w:keepNext w:val="0"/>
        <w:keepLines w:val="0"/>
        <w:pageBreakBefore w:val="0"/>
        <w:widowControl/>
        <w:kinsoku/>
        <w:wordWrap/>
        <w:overflowPunct/>
        <w:topLinePunct w:val="0"/>
        <w:autoSpaceDE/>
        <w:autoSpaceDN/>
        <w:bidi w:val="0"/>
        <w:adjustRightInd/>
        <w:snapToGrid/>
        <w:spacing w:before="0" w:after="0" w:line="360" w:lineRule="auto"/>
        <w:ind w:right="0"/>
        <w:textAlignment w:val="auto"/>
        <w:rPr>
          <w:rFonts w:hint="eastAsia"/>
          <w:b/>
          <w:bCs/>
          <w:color w:val="auto"/>
          <w:sz w:val="21"/>
          <w:szCs w:val="21"/>
          <w:lang w:val="en-US" w:eastAsia="zh-CN"/>
        </w:rPr>
      </w:pPr>
    </w:p>
    <w:p w14:paraId="6B959A73">
      <w:pPr>
        <w:pStyle w:val="13"/>
        <w:keepNext w:val="0"/>
        <w:keepLines w:val="0"/>
        <w:pageBreakBefore w:val="0"/>
        <w:widowControl/>
        <w:kinsoku/>
        <w:wordWrap/>
        <w:overflowPunct/>
        <w:topLinePunct w:val="0"/>
        <w:autoSpaceDE/>
        <w:autoSpaceDN/>
        <w:bidi w:val="0"/>
        <w:adjustRightInd/>
        <w:snapToGrid/>
        <w:spacing w:before="0" w:after="0" w:line="360" w:lineRule="auto"/>
        <w:ind w:right="0"/>
        <w:textAlignment w:val="auto"/>
        <w:rPr>
          <w:rFonts w:hint="default" w:eastAsia="宋体"/>
          <w:b/>
          <w:bCs/>
          <w:color w:val="auto"/>
          <w:sz w:val="21"/>
          <w:szCs w:val="21"/>
          <w:lang w:val="en-US" w:eastAsia="zh-CN"/>
        </w:rPr>
      </w:pPr>
      <w:r>
        <w:rPr>
          <w:rFonts w:hint="eastAsia"/>
          <w:b/>
          <w:bCs/>
          <w:color w:val="auto"/>
          <w:sz w:val="21"/>
          <w:szCs w:val="21"/>
          <w:lang w:val="en-US" w:eastAsia="zh-CN"/>
        </w:rPr>
        <w:t>附件8地表水环境影响专项评价</w:t>
      </w:r>
    </w:p>
    <w:p w14:paraId="43847CAD">
      <w:pPr>
        <w:pStyle w:val="13"/>
        <w:spacing w:line="257" w:lineRule="auto"/>
        <w:rPr>
          <w:color w:val="auto"/>
        </w:rPr>
      </w:pPr>
    </w:p>
    <w:p w14:paraId="52FB306B">
      <w:pPr>
        <w:spacing w:before="218" w:line="364" w:lineRule="auto"/>
        <w:ind w:left="664" w:hanging="664"/>
        <w:jc w:val="center"/>
        <w:rPr>
          <w:rFonts w:hint="eastAsia" w:ascii="宋体" w:hAnsi="宋体" w:eastAsia="宋体" w:cs="宋体"/>
          <w:b/>
          <w:bCs/>
          <w:color w:val="auto"/>
          <w:sz w:val="36"/>
          <w:szCs w:val="36"/>
          <w:highlight w:val="none"/>
          <w:u w:val="none"/>
          <w:lang w:val="en-US" w:eastAsia="zh-CN"/>
        </w:rPr>
      </w:pPr>
    </w:p>
    <w:p w14:paraId="4265F3E7">
      <w:pPr>
        <w:spacing w:before="218" w:line="364" w:lineRule="auto"/>
        <w:ind w:left="664" w:hanging="664"/>
        <w:jc w:val="center"/>
        <w:rPr>
          <w:rFonts w:hint="eastAsia" w:ascii="宋体" w:hAnsi="宋体" w:eastAsia="宋体" w:cs="宋体"/>
          <w:b/>
          <w:bCs/>
          <w:color w:val="auto"/>
          <w:sz w:val="36"/>
          <w:szCs w:val="36"/>
          <w:highlight w:val="none"/>
          <w:u w:val="none"/>
          <w:lang w:val="en-US" w:eastAsia="zh-CN"/>
        </w:rPr>
      </w:pPr>
    </w:p>
    <w:p w14:paraId="7D1884CF">
      <w:pPr>
        <w:spacing w:before="218" w:line="364" w:lineRule="auto"/>
        <w:ind w:left="664" w:hanging="664"/>
        <w:jc w:val="center"/>
        <w:rPr>
          <w:rFonts w:hint="eastAsia" w:ascii="宋体" w:hAnsi="宋体" w:eastAsia="宋体" w:cs="宋体"/>
          <w:b/>
          <w:bCs/>
          <w:color w:val="auto"/>
          <w:sz w:val="36"/>
          <w:szCs w:val="36"/>
          <w:highlight w:val="none"/>
          <w:u w:val="none"/>
          <w:lang w:val="en-US" w:eastAsia="zh-CN"/>
        </w:rPr>
      </w:pPr>
      <w:r>
        <w:rPr>
          <w:rFonts w:hint="eastAsia" w:ascii="宋体" w:hAnsi="宋体" w:eastAsia="宋体" w:cs="宋体"/>
          <w:b/>
          <w:bCs/>
          <w:color w:val="auto"/>
          <w:sz w:val="36"/>
          <w:szCs w:val="36"/>
          <w:highlight w:val="none"/>
          <w:u w:val="none"/>
          <w:lang w:val="en-US" w:eastAsia="zh-CN"/>
        </w:rPr>
        <w:t>鸡西市供水有限公司朝阳净水厂改建项目</w:t>
      </w:r>
    </w:p>
    <w:p w14:paraId="7BABB79F">
      <w:pPr>
        <w:spacing w:before="218" w:line="364" w:lineRule="auto"/>
        <w:ind w:left="664" w:hanging="664"/>
        <w:jc w:val="center"/>
        <w:rPr>
          <w:rFonts w:hint="eastAsia" w:ascii="宋体" w:hAnsi="宋体" w:eastAsia="宋体" w:cs="宋体"/>
          <w:b/>
          <w:bCs/>
          <w:color w:val="auto"/>
          <w:sz w:val="36"/>
          <w:szCs w:val="36"/>
          <w:u w:val="none"/>
        </w:rPr>
      </w:pPr>
      <w:r>
        <w:rPr>
          <w:rFonts w:hint="eastAsia" w:ascii="宋体" w:hAnsi="宋体" w:eastAsia="宋体" w:cs="宋体"/>
          <w:b/>
          <w:bCs/>
          <w:color w:val="auto"/>
          <w:spacing w:val="39"/>
          <w:sz w:val="36"/>
          <w:szCs w:val="36"/>
          <w:u w:val="none"/>
        </w:rPr>
        <w:t>地表水环境影响专项评价</w:t>
      </w:r>
    </w:p>
    <w:p w14:paraId="794A9D7F">
      <w:pPr>
        <w:pStyle w:val="13"/>
        <w:spacing w:line="242" w:lineRule="auto"/>
        <w:rPr>
          <w:color w:val="auto"/>
        </w:rPr>
      </w:pPr>
    </w:p>
    <w:p w14:paraId="31FD1D22">
      <w:pPr>
        <w:pStyle w:val="13"/>
        <w:spacing w:line="242" w:lineRule="auto"/>
        <w:rPr>
          <w:color w:val="auto"/>
        </w:rPr>
      </w:pPr>
    </w:p>
    <w:p w14:paraId="1E446C48">
      <w:pPr>
        <w:pStyle w:val="13"/>
        <w:spacing w:line="242" w:lineRule="auto"/>
        <w:rPr>
          <w:color w:val="auto"/>
        </w:rPr>
      </w:pPr>
    </w:p>
    <w:p w14:paraId="1BB8D2E9">
      <w:pPr>
        <w:pStyle w:val="13"/>
        <w:spacing w:line="242" w:lineRule="auto"/>
        <w:rPr>
          <w:color w:val="auto"/>
        </w:rPr>
      </w:pPr>
    </w:p>
    <w:p w14:paraId="0EF8B710">
      <w:pPr>
        <w:pStyle w:val="13"/>
        <w:spacing w:line="242" w:lineRule="auto"/>
        <w:rPr>
          <w:color w:val="auto"/>
        </w:rPr>
      </w:pPr>
    </w:p>
    <w:p w14:paraId="3E035CEC">
      <w:pPr>
        <w:pStyle w:val="13"/>
        <w:spacing w:line="242" w:lineRule="auto"/>
        <w:rPr>
          <w:color w:val="auto"/>
        </w:rPr>
      </w:pPr>
    </w:p>
    <w:p w14:paraId="461B62DA">
      <w:pPr>
        <w:pStyle w:val="13"/>
        <w:spacing w:line="242" w:lineRule="auto"/>
        <w:rPr>
          <w:color w:val="auto"/>
        </w:rPr>
      </w:pPr>
    </w:p>
    <w:p w14:paraId="2D68E229">
      <w:pPr>
        <w:pStyle w:val="13"/>
        <w:spacing w:line="242" w:lineRule="auto"/>
        <w:rPr>
          <w:color w:val="auto"/>
        </w:rPr>
      </w:pPr>
    </w:p>
    <w:p w14:paraId="5A28DD57">
      <w:pPr>
        <w:pStyle w:val="13"/>
        <w:spacing w:line="242" w:lineRule="auto"/>
        <w:rPr>
          <w:color w:val="auto"/>
        </w:rPr>
      </w:pPr>
    </w:p>
    <w:p w14:paraId="3A0216E6">
      <w:pPr>
        <w:pStyle w:val="13"/>
        <w:spacing w:line="242" w:lineRule="auto"/>
        <w:rPr>
          <w:color w:val="auto"/>
        </w:rPr>
      </w:pPr>
    </w:p>
    <w:p w14:paraId="0247D211">
      <w:pPr>
        <w:pStyle w:val="13"/>
        <w:spacing w:line="242" w:lineRule="auto"/>
        <w:rPr>
          <w:color w:val="auto"/>
        </w:rPr>
      </w:pPr>
    </w:p>
    <w:p w14:paraId="41DF6520">
      <w:pPr>
        <w:pStyle w:val="13"/>
        <w:spacing w:line="242" w:lineRule="auto"/>
        <w:rPr>
          <w:color w:val="auto"/>
        </w:rPr>
      </w:pPr>
    </w:p>
    <w:p w14:paraId="7902E314">
      <w:pPr>
        <w:pStyle w:val="13"/>
        <w:spacing w:line="242" w:lineRule="auto"/>
        <w:rPr>
          <w:color w:val="auto"/>
        </w:rPr>
      </w:pPr>
    </w:p>
    <w:p w14:paraId="5876A4CB">
      <w:pPr>
        <w:pStyle w:val="13"/>
        <w:spacing w:line="242" w:lineRule="auto"/>
        <w:rPr>
          <w:color w:val="auto"/>
        </w:rPr>
      </w:pPr>
    </w:p>
    <w:p w14:paraId="0B668860">
      <w:pPr>
        <w:pStyle w:val="13"/>
        <w:spacing w:line="242" w:lineRule="auto"/>
        <w:rPr>
          <w:color w:val="auto"/>
        </w:rPr>
      </w:pPr>
    </w:p>
    <w:p w14:paraId="593836C2">
      <w:pPr>
        <w:pStyle w:val="13"/>
        <w:spacing w:line="242" w:lineRule="auto"/>
        <w:rPr>
          <w:color w:val="auto"/>
        </w:rPr>
      </w:pPr>
    </w:p>
    <w:p w14:paraId="5037FDE4">
      <w:pPr>
        <w:pStyle w:val="13"/>
        <w:spacing w:line="243" w:lineRule="auto"/>
        <w:rPr>
          <w:color w:val="auto"/>
        </w:rPr>
      </w:pPr>
    </w:p>
    <w:p w14:paraId="73958B51">
      <w:pPr>
        <w:pStyle w:val="13"/>
        <w:spacing w:line="243" w:lineRule="auto"/>
        <w:rPr>
          <w:color w:val="auto"/>
        </w:rPr>
      </w:pPr>
    </w:p>
    <w:p w14:paraId="2B220100">
      <w:pPr>
        <w:pStyle w:val="13"/>
        <w:spacing w:line="243" w:lineRule="auto"/>
        <w:rPr>
          <w:color w:val="auto"/>
        </w:rPr>
      </w:pPr>
    </w:p>
    <w:p w14:paraId="5ED523BE">
      <w:pPr>
        <w:pStyle w:val="13"/>
        <w:spacing w:line="243" w:lineRule="auto"/>
        <w:rPr>
          <w:color w:val="auto"/>
        </w:rPr>
      </w:pPr>
    </w:p>
    <w:p w14:paraId="7B7EDD07">
      <w:pPr>
        <w:pStyle w:val="13"/>
        <w:spacing w:line="243" w:lineRule="auto"/>
        <w:rPr>
          <w:color w:val="auto"/>
        </w:rPr>
      </w:pPr>
    </w:p>
    <w:p w14:paraId="55BA2A6C">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宋体" w:hAnsi="宋体" w:eastAsia="宋体" w:cs="宋体"/>
          <w:b/>
          <w:bCs/>
          <w:color w:val="auto"/>
          <w:spacing w:val="6"/>
          <w:sz w:val="31"/>
          <w:szCs w:val="31"/>
          <w:lang w:val="en-US" w:eastAsia="zh-CN"/>
        </w:rPr>
      </w:pPr>
      <w:r>
        <w:rPr>
          <w:rFonts w:hint="eastAsia" w:ascii="宋体" w:hAnsi="宋体" w:eastAsia="宋体" w:cs="宋体"/>
          <w:b/>
          <w:bCs/>
          <w:color w:val="auto"/>
          <w:spacing w:val="6"/>
          <w:sz w:val="31"/>
          <w:szCs w:val="31"/>
          <w:lang w:val="en-US" w:eastAsia="zh-CN"/>
        </w:rPr>
        <w:t>建设单位：鸡西市供水有限公司</w:t>
      </w:r>
    </w:p>
    <w:p w14:paraId="4F2E60E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宋体" w:hAnsi="宋体" w:eastAsia="宋体" w:cs="宋体"/>
          <w:b/>
          <w:bCs/>
          <w:color w:val="auto"/>
          <w:spacing w:val="6"/>
          <w:sz w:val="31"/>
          <w:szCs w:val="31"/>
          <w:lang w:val="en-US" w:eastAsia="zh-CN"/>
        </w:rPr>
        <w:sectPr>
          <w:pgSz w:w="11906" w:h="16839"/>
          <w:pgMar w:top="1417" w:right="1417" w:bottom="1417" w:left="1417" w:header="0" w:footer="850" w:gutter="0"/>
          <w:pgBorders>
            <w:top w:val="none" w:sz="0" w:space="0"/>
            <w:left w:val="none" w:sz="0" w:space="0"/>
            <w:bottom w:val="none" w:sz="0" w:space="0"/>
            <w:right w:val="none" w:sz="0" w:space="0"/>
          </w:pgBorders>
          <w:pgNumType w:fmt="numberInDash"/>
          <w:cols w:space="0" w:num="1"/>
          <w:rtlGutter w:val="0"/>
          <w:docGrid w:linePitch="0" w:charSpace="0"/>
        </w:sectPr>
      </w:pPr>
      <w:r>
        <w:rPr>
          <w:rFonts w:hint="eastAsia" w:ascii="宋体" w:hAnsi="宋体" w:eastAsia="宋体" w:cs="宋体"/>
          <w:b/>
          <w:bCs/>
          <w:color w:val="auto"/>
          <w:spacing w:val="6"/>
          <w:sz w:val="31"/>
          <w:szCs w:val="31"/>
          <w:lang w:val="en-US" w:eastAsia="zh-CN"/>
        </w:rPr>
        <w:t>编制单位：黑龙江绿水环保服务有限公司</w:t>
      </w:r>
    </w:p>
    <w:p w14:paraId="2837E32C">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0"/>
        <w:rPr>
          <w:rFonts w:ascii="宋体" w:hAnsi="宋体" w:eastAsia="宋体" w:cs="宋体"/>
          <w:color w:val="auto"/>
          <w:sz w:val="35"/>
          <w:szCs w:val="35"/>
        </w:rPr>
      </w:pPr>
      <w:bookmarkStart w:id="29" w:name="bookmark2"/>
      <w:bookmarkEnd w:id="29"/>
      <w:bookmarkStart w:id="30" w:name="bookmark1"/>
      <w:bookmarkEnd w:id="30"/>
      <w:r>
        <w:rPr>
          <w:rFonts w:ascii="Times New Roman" w:hAnsi="Times New Roman" w:eastAsia="Times New Roman" w:cs="Times New Roman"/>
          <w:b/>
          <w:bCs/>
          <w:color w:val="auto"/>
          <w:spacing w:val="-10"/>
          <w:sz w:val="35"/>
          <w:szCs w:val="35"/>
        </w:rPr>
        <w:t>1</w:t>
      </w:r>
      <w:r>
        <w:rPr>
          <w:rFonts w:ascii="Times New Roman" w:hAnsi="Times New Roman" w:eastAsia="Times New Roman" w:cs="Times New Roman"/>
          <w:b/>
          <w:bCs/>
          <w:color w:val="auto"/>
          <w:spacing w:val="15"/>
          <w:sz w:val="35"/>
          <w:szCs w:val="35"/>
        </w:rPr>
        <w:t xml:space="preserve">  </w:t>
      </w:r>
      <w:r>
        <w:rPr>
          <w:rFonts w:ascii="宋体" w:hAnsi="宋体" w:eastAsia="宋体" w:cs="宋体"/>
          <w:b/>
          <w:bCs/>
          <w:color w:val="auto"/>
          <w:spacing w:val="-10"/>
          <w:sz w:val="35"/>
          <w:szCs w:val="35"/>
        </w:rPr>
        <w:t>总论</w:t>
      </w:r>
    </w:p>
    <w:p w14:paraId="322E975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default" w:ascii="宋体" w:hAnsi="宋体" w:eastAsia="宋体" w:cs="宋体"/>
          <w:color w:val="auto"/>
          <w:spacing w:val="-1"/>
          <w:sz w:val="24"/>
          <w:szCs w:val="24"/>
        </w:rPr>
      </w:pPr>
      <w:bookmarkStart w:id="31" w:name="bookmark51"/>
      <w:bookmarkEnd w:id="31"/>
      <w:r>
        <w:rPr>
          <w:rFonts w:hint="default" w:ascii="宋体" w:hAnsi="宋体" w:eastAsia="宋体" w:cs="宋体"/>
          <w:color w:val="auto"/>
          <w:spacing w:val="-1"/>
          <w:sz w:val="24"/>
          <w:szCs w:val="24"/>
        </w:rPr>
        <w:t>根据《环境影响评价技术导则 地表水环境》（HJ2.3-2018）的相关要求编制完成本项目地表水环境影响评价专篇内容。</w:t>
      </w:r>
    </w:p>
    <w:p w14:paraId="5224C4F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1"/>
        <w:rPr>
          <w:rFonts w:ascii="宋体" w:hAnsi="宋体" w:eastAsia="宋体" w:cs="宋体"/>
          <w:color w:val="auto"/>
          <w:sz w:val="28"/>
          <w:szCs w:val="28"/>
        </w:rPr>
      </w:pPr>
      <w:bookmarkStart w:id="32" w:name="bookmark4"/>
      <w:bookmarkEnd w:id="32"/>
      <w:bookmarkStart w:id="33" w:name="bookmark5"/>
      <w:bookmarkEnd w:id="33"/>
      <w:r>
        <w:rPr>
          <w:rFonts w:ascii="Times New Roman" w:hAnsi="Times New Roman" w:eastAsia="Times New Roman" w:cs="Times New Roman"/>
          <w:b/>
          <w:bCs/>
          <w:color w:val="auto"/>
          <w:spacing w:val="-7"/>
          <w:sz w:val="30"/>
          <w:szCs w:val="30"/>
        </w:rPr>
        <w:t>1.</w:t>
      </w:r>
      <w:r>
        <w:rPr>
          <w:rFonts w:hint="eastAsia" w:ascii="Times New Roman" w:hAnsi="Times New Roman" w:eastAsia="宋体" w:cs="Times New Roman"/>
          <w:b/>
          <w:bCs/>
          <w:color w:val="auto"/>
          <w:spacing w:val="-7"/>
          <w:sz w:val="30"/>
          <w:szCs w:val="30"/>
          <w:lang w:val="en-US" w:eastAsia="zh-CN"/>
        </w:rPr>
        <w:t>1</w:t>
      </w:r>
      <w:r>
        <w:rPr>
          <w:rFonts w:ascii="Times New Roman" w:hAnsi="Times New Roman" w:eastAsia="Times New Roman" w:cs="Times New Roman"/>
          <w:b/>
          <w:bCs/>
          <w:color w:val="auto"/>
          <w:spacing w:val="9"/>
          <w:sz w:val="30"/>
          <w:szCs w:val="30"/>
        </w:rPr>
        <w:t xml:space="preserve">  </w:t>
      </w:r>
      <w:r>
        <w:rPr>
          <w:rFonts w:ascii="宋体" w:hAnsi="宋体" w:eastAsia="宋体" w:cs="宋体"/>
          <w:b/>
          <w:bCs/>
          <w:color w:val="auto"/>
          <w:spacing w:val="-7"/>
          <w:sz w:val="30"/>
          <w:szCs w:val="30"/>
        </w:rPr>
        <w:t>编制依据</w:t>
      </w:r>
      <w:bookmarkStart w:id="34" w:name="bookmark52"/>
      <w:bookmarkEnd w:id="34"/>
    </w:p>
    <w:p w14:paraId="5125BC4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1</w:t>
      </w:r>
      <w:r>
        <w:rPr>
          <w:rFonts w:ascii="宋体" w:hAnsi="宋体" w:eastAsia="宋体" w:cs="宋体"/>
          <w:color w:val="auto"/>
          <w:spacing w:val="-1"/>
          <w:sz w:val="24"/>
          <w:szCs w:val="24"/>
        </w:rPr>
        <w:t>）《中华人民共和国环境保护法》，</w:t>
      </w:r>
      <w:r>
        <w:rPr>
          <w:rFonts w:ascii="Times New Roman" w:hAnsi="Times New Roman" w:eastAsia="Times New Roman" w:cs="Times New Roman"/>
          <w:color w:val="auto"/>
          <w:spacing w:val="-1"/>
          <w:sz w:val="24"/>
          <w:szCs w:val="24"/>
        </w:rPr>
        <w:t>2015</w:t>
      </w:r>
      <w:r>
        <w:rPr>
          <w:rFonts w:ascii="宋体" w:hAnsi="宋体" w:eastAsia="宋体" w:cs="宋体"/>
          <w:color w:val="auto"/>
          <w:spacing w:val="-1"/>
          <w:sz w:val="24"/>
          <w:szCs w:val="24"/>
        </w:rPr>
        <w:t>年</w:t>
      </w:r>
      <w:r>
        <w:rPr>
          <w:rFonts w:ascii="Times New Roman" w:hAnsi="Times New Roman" w:eastAsia="Times New Roman" w:cs="Times New Roman"/>
          <w:color w:val="auto"/>
          <w:spacing w:val="-1"/>
          <w:sz w:val="24"/>
          <w:szCs w:val="24"/>
        </w:rPr>
        <w:t>1</w:t>
      </w:r>
      <w:r>
        <w:rPr>
          <w:rFonts w:ascii="宋体" w:hAnsi="宋体" w:eastAsia="宋体" w:cs="宋体"/>
          <w:color w:val="auto"/>
          <w:spacing w:val="-1"/>
          <w:sz w:val="24"/>
          <w:szCs w:val="24"/>
        </w:rPr>
        <w:t>月</w:t>
      </w:r>
      <w:r>
        <w:rPr>
          <w:rFonts w:ascii="Times New Roman" w:hAnsi="Times New Roman" w:eastAsia="Times New Roman" w:cs="Times New Roman"/>
          <w:color w:val="auto"/>
          <w:spacing w:val="-1"/>
          <w:sz w:val="24"/>
          <w:szCs w:val="24"/>
        </w:rPr>
        <w:t>1</w:t>
      </w:r>
      <w:r>
        <w:rPr>
          <w:rFonts w:ascii="宋体" w:hAnsi="宋体" w:eastAsia="宋体" w:cs="宋体"/>
          <w:color w:val="auto"/>
          <w:spacing w:val="-1"/>
          <w:sz w:val="24"/>
          <w:szCs w:val="24"/>
        </w:rPr>
        <w:t>日起施行；</w:t>
      </w:r>
    </w:p>
    <w:p w14:paraId="2772BA8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2</w:t>
      </w:r>
      <w:r>
        <w:rPr>
          <w:rFonts w:ascii="宋体" w:hAnsi="宋体" w:eastAsia="宋体" w:cs="宋体"/>
          <w:color w:val="auto"/>
          <w:spacing w:val="-1"/>
          <w:sz w:val="24"/>
          <w:szCs w:val="24"/>
        </w:rPr>
        <w:t>）《中华人民共和国环境影响评价法》，</w:t>
      </w:r>
      <w:r>
        <w:rPr>
          <w:rFonts w:ascii="Times New Roman" w:hAnsi="Times New Roman" w:eastAsia="Times New Roman" w:cs="Times New Roman"/>
          <w:color w:val="auto"/>
          <w:spacing w:val="-1"/>
          <w:sz w:val="24"/>
          <w:szCs w:val="24"/>
        </w:rPr>
        <w:t>2018</w:t>
      </w:r>
      <w:r>
        <w:rPr>
          <w:rFonts w:ascii="宋体" w:hAnsi="宋体" w:eastAsia="宋体" w:cs="宋体"/>
          <w:color w:val="auto"/>
          <w:spacing w:val="-1"/>
          <w:sz w:val="24"/>
          <w:szCs w:val="24"/>
        </w:rPr>
        <w:t>年</w:t>
      </w:r>
      <w:r>
        <w:rPr>
          <w:rFonts w:ascii="Times New Roman" w:hAnsi="Times New Roman" w:eastAsia="Times New Roman" w:cs="Times New Roman"/>
          <w:color w:val="auto"/>
          <w:spacing w:val="-1"/>
          <w:sz w:val="24"/>
          <w:szCs w:val="24"/>
        </w:rPr>
        <w:t>12</w:t>
      </w:r>
      <w:r>
        <w:rPr>
          <w:rFonts w:ascii="宋体" w:hAnsi="宋体" w:eastAsia="宋体" w:cs="宋体"/>
          <w:color w:val="auto"/>
          <w:spacing w:val="-1"/>
          <w:sz w:val="24"/>
          <w:szCs w:val="24"/>
        </w:rPr>
        <w:t>月</w:t>
      </w:r>
      <w:r>
        <w:rPr>
          <w:rFonts w:ascii="Times New Roman" w:hAnsi="Times New Roman" w:eastAsia="Times New Roman" w:cs="Times New Roman"/>
          <w:color w:val="auto"/>
          <w:spacing w:val="-1"/>
          <w:sz w:val="24"/>
          <w:szCs w:val="24"/>
        </w:rPr>
        <w:t>29</w:t>
      </w:r>
      <w:r>
        <w:rPr>
          <w:rFonts w:ascii="宋体" w:hAnsi="宋体" w:eastAsia="宋体" w:cs="宋体"/>
          <w:color w:val="auto"/>
          <w:spacing w:val="-1"/>
          <w:sz w:val="24"/>
          <w:szCs w:val="24"/>
        </w:rPr>
        <w:t>日修订；</w:t>
      </w:r>
    </w:p>
    <w:p w14:paraId="03F80D4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3</w:t>
      </w:r>
      <w:r>
        <w:rPr>
          <w:rFonts w:ascii="宋体" w:hAnsi="宋体" w:eastAsia="宋体" w:cs="宋体"/>
          <w:color w:val="auto"/>
          <w:spacing w:val="-1"/>
          <w:sz w:val="24"/>
          <w:szCs w:val="24"/>
        </w:rPr>
        <w:t>）《中华人民共和国水污染防治法》，</w:t>
      </w:r>
      <w:r>
        <w:rPr>
          <w:rFonts w:ascii="Times New Roman" w:hAnsi="Times New Roman" w:eastAsia="Times New Roman" w:cs="Times New Roman"/>
          <w:color w:val="auto"/>
          <w:spacing w:val="-1"/>
          <w:sz w:val="24"/>
          <w:szCs w:val="24"/>
        </w:rPr>
        <w:t>2018</w:t>
      </w:r>
      <w:r>
        <w:rPr>
          <w:rFonts w:ascii="宋体" w:hAnsi="宋体" w:eastAsia="宋体" w:cs="宋体"/>
          <w:color w:val="auto"/>
          <w:spacing w:val="-1"/>
          <w:sz w:val="24"/>
          <w:szCs w:val="24"/>
        </w:rPr>
        <w:t>年</w:t>
      </w:r>
      <w:r>
        <w:rPr>
          <w:rFonts w:ascii="Times New Roman" w:hAnsi="Times New Roman" w:eastAsia="Times New Roman" w:cs="Times New Roman"/>
          <w:color w:val="auto"/>
          <w:spacing w:val="-1"/>
          <w:sz w:val="24"/>
          <w:szCs w:val="24"/>
        </w:rPr>
        <w:t>1</w:t>
      </w:r>
      <w:r>
        <w:rPr>
          <w:rFonts w:ascii="宋体" w:hAnsi="宋体" w:eastAsia="宋体" w:cs="宋体"/>
          <w:color w:val="auto"/>
          <w:spacing w:val="-1"/>
          <w:sz w:val="24"/>
          <w:szCs w:val="24"/>
        </w:rPr>
        <w:t>月</w:t>
      </w:r>
      <w:r>
        <w:rPr>
          <w:rFonts w:ascii="Times New Roman" w:hAnsi="Times New Roman" w:eastAsia="Times New Roman" w:cs="Times New Roman"/>
          <w:color w:val="auto"/>
          <w:spacing w:val="-1"/>
          <w:sz w:val="24"/>
          <w:szCs w:val="24"/>
        </w:rPr>
        <w:t>1</w:t>
      </w:r>
      <w:r>
        <w:rPr>
          <w:rFonts w:ascii="宋体" w:hAnsi="宋体" w:eastAsia="宋体" w:cs="宋体"/>
          <w:color w:val="auto"/>
          <w:spacing w:val="-1"/>
          <w:sz w:val="24"/>
          <w:szCs w:val="24"/>
        </w:rPr>
        <w:t>日起施行；</w:t>
      </w:r>
    </w:p>
    <w:p w14:paraId="37B67E2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4</w:t>
      </w:r>
      <w:r>
        <w:rPr>
          <w:rFonts w:ascii="宋体" w:hAnsi="宋体" w:eastAsia="宋体" w:cs="宋体"/>
          <w:color w:val="auto"/>
          <w:spacing w:val="-1"/>
          <w:sz w:val="24"/>
          <w:szCs w:val="24"/>
        </w:rPr>
        <w:t>）《中华人民共和国水法》（</w:t>
      </w:r>
      <w:r>
        <w:rPr>
          <w:rFonts w:ascii="Times New Roman" w:hAnsi="Times New Roman" w:eastAsia="Times New Roman" w:cs="Times New Roman"/>
          <w:color w:val="auto"/>
          <w:spacing w:val="-1"/>
          <w:sz w:val="24"/>
          <w:szCs w:val="24"/>
        </w:rPr>
        <w:t>2016</w:t>
      </w:r>
      <w:r>
        <w:rPr>
          <w:rFonts w:ascii="宋体" w:hAnsi="宋体" w:eastAsia="宋体" w:cs="宋体"/>
          <w:color w:val="auto"/>
          <w:spacing w:val="-1"/>
          <w:sz w:val="24"/>
          <w:szCs w:val="24"/>
        </w:rPr>
        <w:t>年</w:t>
      </w:r>
      <w:r>
        <w:rPr>
          <w:rFonts w:ascii="Times New Roman" w:hAnsi="Times New Roman" w:eastAsia="Times New Roman" w:cs="Times New Roman"/>
          <w:color w:val="auto"/>
          <w:spacing w:val="-1"/>
          <w:sz w:val="24"/>
          <w:szCs w:val="24"/>
        </w:rPr>
        <w:t>7</w:t>
      </w:r>
      <w:r>
        <w:rPr>
          <w:rFonts w:ascii="宋体" w:hAnsi="宋体" w:eastAsia="宋体" w:cs="宋体"/>
          <w:color w:val="auto"/>
          <w:spacing w:val="-1"/>
          <w:sz w:val="24"/>
          <w:szCs w:val="24"/>
        </w:rPr>
        <w:t>月</w:t>
      </w:r>
      <w:r>
        <w:rPr>
          <w:rFonts w:ascii="Times New Roman" w:hAnsi="Times New Roman" w:eastAsia="Times New Roman" w:cs="Times New Roman"/>
          <w:color w:val="auto"/>
          <w:spacing w:val="-1"/>
          <w:sz w:val="24"/>
          <w:szCs w:val="24"/>
        </w:rPr>
        <w:t>2</w:t>
      </w:r>
      <w:r>
        <w:rPr>
          <w:rFonts w:ascii="宋体" w:hAnsi="宋体" w:eastAsia="宋体" w:cs="宋体"/>
          <w:color w:val="auto"/>
          <w:spacing w:val="-1"/>
          <w:sz w:val="24"/>
          <w:szCs w:val="24"/>
        </w:rPr>
        <w:t>日</w:t>
      </w:r>
      <w:r>
        <w:rPr>
          <w:rFonts w:ascii="宋体" w:hAnsi="宋体" w:eastAsia="宋体" w:cs="宋体"/>
          <w:color w:val="auto"/>
          <w:spacing w:val="1"/>
          <w:sz w:val="24"/>
          <w:szCs w:val="24"/>
        </w:rPr>
        <w:t>）；</w:t>
      </w:r>
    </w:p>
    <w:p w14:paraId="1D45A52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5</w:t>
      </w:r>
      <w:r>
        <w:rPr>
          <w:rFonts w:ascii="宋体" w:hAnsi="宋体" w:eastAsia="宋体" w:cs="宋体"/>
          <w:color w:val="auto"/>
          <w:spacing w:val="-1"/>
          <w:sz w:val="24"/>
          <w:szCs w:val="24"/>
        </w:rPr>
        <w:t>）《国务院关于印发水污染防治行动计划的通知》（国发〔</w:t>
      </w:r>
      <w:r>
        <w:rPr>
          <w:rFonts w:ascii="Times New Roman" w:hAnsi="Times New Roman" w:eastAsia="Times New Roman" w:cs="Times New Roman"/>
          <w:color w:val="auto"/>
          <w:spacing w:val="-1"/>
          <w:sz w:val="24"/>
          <w:szCs w:val="24"/>
        </w:rPr>
        <w:t>2015</w:t>
      </w: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17</w:t>
      </w:r>
      <w:r>
        <w:rPr>
          <w:rFonts w:ascii="Times New Roman" w:hAnsi="Times New Roman" w:eastAsia="Times New Roman" w:cs="Times New Roman"/>
          <w:color w:val="auto"/>
          <w:spacing w:val="15"/>
          <w:sz w:val="24"/>
          <w:szCs w:val="24"/>
        </w:rPr>
        <w:t xml:space="preserve"> </w:t>
      </w:r>
      <w:r>
        <w:rPr>
          <w:rFonts w:ascii="宋体" w:hAnsi="宋体" w:eastAsia="宋体" w:cs="宋体"/>
          <w:color w:val="auto"/>
          <w:spacing w:val="-1"/>
          <w:sz w:val="24"/>
          <w:szCs w:val="24"/>
        </w:rPr>
        <w:t>号</w:t>
      </w:r>
      <w:r>
        <w:rPr>
          <w:rFonts w:ascii="宋体" w:hAnsi="宋体" w:eastAsia="宋体" w:cs="宋体"/>
          <w:color w:val="auto"/>
          <w:sz w:val="24"/>
          <w:szCs w:val="24"/>
        </w:rPr>
        <w:t>）；</w:t>
      </w:r>
    </w:p>
    <w:p w14:paraId="5CB3F87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ascii="宋体" w:hAnsi="宋体" w:eastAsia="宋体" w:cs="宋体"/>
          <w:color w:val="auto"/>
          <w:spacing w:val="-2"/>
          <w:sz w:val="24"/>
          <w:szCs w:val="24"/>
        </w:rPr>
      </w:pPr>
      <w:r>
        <w:rPr>
          <w:rFonts w:ascii="宋体" w:hAnsi="宋体" w:eastAsia="宋体" w:cs="宋体"/>
          <w:color w:val="auto"/>
          <w:spacing w:val="-2"/>
          <w:sz w:val="24"/>
          <w:szCs w:val="24"/>
        </w:rPr>
        <w:t>（</w:t>
      </w:r>
      <w:r>
        <w:rPr>
          <w:rFonts w:ascii="Times New Roman" w:hAnsi="Times New Roman" w:eastAsia="Times New Roman" w:cs="Times New Roman"/>
          <w:color w:val="auto"/>
          <w:spacing w:val="-2"/>
          <w:sz w:val="24"/>
          <w:szCs w:val="24"/>
        </w:rPr>
        <w:t>6</w:t>
      </w:r>
      <w:r>
        <w:rPr>
          <w:rFonts w:ascii="宋体" w:hAnsi="宋体" w:eastAsia="宋体" w:cs="宋体"/>
          <w:color w:val="auto"/>
          <w:spacing w:val="-2"/>
          <w:sz w:val="24"/>
          <w:szCs w:val="24"/>
        </w:rPr>
        <w:t>）</w:t>
      </w:r>
      <w:r>
        <w:rPr>
          <w:rFonts w:ascii="宋体" w:hAnsi="宋体" w:eastAsia="宋体" w:cs="宋体"/>
          <w:color w:val="auto"/>
          <w:spacing w:val="-1"/>
          <w:sz w:val="24"/>
          <w:szCs w:val="24"/>
        </w:rPr>
        <w:t>《</w:t>
      </w:r>
      <w:r>
        <w:rPr>
          <w:rFonts w:hint="default" w:ascii="Times New Roman" w:hAnsi="Times New Roman" w:eastAsia="宋体" w:cs="Times New Roman"/>
          <w:color w:val="auto"/>
          <w:sz w:val="24"/>
          <w:szCs w:val="24"/>
          <w:lang w:val="en-US" w:eastAsia="zh-CN"/>
        </w:rPr>
        <w:t>黑龙江省水污染防治条例</w:t>
      </w:r>
      <w:r>
        <w:rPr>
          <w:rFonts w:ascii="宋体" w:hAnsi="宋体" w:eastAsia="宋体" w:cs="宋体"/>
          <w:color w:val="auto"/>
          <w:spacing w:val="-1"/>
          <w:sz w:val="24"/>
          <w:szCs w:val="24"/>
        </w:rPr>
        <w:t>》</w:t>
      </w:r>
      <w:r>
        <w:rPr>
          <w:rFonts w:hint="eastAsia" w:ascii="宋体" w:hAnsi="宋体" w:eastAsia="宋体" w:cs="宋体"/>
          <w:color w:val="auto"/>
          <w:spacing w:val="-1"/>
          <w:sz w:val="24"/>
          <w:szCs w:val="24"/>
          <w:lang w:eastAsia="zh-CN"/>
        </w:rPr>
        <w:t>；</w:t>
      </w:r>
    </w:p>
    <w:p w14:paraId="7584A27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ascii="宋体" w:hAnsi="宋体" w:eastAsia="宋体" w:cs="宋体"/>
          <w:color w:val="auto"/>
          <w:sz w:val="24"/>
          <w:szCs w:val="24"/>
        </w:rPr>
      </w:pP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lang w:val="en-US" w:eastAsia="zh-CN"/>
        </w:rPr>
        <w:t>7</w:t>
      </w:r>
      <w:r>
        <w:rPr>
          <w:rFonts w:hint="eastAsia" w:ascii="宋体" w:hAnsi="宋体" w:eastAsia="宋体" w:cs="宋体"/>
          <w:color w:val="auto"/>
          <w:spacing w:val="-2"/>
          <w:sz w:val="24"/>
          <w:szCs w:val="24"/>
          <w:lang w:eastAsia="zh-CN"/>
        </w:rPr>
        <w:t>）</w:t>
      </w:r>
      <w:r>
        <w:rPr>
          <w:rFonts w:ascii="宋体" w:hAnsi="宋体" w:eastAsia="宋体" w:cs="宋体"/>
          <w:color w:val="auto"/>
          <w:spacing w:val="-2"/>
          <w:sz w:val="24"/>
          <w:szCs w:val="24"/>
        </w:rPr>
        <w:t>《建设项目环境保护管理条例》（国务院第</w:t>
      </w:r>
      <w:r>
        <w:rPr>
          <w:rFonts w:ascii="宋体" w:hAnsi="宋体" w:eastAsia="宋体" w:cs="宋体"/>
          <w:color w:val="auto"/>
          <w:spacing w:val="-49"/>
          <w:sz w:val="24"/>
          <w:szCs w:val="24"/>
        </w:rPr>
        <w:t xml:space="preserve"> </w:t>
      </w:r>
      <w:r>
        <w:rPr>
          <w:rFonts w:ascii="Times New Roman" w:hAnsi="Times New Roman" w:eastAsia="Times New Roman" w:cs="Times New Roman"/>
          <w:color w:val="auto"/>
          <w:spacing w:val="-2"/>
          <w:sz w:val="24"/>
          <w:szCs w:val="24"/>
        </w:rPr>
        <w:t>682</w:t>
      </w:r>
      <w:r>
        <w:rPr>
          <w:rFonts w:ascii="Times New Roman" w:hAnsi="Times New Roman" w:eastAsia="Times New Roman" w:cs="Times New Roman"/>
          <w:color w:val="auto"/>
          <w:spacing w:val="15"/>
          <w:sz w:val="24"/>
          <w:szCs w:val="24"/>
        </w:rPr>
        <w:t xml:space="preserve"> </w:t>
      </w:r>
      <w:r>
        <w:rPr>
          <w:rFonts w:ascii="宋体" w:hAnsi="宋体" w:eastAsia="宋体" w:cs="宋体"/>
          <w:color w:val="auto"/>
          <w:spacing w:val="-2"/>
          <w:sz w:val="24"/>
          <w:szCs w:val="24"/>
        </w:rPr>
        <w:t>号令</w:t>
      </w:r>
      <w:r>
        <w:rPr>
          <w:rFonts w:ascii="宋体" w:hAnsi="宋体" w:eastAsia="宋体" w:cs="宋体"/>
          <w:color w:val="auto"/>
          <w:spacing w:val="3"/>
          <w:sz w:val="24"/>
          <w:szCs w:val="24"/>
        </w:rPr>
        <w:t>）；</w:t>
      </w:r>
    </w:p>
    <w:p w14:paraId="5FCE6D7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ascii="宋体" w:hAnsi="宋体" w:eastAsia="宋体" w:cs="宋体"/>
          <w:color w:val="auto"/>
          <w:sz w:val="24"/>
          <w:szCs w:val="24"/>
        </w:rPr>
      </w:pPr>
      <w:bookmarkStart w:id="35" w:name="bookmark6"/>
      <w:bookmarkEnd w:id="35"/>
      <w:bookmarkStart w:id="36" w:name="bookmark7"/>
      <w:bookmarkEnd w:id="36"/>
      <w:r>
        <w:rPr>
          <w:rFonts w:ascii="宋体" w:hAnsi="宋体" w:eastAsia="宋体" w:cs="宋体"/>
          <w:color w:val="auto"/>
          <w:spacing w:val="-2"/>
          <w:sz w:val="24"/>
          <w:szCs w:val="24"/>
        </w:rPr>
        <w:t>（</w:t>
      </w:r>
      <w:r>
        <w:rPr>
          <w:rFonts w:hint="eastAsia" w:ascii="Times New Roman" w:hAnsi="Times New Roman" w:eastAsia="宋体" w:cs="Times New Roman"/>
          <w:color w:val="auto"/>
          <w:spacing w:val="-2"/>
          <w:sz w:val="24"/>
          <w:szCs w:val="24"/>
          <w:lang w:val="en-US" w:eastAsia="zh-CN"/>
        </w:rPr>
        <w:t>8</w:t>
      </w:r>
      <w:r>
        <w:rPr>
          <w:rFonts w:ascii="宋体" w:hAnsi="宋体" w:eastAsia="宋体" w:cs="宋体"/>
          <w:color w:val="auto"/>
          <w:spacing w:val="-2"/>
          <w:sz w:val="24"/>
          <w:szCs w:val="24"/>
        </w:rPr>
        <w:t>）《建设项目环境影响评价技术导则 总纲》（</w:t>
      </w:r>
      <w:r>
        <w:rPr>
          <w:rFonts w:ascii="Times New Roman" w:hAnsi="Times New Roman" w:eastAsia="Times New Roman" w:cs="Times New Roman"/>
          <w:color w:val="auto"/>
          <w:spacing w:val="-2"/>
          <w:sz w:val="24"/>
          <w:szCs w:val="24"/>
        </w:rPr>
        <w:t>HJ2.</w:t>
      </w:r>
      <w:r>
        <w:rPr>
          <w:rFonts w:ascii="Times New Roman" w:hAnsi="Times New Roman" w:eastAsia="Times New Roman" w:cs="Times New Roman"/>
          <w:color w:val="auto"/>
          <w:spacing w:val="-31"/>
          <w:sz w:val="24"/>
          <w:szCs w:val="24"/>
        </w:rPr>
        <w:t xml:space="preserve"> </w:t>
      </w:r>
      <w:r>
        <w:rPr>
          <w:rFonts w:ascii="Times New Roman" w:hAnsi="Times New Roman" w:eastAsia="Times New Roman" w:cs="Times New Roman"/>
          <w:color w:val="auto"/>
          <w:spacing w:val="-2"/>
          <w:sz w:val="24"/>
          <w:szCs w:val="24"/>
        </w:rPr>
        <w:t>1-2016</w:t>
      </w:r>
      <w:r>
        <w:rPr>
          <w:rFonts w:ascii="宋体" w:hAnsi="宋体" w:eastAsia="宋体" w:cs="宋体"/>
          <w:color w:val="auto"/>
          <w:spacing w:val="7"/>
          <w:sz w:val="24"/>
          <w:szCs w:val="24"/>
        </w:rPr>
        <w:t>）；</w:t>
      </w:r>
    </w:p>
    <w:p w14:paraId="6E938E7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color w:val="auto"/>
          <w:sz w:val="24"/>
          <w:szCs w:val="24"/>
        </w:rPr>
      </w:pPr>
      <w:r>
        <w:rPr>
          <w:rFonts w:ascii="宋体" w:hAnsi="宋体" w:eastAsia="宋体" w:cs="宋体"/>
          <w:color w:val="auto"/>
          <w:spacing w:val="-1"/>
          <w:sz w:val="24"/>
          <w:szCs w:val="24"/>
        </w:rPr>
        <w:t>（</w:t>
      </w:r>
      <w:r>
        <w:rPr>
          <w:rFonts w:hint="eastAsia" w:ascii="Times New Roman" w:hAnsi="Times New Roman" w:eastAsia="宋体" w:cs="Times New Roman"/>
          <w:color w:val="auto"/>
          <w:spacing w:val="-1"/>
          <w:sz w:val="24"/>
          <w:szCs w:val="24"/>
          <w:lang w:val="en-US" w:eastAsia="zh-CN"/>
        </w:rPr>
        <w:t>9</w:t>
      </w:r>
      <w:r>
        <w:rPr>
          <w:rFonts w:ascii="宋体" w:hAnsi="宋体" w:eastAsia="宋体" w:cs="宋体"/>
          <w:color w:val="auto"/>
          <w:spacing w:val="-1"/>
          <w:sz w:val="24"/>
          <w:szCs w:val="24"/>
        </w:rPr>
        <w:t>）《环境影响评价技术导则 地表水环境》（</w:t>
      </w:r>
      <w:r>
        <w:rPr>
          <w:rFonts w:ascii="Times New Roman" w:hAnsi="Times New Roman" w:eastAsia="Times New Roman" w:cs="Times New Roman"/>
          <w:color w:val="auto"/>
          <w:spacing w:val="-1"/>
          <w:sz w:val="24"/>
          <w:szCs w:val="24"/>
        </w:rPr>
        <w:t>HJ2.3-2018</w:t>
      </w:r>
      <w:r>
        <w:rPr>
          <w:rFonts w:ascii="宋体" w:hAnsi="宋体" w:eastAsia="宋体" w:cs="宋体"/>
          <w:color w:val="auto"/>
          <w:spacing w:val="4"/>
          <w:sz w:val="24"/>
          <w:szCs w:val="24"/>
        </w:rPr>
        <w:t>）；</w:t>
      </w:r>
    </w:p>
    <w:p w14:paraId="5D1FEE6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color w:val="auto"/>
          <w:spacing w:val="4"/>
          <w:sz w:val="24"/>
          <w:szCs w:val="24"/>
          <w:highlight w:val="none"/>
        </w:rPr>
      </w:pPr>
      <w:r>
        <w:rPr>
          <w:rFonts w:ascii="宋体" w:hAnsi="宋体" w:eastAsia="宋体" w:cs="宋体"/>
          <w:color w:val="auto"/>
          <w:spacing w:val="-1"/>
          <w:sz w:val="24"/>
          <w:szCs w:val="24"/>
          <w:highlight w:val="none"/>
        </w:rPr>
        <w:t>（</w:t>
      </w:r>
      <w:r>
        <w:rPr>
          <w:rFonts w:hint="eastAsia" w:ascii="Times New Roman" w:hAnsi="Times New Roman" w:eastAsia="宋体" w:cs="Times New Roman"/>
          <w:color w:val="auto"/>
          <w:spacing w:val="-1"/>
          <w:sz w:val="24"/>
          <w:szCs w:val="24"/>
          <w:highlight w:val="none"/>
          <w:lang w:val="en-US" w:eastAsia="zh-CN"/>
        </w:rPr>
        <w:t>10</w:t>
      </w:r>
      <w:r>
        <w:rPr>
          <w:rFonts w:ascii="宋体" w:hAnsi="宋体" w:eastAsia="宋体" w:cs="宋体"/>
          <w:color w:val="auto"/>
          <w:spacing w:val="-1"/>
          <w:sz w:val="24"/>
          <w:szCs w:val="24"/>
          <w:highlight w:val="none"/>
        </w:rPr>
        <w:t>）《地表水环境质量标准》（</w:t>
      </w:r>
      <w:r>
        <w:rPr>
          <w:rFonts w:ascii="Times New Roman" w:hAnsi="Times New Roman" w:eastAsia="Times New Roman" w:cs="Times New Roman"/>
          <w:color w:val="auto"/>
          <w:spacing w:val="-1"/>
          <w:sz w:val="24"/>
          <w:szCs w:val="24"/>
          <w:highlight w:val="none"/>
        </w:rPr>
        <w:t>GB3838-2002</w:t>
      </w:r>
      <w:r>
        <w:rPr>
          <w:rFonts w:ascii="宋体" w:hAnsi="宋体" w:eastAsia="宋体" w:cs="宋体"/>
          <w:color w:val="auto"/>
          <w:spacing w:val="1"/>
          <w:sz w:val="24"/>
          <w:szCs w:val="24"/>
          <w:highlight w:val="none"/>
        </w:rPr>
        <w:t>）</w:t>
      </w:r>
      <w:r>
        <w:rPr>
          <w:rFonts w:ascii="宋体" w:hAnsi="宋体" w:eastAsia="宋体" w:cs="宋体"/>
          <w:color w:val="auto"/>
          <w:spacing w:val="4"/>
          <w:sz w:val="24"/>
          <w:szCs w:val="24"/>
          <w:highlight w:val="none"/>
        </w:rPr>
        <w:t>；</w:t>
      </w:r>
    </w:p>
    <w:p w14:paraId="78130258">
      <w:pPr>
        <w:pStyle w:val="8"/>
        <w:keepNext w:val="0"/>
        <w:keepLines w:val="0"/>
        <w:pageBreakBefore w:val="0"/>
        <w:widowControl/>
        <w:kinsoku w:val="0"/>
        <w:wordWrap/>
        <w:overflowPunct/>
        <w:topLinePunct w:val="0"/>
        <w:autoSpaceDE w:val="0"/>
        <w:autoSpaceDN w:val="0"/>
        <w:bidi w:val="0"/>
        <w:adjustRightInd w:val="0"/>
        <w:snapToGrid w:val="0"/>
        <w:spacing w:after="0"/>
        <w:ind w:left="0" w:leftChars="0" w:firstLine="496" w:firstLineChars="200"/>
        <w:textAlignment w:val="baseline"/>
        <w:rPr>
          <w:rFonts w:hint="default" w:eastAsia="宋体"/>
          <w:color w:val="auto"/>
          <w:highlight w:val="none"/>
          <w:lang w:val="en-US" w:eastAsia="zh-CN"/>
        </w:rPr>
      </w:pPr>
      <w:r>
        <w:rPr>
          <w:rFonts w:hint="default" w:ascii="Times New Roman" w:hAnsi="Times New Roman" w:eastAsia="宋体" w:cs="Times New Roman"/>
          <w:color w:val="auto"/>
          <w:spacing w:val="4"/>
          <w:sz w:val="24"/>
          <w:szCs w:val="24"/>
          <w:highlight w:val="none"/>
          <w:lang w:eastAsia="zh-CN"/>
        </w:rPr>
        <w:t>（</w:t>
      </w:r>
      <w:r>
        <w:rPr>
          <w:rFonts w:hint="eastAsia" w:ascii="Times New Roman" w:hAnsi="Times New Roman" w:eastAsia="宋体" w:cs="Times New Roman"/>
          <w:color w:val="auto"/>
          <w:spacing w:val="4"/>
          <w:sz w:val="24"/>
          <w:szCs w:val="24"/>
          <w:highlight w:val="none"/>
          <w:lang w:val="en-US" w:eastAsia="zh-CN"/>
        </w:rPr>
        <w:t>11</w:t>
      </w:r>
      <w:r>
        <w:rPr>
          <w:rFonts w:hint="default" w:ascii="Times New Roman" w:hAnsi="Times New Roman" w:eastAsia="宋体" w:cs="Times New Roman"/>
          <w:color w:val="auto"/>
          <w:spacing w:val="4"/>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《污水综合排放标准》</w:t>
      </w:r>
      <w:r>
        <w:rPr>
          <w:rFonts w:hint="default" w:ascii="Times New Roman" w:hAnsi="Times New Roman" w:cs="Times New Roman"/>
          <w:color w:val="auto"/>
          <w:sz w:val="24"/>
          <w:szCs w:val="24"/>
          <w:highlight w:val="none"/>
          <w:lang w:val="en-US" w:eastAsia="zh-CN"/>
        </w:rPr>
        <w:t>（GB8978-1996）</w:t>
      </w:r>
      <w:r>
        <w:rPr>
          <w:rFonts w:hint="eastAsia" w:ascii="Times New Roman" w:hAnsi="Times New Roman" w:cs="Times New Roman"/>
          <w:color w:val="auto"/>
          <w:sz w:val="24"/>
          <w:szCs w:val="24"/>
          <w:highlight w:val="none"/>
          <w:lang w:val="en-US" w:eastAsia="zh-CN"/>
        </w:rPr>
        <w:t>。</w:t>
      </w:r>
    </w:p>
    <w:p w14:paraId="24626DB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ascii="宋体" w:hAnsi="宋体" w:eastAsia="宋体" w:cs="宋体"/>
          <w:color w:val="auto"/>
          <w:sz w:val="28"/>
          <w:szCs w:val="28"/>
        </w:rPr>
      </w:pPr>
      <w:bookmarkStart w:id="37" w:name="bookmark8"/>
      <w:bookmarkEnd w:id="37"/>
      <w:r>
        <w:rPr>
          <w:rFonts w:ascii="Times New Roman" w:hAnsi="Times New Roman" w:eastAsia="Times New Roman" w:cs="Times New Roman"/>
          <w:b/>
          <w:bCs/>
          <w:color w:val="auto"/>
          <w:spacing w:val="-3"/>
          <w:sz w:val="28"/>
          <w:szCs w:val="28"/>
        </w:rPr>
        <w:t>1.</w:t>
      </w:r>
      <w:r>
        <w:rPr>
          <w:rFonts w:hint="eastAsia" w:ascii="Times New Roman" w:hAnsi="Times New Roman" w:eastAsia="宋体" w:cs="Times New Roman"/>
          <w:b/>
          <w:bCs/>
          <w:color w:val="auto"/>
          <w:spacing w:val="-3"/>
          <w:sz w:val="28"/>
          <w:szCs w:val="28"/>
          <w:lang w:val="en-US" w:eastAsia="zh-CN"/>
        </w:rPr>
        <w:t>2</w:t>
      </w:r>
      <w:r>
        <w:rPr>
          <w:rFonts w:ascii="Times New Roman" w:hAnsi="Times New Roman" w:eastAsia="Times New Roman" w:cs="Times New Roman"/>
          <w:b/>
          <w:bCs/>
          <w:color w:val="auto"/>
          <w:spacing w:val="-3"/>
          <w:sz w:val="28"/>
          <w:szCs w:val="28"/>
        </w:rPr>
        <w:t xml:space="preserve">  </w:t>
      </w:r>
      <w:r>
        <w:rPr>
          <w:rFonts w:ascii="宋体" w:hAnsi="宋体" w:eastAsia="宋体" w:cs="宋体"/>
          <w:b/>
          <w:bCs/>
          <w:color w:val="auto"/>
          <w:spacing w:val="-3"/>
          <w:sz w:val="28"/>
          <w:szCs w:val="28"/>
        </w:rPr>
        <w:t>其他编制依据</w:t>
      </w:r>
    </w:p>
    <w:p w14:paraId="418F9ED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default" w:ascii="宋体" w:hAnsi="宋体" w:eastAsia="宋体" w:cs="宋体"/>
          <w:color w:val="auto"/>
          <w:spacing w:val="-1"/>
          <w:sz w:val="24"/>
          <w:szCs w:val="24"/>
          <w:lang w:val="en-US" w:eastAsia="zh-CN"/>
        </w:rPr>
      </w:pPr>
      <w:r>
        <w:rPr>
          <w:rFonts w:ascii="宋体" w:hAnsi="宋体" w:eastAsia="宋体" w:cs="宋体"/>
          <w:color w:val="auto"/>
          <w:spacing w:val="-1"/>
          <w:sz w:val="24"/>
          <w:szCs w:val="24"/>
        </w:rPr>
        <w:t>（1）《</w:t>
      </w:r>
      <w:r>
        <w:rPr>
          <w:rFonts w:hint="eastAsia" w:ascii="宋体" w:hAnsi="宋体" w:eastAsia="宋体" w:cs="宋体"/>
          <w:color w:val="auto"/>
          <w:spacing w:val="-1"/>
          <w:sz w:val="24"/>
          <w:szCs w:val="24"/>
          <w:lang w:val="en-US" w:eastAsia="zh-CN"/>
        </w:rPr>
        <w:t>关于</w:t>
      </w:r>
      <w:r>
        <w:rPr>
          <w:rFonts w:hint="eastAsia" w:ascii="宋体" w:hAnsi="宋体" w:eastAsia="宋体" w:cs="宋体"/>
          <w:color w:val="auto"/>
          <w:spacing w:val="-1"/>
          <w:sz w:val="24"/>
          <w:szCs w:val="24"/>
        </w:rPr>
        <w:t>鸡西市朝阳净水厂及“四区”输配水工程环境影响评价报告书</w:t>
      </w:r>
      <w:r>
        <w:rPr>
          <w:rFonts w:hint="eastAsia" w:ascii="宋体" w:hAnsi="宋体" w:eastAsia="宋体" w:cs="宋体"/>
          <w:color w:val="auto"/>
          <w:spacing w:val="-1"/>
          <w:sz w:val="24"/>
          <w:szCs w:val="24"/>
          <w:lang w:val="en-US" w:eastAsia="zh-CN"/>
        </w:rPr>
        <w:t>的批复》 （鸡环审</w:t>
      </w:r>
      <w:r>
        <w:rPr>
          <w:rFonts w:hint="default" w:ascii="宋体" w:hAnsi="宋体" w:eastAsia="宋体" w:cs="宋体"/>
          <w:color w:val="auto"/>
          <w:spacing w:val="-1"/>
          <w:sz w:val="24"/>
          <w:szCs w:val="24"/>
          <w:lang w:eastAsia="zh-CN"/>
        </w:rPr>
        <w:t>〔2014〕76号</w:t>
      </w:r>
      <w:r>
        <w:rPr>
          <w:rFonts w:hint="default" w:ascii="宋体" w:hAnsi="宋体" w:eastAsia="宋体" w:cs="宋体"/>
          <w:color w:val="auto"/>
          <w:spacing w:val="-1"/>
          <w:sz w:val="24"/>
          <w:szCs w:val="24"/>
          <w:lang w:val="en-US" w:eastAsia="zh-CN"/>
        </w:rPr>
        <w:t>）；</w:t>
      </w:r>
    </w:p>
    <w:p w14:paraId="2913C06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pacing w:val="-1"/>
          <w:sz w:val="24"/>
          <w:szCs w:val="24"/>
          <w:lang w:val="en-US" w:eastAsia="zh-CN"/>
        </w:rPr>
      </w:pPr>
      <w:r>
        <w:rPr>
          <w:rFonts w:ascii="宋体" w:hAnsi="宋体" w:eastAsia="宋体" w:cs="宋体"/>
          <w:color w:val="auto"/>
          <w:spacing w:val="-1"/>
          <w:sz w:val="24"/>
          <w:szCs w:val="24"/>
        </w:rPr>
        <w:t>（2）</w:t>
      </w:r>
      <w:r>
        <w:rPr>
          <w:rFonts w:hint="eastAsia" w:ascii="宋体" w:hAnsi="宋体" w:eastAsia="宋体" w:cs="宋体"/>
          <w:color w:val="auto"/>
          <w:spacing w:val="-1"/>
          <w:sz w:val="24"/>
          <w:szCs w:val="24"/>
          <w:lang w:eastAsia="zh-CN"/>
        </w:rPr>
        <w:t>《鸡西市朝阳净水厂及“四区”输配水工程</w:t>
      </w:r>
      <w:r>
        <w:rPr>
          <w:rFonts w:hint="eastAsia" w:ascii="宋体" w:hAnsi="宋体" w:eastAsia="宋体" w:cs="宋体"/>
          <w:color w:val="auto"/>
          <w:spacing w:val="-1"/>
          <w:sz w:val="24"/>
          <w:szCs w:val="24"/>
          <w:lang w:val="en-US" w:eastAsia="zh-CN"/>
        </w:rPr>
        <w:t>竣工环境保护验收调查报告》；</w:t>
      </w:r>
    </w:p>
    <w:p w14:paraId="772BFFF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（3）《鸡西市朝阳净水厂及“四区”输配水工程可行性研究报告》；</w:t>
      </w:r>
    </w:p>
    <w:p w14:paraId="636C86D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（4）《鸡西市朝阳净水厂及“四区”输配水工程初步设计》；</w:t>
      </w:r>
    </w:p>
    <w:p w14:paraId="4A59BDC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color w:val="auto"/>
          <w:sz w:val="24"/>
          <w:szCs w:val="24"/>
          <w:highlight w:val="none"/>
        </w:rPr>
      </w:pP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1"/>
          <w:sz w:val="24"/>
          <w:szCs w:val="24"/>
          <w:lang w:val="en-US" w:eastAsia="zh-CN"/>
        </w:rPr>
        <w:t>5</w:t>
      </w:r>
      <w:r>
        <w:rPr>
          <w:rFonts w:hint="eastAsia" w:ascii="宋体" w:hAnsi="宋体" w:eastAsia="宋体" w:cs="宋体"/>
          <w:color w:val="auto"/>
          <w:spacing w:val="-1"/>
          <w:sz w:val="24"/>
          <w:szCs w:val="24"/>
          <w:lang w:eastAsia="zh-CN"/>
        </w:rPr>
        <w:t>）</w:t>
      </w:r>
      <w:r>
        <w:rPr>
          <w:rFonts w:ascii="宋体" w:hAnsi="宋体" w:eastAsia="宋体" w:cs="宋体"/>
          <w:color w:val="auto"/>
          <w:spacing w:val="-1"/>
          <w:sz w:val="24"/>
          <w:szCs w:val="24"/>
        </w:rPr>
        <w:t>建设单位提供的其他技术资料及图件</w:t>
      </w:r>
      <w:r>
        <w:rPr>
          <w:rFonts w:ascii="宋体" w:hAnsi="宋体" w:eastAsia="宋体" w:cs="宋体"/>
          <w:color w:val="auto"/>
          <w:spacing w:val="-1"/>
          <w:sz w:val="24"/>
          <w:szCs w:val="24"/>
        </w:rPr>
        <w:t>。</w:t>
      </w:r>
    </w:p>
    <w:p w14:paraId="761F07A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1"/>
        <w:rPr>
          <w:rFonts w:hint="default" w:ascii="Times New Roman" w:hAnsi="Times New Roman" w:eastAsia="宋体" w:cs="Times New Roman"/>
          <w:b/>
          <w:bCs/>
          <w:snapToGrid w:val="0"/>
          <w:color w:val="auto"/>
          <w:spacing w:val="-2"/>
          <w:kern w:val="0"/>
          <w:sz w:val="24"/>
          <w:szCs w:val="24"/>
          <w:highlight w:val="none"/>
          <w:lang w:val="en-US" w:eastAsia="zh-CN" w:bidi="ar-SA"/>
        </w:rPr>
      </w:pPr>
      <w:bookmarkStart w:id="38" w:name="bookmark9"/>
      <w:bookmarkEnd w:id="38"/>
      <w:r>
        <w:rPr>
          <w:rFonts w:ascii="Times New Roman" w:hAnsi="Times New Roman" w:eastAsia="Times New Roman" w:cs="Times New Roman"/>
          <w:b/>
          <w:bCs/>
          <w:color w:val="auto"/>
          <w:spacing w:val="-3"/>
          <w:sz w:val="30"/>
          <w:szCs w:val="30"/>
          <w:highlight w:val="none"/>
        </w:rPr>
        <w:t>1.</w:t>
      </w:r>
      <w:r>
        <w:rPr>
          <w:rFonts w:hint="eastAsia" w:ascii="Times New Roman" w:hAnsi="Times New Roman" w:eastAsia="宋体" w:cs="Times New Roman"/>
          <w:b/>
          <w:bCs/>
          <w:color w:val="auto"/>
          <w:spacing w:val="-3"/>
          <w:sz w:val="30"/>
          <w:szCs w:val="30"/>
          <w:highlight w:val="none"/>
          <w:lang w:val="en-US" w:eastAsia="zh-CN"/>
        </w:rPr>
        <w:t>3</w:t>
      </w:r>
      <w:r>
        <w:rPr>
          <w:rFonts w:hint="eastAsia" w:ascii="宋体" w:hAnsi="宋体" w:eastAsia="宋体" w:cs="宋体"/>
          <w:b/>
          <w:bCs/>
          <w:color w:val="auto"/>
          <w:spacing w:val="-3"/>
          <w:sz w:val="30"/>
          <w:szCs w:val="30"/>
          <w:highlight w:val="none"/>
          <w:lang w:eastAsia="zh-CN"/>
        </w:rPr>
        <w:t>环境保护目标</w:t>
      </w:r>
    </w:p>
    <w:p w14:paraId="4DD0D12B">
      <w:pPr>
        <w:pStyle w:val="33"/>
        <w:jc w:val="center"/>
        <w:rPr>
          <w:rFonts w:hint="default" w:ascii="Times New Roman" w:hAnsi="Times New Roman" w:eastAsia="宋体" w:cs="Times New Roman"/>
          <w:b/>
          <w:bCs/>
          <w:snapToGrid w:val="0"/>
          <w:color w:val="auto"/>
          <w:spacing w:val="-2"/>
          <w:kern w:val="0"/>
          <w:sz w:val="24"/>
          <w:szCs w:val="24"/>
          <w:highlight w:val="none"/>
          <w:lang w:val="en-US" w:eastAsia="zh-CN" w:bidi="ar-SA"/>
        </w:rPr>
      </w:pPr>
      <w:r>
        <w:rPr>
          <w:rFonts w:hint="default" w:ascii="Times New Roman" w:hAnsi="Times New Roman" w:eastAsia="宋体" w:cs="Times New Roman"/>
          <w:b/>
          <w:bCs/>
          <w:snapToGrid w:val="0"/>
          <w:color w:val="auto"/>
          <w:spacing w:val="-2"/>
          <w:kern w:val="0"/>
          <w:sz w:val="24"/>
          <w:szCs w:val="24"/>
          <w:highlight w:val="none"/>
          <w:lang w:val="en-US" w:eastAsia="zh-CN" w:bidi="ar-SA"/>
        </w:rPr>
        <w:t>表1-1</w:t>
      </w:r>
      <w:r>
        <w:rPr>
          <w:rFonts w:hint="eastAsia" w:ascii="Times New Roman" w:hAnsi="Times New Roman" w:eastAsia="宋体" w:cs="Times New Roman"/>
          <w:b/>
          <w:bCs/>
          <w:snapToGrid w:val="0"/>
          <w:color w:val="auto"/>
          <w:spacing w:val="-2"/>
          <w:kern w:val="0"/>
          <w:sz w:val="24"/>
          <w:szCs w:val="24"/>
          <w:highlight w:val="none"/>
          <w:lang w:val="en-US" w:eastAsia="zh-CN" w:bidi="ar-SA"/>
        </w:rPr>
        <w:t xml:space="preserve">  </w:t>
      </w:r>
      <w:r>
        <w:rPr>
          <w:rFonts w:hint="default" w:ascii="Times New Roman" w:hAnsi="Times New Roman" w:eastAsia="宋体" w:cs="Times New Roman"/>
          <w:b/>
          <w:bCs/>
          <w:snapToGrid w:val="0"/>
          <w:color w:val="auto"/>
          <w:spacing w:val="-2"/>
          <w:kern w:val="0"/>
          <w:sz w:val="24"/>
          <w:szCs w:val="24"/>
          <w:highlight w:val="none"/>
          <w:lang w:val="en-US" w:eastAsia="zh-CN" w:bidi="ar-SA"/>
        </w:rPr>
        <w:t xml:space="preserve"> 水环境保护目标一览表</w:t>
      </w:r>
    </w:p>
    <w:tbl>
      <w:tblPr>
        <w:tblStyle w:val="3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3"/>
        <w:gridCol w:w="1221"/>
        <w:gridCol w:w="735"/>
        <w:gridCol w:w="2325"/>
        <w:gridCol w:w="1046"/>
        <w:gridCol w:w="2748"/>
      </w:tblGrid>
      <w:tr w14:paraId="5A5F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0" w:type="auto"/>
            <w:tcBorders>
              <w:top w:val="single" w:color="auto" w:sz="12" w:space="0"/>
              <w:left w:val="nil"/>
            </w:tcBorders>
            <w:vAlign w:val="center"/>
          </w:tcPr>
          <w:p w14:paraId="0091037C">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环境要素</w:t>
            </w:r>
          </w:p>
        </w:tc>
        <w:tc>
          <w:tcPr>
            <w:tcW w:w="0" w:type="auto"/>
            <w:tcBorders>
              <w:top w:val="single" w:color="auto" w:sz="12" w:space="0"/>
            </w:tcBorders>
            <w:vAlign w:val="center"/>
          </w:tcPr>
          <w:p w14:paraId="45C842FF">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保护对象</w:t>
            </w:r>
          </w:p>
        </w:tc>
        <w:tc>
          <w:tcPr>
            <w:tcW w:w="0" w:type="auto"/>
            <w:tcBorders>
              <w:top w:val="single" w:color="auto" w:sz="12" w:space="0"/>
            </w:tcBorders>
            <w:vAlign w:val="center"/>
          </w:tcPr>
          <w:p w14:paraId="52300AE9">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方位</w:t>
            </w:r>
          </w:p>
        </w:tc>
        <w:tc>
          <w:tcPr>
            <w:tcW w:w="2325" w:type="dxa"/>
            <w:tcBorders>
              <w:top w:val="single" w:color="auto" w:sz="12" w:space="0"/>
            </w:tcBorders>
            <w:vAlign w:val="center"/>
          </w:tcPr>
          <w:p w14:paraId="30AA456C">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距边界最近距离（m）</w:t>
            </w:r>
          </w:p>
        </w:tc>
        <w:tc>
          <w:tcPr>
            <w:tcW w:w="1046" w:type="dxa"/>
            <w:tcBorders>
              <w:top w:val="single" w:color="auto" w:sz="12" w:space="0"/>
            </w:tcBorders>
            <w:vAlign w:val="center"/>
          </w:tcPr>
          <w:p w14:paraId="1618248A">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规模</w:t>
            </w:r>
          </w:p>
        </w:tc>
        <w:tc>
          <w:tcPr>
            <w:tcW w:w="0" w:type="auto"/>
            <w:tcBorders>
              <w:top w:val="single" w:color="auto" w:sz="12" w:space="0"/>
              <w:right w:val="nil"/>
            </w:tcBorders>
            <w:vAlign w:val="center"/>
          </w:tcPr>
          <w:p w14:paraId="03B49A85">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环境功能目标</w:t>
            </w:r>
          </w:p>
        </w:tc>
      </w:tr>
      <w:tr w14:paraId="6D07F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213" w:type="dxa"/>
            <w:vMerge w:val="restart"/>
            <w:tcBorders>
              <w:left w:val="nil"/>
            </w:tcBorders>
            <w:vAlign w:val="center"/>
          </w:tcPr>
          <w:p w14:paraId="3957C60E">
            <w:pPr>
              <w:pStyle w:val="34"/>
              <w:keepNext w:val="0"/>
              <w:keepLines w:val="0"/>
              <w:widowControl w:val="0"/>
              <w:suppressLineNumbers w:val="0"/>
              <w:spacing w:beforeAutospacing="0" w:afterAutospacing="0"/>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地表水</w:t>
            </w:r>
          </w:p>
        </w:tc>
        <w:tc>
          <w:tcPr>
            <w:tcW w:w="0" w:type="auto"/>
            <w:vAlign w:val="center"/>
          </w:tcPr>
          <w:p w14:paraId="0C5E3AA4">
            <w:pPr>
              <w:pStyle w:val="34"/>
              <w:keepNext w:val="0"/>
              <w:keepLines w:val="0"/>
              <w:widowControl w:val="0"/>
              <w:suppressLineNumbers w:val="0"/>
              <w:spacing w:beforeAutospacing="0" w:afterAutospacing="0"/>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穆棱河</w:t>
            </w:r>
          </w:p>
        </w:tc>
        <w:tc>
          <w:tcPr>
            <w:tcW w:w="0" w:type="auto"/>
            <w:vAlign w:val="center"/>
          </w:tcPr>
          <w:p w14:paraId="7E4AE06E">
            <w:pPr>
              <w:pStyle w:val="34"/>
              <w:keepNext w:val="0"/>
              <w:keepLines w:val="0"/>
              <w:widowControl w:val="0"/>
              <w:suppressLineNumbers w:val="0"/>
              <w:spacing w:beforeAutospacing="0" w:afterAutospacing="0"/>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N</w:t>
            </w:r>
            <w:r>
              <w:rPr>
                <w:rFonts w:hint="eastAsia" w:ascii="Times New Roman" w:hAnsi="Times New Roman" w:eastAsia="宋体" w:cs="Times New Roman"/>
                <w:color w:val="auto"/>
                <w:sz w:val="21"/>
                <w:szCs w:val="21"/>
                <w:highlight w:val="none"/>
                <w:vertAlign w:val="baseline"/>
                <w:lang w:val="en-US" w:eastAsia="zh-CN"/>
              </w:rPr>
              <w:t>E</w:t>
            </w:r>
          </w:p>
        </w:tc>
        <w:tc>
          <w:tcPr>
            <w:tcW w:w="2325" w:type="dxa"/>
            <w:vAlign w:val="center"/>
          </w:tcPr>
          <w:p w14:paraId="36C823DB">
            <w:pPr>
              <w:pStyle w:val="34"/>
              <w:keepNext w:val="0"/>
              <w:keepLines w:val="0"/>
              <w:widowControl w:val="0"/>
              <w:suppressLineNumbers w:val="0"/>
              <w:spacing w:beforeAutospacing="0" w:afterAutospacing="0"/>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2886</w:t>
            </w:r>
          </w:p>
        </w:tc>
        <w:tc>
          <w:tcPr>
            <w:tcW w:w="1046" w:type="dxa"/>
            <w:vAlign w:val="center"/>
          </w:tcPr>
          <w:p w14:paraId="7CC48E20">
            <w:pPr>
              <w:pStyle w:val="34"/>
              <w:keepNext w:val="0"/>
              <w:keepLines w:val="0"/>
              <w:widowControl w:val="0"/>
              <w:suppressLineNumbers w:val="0"/>
              <w:spacing w:beforeAutospacing="0" w:afterAutospacing="0"/>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中型</w:t>
            </w:r>
          </w:p>
        </w:tc>
        <w:tc>
          <w:tcPr>
            <w:tcW w:w="2748" w:type="dxa"/>
            <w:vMerge w:val="restart"/>
            <w:tcBorders>
              <w:right w:val="nil"/>
            </w:tcBorders>
            <w:vAlign w:val="center"/>
          </w:tcPr>
          <w:p w14:paraId="2C9412D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lang w:val="en-US" w:eastAsia="zh-CN" w:bidi="ar"/>
              </w:rPr>
              <w:t>《地表水环境质量标准》</w:t>
            </w:r>
          </w:p>
          <w:p w14:paraId="55BED57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snapToGrid w:val="0"/>
                <w:color w:val="auto"/>
                <w:kern w:val="0"/>
                <w:sz w:val="21"/>
                <w:szCs w:val="21"/>
                <w:highlight w:val="none"/>
                <w:lang w:val="en-US" w:eastAsia="zh-CN" w:bidi="ar"/>
              </w:rPr>
              <w:t>（GB3838-2002）Ⅲ类</w:t>
            </w:r>
          </w:p>
        </w:tc>
      </w:tr>
      <w:tr w14:paraId="212D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213" w:type="dxa"/>
            <w:vMerge w:val="continue"/>
            <w:tcBorders>
              <w:left w:val="nil"/>
              <w:bottom w:val="single" w:color="auto" w:sz="12" w:space="0"/>
            </w:tcBorders>
            <w:vAlign w:val="center"/>
          </w:tcPr>
          <w:p w14:paraId="5794AEDB">
            <w:pPr>
              <w:pStyle w:val="34"/>
              <w:keepNext w:val="0"/>
              <w:keepLines w:val="0"/>
              <w:widowControl w:val="0"/>
              <w:suppressLineNumbers w:val="0"/>
              <w:spacing w:beforeAutospacing="0" w:afterAutospacing="0"/>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p>
        </w:tc>
        <w:tc>
          <w:tcPr>
            <w:tcW w:w="0" w:type="auto"/>
            <w:tcBorders>
              <w:bottom w:val="single" w:color="auto" w:sz="12" w:space="0"/>
            </w:tcBorders>
            <w:vAlign w:val="center"/>
          </w:tcPr>
          <w:p w14:paraId="05530BDA">
            <w:pPr>
              <w:pStyle w:val="34"/>
              <w:keepNext w:val="0"/>
              <w:keepLines w:val="0"/>
              <w:widowControl w:val="0"/>
              <w:suppressLineNumbers w:val="0"/>
              <w:spacing w:beforeAutospacing="0" w:afterAutospacing="0"/>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红光沟</w:t>
            </w:r>
          </w:p>
        </w:tc>
        <w:tc>
          <w:tcPr>
            <w:tcW w:w="0" w:type="auto"/>
            <w:tcBorders>
              <w:bottom w:val="single" w:color="auto" w:sz="12" w:space="0"/>
            </w:tcBorders>
            <w:vAlign w:val="center"/>
          </w:tcPr>
          <w:p w14:paraId="0F832BC6">
            <w:pPr>
              <w:pStyle w:val="34"/>
              <w:keepNext w:val="0"/>
              <w:keepLines w:val="0"/>
              <w:widowControl w:val="0"/>
              <w:suppressLineNumbers w:val="0"/>
              <w:spacing w:beforeAutospacing="0" w:afterAutospacing="0"/>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N</w:t>
            </w:r>
          </w:p>
        </w:tc>
        <w:tc>
          <w:tcPr>
            <w:tcW w:w="2325" w:type="dxa"/>
            <w:tcBorders>
              <w:bottom w:val="single" w:color="auto" w:sz="12" w:space="0"/>
            </w:tcBorders>
            <w:vAlign w:val="center"/>
          </w:tcPr>
          <w:p w14:paraId="05150518">
            <w:pPr>
              <w:pStyle w:val="34"/>
              <w:keepNext w:val="0"/>
              <w:keepLines w:val="0"/>
              <w:widowControl w:val="0"/>
              <w:suppressLineNumbers w:val="0"/>
              <w:spacing w:beforeAutospacing="0" w:afterAutospacing="0"/>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432</w:t>
            </w:r>
          </w:p>
        </w:tc>
        <w:tc>
          <w:tcPr>
            <w:tcW w:w="1046" w:type="dxa"/>
            <w:tcBorders>
              <w:bottom w:val="single" w:color="auto" w:sz="12" w:space="0"/>
            </w:tcBorders>
            <w:vAlign w:val="center"/>
          </w:tcPr>
          <w:p w14:paraId="79CA8C71">
            <w:pPr>
              <w:pStyle w:val="34"/>
              <w:keepNext w:val="0"/>
              <w:keepLines w:val="0"/>
              <w:widowControl w:val="0"/>
              <w:suppressLineNumbers w:val="0"/>
              <w:spacing w:beforeAutospacing="0" w:afterAutospacing="0"/>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小型</w:t>
            </w:r>
          </w:p>
        </w:tc>
        <w:tc>
          <w:tcPr>
            <w:tcW w:w="2748" w:type="dxa"/>
            <w:vMerge w:val="continue"/>
            <w:tcBorders>
              <w:bottom w:val="single" w:color="auto" w:sz="12" w:space="0"/>
              <w:right w:val="nil"/>
            </w:tcBorders>
            <w:vAlign w:val="center"/>
          </w:tcPr>
          <w:p w14:paraId="1D0DD36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highlight w:val="none"/>
                <w:lang w:val="en-US" w:eastAsia="zh-CN" w:bidi="ar"/>
              </w:rPr>
            </w:pPr>
          </w:p>
        </w:tc>
      </w:tr>
    </w:tbl>
    <w:p w14:paraId="248FC98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default"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eastAsia="zh-CN"/>
        </w:rPr>
        <w:t>穆棱河本项目</w:t>
      </w:r>
      <w:r>
        <w:rPr>
          <w:rFonts w:hint="eastAsia" w:ascii="宋体" w:hAnsi="宋体" w:eastAsia="宋体" w:cs="宋体"/>
          <w:color w:val="auto"/>
          <w:spacing w:val="-2"/>
          <w:sz w:val="24"/>
          <w:szCs w:val="24"/>
          <w:highlight w:val="none"/>
          <w:lang w:val="en-US" w:eastAsia="zh-CN"/>
        </w:rPr>
        <w:t>地表水环境评价范围</w:t>
      </w:r>
      <w:r>
        <w:rPr>
          <w:rFonts w:hint="eastAsia" w:ascii="宋体" w:hAnsi="宋体" w:eastAsia="宋体" w:cs="宋体"/>
          <w:color w:val="auto"/>
          <w:spacing w:val="-2"/>
          <w:sz w:val="24"/>
          <w:szCs w:val="24"/>
          <w:highlight w:val="none"/>
          <w:lang w:val="en-US" w:eastAsia="zh-CN"/>
        </w:rPr>
        <w:t>内</w:t>
      </w:r>
      <w:r>
        <w:rPr>
          <w:rFonts w:hint="eastAsia" w:ascii="宋体" w:hAnsi="宋体" w:eastAsia="宋体" w:cs="宋体"/>
          <w:color w:val="auto"/>
          <w:spacing w:val="-2"/>
          <w:sz w:val="24"/>
          <w:szCs w:val="24"/>
          <w:highlight w:val="none"/>
          <w:lang w:eastAsia="zh-CN"/>
        </w:rPr>
        <w:t>无</w:t>
      </w:r>
      <w:r>
        <w:rPr>
          <w:rFonts w:ascii="宋体" w:hAnsi="宋体" w:eastAsia="宋体" w:cs="宋体"/>
          <w:color w:val="auto"/>
          <w:spacing w:val="-2"/>
          <w:sz w:val="24"/>
          <w:szCs w:val="24"/>
          <w:highlight w:val="none"/>
        </w:rPr>
        <w:t>饮用水水源保护区、饮用水取水口，涉水的自然保护区、风景名胜区，重要湿地、重点保护与珍稀水生生物的栖息地、重要水生生物的自然产卵场及索饵场、越冬场和洄游通道，天然渔场等渔业水体，以及水产种质资源保护区等。</w:t>
      </w:r>
      <w:r>
        <w:rPr>
          <w:rFonts w:hint="eastAsia" w:ascii="宋体" w:hAnsi="宋体" w:eastAsia="宋体" w:cs="宋体"/>
          <w:color w:val="auto"/>
          <w:spacing w:val="-2"/>
          <w:sz w:val="24"/>
          <w:szCs w:val="24"/>
          <w:highlight w:val="none"/>
          <w:lang w:eastAsia="zh-CN"/>
        </w:rPr>
        <w:t>本项目</w:t>
      </w:r>
      <w:r>
        <w:rPr>
          <w:rFonts w:hint="eastAsia" w:ascii="宋体" w:hAnsi="宋体" w:eastAsia="宋体" w:cs="宋体"/>
          <w:color w:val="auto"/>
          <w:spacing w:val="-2"/>
          <w:sz w:val="24"/>
          <w:szCs w:val="24"/>
          <w:highlight w:val="none"/>
          <w:lang w:val="en-US" w:eastAsia="zh-CN"/>
        </w:rPr>
        <w:t>入穆棱河排污口处</w:t>
      </w:r>
      <w:r>
        <w:rPr>
          <w:rFonts w:hint="eastAsia" w:ascii="宋体" w:hAnsi="宋体" w:eastAsia="宋体" w:cs="宋体"/>
          <w:color w:val="auto"/>
          <w:spacing w:val="-2"/>
          <w:sz w:val="24"/>
          <w:szCs w:val="24"/>
          <w:highlight w:val="none"/>
          <w:lang w:eastAsia="zh-CN"/>
        </w:rPr>
        <w:t>、评价范围与国控断面位置关系图见附图</w:t>
      </w:r>
      <w:r>
        <w:rPr>
          <w:rFonts w:hint="eastAsia" w:ascii="宋体" w:hAnsi="宋体" w:eastAsia="宋体" w:cs="宋体"/>
          <w:color w:val="auto"/>
          <w:spacing w:val="-2"/>
          <w:sz w:val="24"/>
          <w:szCs w:val="24"/>
          <w:highlight w:val="none"/>
          <w:lang w:val="en-US" w:eastAsia="zh-CN"/>
        </w:rPr>
        <w:t>1。</w:t>
      </w:r>
    </w:p>
    <w:p w14:paraId="4FB4962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1"/>
        <w:rPr>
          <w:rFonts w:ascii="宋体" w:hAnsi="宋体" w:eastAsia="宋体" w:cs="宋体"/>
          <w:b/>
          <w:bCs/>
          <w:color w:val="auto"/>
          <w:spacing w:val="-3"/>
          <w:sz w:val="30"/>
          <w:szCs w:val="30"/>
          <w:highlight w:val="none"/>
        </w:rPr>
      </w:pPr>
      <w:r>
        <w:rPr>
          <w:rFonts w:ascii="Times New Roman" w:hAnsi="Times New Roman" w:eastAsia="Times New Roman" w:cs="Times New Roman"/>
          <w:b/>
          <w:bCs/>
          <w:color w:val="auto"/>
          <w:spacing w:val="-3"/>
          <w:sz w:val="30"/>
          <w:szCs w:val="30"/>
          <w:highlight w:val="none"/>
        </w:rPr>
        <w:t>1.</w:t>
      </w:r>
      <w:r>
        <w:rPr>
          <w:rFonts w:hint="eastAsia" w:ascii="Times New Roman" w:hAnsi="Times New Roman" w:eastAsia="宋体" w:cs="Times New Roman"/>
          <w:b/>
          <w:bCs/>
          <w:color w:val="auto"/>
          <w:spacing w:val="-3"/>
          <w:sz w:val="30"/>
          <w:szCs w:val="30"/>
          <w:highlight w:val="none"/>
          <w:lang w:val="en-US" w:eastAsia="zh-CN"/>
        </w:rPr>
        <w:t>4</w:t>
      </w:r>
      <w:r>
        <w:rPr>
          <w:rFonts w:ascii="Times New Roman" w:hAnsi="Times New Roman" w:eastAsia="Times New Roman" w:cs="Times New Roman"/>
          <w:b/>
          <w:bCs/>
          <w:color w:val="auto"/>
          <w:spacing w:val="-3"/>
          <w:sz w:val="30"/>
          <w:szCs w:val="30"/>
          <w:highlight w:val="none"/>
        </w:rPr>
        <w:t xml:space="preserve">  </w:t>
      </w:r>
      <w:r>
        <w:rPr>
          <w:rFonts w:ascii="宋体" w:hAnsi="宋体" w:eastAsia="宋体" w:cs="宋体"/>
          <w:b/>
          <w:bCs/>
          <w:color w:val="auto"/>
          <w:spacing w:val="-3"/>
          <w:sz w:val="30"/>
          <w:szCs w:val="30"/>
          <w:highlight w:val="none"/>
        </w:rPr>
        <w:t>地表水功能区划</w:t>
      </w:r>
    </w:p>
    <w:p w14:paraId="2C560C9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rPr>
        <w:t>评价区范围地表水体为</w:t>
      </w:r>
      <w:r>
        <w:rPr>
          <w:rFonts w:hint="default" w:ascii="Times New Roman" w:hAnsi="Times New Roman" w:eastAsia="宋体" w:cs="Times New Roman"/>
          <w:color w:val="auto"/>
          <w:sz w:val="24"/>
          <w:szCs w:val="24"/>
          <w:lang w:val="en-US" w:eastAsia="zh-CN"/>
        </w:rPr>
        <w:t>穆棱河</w:t>
      </w:r>
      <w:r>
        <w:rPr>
          <w:rFonts w:hint="default" w:ascii="Times New Roman" w:hAnsi="Times New Roman" w:eastAsia="宋体" w:cs="Times New Roman"/>
          <w:color w:val="auto"/>
          <w:sz w:val="24"/>
          <w:szCs w:val="24"/>
        </w:rPr>
        <w:t>，</w:t>
      </w:r>
      <w:r>
        <w:rPr>
          <w:rFonts w:hint="eastAsia" w:ascii="宋体" w:hAnsi="宋体" w:eastAsia="宋体" w:cs="宋体"/>
          <w:color w:val="auto"/>
          <w:sz w:val="24"/>
          <w:szCs w:val="24"/>
          <w:highlight w:val="none"/>
          <w:u w:val="none"/>
          <w:lang w:val="en-US" w:eastAsia="zh-CN"/>
        </w:rPr>
        <w:t>鸡西市</w:t>
      </w:r>
      <w:r>
        <w:rPr>
          <w:rFonts w:hint="eastAsia" w:ascii="宋体" w:hAnsi="宋体" w:cs="宋体"/>
          <w:color w:val="auto"/>
          <w:sz w:val="24"/>
          <w:szCs w:val="24"/>
          <w:highlight w:val="none"/>
          <w:u w:val="none"/>
          <w:lang w:val="en-US" w:eastAsia="zh-CN"/>
        </w:rPr>
        <w:t>供水有限公司朝阳净水厂</w:t>
      </w:r>
      <w:r>
        <w:rPr>
          <w:rFonts w:hint="default" w:ascii="Times New Roman" w:hAnsi="Times New Roman" w:eastAsia="宋体" w:cs="Times New Roman"/>
          <w:color w:val="auto"/>
          <w:spacing w:val="0"/>
          <w:sz w:val="24"/>
          <w:szCs w:val="24"/>
        </w:rPr>
        <w:t>沉淀池排泥水</w:t>
      </w:r>
      <w:r>
        <w:rPr>
          <w:rFonts w:hint="default" w:ascii="Times New Roman" w:hAnsi="Times New Roman" w:eastAsia="宋体" w:cs="Times New Roman"/>
          <w:color w:val="auto"/>
          <w:spacing w:val="0"/>
          <w:kern w:val="21"/>
          <w:sz w:val="24"/>
          <w:szCs w:val="24"/>
          <w:highlight w:val="none"/>
          <w:lang w:val="en-US" w:eastAsia="zh-CN"/>
        </w:rPr>
        <w:t>经絮凝、沉淀处理后</w:t>
      </w:r>
      <w:r>
        <w:rPr>
          <w:rFonts w:hint="default" w:ascii="Times New Roman" w:hAnsi="Times New Roman" w:eastAsia="宋体" w:cs="Times New Roman"/>
          <w:color w:val="auto"/>
          <w:spacing w:val="0"/>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排入</w:t>
      </w:r>
      <w:r>
        <w:rPr>
          <w:rFonts w:hint="eastAsia" w:ascii="Times New Roman" w:hAnsi="Times New Roman" w:eastAsia="宋体" w:cs="Times New Roman"/>
          <w:color w:val="auto"/>
          <w:sz w:val="24"/>
          <w:szCs w:val="24"/>
          <w:highlight w:val="none"/>
          <w:lang w:val="en-US" w:eastAsia="zh-CN"/>
        </w:rPr>
        <w:t>红光沟流入</w:t>
      </w:r>
      <w:r>
        <w:rPr>
          <w:rFonts w:hint="default" w:ascii="Times New Roman" w:hAnsi="Times New Roman" w:eastAsia="宋体" w:cs="Times New Roman"/>
          <w:color w:val="auto"/>
          <w:sz w:val="24"/>
          <w:szCs w:val="24"/>
          <w:highlight w:val="none"/>
          <w:lang w:val="en-US" w:eastAsia="zh-CN"/>
        </w:rPr>
        <w:t>穆棱河</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bCs/>
          <w:color w:val="auto"/>
          <w:spacing w:val="0"/>
          <w:kern w:val="0"/>
          <w:sz w:val="24"/>
          <w:szCs w:val="24"/>
          <w:highlight w:val="none"/>
          <w:lang w:val="en-US" w:eastAsia="zh-CN"/>
        </w:rPr>
        <w:t>依托原有入河排污口及排水管线</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受纳水体为穆棱河，</w:t>
      </w:r>
      <w:r>
        <w:rPr>
          <w:rFonts w:hint="eastAsia"/>
          <w:color w:val="auto"/>
          <w:sz w:val="24"/>
          <w:szCs w:val="24"/>
          <w:highlight w:val="none"/>
        </w:rPr>
        <w:t>根据</w:t>
      </w:r>
      <w:r>
        <w:rPr>
          <w:rFonts w:hint="default" w:ascii="Times New Roman" w:hAnsi="Times New Roman" w:cs="Times New Roman" w:eastAsiaTheme="minorEastAsia"/>
          <w:color w:val="auto"/>
          <w:sz w:val="24"/>
          <w:szCs w:val="24"/>
          <w:highlight w:val="none"/>
        </w:rPr>
        <w:t>《黑龙江省生态环境厅 黑龙江省财政厅关于 印发《黑龙江省水环境生态补偿办法》的通知》（黑环发〔2024〕22 号）</w:t>
      </w:r>
      <w:r>
        <w:rPr>
          <w:rFonts w:hint="eastAsia"/>
          <w:bCs/>
          <w:color w:val="auto"/>
          <w:sz w:val="24"/>
          <w:szCs w:val="24"/>
          <w:highlight w:val="none"/>
        </w:rPr>
        <w:t>，穆棱河</w:t>
      </w:r>
      <w:r>
        <w:rPr>
          <w:rFonts w:hint="eastAsia"/>
          <w:bCs/>
          <w:color w:val="auto"/>
          <w:sz w:val="24"/>
          <w:szCs w:val="24"/>
          <w:highlight w:val="none"/>
          <w:lang w:val="en-US" w:eastAsia="zh-CN"/>
        </w:rPr>
        <w:t>碱场桥、</w:t>
      </w:r>
      <w:r>
        <w:rPr>
          <w:rFonts w:hint="eastAsia"/>
          <w:bCs/>
          <w:color w:val="auto"/>
          <w:sz w:val="24"/>
          <w:szCs w:val="24"/>
          <w:highlight w:val="none"/>
        </w:rPr>
        <w:t>知一桥、穆棱河河口内断面</w:t>
      </w:r>
      <w:r>
        <w:rPr>
          <w:rFonts w:hint="eastAsia"/>
          <w:bCs/>
          <w:color w:val="auto"/>
          <w:sz w:val="24"/>
          <w:szCs w:val="24"/>
          <w:highlight w:val="none"/>
          <w:lang w:val="en-US" w:eastAsia="zh-CN"/>
        </w:rPr>
        <w:t>均</w:t>
      </w:r>
      <w:r>
        <w:rPr>
          <w:rFonts w:hint="eastAsia"/>
          <w:bCs/>
          <w:color w:val="auto"/>
          <w:sz w:val="24"/>
          <w:szCs w:val="24"/>
          <w:highlight w:val="none"/>
        </w:rPr>
        <w:t>达到</w:t>
      </w:r>
      <w:r>
        <w:rPr>
          <w:rFonts w:hint="eastAsia" w:ascii="宋体" w:hAnsi="宋体" w:cs="宋体"/>
          <w:bCs/>
          <w:color w:val="auto"/>
          <w:sz w:val="24"/>
          <w:szCs w:val="24"/>
          <w:highlight w:val="none"/>
        </w:rPr>
        <w:t>Ⅲ</w:t>
      </w:r>
      <w:r>
        <w:rPr>
          <w:rFonts w:hint="eastAsia"/>
          <w:bCs/>
          <w:color w:val="auto"/>
          <w:sz w:val="24"/>
          <w:szCs w:val="24"/>
          <w:highlight w:val="none"/>
        </w:rPr>
        <w:t>类水质类别标准</w:t>
      </w:r>
      <w:r>
        <w:rPr>
          <w:rFonts w:hint="default" w:ascii="Times New Roman" w:hAnsi="Times New Roman" w:eastAsia="宋体" w:cs="Times New Roman"/>
          <w:color w:val="auto"/>
          <w:sz w:val="24"/>
          <w:szCs w:val="24"/>
          <w:highlight w:val="none"/>
          <w:lang w:val="en-US" w:eastAsia="zh-CN"/>
        </w:rPr>
        <w:t>。鸡西市</w:t>
      </w:r>
      <w:r>
        <w:rPr>
          <w:rFonts w:hint="eastAsia" w:ascii="宋体" w:hAnsi="宋体" w:cs="宋体"/>
          <w:color w:val="auto"/>
          <w:sz w:val="24"/>
          <w:szCs w:val="24"/>
          <w:highlight w:val="none"/>
          <w:u w:val="none"/>
          <w:lang w:val="en-US" w:eastAsia="zh-CN"/>
        </w:rPr>
        <w:t>朝阳净水厂改建</w:t>
      </w:r>
      <w:r>
        <w:rPr>
          <w:rFonts w:hint="default" w:ascii="Times New Roman" w:hAnsi="Times New Roman" w:eastAsia="宋体" w:cs="Times New Roman"/>
          <w:color w:val="auto"/>
          <w:sz w:val="24"/>
          <w:szCs w:val="24"/>
          <w:highlight w:val="none"/>
          <w:lang w:val="en-US" w:eastAsia="zh-CN"/>
        </w:rPr>
        <w:t>工程排泥水上清液排入</w:t>
      </w:r>
      <w:r>
        <w:rPr>
          <w:rFonts w:hint="eastAsia" w:ascii="Times New Roman" w:hAnsi="Times New Roman" w:eastAsia="宋体" w:cs="Times New Roman"/>
          <w:color w:val="auto"/>
          <w:sz w:val="24"/>
          <w:szCs w:val="24"/>
          <w:highlight w:val="none"/>
          <w:lang w:val="en-US" w:eastAsia="zh-CN"/>
        </w:rPr>
        <w:t>红光沟流入</w:t>
      </w:r>
      <w:r>
        <w:rPr>
          <w:rFonts w:hint="default" w:ascii="Times New Roman" w:hAnsi="Times New Roman" w:eastAsia="宋体" w:cs="Times New Roman"/>
          <w:color w:val="auto"/>
          <w:sz w:val="24"/>
          <w:szCs w:val="24"/>
          <w:highlight w:val="none"/>
          <w:lang w:val="en-US" w:eastAsia="zh-CN"/>
        </w:rPr>
        <w:t>穆棱河，执行</w:t>
      </w:r>
      <w:r>
        <w:rPr>
          <w:rFonts w:hint="default" w:ascii="Times New Roman" w:hAnsi="Times New Roman" w:cs="Times New Roman"/>
          <w:color w:val="auto"/>
          <w:spacing w:val="0"/>
          <w:sz w:val="24"/>
          <w:szCs w:val="24"/>
          <w:highlight w:val="none"/>
          <w:lang w:val="en-US" w:eastAsia="zh-CN"/>
        </w:rPr>
        <w:t>《地表水环境质量标准》（GB3838-2002）表1中三类标准、悬浮物执行</w:t>
      </w:r>
      <w:r>
        <w:rPr>
          <w:rFonts w:hint="default" w:ascii="Times New Roman" w:hAnsi="Times New Roman" w:eastAsia="宋体" w:cs="Times New Roman"/>
          <w:color w:val="auto"/>
          <w:sz w:val="24"/>
          <w:szCs w:val="24"/>
          <w:highlight w:val="none"/>
          <w:lang w:val="en-US" w:eastAsia="zh-CN"/>
        </w:rPr>
        <w:t>《污水综合排放标准》</w:t>
      </w:r>
      <w:r>
        <w:rPr>
          <w:rFonts w:hint="default" w:ascii="Times New Roman" w:hAnsi="Times New Roman" w:cs="Times New Roman"/>
          <w:color w:val="auto"/>
          <w:sz w:val="24"/>
          <w:szCs w:val="24"/>
          <w:highlight w:val="none"/>
          <w:lang w:val="en-US" w:eastAsia="zh-CN"/>
        </w:rPr>
        <w:t>（GB8978-1996）一级标准</w:t>
      </w:r>
      <w:r>
        <w:rPr>
          <w:rFonts w:hint="eastAsia" w:ascii="Times New Roman" w:hAnsi="Times New Roman" w:cs="Times New Roman"/>
          <w:color w:val="auto"/>
          <w:sz w:val="24"/>
          <w:szCs w:val="24"/>
          <w:highlight w:val="none"/>
          <w:lang w:val="en-US" w:eastAsia="zh-CN"/>
        </w:rPr>
        <w:t>。</w:t>
      </w:r>
    </w:p>
    <w:p w14:paraId="261807F1">
      <w:pPr>
        <w:spacing w:before="3" w:line="218" w:lineRule="auto"/>
        <w:ind w:left="11"/>
        <w:outlineLvl w:val="1"/>
        <w:rPr>
          <w:rFonts w:ascii="宋体" w:hAnsi="宋体" w:eastAsia="宋体" w:cs="宋体"/>
          <w:color w:val="auto"/>
          <w:sz w:val="30"/>
          <w:szCs w:val="30"/>
          <w:highlight w:val="none"/>
        </w:rPr>
      </w:pPr>
      <w:bookmarkStart w:id="39" w:name="bookmark10"/>
      <w:bookmarkEnd w:id="39"/>
      <w:r>
        <w:rPr>
          <w:rFonts w:ascii="Times New Roman" w:hAnsi="Times New Roman" w:eastAsia="Times New Roman" w:cs="Times New Roman"/>
          <w:b/>
          <w:bCs/>
          <w:color w:val="auto"/>
          <w:spacing w:val="-3"/>
          <w:sz w:val="30"/>
          <w:szCs w:val="30"/>
          <w:highlight w:val="none"/>
        </w:rPr>
        <w:t>1.</w:t>
      </w:r>
      <w:r>
        <w:rPr>
          <w:rFonts w:hint="eastAsia" w:ascii="Times New Roman" w:hAnsi="Times New Roman" w:eastAsia="宋体" w:cs="Times New Roman"/>
          <w:b/>
          <w:bCs/>
          <w:color w:val="auto"/>
          <w:spacing w:val="-3"/>
          <w:sz w:val="30"/>
          <w:szCs w:val="30"/>
          <w:highlight w:val="none"/>
          <w:lang w:val="en-US" w:eastAsia="zh-CN"/>
        </w:rPr>
        <w:t>5</w:t>
      </w:r>
      <w:r>
        <w:rPr>
          <w:rFonts w:ascii="Times New Roman" w:hAnsi="Times New Roman" w:eastAsia="Times New Roman" w:cs="Times New Roman"/>
          <w:b/>
          <w:bCs/>
          <w:color w:val="auto"/>
          <w:spacing w:val="-3"/>
          <w:sz w:val="30"/>
          <w:szCs w:val="30"/>
          <w:highlight w:val="none"/>
        </w:rPr>
        <w:t xml:space="preserve">  </w:t>
      </w:r>
      <w:r>
        <w:rPr>
          <w:rFonts w:ascii="宋体" w:hAnsi="宋体" w:eastAsia="宋体" w:cs="宋体"/>
          <w:b/>
          <w:bCs/>
          <w:color w:val="auto"/>
          <w:spacing w:val="-3"/>
          <w:sz w:val="30"/>
          <w:szCs w:val="30"/>
          <w:highlight w:val="none"/>
        </w:rPr>
        <w:t>评价因子及标准</w:t>
      </w:r>
    </w:p>
    <w:p w14:paraId="6EC57A97">
      <w:pPr>
        <w:spacing w:before="225" w:line="219" w:lineRule="auto"/>
        <w:outlineLvl w:val="2"/>
        <w:rPr>
          <w:rFonts w:ascii="宋体" w:hAnsi="宋体" w:eastAsia="宋体" w:cs="宋体"/>
          <w:b/>
          <w:bCs/>
          <w:color w:val="auto"/>
          <w:spacing w:val="-3"/>
          <w:sz w:val="28"/>
          <w:szCs w:val="28"/>
          <w:highlight w:val="none"/>
        </w:rPr>
      </w:pPr>
      <w:bookmarkStart w:id="40" w:name="bookmark11"/>
      <w:bookmarkEnd w:id="40"/>
      <w:r>
        <w:rPr>
          <w:rFonts w:ascii="Times New Roman" w:hAnsi="Times New Roman" w:eastAsia="Times New Roman" w:cs="Times New Roman"/>
          <w:b/>
          <w:bCs/>
          <w:color w:val="auto"/>
          <w:spacing w:val="-3"/>
          <w:sz w:val="28"/>
          <w:szCs w:val="28"/>
          <w:highlight w:val="none"/>
        </w:rPr>
        <w:t>1.</w:t>
      </w:r>
      <w:r>
        <w:rPr>
          <w:rFonts w:hint="eastAsia" w:ascii="Times New Roman" w:hAnsi="Times New Roman" w:eastAsia="宋体" w:cs="Times New Roman"/>
          <w:b/>
          <w:bCs/>
          <w:color w:val="auto"/>
          <w:spacing w:val="-3"/>
          <w:sz w:val="28"/>
          <w:szCs w:val="28"/>
          <w:highlight w:val="none"/>
          <w:lang w:val="en-US" w:eastAsia="zh-CN"/>
        </w:rPr>
        <w:t>5</w:t>
      </w:r>
      <w:r>
        <w:rPr>
          <w:rFonts w:ascii="Times New Roman" w:hAnsi="Times New Roman" w:eastAsia="Times New Roman" w:cs="Times New Roman"/>
          <w:b/>
          <w:bCs/>
          <w:color w:val="auto"/>
          <w:spacing w:val="-3"/>
          <w:sz w:val="28"/>
          <w:szCs w:val="28"/>
          <w:highlight w:val="none"/>
        </w:rPr>
        <w:t xml:space="preserve">.1  </w:t>
      </w:r>
      <w:r>
        <w:rPr>
          <w:rFonts w:ascii="宋体" w:hAnsi="宋体" w:eastAsia="宋体" w:cs="宋体"/>
          <w:b/>
          <w:bCs/>
          <w:color w:val="auto"/>
          <w:spacing w:val="-3"/>
          <w:sz w:val="28"/>
          <w:szCs w:val="28"/>
          <w:highlight w:val="none"/>
        </w:rPr>
        <w:t>评价因子</w:t>
      </w:r>
    </w:p>
    <w:p w14:paraId="6CA09B8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根据《环境影响评价技术导则 地表水环境》（HJ2.3-2018）关于水环境现状调查评价与影响预测评价的因子的筛选原则：</w:t>
      </w:r>
    </w:p>
    <w:p w14:paraId="4B735D4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a)按照污染源源强核算技术指南，开展建设项目污染源与水污染因子识别，结合建设项目所在水环境控制单元或区域水环境质量现状，筛选出水环境现状调查评价与影响预测评价的因子；</w:t>
      </w:r>
    </w:p>
    <w:p w14:paraId="2290062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b)行业污染物排放标准中涉及的水污染物应作为评价因子；</w:t>
      </w:r>
    </w:p>
    <w:p w14:paraId="24D1E3C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c)在车间或车间处理设施排放口排放的第一类污染物应作为评价因子；</w:t>
      </w:r>
    </w:p>
    <w:p w14:paraId="41B72E7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d)水温应作为评价因子；</w:t>
      </w:r>
    </w:p>
    <w:p w14:paraId="34FA790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e)面源污染所含的主要污染物应作为评价因子；</w:t>
      </w:r>
    </w:p>
    <w:p w14:paraId="60FF277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本项目水环境现状调查评价因子与预测因子见表1.5-1。</w:t>
      </w:r>
    </w:p>
    <w:p w14:paraId="5BE08FF5">
      <w:pPr>
        <w:pStyle w:val="33"/>
        <w:ind w:left="0" w:leftChars="0" w:firstLine="0" w:firstLineChars="0"/>
        <w:jc w:val="center"/>
        <w:rPr>
          <w:rFonts w:hint="default" w:ascii="Times New Roman" w:hAnsi="Times New Roman" w:eastAsia="宋体" w:cs="Times New Roman"/>
          <w:b/>
          <w:bCs/>
          <w:snapToGrid w:val="0"/>
          <w:color w:val="auto"/>
          <w:spacing w:val="0"/>
          <w:kern w:val="0"/>
          <w:sz w:val="24"/>
          <w:szCs w:val="24"/>
          <w:highlight w:val="none"/>
          <w:lang w:val="en-US" w:eastAsia="zh-CN" w:bidi="ar-SA"/>
        </w:rPr>
      </w:pPr>
      <w:r>
        <w:rPr>
          <w:rFonts w:hint="eastAsia" w:ascii="Times New Roman" w:hAnsi="Times New Roman" w:eastAsia="宋体" w:cs="Times New Roman"/>
          <w:b/>
          <w:bCs/>
          <w:snapToGrid w:val="0"/>
          <w:color w:val="auto"/>
          <w:spacing w:val="0"/>
          <w:kern w:val="0"/>
          <w:sz w:val="24"/>
          <w:szCs w:val="24"/>
          <w:highlight w:val="none"/>
          <w:lang w:val="en-US" w:eastAsia="zh-CN" w:bidi="ar-SA"/>
        </w:rPr>
        <w:t>表1.5-1    本项目评价因子一览表</w:t>
      </w:r>
    </w:p>
    <w:tbl>
      <w:tblPr>
        <w:tblStyle w:val="3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6078"/>
        <w:gridCol w:w="2266"/>
      </w:tblGrid>
      <w:tr w14:paraId="7991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tcBorders>
              <w:top w:val="single" w:color="auto" w:sz="12" w:space="0"/>
              <w:left w:val="nil"/>
            </w:tcBorders>
            <w:vAlign w:val="center"/>
          </w:tcPr>
          <w:p w14:paraId="69DCBA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rPr>
            </w:pPr>
            <w:r>
              <w:rPr>
                <w:rFonts w:hint="eastAsia" w:ascii="Times New Roman" w:hAnsi="Times New Roman" w:eastAsia="宋体" w:cs="Times New Roman"/>
                <w:b/>
                <w:bCs/>
                <w:color w:val="auto"/>
                <w:kern w:val="0"/>
                <w:sz w:val="21"/>
                <w:szCs w:val="21"/>
                <w:highlight w:val="none"/>
                <w:lang w:val="en-US" w:eastAsia="zh-CN"/>
              </w:rPr>
              <w:t>序号</w:t>
            </w:r>
          </w:p>
        </w:tc>
        <w:tc>
          <w:tcPr>
            <w:tcW w:w="6078" w:type="dxa"/>
            <w:tcBorders>
              <w:top w:val="single" w:color="auto" w:sz="12" w:space="0"/>
            </w:tcBorders>
            <w:vAlign w:val="center"/>
          </w:tcPr>
          <w:p w14:paraId="457BF9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rPr>
            </w:pPr>
            <w:r>
              <w:rPr>
                <w:rFonts w:hint="eastAsia" w:ascii="Times New Roman" w:hAnsi="Times New Roman" w:eastAsia="宋体" w:cs="Times New Roman"/>
                <w:b/>
                <w:bCs/>
                <w:color w:val="auto"/>
                <w:kern w:val="0"/>
                <w:sz w:val="21"/>
                <w:szCs w:val="21"/>
                <w:highlight w:val="none"/>
                <w:lang w:val="en-US" w:eastAsia="zh-CN"/>
              </w:rPr>
              <w:t>水环境现状调查评价因子</w:t>
            </w:r>
          </w:p>
        </w:tc>
        <w:tc>
          <w:tcPr>
            <w:tcW w:w="2266" w:type="dxa"/>
            <w:tcBorders>
              <w:top w:val="single" w:color="auto" w:sz="12" w:space="0"/>
              <w:right w:val="nil"/>
            </w:tcBorders>
            <w:vAlign w:val="center"/>
          </w:tcPr>
          <w:p w14:paraId="291CE4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rPr>
            </w:pPr>
            <w:r>
              <w:rPr>
                <w:rFonts w:hint="eastAsia" w:ascii="Times New Roman" w:hAnsi="Times New Roman" w:eastAsia="宋体" w:cs="Times New Roman"/>
                <w:b/>
                <w:bCs/>
                <w:color w:val="auto"/>
                <w:kern w:val="0"/>
                <w:sz w:val="21"/>
                <w:szCs w:val="21"/>
                <w:highlight w:val="none"/>
                <w:lang w:val="en-US" w:eastAsia="zh-CN"/>
              </w:rPr>
              <w:t>水环境影响预测因子</w:t>
            </w:r>
          </w:p>
        </w:tc>
      </w:tr>
      <w:tr w14:paraId="3561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tcBorders>
              <w:left w:val="nil"/>
              <w:bottom w:val="single" w:color="auto" w:sz="12" w:space="0"/>
            </w:tcBorders>
            <w:vAlign w:val="center"/>
          </w:tcPr>
          <w:p w14:paraId="4DF78E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1</w:t>
            </w:r>
          </w:p>
        </w:tc>
        <w:tc>
          <w:tcPr>
            <w:tcW w:w="6078" w:type="dxa"/>
            <w:tcBorders>
              <w:bottom w:val="single" w:color="auto" w:sz="12" w:space="0"/>
            </w:tcBorders>
            <w:vAlign w:val="center"/>
          </w:tcPr>
          <w:p w14:paraId="1FE5B1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cs="Times New Roman"/>
                <w:color w:val="auto"/>
                <w:spacing w:val="0"/>
                <w:sz w:val="21"/>
                <w:szCs w:val="21"/>
                <w:lang w:val="en-US" w:eastAsia="zh-CN"/>
              </w:rPr>
              <w:t>水温、pH、溶解氧、高锰酸盐指数、化学需氧量、五日生化需氧量、氨氮、总磷、总氮、铜、锌、氟化物、硒、砷、汞、镉、六价铬、铅、氰化物、挥发酚、石油类、阴离子表面活性剂、硫化物、粪大肠菌群、悬浮物</w:t>
            </w:r>
          </w:p>
        </w:tc>
        <w:tc>
          <w:tcPr>
            <w:tcW w:w="2266" w:type="dxa"/>
            <w:tcBorders>
              <w:bottom w:val="single" w:color="auto" w:sz="12" w:space="0"/>
              <w:right w:val="nil"/>
            </w:tcBorders>
            <w:vAlign w:val="center"/>
          </w:tcPr>
          <w:p w14:paraId="2E4D1B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COD、NH</w:t>
            </w:r>
            <w:r>
              <w:rPr>
                <w:rFonts w:hint="eastAsia" w:ascii="Times New Roman" w:hAnsi="Times New Roman" w:eastAsia="宋体" w:cs="Times New Roman"/>
                <w:color w:val="auto"/>
                <w:kern w:val="0"/>
                <w:sz w:val="21"/>
                <w:szCs w:val="21"/>
                <w:highlight w:val="none"/>
                <w:vertAlign w:val="subscript"/>
                <w:lang w:val="en-US" w:eastAsia="zh-CN"/>
              </w:rPr>
              <w:t>3</w:t>
            </w:r>
            <w:r>
              <w:rPr>
                <w:rFonts w:hint="eastAsia" w:ascii="Times New Roman" w:hAnsi="Times New Roman" w:eastAsia="宋体" w:cs="Times New Roman"/>
                <w:color w:val="auto"/>
                <w:kern w:val="0"/>
                <w:sz w:val="21"/>
                <w:szCs w:val="21"/>
                <w:highlight w:val="none"/>
                <w:lang w:val="en-US" w:eastAsia="zh-CN"/>
              </w:rPr>
              <w:t>-N</w:t>
            </w:r>
          </w:p>
        </w:tc>
      </w:tr>
    </w:tbl>
    <w:p w14:paraId="7A7AE6AA">
      <w:pPr>
        <w:spacing w:before="161" w:line="220" w:lineRule="auto"/>
        <w:outlineLvl w:val="2"/>
        <w:rPr>
          <w:rFonts w:ascii="宋体" w:hAnsi="宋体" w:eastAsia="宋体" w:cs="宋体"/>
          <w:color w:val="auto"/>
          <w:sz w:val="28"/>
          <w:szCs w:val="28"/>
          <w:highlight w:val="none"/>
        </w:rPr>
      </w:pPr>
      <w:r>
        <w:rPr>
          <w:rFonts w:ascii="Times New Roman" w:hAnsi="Times New Roman" w:eastAsia="Times New Roman" w:cs="Times New Roman"/>
          <w:b/>
          <w:bCs/>
          <w:color w:val="auto"/>
          <w:spacing w:val="-3"/>
          <w:sz w:val="28"/>
          <w:szCs w:val="28"/>
          <w:highlight w:val="none"/>
        </w:rPr>
        <w:t>1.</w:t>
      </w:r>
      <w:r>
        <w:rPr>
          <w:rFonts w:hint="eastAsia" w:ascii="Times New Roman" w:hAnsi="Times New Roman" w:eastAsia="宋体" w:cs="Times New Roman"/>
          <w:b/>
          <w:bCs/>
          <w:color w:val="auto"/>
          <w:spacing w:val="-3"/>
          <w:sz w:val="28"/>
          <w:szCs w:val="28"/>
          <w:highlight w:val="none"/>
          <w:lang w:val="en-US" w:eastAsia="zh-CN"/>
        </w:rPr>
        <w:t>5</w:t>
      </w:r>
      <w:r>
        <w:rPr>
          <w:rFonts w:ascii="Times New Roman" w:hAnsi="Times New Roman" w:eastAsia="Times New Roman" w:cs="Times New Roman"/>
          <w:b/>
          <w:bCs/>
          <w:color w:val="auto"/>
          <w:spacing w:val="-3"/>
          <w:sz w:val="28"/>
          <w:szCs w:val="28"/>
          <w:highlight w:val="none"/>
        </w:rPr>
        <w:t>.</w:t>
      </w:r>
      <w:r>
        <w:rPr>
          <w:rFonts w:hint="eastAsia" w:ascii="Times New Roman" w:hAnsi="Times New Roman" w:eastAsia="宋体" w:cs="Times New Roman"/>
          <w:b/>
          <w:bCs/>
          <w:color w:val="auto"/>
          <w:spacing w:val="-3"/>
          <w:sz w:val="28"/>
          <w:szCs w:val="28"/>
          <w:highlight w:val="none"/>
          <w:lang w:val="en-US" w:eastAsia="zh-CN"/>
        </w:rPr>
        <w:t>2</w:t>
      </w:r>
      <w:r>
        <w:rPr>
          <w:rFonts w:ascii="Times New Roman" w:hAnsi="Times New Roman" w:eastAsia="Times New Roman" w:cs="Times New Roman"/>
          <w:b/>
          <w:bCs/>
          <w:color w:val="auto"/>
          <w:spacing w:val="-3"/>
          <w:sz w:val="28"/>
          <w:szCs w:val="28"/>
          <w:highlight w:val="none"/>
        </w:rPr>
        <w:t xml:space="preserve"> </w:t>
      </w:r>
      <w:r>
        <w:rPr>
          <w:rFonts w:ascii="宋体" w:hAnsi="宋体" w:eastAsia="宋体" w:cs="宋体"/>
          <w:b/>
          <w:bCs/>
          <w:color w:val="auto"/>
          <w:spacing w:val="-3"/>
          <w:sz w:val="28"/>
          <w:szCs w:val="28"/>
          <w:highlight w:val="none"/>
        </w:rPr>
        <w:t>废水污染物排放标准</w:t>
      </w:r>
    </w:p>
    <w:p w14:paraId="2E62A467">
      <w:pPr>
        <w:spacing w:before="206" w:line="362" w:lineRule="auto"/>
        <w:ind w:left="1" w:firstLine="478"/>
        <w:rPr>
          <w:rFonts w:hint="eastAsia" w:ascii="Times New Roman" w:hAnsi="Times New Roman" w:eastAsia="宋体" w:cs="Times New Roman"/>
          <w:color w:val="auto"/>
          <w:spacing w:val="0"/>
          <w:sz w:val="24"/>
          <w:szCs w:val="24"/>
          <w:highlight w:val="none"/>
          <w:lang w:val="en-US" w:eastAsia="zh-CN"/>
        </w:rPr>
      </w:pPr>
      <w:r>
        <w:rPr>
          <w:rFonts w:hint="eastAsia" w:ascii="宋体" w:hAnsi="宋体" w:eastAsia="宋体" w:cs="宋体"/>
          <w:color w:val="auto"/>
          <w:spacing w:val="-2"/>
          <w:sz w:val="24"/>
          <w:szCs w:val="24"/>
          <w:highlight w:val="none"/>
          <w:lang w:val="en-US" w:eastAsia="zh-CN"/>
        </w:rPr>
        <w:t>鸡西市</w:t>
      </w:r>
      <w:r>
        <w:rPr>
          <w:rFonts w:hint="eastAsia" w:ascii="宋体" w:hAnsi="宋体" w:cs="宋体"/>
          <w:color w:val="auto"/>
          <w:sz w:val="24"/>
          <w:szCs w:val="24"/>
          <w:highlight w:val="none"/>
          <w:u w:val="none"/>
          <w:lang w:val="en-US" w:eastAsia="zh-CN"/>
        </w:rPr>
        <w:t>朝阳净水厂</w:t>
      </w:r>
      <w:r>
        <w:rPr>
          <w:rFonts w:hint="eastAsia" w:ascii="宋体" w:hAnsi="宋体" w:eastAsia="宋体" w:cs="宋体"/>
          <w:color w:val="auto"/>
          <w:spacing w:val="-2"/>
          <w:sz w:val="24"/>
          <w:szCs w:val="24"/>
          <w:highlight w:val="none"/>
          <w:lang w:val="en-US" w:eastAsia="zh-CN"/>
        </w:rPr>
        <w:t>排泥水上清液</w:t>
      </w:r>
      <w:r>
        <w:rPr>
          <w:rFonts w:hint="default" w:ascii="Times New Roman" w:hAnsi="Times New Roman" w:eastAsia="宋体" w:cs="Times New Roman"/>
          <w:color w:val="auto"/>
          <w:sz w:val="24"/>
          <w:szCs w:val="24"/>
          <w:highlight w:val="none"/>
          <w:lang w:val="en-US" w:eastAsia="zh-CN"/>
        </w:rPr>
        <w:t>排入</w:t>
      </w:r>
      <w:r>
        <w:rPr>
          <w:rFonts w:hint="eastAsia" w:ascii="Times New Roman" w:hAnsi="Times New Roman" w:eastAsia="宋体" w:cs="Times New Roman"/>
          <w:color w:val="auto"/>
          <w:sz w:val="24"/>
          <w:szCs w:val="24"/>
          <w:highlight w:val="none"/>
          <w:lang w:val="en-US" w:eastAsia="zh-CN"/>
        </w:rPr>
        <w:t>红光沟流入</w:t>
      </w:r>
      <w:r>
        <w:rPr>
          <w:rFonts w:hint="default" w:ascii="Times New Roman" w:hAnsi="Times New Roman" w:eastAsia="宋体" w:cs="Times New Roman"/>
          <w:color w:val="auto"/>
          <w:sz w:val="24"/>
          <w:szCs w:val="24"/>
          <w:highlight w:val="none"/>
          <w:lang w:val="en-US" w:eastAsia="zh-CN"/>
        </w:rPr>
        <w:t>穆棱河</w:t>
      </w:r>
      <w:r>
        <w:rPr>
          <w:rFonts w:ascii="宋体" w:hAnsi="宋体" w:eastAsia="宋体" w:cs="宋体"/>
          <w:color w:val="auto"/>
          <w:spacing w:val="-2"/>
          <w:sz w:val="24"/>
          <w:szCs w:val="24"/>
          <w:highlight w:val="none"/>
        </w:rPr>
        <w:t>，出水执行</w:t>
      </w:r>
      <w:r>
        <w:rPr>
          <w:rFonts w:hint="default" w:ascii="Times New Roman" w:hAnsi="Times New Roman" w:eastAsia="宋体" w:cs="Times New Roman"/>
          <w:color w:val="auto"/>
          <w:spacing w:val="0"/>
          <w:sz w:val="24"/>
          <w:szCs w:val="24"/>
          <w:highlight w:val="none"/>
          <w:lang w:val="en-US" w:eastAsia="zh-CN"/>
        </w:rPr>
        <w:t>《地表水环境质量标准》（GB3838-2002）表1中三类标准</w:t>
      </w:r>
      <w:r>
        <w:rPr>
          <w:rFonts w:hint="eastAsia" w:ascii="Times New Roman" w:hAnsi="Times New Roman" w:eastAsia="宋体" w:cs="Times New Roman"/>
          <w:color w:val="auto"/>
          <w:spacing w:val="0"/>
          <w:sz w:val="24"/>
          <w:szCs w:val="24"/>
          <w:highlight w:val="none"/>
          <w:lang w:val="en-US" w:eastAsia="zh-CN"/>
        </w:rPr>
        <w:t>、悬浮物执行</w:t>
      </w:r>
      <w:r>
        <w:rPr>
          <w:rFonts w:hint="default" w:ascii="Times New Roman" w:hAnsi="Times New Roman" w:eastAsia="宋体" w:cs="Times New Roman"/>
          <w:color w:val="auto"/>
          <w:sz w:val="24"/>
          <w:szCs w:val="24"/>
          <w:highlight w:val="none"/>
          <w:lang w:val="en-US" w:eastAsia="zh-CN"/>
        </w:rPr>
        <w:t>《污水综合排放标准》</w:t>
      </w:r>
      <w:r>
        <w:rPr>
          <w:rFonts w:hint="eastAsia" w:cs="Times New Roman"/>
          <w:color w:val="auto"/>
          <w:sz w:val="24"/>
          <w:szCs w:val="24"/>
          <w:highlight w:val="none"/>
          <w:lang w:val="en-US" w:eastAsia="zh-CN"/>
        </w:rPr>
        <w:t>（GB8978-1996）一级标准</w:t>
      </w:r>
      <w:r>
        <w:rPr>
          <w:rFonts w:ascii="宋体" w:hAnsi="宋体" w:eastAsia="宋体" w:cs="宋体"/>
          <w:color w:val="auto"/>
          <w:spacing w:val="-1"/>
          <w:sz w:val="24"/>
          <w:szCs w:val="24"/>
          <w:highlight w:val="none"/>
        </w:rPr>
        <w:t>。</w:t>
      </w:r>
      <w:r>
        <w:rPr>
          <w:rFonts w:ascii="宋体" w:hAnsi="宋体" w:eastAsia="宋体" w:cs="宋体"/>
          <w:color w:val="auto"/>
          <w:spacing w:val="-1"/>
          <w:sz w:val="24"/>
          <w:szCs w:val="24"/>
          <w:highlight w:val="none"/>
        </w:rPr>
        <w:t>具体标准见表</w:t>
      </w:r>
      <w:r>
        <w:rPr>
          <w:rFonts w:ascii="Times New Roman" w:hAnsi="Times New Roman" w:eastAsia="Times New Roman" w:cs="Times New Roman"/>
          <w:color w:val="auto"/>
          <w:spacing w:val="-1"/>
          <w:sz w:val="24"/>
          <w:szCs w:val="24"/>
          <w:highlight w:val="none"/>
        </w:rPr>
        <w:t>1</w:t>
      </w:r>
      <w:r>
        <w:rPr>
          <w:rFonts w:hint="eastAsia" w:ascii="Times New Roman" w:hAnsi="Times New Roman" w:eastAsia="宋体" w:cs="Times New Roman"/>
          <w:color w:val="auto"/>
          <w:spacing w:val="-1"/>
          <w:sz w:val="24"/>
          <w:szCs w:val="24"/>
          <w:highlight w:val="none"/>
          <w:lang w:val="en-US" w:eastAsia="zh-CN"/>
        </w:rPr>
        <w:t>-2</w:t>
      </w:r>
      <w:r>
        <w:rPr>
          <w:rFonts w:ascii="宋体" w:hAnsi="宋体" w:eastAsia="宋体" w:cs="宋体"/>
          <w:color w:val="auto"/>
          <w:spacing w:val="-1"/>
          <w:sz w:val="24"/>
          <w:szCs w:val="24"/>
          <w:highlight w:val="none"/>
        </w:rPr>
        <w:t>。</w:t>
      </w:r>
    </w:p>
    <w:p w14:paraId="470827A8">
      <w:pPr>
        <w:pStyle w:val="44"/>
        <w:keepNext w:val="0"/>
        <w:keepLines w:val="0"/>
        <w:pageBreakBefore w:val="0"/>
        <w:widowControl/>
        <w:kinsoku w:val="0"/>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pacing w:val="0"/>
          <w:sz w:val="24"/>
          <w:szCs w:val="24"/>
          <w:highlight w:val="none"/>
          <w:lang w:val="en-US" w:eastAsia="zh-CN"/>
        </w:rPr>
        <w:t>表1-2</w:t>
      </w:r>
      <w:r>
        <w:rPr>
          <w:rFonts w:hint="eastAsia" w:ascii="Times New Roman" w:hAnsi="Times New Roman" w:eastAsia="宋体" w:cs="Times New Roman"/>
          <w:b/>
          <w:bCs/>
          <w:color w:val="auto"/>
          <w:spacing w:val="0"/>
          <w:sz w:val="24"/>
          <w:szCs w:val="24"/>
          <w:highlight w:val="none"/>
          <w:lang w:val="en-US" w:eastAsia="zh-CN"/>
        </w:rPr>
        <w:t>污染物排放标准一览表</w:t>
      </w:r>
      <w:r>
        <w:rPr>
          <w:rFonts w:hint="eastAsia" w:ascii="Times New Roman" w:hAnsi="Times New Roman" w:eastAsia="宋体" w:cs="Times New Roman"/>
          <w:b/>
          <w:bCs/>
          <w:color w:val="auto"/>
          <w:sz w:val="24"/>
          <w:szCs w:val="24"/>
          <w:highlight w:val="none"/>
          <w:lang w:val="en-US" w:eastAsia="zh-CN"/>
        </w:rPr>
        <w:t xml:space="preserve">   </w:t>
      </w:r>
      <w:r>
        <w:rPr>
          <w:rFonts w:hint="default" w:ascii="Times New Roman" w:hAnsi="Times New Roman" w:eastAsia="宋体" w:cs="Times New Roman"/>
          <w:b/>
          <w:bCs/>
          <w:color w:val="auto"/>
          <w:sz w:val="24"/>
          <w:szCs w:val="24"/>
          <w:highlight w:val="none"/>
        </w:rPr>
        <w:t>单位mg/L</w:t>
      </w:r>
    </w:p>
    <w:tbl>
      <w:tblPr>
        <w:tblStyle w:val="3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29"/>
        <w:gridCol w:w="2945"/>
        <w:gridCol w:w="2479"/>
        <w:gridCol w:w="3035"/>
      </w:tblGrid>
      <w:tr w14:paraId="3DA714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829" w:type="dxa"/>
            <w:vAlign w:val="center"/>
          </w:tcPr>
          <w:p w14:paraId="138AE8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序号</w:t>
            </w:r>
          </w:p>
        </w:tc>
        <w:tc>
          <w:tcPr>
            <w:tcW w:w="2945" w:type="dxa"/>
            <w:vAlign w:val="center"/>
          </w:tcPr>
          <w:p w14:paraId="39B108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标准号及名称</w:t>
            </w:r>
          </w:p>
        </w:tc>
        <w:tc>
          <w:tcPr>
            <w:tcW w:w="2479" w:type="dxa"/>
            <w:vAlign w:val="center"/>
          </w:tcPr>
          <w:p w14:paraId="42C8B7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项目</w:t>
            </w:r>
          </w:p>
        </w:tc>
        <w:tc>
          <w:tcPr>
            <w:tcW w:w="3035" w:type="dxa"/>
            <w:vAlign w:val="center"/>
          </w:tcPr>
          <w:p w14:paraId="71595D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标准限值（mg/L），Ⅲ类</w:t>
            </w:r>
          </w:p>
        </w:tc>
      </w:tr>
      <w:tr w14:paraId="434672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29" w:type="dxa"/>
            <w:vAlign w:val="center"/>
          </w:tcPr>
          <w:p w14:paraId="4E93FE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sz w:val="21"/>
                <w:szCs w:val="21"/>
                <w:lang w:val="en-US" w:eastAsia="zh-CN"/>
              </w:rPr>
            </w:pPr>
            <w:r>
              <w:rPr>
                <w:rFonts w:hint="default" w:cs="Times New Roman"/>
                <w:color w:val="auto"/>
                <w:spacing w:val="0"/>
                <w:sz w:val="21"/>
                <w:szCs w:val="21"/>
                <w:lang w:val="en-US" w:eastAsia="zh-CN"/>
              </w:rPr>
              <w:t>1</w:t>
            </w:r>
          </w:p>
        </w:tc>
        <w:tc>
          <w:tcPr>
            <w:tcW w:w="2945" w:type="dxa"/>
            <w:vMerge w:val="restart"/>
            <w:vAlign w:val="center"/>
          </w:tcPr>
          <w:p w14:paraId="20966F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sz w:val="21"/>
                <w:szCs w:val="21"/>
                <w:lang w:val="en-US" w:eastAsia="zh-CN"/>
              </w:rPr>
            </w:pPr>
            <w:r>
              <w:rPr>
                <w:rFonts w:hint="default" w:cs="Times New Roman"/>
                <w:color w:val="auto"/>
                <w:spacing w:val="0"/>
                <w:sz w:val="21"/>
                <w:szCs w:val="21"/>
                <w:lang w:val="en-US" w:eastAsia="zh-CN"/>
              </w:rPr>
              <w:t>《地表水环境质量标准》(GB3838-2002)表1</w:t>
            </w:r>
          </w:p>
        </w:tc>
        <w:tc>
          <w:tcPr>
            <w:tcW w:w="2479" w:type="dxa"/>
            <w:vAlign w:val="center"/>
          </w:tcPr>
          <w:p w14:paraId="722BEF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sz w:val="21"/>
                <w:szCs w:val="21"/>
                <w:lang w:val="en-US" w:eastAsia="zh-CN"/>
              </w:rPr>
            </w:pPr>
            <w:r>
              <w:rPr>
                <w:rFonts w:hint="default" w:cs="Times New Roman"/>
                <w:color w:val="auto"/>
                <w:spacing w:val="0"/>
                <w:sz w:val="21"/>
                <w:szCs w:val="21"/>
                <w:lang w:val="en-US" w:eastAsia="zh-CN"/>
              </w:rPr>
              <w:t>pH</w:t>
            </w:r>
          </w:p>
        </w:tc>
        <w:tc>
          <w:tcPr>
            <w:tcW w:w="3035" w:type="dxa"/>
            <w:vAlign w:val="center"/>
          </w:tcPr>
          <w:p w14:paraId="70A8B0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sz w:val="21"/>
                <w:szCs w:val="21"/>
                <w:lang w:val="en-US" w:eastAsia="zh-CN"/>
              </w:rPr>
            </w:pPr>
            <w:r>
              <w:rPr>
                <w:rFonts w:hint="default" w:cs="Times New Roman"/>
                <w:color w:val="auto"/>
                <w:spacing w:val="0"/>
                <w:sz w:val="21"/>
                <w:szCs w:val="21"/>
                <w:lang w:val="en-US" w:eastAsia="zh-CN"/>
              </w:rPr>
              <w:t>6-9（无量纲）</w:t>
            </w:r>
          </w:p>
        </w:tc>
      </w:tr>
      <w:tr w14:paraId="3B067B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29" w:type="dxa"/>
            <w:vAlign w:val="center"/>
          </w:tcPr>
          <w:p w14:paraId="41AB57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pacing w:val="0"/>
                <w:sz w:val="21"/>
                <w:szCs w:val="21"/>
                <w:lang w:val="en-US" w:eastAsia="zh-CN"/>
              </w:rPr>
            </w:pPr>
            <w:r>
              <w:rPr>
                <w:rFonts w:hint="eastAsia" w:cs="Times New Roman"/>
                <w:color w:val="auto"/>
                <w:spacing w:val="0"/>
                <w:sz w:val="21"/>
                <w:szCs w:val="21"/>
                <w:lang w:val="en-US" w:eastAsia="zh-CN"/>
              </w:rPr>
              <w:t>2</w:t>
            </w:r>
          </w:p>
        </w:tc>
        <w:tc>
          <w:tcPr>
            <w:tcW w:w="2945" w:type="dxa"/>
            <w:vMerge w:val="continue"/>
            <w:vAlign w:val="center"/>
          </w:tcPr>
          <w:p w14:paraId="770911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sz w:val="21"/>
                <w:szCs w:val="21"/>
                <w:lang w:val="en-US" w:eastAsia="zh-CN"/>
              </w:rPr>
            </w:pPr>
          </w:p>
        </w:tc>
        <w:tc>
          <w:tcPr>
            <w:tcW w:w="2479" w:type="dxa"/>
            <w:vAlign w:val="center"/>
          </w:tcPr>
          <w:p w14:paraId="75C6A1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sz w:val="21"/>
                <w:szCs w:val="21"/>
                <w:lang w:val="en-US" w:eastAsia="zh-CN"/>
              </w:rPr>
            </w:pPr>
            <w:r>
              <w:rPr>
                <w:rFonts w:hint="default" w:cs="Times New Roman"/>
                <w:color w:val="auto"/>
                <w:spacing w:val="0"/>
                <w:sz w:val="21"/>
                <w:szCs w:val="21"/>
                <w:lang w:val="en-US" w:eastAsia="zh-CN"/>
              </w:rPr>
              <w:t>COD</w:t>
            </w:r>
          </w:p>
        </w:tc>
        <w:tc>
          <w:tcPr>
            <w:tcW w:w="3035" w:type="dxa"/>
            <w:vAlign w:val="center"/>
          </w:tcPr>
          <w:p w14:paraId="7331CC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sz w:val="21"/>
                <w:szCs w:val="21"/>
                <w:lang w:val="en-US" w:eastAsia="zh-CN"/>
              </w:rPr>
            </w:pPr>
            <w:r>
              <w:rPr>
                <w:rFonts w:hint="default" w:cs="Times New Roman"/>
                <w:color w:val="auto"/>
                <w:spacing w:val="0"/>
                <w:sz w:val="21"/>
                <w:szCs w:val="21"/>
                <w:lang w:val="en-US" w:eastAsia="zh-CN"/>
              </w:rPr>
              <w:t>20</w:t>
            </w:r>
          </w:p>
        </w:tc>
      </w:tr>
      <w:tr w14:paraId="60FE75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29" w:type="dxa"/>
            <w:vAlign w:val="center"/>
          </w:tcPr>
          <w:p w14:paraId="26CBFE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pacing w:val="0"/>
                <w:sz w:val="21"/>
                <w:szCs w:val="21"/>
                <w:lang w:val="en-US" w:eastAsia="zh-CN"/>
              </w:rPr>
            </w:pPr>
            <w:r>
              <w:rPr>
                <w:rFonts w:hint="eastAsia" w:cs="Times New Roman"/>
                <w:color w:val="auto"/>
                <w:spacing w:val="0"/>
                <w:sz w:val="21"/>
                <w:szCs w:val="21"/>
                <w:lang w:val="en-US" w:eastAsia="zh-CN"/>
              </w:rPr>
              <w:t>3</w:t>
            </w:r>
          </w:p>
        </w:tc>
        <w:tc>
          <w:tcPr>
            <w:tcW w:w="2945" w:type="dxa"/>
            <w:vMerge w:val="continue"/>
            <w:vAlign w:val="center"/>
          </w:tcPr>
          <w:p w14:paraId="47477F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sz w:val="21"/>
                <w:szCs w:val="21"/>
                <w:lang w:val="en-US" w:eastAsia="zh-CN"/>
              </w:rPr>
            </w:pPr>
          </w:p>
        </w:tc>
        <w:tc>
          <w:tcPr>
            <w:tcW w:w="2479" w:type="dxa"/>
            <w:vAlign w:val="center"/>
          </w:tcPr>
          <w:p w14:paraId="629C0A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sz w:val="21"/>
                <w:szCs w:val="21"/>
                <w:lang w:val="en-US" w:eastAsia="zh-CN"/>
              </w:rPr>
            </w:pPr>
            <w:r>
              <w:rPr>
                <w:rFonts w:hint="default" w:cs="Times New Roman"/>
                <w:color w:val="auto"/>
                <w:spacing w:val="0"/>
                <w:sz w:val="21"/>
                <w:szCs w:val="21"/>
                <w:lang w:val="en-US" w:eastAsia="zh-CN"/>
              </w:rPr>
              <w:t>BOD</w:t>
            </w:r>
            <w:r>
              <w:rPr>
                <w:rFonts w:hint="default" w:cs="Times New Roman"/>
                <w:color w:val="auto"/>
                <w:spacing w:val="0"/>
                <w:sz w:val="21"/>
                <w:szCs w:val="21"/>
                <w:vertAlign w:val="subscript"/>
                <w:lang w:val="en-US" w:eastAsia="zh-CN"/>
              </w:rPr>
              <w:t>5</w:t>
            </w:r>
          </w:p>
        </w:tc>
        <w:tc>
          <w:tcPr>
            <w:tcW w:w="3035" w:type="dxa"/>
            <w:vAlign w:val="center"/>
          </w:tcPr>
          <w:p w14:paraId="2B76CE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sz w:val="21"/>
                <w:szCs w:val="21"/>
                <w:lang w:val="en-US" w:eastAsia="zh-CN"/>
              </w:rPr>
            </w:pPr>
            <w:r>
              <w:rPr>
                <w:rFonts w:hint="default" w:cs="Times New Roman"/>
                <w:color w:val="auto"/>
                <w:spacing w:val="0"/>
                <w:sz w:val="21"/>
                <w:szCs w:val="21"/>
                <w:lang w:val="en-US" w:eastAsia="zh-CN"/>
              </w:rPr>
              <w:t>4</w:t>
            </w:r>
          </w:p>
        </w:tc>
      </w:tr>
      <w:tr w14:paraId="014704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29" w:type="dxa"/>
            <w:vAlign w:val="center"/>
          </w:tcPr>
          <w:p w14:paraId="6529D9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pacing w:val="0"/>
                <w:sz w:val="21"/>
                <w:szCs w:val="21"/>
                <w:lang w:val="en-US" w:eastAsia="zh-CN"/>
              </w:rPr>
            </w:pPr>
            <w:r>
              <w:rPr>
                <w:rFonts w:hint="eastAsia" w:cs="Times New Roman"/>
                <w:color w:val="auto"/>
                <w:spacing w:val="0"/>
                <w:sz w:val="21"/>
                <w:szCs w:val="21"/>
                <w:lang w:val="en-US" w:eastAsia="zh-CN"/>
              </w:rPr>
              <w:t>4</w:t>
            </w:r>
          </w:p>
        </w:tc>
        <w:tc>
          <w:tcPr>
            <w:tcW w:w="2945" w:type="dxa"/>
            <w:vMerge w:val="continue"/>
            <w:vAlign w:val="center"/>
          </w:tcPr>
          <w:p w14:paraId="696EAA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sz w:val="21"/>
                <w:szCs w:val="21"/>
                <w:lang w:val="en-US" w:eastAsia="zh-CN"/>
              </w:rPr>
            </w:pPr>
          </w:p>
        </w:tc>
        <w:tc>
          <w:tcPr>
            <w:tcW w:w="2479" w:type="dxa"/>
            <w:vAlign w:val="center"/>
          </w:tcPr>
          <w:p w14:paraId="32A8FB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sz w:val="21"/>
                <w:szCs w:val="21"/>
                <w:lang w:val="en-US" w:eastAsia="zh-CN"/>
              </w:rPr>
            </w:pPr>
            <w:r>
              <w:rPr>
                <w:rFonts w:hint="default" w:cs="Times New Roman"/>
                <w:color w:val="auto"/>
                <w:spacing w:val="0"/>
                <w:sz w:val="21"/>
                <w:szCs w:val="21"/>
                <w:lang w:val="en-US" w:eastAsia="zh-CN"/>
              </w:rPr>
              <w:t>氨氮</w:t>
            </w:r>
          </w:p>
        </w:tc>
        <w:tc>
          <w:tcPr>
            <w:tcW w:w="3035" w:type="dxa"/>
            <w:vAlign w:val="center"/>
          </w:tcPr>
          <w:p w14:paraId="03D778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sz w:val="21"/>
                <w:szCs w:val="21"/>
                <w:lang w:val="en-US" w:eastAsia="zh-CN"/>
              </w:rPr>
            </w:pPr>
            <w:r>
              <w:rPr>
                <w:rFonts w:hint="default" w:cs="Times New Roman"/>
                <w:color w:val="auto"/>
                <w:spacing w:val="0"/>
                <w:sz w:val="21"/>
                <w:szCs w:val="21"/>
                <w:lang w:val="en-US" w:eastAsia="zh-CN"/>
              </w:rPr>
              <w:t>1.0</w:t>
            </w:r>
          </w:p>
        </w:tc>
      </w:tr>
      <w:tr w14:paraId="68A221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29" w:type="dxa"/>
            <w:vAlign w:val="center"/>
          </w:tcPr>
          <w:p w14:paraId="546FD1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sz w:val="21"/>
                <w:szCs w:val="21"/>
                <w:lang w:val="en-US" w:eastAsia="zh-CN"/>
              </w:rPr>
            </w:pPr>
            <w:r>
              <w:rPr>
                <w:rFonts w:hint="eastAsia" w:cs="Times New Roman"/>
                <w:color w:val="auto"/>
                <w:spacing w:val="0"/>
                <w:sz w:val="21"/>
                <w:szCs w:val="21"/>
                <w:lang w:val="en-US" w:eastAsia="zh-CN"/>
              </w:rPr>
              <w:t>5</w:t>
            </w:r>
          </w:p>
        </w:tc>
        <w:tc>
          <w:tcPr>
            <w:tcW w:w="2945" w:type="dxa"/>
            <w:vAlign w:val="center"/>
          </w:tcPr>
          <w:p w14:paraId="64DBB1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sz w:val="21"/>
                <w:szCs w:val="21"/>
                <w:lang w:val="en-US" w:eastAsia="zh-CN"/>
              </w:rPr>
            </w:pPr>
            <w:r>
              <w:rPr>
                <w:rFonts w:hint="default" w:cs="Times New Roman"/>
                <w:color w:val="auto"/>
                <w:spacing w:val="0"/>
                <w:sz w:val="21"/>
                <w:szCs w:val="21"/>
                <w:lang w:val="en-US" w:eastAsia="zh-CN"/>
              </w:rPr>
              <w:t>《污水综合排放标准》（GB8978-1996）一级标准</w:t>
            </w:r>
          </w:p>
        </w:tc>
        <w:tc>
          <w:tcPr>
            <w:tcW w:w="2479" w:type="dxa"/>
            <w:vAlign w:val="center"/>
          </w:tcPr>
          <w:p w14:paraId="7C0ADE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sz w:val="21"/>
                <w:szCs w:val="21"/>
                <w:lang w:val="en-US" w:eastAsia="zh-CN"/>
              </w:rPr>
            </w:pPr>
            <w:r>
              <w:rPr>
                <w:rFonts w:hint="eastAsia" w:cs="Times New Roman"/>
                <w:color w:val="auto"/>
                <w:spacing w:val="0"/>
                <w:sz w:val="21"/>
                <w:szCs w:val="21"/>
                <w:lang w:val="en-US" w:eastAsia="zh-CN"/>
              </w:rPr>
              <w:t>SS</w:t>
            </w:r>
          </w:p>
        </w:tc>
        <w:tc>
          <w:tcPr>
            <w:tcW w:w="3035" w:type="dxa"/>
            <w:vAlign w:val="center"/>
          </w:tcPr>
          <w:p w14:paraId="13E0C5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sz w:val="21"/>
                <w:szCs w:val="21"/>
                <w:lang w:val="en-US" w:eastAsia="zh-CN"/>
              </w:rPr>
            </w:pPr>
            <w:r>
              <w:rPr>
                <w:rFonts w:hint="eastAsia" w:cs="Times New Roman"/>
                <w:color w:val="auto"/>
                <w:spacing w:val="0"/>
                <w:sz w:val="21"/>
                <w:szCs w:val="21"/>
                <w:lang w:val="en-US" w:eastAsia="zh-CN"/>
              </w:rPr>
              <w:t>70</w:t>
            </w:r>
          </w:p>
        </w:tc>
      </w:tr>
    </w:tbl>
    <w:p w14:paraId="327F9C7B">
      <w:pPr>
        <w:spacing w:before="97" w:line="218" w:lineRule="auto"/>
        <w:outlineLvl w:val="1"/>
        <w:rPr>
          <w:rFonts w:ascii="宋体" w:hAnsi="宋体" w:eastAsia="宋体" w:cs="宋体"/>
          <w:color w:val="auto"/>
          <w:sz w:val="30"/>
          <w:szCs w:val="30"/>
        </w:rPr>
      </w:pPr>
      <w:r>
        <w:rPr>
          <w:rFonts w:ascii="Times New Roman" w:hAnsi="Times New Roman" w:eastAsia="Times New Roman" w:cs="Times New Roman"/>
          <w:b/>
          <w:bCs/>
          <w:color w:val="auto"/>
          <w:spacing w:val="-3"/>
          <w:sz w:val="30"/>
          <w:szCs w:val="30"/>
        </w:rPr>
        <w:t>1.</w:t>
      </w:r>
      <w:r>
        <w:rPr>
          <w:rFonts w:hint="eastAsia" w:ascii="Times New Roman" w:hAnsi="Times New Roman" w:eastAsia="宋体" w:cs="Times New Roman"/>
          <w:b/>
          <w:bCs/>
          <w:color w:val="auto"/>
          <w:spacing w:val="-3"/>
          <w:sz w:val="30"/>
          <w:szCs w:val="30"/>
          <w:lang w:val="en-US" w:eastAsia="zh-CN"/>
        </w:rPr>
        <w:t>6</w:t>
      </w:r>
      <w:r>
        <w:rPr>
          <w:rFonts w:ascii="Times New Roman" w:hAnsi="Times New Roman" w:eastAsia="Times New Roman" w:cs="Times New Roman"/>
          <w:b/>
          <w:bCs/>
          <w:color w:val="auto"/>
          <w:spacing w:val="-3"/>
          <w:sz w:val="30"/>
          <w:szCs w:val="30"/>
        </w:rPr>
        <w:t xml:space="preserve">  </w:t>
      </w:r>
      <w:r>
        <w:rPr>
          <w:rFonts w:ascii="宋体" w:hAnsi="宋体" w:eastAsia="宋体" w:cs="宋体"/>
          <w:b/>
          <w:bCs/>
          <w:color w:val="auto"/>
          <w:spacing w:val="-3"/>
          <w:sz w:val="30"/>
          <w:szCs w:val="30"/>
        </w:rPr>
        <w:t>评价工作等级和评价范围</w:t>
      </w:r>
    </w:p>
    <w:p w14:paraId="0F81492E">
      <w:pPr>
        <w:spacing w:before="225" w:line="219" w:lineRule="auto"/>
        <w:outlineLvl w:val="2"/>
        <w:rPr>
          <w:rFonts w:ascii="宋体" w:hAnsi="宋体" w:eastAsia="宋体" w:cs="宋体"/>
          <w:color w:val="auto"/>
          <w:sz w:val="28"/>
          <w:szCs w:val="28"/>
        </w:rPr>
      </w:pPr>
      <w:bookmarkStart w:id="41" w:name="bookmark15"/>
      <w:bookmarkEnd w:id="41"/>
      <w:r>
        <w:rPr>
          <w:rFonts w:ascii="Times New Roman" w:hAnsi="Times New Roman" w:eastAsia="Times New Roman" w:cs="Times New Roman"/>
          <w:b/>
          <w:bCs/>
          <w:color w:val="auto"/>
          <w:spacing w:val="-3"/>
          <w:sz w:val="28"/>
          <w:szCs w:val="28"/>
        </w:rPr>
        <w:t>1.</w:t>
      </w:r>
      <w:r>
        <w:rPr>
          <w:rFonts w:hint="eastAsia" w:ascii="Times New Roman" w:hAnsi="Times New Roman" w:eastAsia="宋体" w:cs="Times New Roman"/>
          <w:b/>
          <w:bCs/>
          <w:color w:val="auto"/>
          <w:spacing w:val="-3"/>
          <w:sz w:val="28"/>
          <w:szCs w:val="28"/>
          <w:lang w:val="en-US" w:eastAsia="zh-CN"/>
        </w:rPr>
        <w:t>6.</w:t>
      </w:r>
      <w:r>
        <w:rPr>
          <w:rFonts w:ascii="Times New Roman" w:hAnsi="Times New Roman" w:eastAsia="Times New Roman" w:cs="Times New Roman"/>
          <w:b/>
          <w:bCs/>
          <w:color w:val="auto"/>
          <w:spacing w:val="-3"/>
          <w:sz w:val="28"/>
          <w:szCs w:val="28"/>
        </w:rPr>
        <w:t xml:space="preserve">1  </w:t>
      </w:r>
      <w:r>
        <w:rPr>
          <w:rFonts w:ascii="宋体" w:hAnsi="宋体" w:eastAsia="宋体" w:cs="宋体"/>
          <w:b/>
          <w:bCs/>
          <w:color w:val="auto"/>
          <w:spacing w:val="-3"/>
          <w:sz w:val="28"/>
          <w:szCs w:val="28"/>
        </w:rPr>
        <w:t>评价工作等级</w:t>
      </w:r>
    </w:p>
    <w:p w14:paraId="2F30EF52">
      <w:pPr>
        <w:spacing w:before="206" w:line="359" w:lineRule="auto"/>
        <w:ind w:left="76" w:right="63" w:firstLine="477"/>
        <w:jc w:val="both"/>
        <w:rPr>
          <w:rFonts w:ascii="宋体" w:hAnsi="宋体" w:eastAsia="宋体" w:cs="宋体"/>
          <w:color w:val="auto"/>
          <w:sz w:val="24"/>
          <w:szCs w:val="24"/>
        </w:rPr>
      </w:pPr>
      <w:r>
        <w:rPr>
          <w:rFonts w:ascii="宋体" w:hAnsi="宋体" w:eastAsia="宋体" w:cs="宋体"/>
          <w:color w:val="auto"/>
          <w:sz w:val="24"/>
          <w:szCs w:val="24"/>
        </w:rPr>
        <w:t>根据《环境影响评价技术导则  地表水环境》（</w:t>
      </w:r>
      <w:r>
        <w:rPr>
          <w:rFonts w:ascii="Times New Roman" w:hAnsi="Times New Roman" w:eastAsia="Times New Roman" w:cs="Times New Roman"/>
          <w:color w:val="auto"/>
          <w:sz w:val="24"/>
          <w:szCs w:val="24"/>
        </w:rPr>
        <w:t>HJ2.3-2018</w:t>
      </w:r>
      <w:r>
        <w:rPr>
          <w:rFonts w:ascii="宋体" w:hAnsi="宋体" w:eastAsia="宋体" w:cs="宋体"/>
          <w:color w:val="auto"/>
          <w:sz w:val="24"/>
          <w:szCs w:val="24"/>
        </w:rPr>
        <w:t>）规定，本项目为水污</w:t>
      </w:r>
      <w:r>
        <w:rPr>
          <w:rFonts w:ascii="宋体" w:hAnsi="宋体" w:eastAsia="宋体" w:cs="宋体"/>
          <w:color w:val="auto"/>
          <w:spacing w:val="-2"/>
          <w:sz w:val="24"/>
          <w:szCs w:val="24"/>
        </w:rPr>
        <w:t>染影响型建设项目，评价工作等级按照影响类型、排放方式、排放量或影响情况、受纳</w:t>
      </w:r>
      <w:r>
        <w:rPr>
          <w:rFonts w:ascii="宋体" w:hAnsi="宋体" w:eastAsia="宋体" w:cs="宋体"/>
          <w:color w:val="auto"/>
          <w:spacing w:val="-1"/>
          <w:sz w:val="24"/>
          <w:szCs w:val="24"/>
        </w:rPr>
        <w:t>水体环境质量现状、水环境保护目标等综合确定。</w:t>
      </w:r>
    </w:p>
    <w:p w14:paraId="110F9681">
      <w:pPr>
        <w:spacing w:line="359" w:lineRule="auto"/>
        <w:ind w:left="74" w:right="63" w:firstLine="479"/>
        <w:rPr>
          <w:rFonts w:ascii="宋体" w:hAnsi="宋体" w:eastAsia="宋体" w:cs="宋体"/>
          <w:color w:val="auto"/>
          <w:sz w:val="24"/>
          <w:szCs w:val="24"/>
        </w:rPr>
      </w:pPr>
      <w:r>
        <w:rPr>
          <w:rFonts w:ascii="宋体" w:hAnsi="宋体" w:eastAsia="宋体" w:cs="宋体"/>
          <w:color w:val="auto"/>
          <w:sz w:val="24"/>
          <w:szCs w:val="24"/>
        </w:rPr>
        <w:t>根据《环境影响评价技术导则  地表水环境》（</w:t>
      </w:r>
      <w:r>
        <w:rPr>
          <w:rFonts w:ascii="Times New Roman" w:hAnsi="Times New Roman" w:eastAsia="Times New Roman" w:cs="Times New Roman"/>
          <w:color w:val="auto"/>
          <w:sz w:val="24"/>
          <w:szCs w:val="24"/>
        </w:rPr>
        <w:t>HJ2.3-2018</w:t>
      </w:r>
      <w:r>
        <w:rPr>
          <w:rFonts w:ascii="宋体" w:hAnsi="宋体" w:eastAsia="宋体" w:cs="宋体"/>
          <w:color w:val="auto"/>
          <w:spacing w:val="7"/>
          <w:sz w:val="24"/>
          <w:szCs w:val="24"/>
        </w:rPr>
        <w:t>），</w:t>
      </w:r>
      <w:r>
        <w:rPr>
          <w:rFonts w:ascii="宋体" w:hAnsi="宋体" w:eastAsia="宋体" w:cs="宋体"/>
          <w:color w:val="auto"/>
          <w:sz w:val="24"/>
          <w:szCs w:val="24"/>
        </w:rPr>
        <w:t>建设项目地</w:t>
      </w:r>
      <w:r>
        <w:rPr>
          <w:rFonts w:ascii="宋体" w:hAnsi="宋体" w:eastAsia="宋体" w:cs="宋体"/>
          <w:color w:val="auto"/>
          <w:spacing w:val="-1"/>
          <w:sz w:val="24"/>
          <w:szCs w:val="24"/>
        </w:rPr>
        <w:t>表水评价工作等级划分见表</w:t>
      </w:r>
      <w:r>
        <w:rPr>
          <w:rFonts w:ascii="Times New Roman" w:hAnsi="Times New Roman" w:eastAsia="Times New Roman" w:cs="Times New Roman"/>
          <w:color w:val="auto"/>
          <w:spacing w:val="-1"/>
          <w:sz w:val="24"/>
          <w:szCs w:val="24"/>
        </w:rPr>
        <w:t>1</w:t>
      </w:r>
      <w:r>
        <w:rPr>
          <w:rFonts w:hint="eastAsia" w:ascii="Times New Roman" w:hAnsi="Times New Roman" w:eastAsia="宋体" w:cs="Times New Roman"/>
          <w:color w:val="auto"/>
          <w:spacing w:val="-1"/>
          <w:sz w:val="24"/>
          <w:szCs w:val="24"/>
          <w:lang w:val="en-US" w:eastAsia="zh-CN"/>
        </w:rPr>
        <w:t>-3</w:t>
      </w:r>
      <w:r>
        <w:rPr>
          <w:rFonts w:ascii="宋体" w:hAnsi="宋体" w:eastAsia="宋体" w:cs="宋体"/>
          <w:color w:val="auto"/>
          <w:spacing w:val="-1"/>
          <w:sz w:val="24"/>
          <w:szCs w:val="24"/>
        </w:rPr>
        <w:t>。</w:t>
      </w:r>
    </w:p>
    <w:p w14:paraId="33FA9B09">
      <w:pPr>
        <w:spacing w:line="213" w:lineRule="auto"/>
        <w:ind w:left="2290"/>
        <w:rPr>
          <w:rFonts w:hint="eastAsia" w:ascii="宋体" w:hAnsi="宋体" w:eastAsia="宋体" w:cs="宋体"/>
          <w:color w:val="auto"/>
        </w:rPr>
      </w:pPr>
      <w:r>
        <w:rPr>
          <w:rFonts w:ascii="宋体" w:hAnsi="宋体" w:eastAsia="宋体" w:cs="宋体"/>
          <w:b/>
          <w:bCs/>
          <w:color w:val="auto"/>
          <w:spacing w:val="-2"/>
          <w:sz w:val="24"/>
          <w:szCs w:val="24"/>
        </w:rPr>
        <w:t>表</w:t>
      </w:r>
      <w:r>
        <w:rPr>
          <w:rFonts w:ascii="Times New Roman" w:hAnsi="Times New Roman" w:eastAsia="Times New Roman" w:cs="Times New Roman"/>
          <w:b/>
          <w:bCs/>
          <w:color w:val="auto"/>
          <w:spacing w:val="-2"/>
          <w:sz w:val="24"/>
          <w:szCs w:val="24"/>
        </w:rPr>
        <w:t>1</w:t>
      </w:r>
      <w:r>
        <w:rPr>
          <w:rFonts w:hint="eastAsia" w:ascii="Times New Roman" w:hAnsi="Times New Roman" w:eastAsia="宋体" w:cs="Times New Roman"/>
          <w:b/>
          <w:bCs/>
          <w:color w:val="auto"/>
          <w:spacing w:val="-2"/>
          <w:sz w:val="24"/>
          <w:szCs w:val="24"/>
          <w:lang w:val="en-US" w:eastAsia="zh-CN"/>
        </w:rPr>
        <w:t>-3</w:t>
      </w:r>
      <w:r>
        <w:rPr>
          <w:rFonts w:ascii="宋体" w:hAnsi="宋体" w:eastAsia="宋体" w:cs="宋体"/>
          <w:b/>
          <w:bCs/>
          <w:color w:val="auto"/>
          <w:spacing w:val="-2"/>
          <w:sz w:val="24"/>
          <w:szCs w:val="24"/>
        </w:rPr>
        <w:t>水污染影响型建设项目评级等级判定</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0"/>
        <w:gridCol w:w="3091"/>
        <w:gridCol w:w="3107"/>
      </w:tblGrid>
      <w:tr w14:paraId="0DE0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4" w:type="dxa"/>
            <w:vMerge w:val="restart"/>
            <w:tcBorders>
              <w:top w:val="single" w:color="auto" w:sz="12" w:space="0"/>
              <w:left w:val="nil"/>
            </w:tcBorders>
            <w:vAlign w:val="center"/>
          </w:tcPr>
          <w:p w14:paraId="20EE2C61">
            <w:pPr>
              <w:keepNext w:val="0"/>
              <w:keepLines w:val="0"/>
              <w:widowControl w:val="0"/>
              <w:suppressLineNumbers w:val="0"/>
              <w:spacing w:before="79" w:beforeAutospacing="0" w:after="0" w:afterAutospacing="0" w:line="357"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评价等级</w:t>
            </w:r>
          </w:p>
        </w:tc>
        <w:tc>
          <w:tcPr>
            <w:tcW w:w="6288" w:type="dxa"/>
            <w:gridSpan w:val="2"/>
            <w:tcBorders>
              <w:top w:val="single" w:color="auto" w:sz="12" w:space="0"/>
              <w:right w:val="nil"/>
            </w:tcBorders>
            <w:vAlign w:val="center"/>
          </w:tcPr>
          <w:p w14:paraId="6123B3F9">
            <w:pPr>
              <w:keepNext w:val="0"/>
              <w:keepLines w:val="0"/>
              <w:widowControl w:val="0"/>
              <w:suppressLineNumbers w:val="0"/>
              <w:spacing w:before="79" w:beforeAutospacing="0" w:after="0" w:afterAutospacing="0" w:line="357"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判定依据</w:t>
            </w:r>
          </w:p>
        </w:tc>
      </w:tr>
      <w:tr w14:paraId="2A8E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4" w:type="dxa"/>
            <w:vMerge w:val="continue"/>
            <w:tcBorders>
              <w:left w:val="nil"/>
            </w:tcBorders>
            <w:vAlign w:val="center"/>
          </w:tcPr>
          <w:p w14:paraId="02C63918">
            <w:pPr>
              <w:keepNext w:val="0"/>
              <w:keepLines w:val="0"/>
              <w:widowControl w:val="0"/>
              <w:suppressLineNumbers w:val="0"/>
              <w:spacing w:before="79" w:beforeAutospacing="0" w:after="0" w:afterAutospacing="0" w:line="357" w:lineRule="auto"/>
              <w:ind w:left="0" w:right="0"/>
              <w:jc w:val="center"/>
              <w:rPr>
                <w:rFonts w:hint="default" w:ascii="Times New Roman" w:hAnsi="Times New Roman" w:eastAsia="宋体" w:cs="Times New Roman"/>
                <w:color w:val="auto"/>
                <w:sz w:val="21"/>
                <w:szCs w:val="21"/>
                <w:highlight w:val="none"/>
                <w:vertAlign w:val="baseline"/>
                <w:lang w:val="en-US" w:eastAsia="zh-CN"/>
              </w:rPr>
            </w:pPr>
          </w:p>
        </w:tc>
        <w:tc>
          <w:tcPr>
            <w:tcW w:w="3144" w:type="dxa"/>
            <w:vAlign w:val="center"/>
          </w:tcPr>
          <w:p w14:paraId="7D230613">
            <w:pPr>
              <w:keepNext w:val="0"/>
              <w:keepLines w:val="0"/>
              <w:widowControl w:val="0"/>
              <w:suppressLineNumbers w:val="0"/>
              <w:spacing w:before="79" w:beforeAutospacing="0" w:after="0" w:afterAutospacing="0" w:line="357"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排放方式</w:t>
            </w:r>
          </w:p>
        </w:tc>
        <w:tc>
          <w:tcPr>
            <w:tcW w:w="3144" w:type="dxa"/>
            <w:tcBorders>
              <w:right w:val="nil"/>
            </w:tcBorders>
            <w:vAlign w:val="center"/>
          </w:tcPr>
          <w:p w14:paraId="355E321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废水排放量Q/（m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vertAlign w:val="baseline"/>
                <w:lang w:val="en-US" w:eastAsia="zh-CN"/>
              </w:rPr>
              <w:t>/d）；</w:t>
            </w:r>
          </w:p>
          <w:p w14:paraId="7A2D6B1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vertAlign w:val="baseline"/>
                <w:lang w:val="en-US" w:eastAsia="zh-CN"/>
              </w:rPr>
              <w:t>水污染物当量数W/(量纲一)</w:t>
            </w:r>
          </w:p>
        </w:tc>
      </w:tr>
      <w:tr w14:paraId="25687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4" w:type="dxa"/>
            <w:tcBorders>
              <w:left w:val="nil"/>
            </w:tcBorders>
            <w:vAlign w:val="center"/>
          </w:tcPr>
          <w:p w14:paraId="6E933B79">
            <w:pPr>
              <w:keepNext w:val="0"/>
              <w:keepLines w:val="0"/>
              <w:widowControl w:val="0"/>
              <w:suppressLineNumbers w:val="0"/>
              <w:spacing w:before="79" w:beforeAutospacing="0" w:after="0" w:afterAutospacing="0" w:line="357"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一级</w:t>
            </w:r>
          </w:p>
        </w:tc>
        <w:tc>
          <w:tcPr>
            <w:tcW w:w="3144" w:type="dxa"/>
            <w:vAlign w:val="center"/>
          </w:tcPr>
          <w:p w14:paraId="25145081">
            <w:pPr>
              <w:keepNext w:val="0"/>
              <w:keepLines w:val="0"/>
              <w:widowControl w:val="0"/>
              <w:suppressLineNumbers w:val="0"/>
              <w:spacing w:before="79" w:beforeAutospacing="0" w:after="0" w:afterAutospacing="0" w:line="357"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直接排放</w:t>
            </w:r>
          </w:p>
        </w:tc>
        <w:tc>
          <w:tcPr>
            <w:tcW w:w="3144" w:type="dxa"/>
            <w:tcBorders>
              <w:right w:val="nil"/>
            </w:tcBorders>
            <w:vAlign w:val="center"/>
          </w:tcPr>
          <w:p w14:paraId="3C7FEC5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Q</w:t>
            </w:r>
            <w:r>
              <w:rPr>
                <w:rFonts w:hint="default" w:ascii="Times New Roman" w:hAnsi="Times New Roman" w:eastAsia="宋体" w:cs="Times New Roman"/>
                <w:snapToGrid w:val="0"/>
                <w:color w:val="auto"/>
                <w:kern w:val="0"/>
                <w:sz w:val="21"/>
                <w:szCs w:val="21"/>
                <w:lang w:val="en-US" w:eastAsia="zh-CN" w:bidi="ar"/>
              </w:rPr>
              <w:t>≥20000 或</w:t>
            </w:r>
            <w:r>
              <w:rPr>
                <w:rFonts w:hint="eastAsia" w:ascii="Times New Roman" w:hAnsi="Times New Roman" w:eastAsia="宋体" w:cs="Times New Roman"/>
                <w:snapToGrid w:val="0"/>
                <w:color w:val="auto"/>
                <w:kern w:val="0"/>
                <w:sz w:val="21"/>
                <w:szCs w:val="21"/>
                <w:lang w:val="en-US" w:eastAsia="zh-CN" w:bidi="ar"/>
              </w:rPr>
              <w:t>W</w:t>
            </w:r>
            <w:r>
              <w:rPr>
                <w:rFonts w:hint="default" w:ascii="Times New Roman" w:hAnsi="Times New Roman" w:eastAsia="宋体" w:cs="Times New Roman"/>
                <w:snapToGrid w:val="0"/>
                <w:color w:val="auto"/>
                <w:kern w:val="0"/>
                <w:sz w:val="21"/>
                <w:szCs w:val="21"/>
                <w:lang w:val="en-US" w:eastAsia="zh-CN" w:bidi="ar"/>
              </w:rPr>
              <w:t>≥600000</w:t>
            </w:r>
          </w:p>
        </w:tc>
      </w:tr>
      <w:tr w14:paraId="40076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4" w:type="dxa"/>
            <w:tcBorders>
              <w:left w:val="nil"/>
            </w:tcBorders>
            <w:vAlign w:val="center"/>
          </w:tcPr>
          <w:p w14:paraId="6EA72D5F">
            <w:pPr>
              <w:keepNext w:val="0"/>
              <w:keepLines w:val="0"/>
              <w:widowControl w:val="0"/>
              <w:suppressLineNumbers w:val="0"/>
              <w:spacing w:before="79" w:beforeAutospacing="0" w:after="0" w:afterAutospacing="0" w:line="357"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二级</w:t>
            </w:r>
          </w:p>
        </w:tc>
        <w:tc>
          <w:tcPr>
            <w:tcW w:w="3144" w:type="dxa"/>
            <w:vAlign w:val="center"/>
          </w:tcPr>
          <w:p w14:paraId="03EEF0DE">
            <w:pPr>
              <w:keepNext w:val="0"/>
              <w:keepLines w:val="0"/>
              <w:widowControl w:val="0"/>
              <w:suppressLineNumbers w:val="0"/>
              <w:spacing w:before="79" w:beforeAutospacing="0" w:after="0" w:afterAutospacing="0" w:line="357"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直接排放</w:t>
            </w:r>
          </w:p>
        </w:tc>
        <w:tc>
          <w:tcPr>
            <w:tcW w:w="3144" w:type="dxa"/>
            <w:tcBorders>
              <w:right w:val="nil"/>
            </w:tcBorders>
            <w:vAlign w:val="center"/>
          </w:tcPr>
          <w:p w14:paraId="3D7C167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snapToGrid w:val="0"/>
                <w:color w:val="auto"/>
                <w:kern w:val="0"/>
                <w:sz w:val="21"/>
                <w:szCs w:val="21"/>
                <w:lang w:val="en-US" w:eastAsia="zh-CN" w:bidi="ar"/>
              </w:rPr>
              <w:t>其他</w:t>
            </w:r>
          </w:p>
        </w:tc>
      </w:tr>
      <w:tr w14:paraId="4D464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4" w:type="dxa"/>
            <w:tcBorders>
              <w:left w:val="nil"/>
            </w:tcBorders>
            <w:vAlign w:val="center"/>
          </w:tcPr>
          <w:p w14:paraId="0CA6C91D">
            <w:pPr>
              <w:keepNext w:val="0"/>
              <w:keepLines w:val="0"/>
              <w:widowControl w:val="0"/>
              <w:suppressLineNumbers w:val="0"/>
              <w:spacing w:before="79" w:beforeAutospacing="0" w:after="0" w:afterAutospacing="0" w:line="357"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三级A</w:t>
            </w:r>
          </w:p>
        </w:tc>
        <w:tc>
          <w:tcPr>
            <w:tcW w:w="3144" w:type="dxa"/>
            <w:vAlign w:val="center"/>
          </w:tcPr>
          <w:p w14:paraId="06828DF7">
            <w:pPr>
              <w:keepNext w:val="0"/>
              <w:keepLines w:val="0"/>
              <w:widowControl w:val="0"/>
              <w:suppressLineNumbers w:val="0"/>
              <w:spacing w:before="79" w:beforeAutospacing="0" w:after="0" w:afterAutospacing="0" w:line="357"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直接排放</w:t>
            </w:r>
          </w:p>
        </w:tc>
        <w:tc>
          <w:tcPr>
            <w:tcW w:w="3144" w:type="dxa"/>
            <w:tcBorders>
              <w:right w:val="nil"/>
            </w:tcBorders>
            <w:vAlign w:val="center"/>
          </w:tcPr>
          <w:p w14:paraId="26A9E31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i/>
                <w:iCs/>
                <w:snapToGrid w:val="0"/>
                <w:color w:val="auto"/>
                <w:kern w:val="0"/>
                <w:sz w:val="21"/>
                <w:szCs w:val="21"/>
                <w:lang w:val="en-US" w:eastAsia="zh-CN" w:bidi="ar"/>
              </w:rPr>
              <w:t>Q</w:t>
            </w:r>
            <w:r>
              <w:rPr>
                <w:rFonts w:hint="default" w:ascii="Times New Roman" w:hAnsi="Times New Roman" w:eastAsia="宋体" w:cs="Times New Roman"/>
                <w:snapToGrid w:val="0"/>
                <w:color w:val="auto"/>
                <w:kern w:val="0"/>
                <w:sz w:val="21"/>
                <w:szCs w:val="21"/>
                <w:lang w:val="en-US" w:eastAsia="zh-CN" w:bidi="ar"/>
              </w:rPr>
              <w:t xml:space="preserve">＜200 且 </w:t>
            </w:r>
            <w:r>
              <w:rPr>
                <w:rFonts w:hint="default" w:ascii="Times New Roman" w:hAnsi="Times New Roman" w:eastAsia="宋体" w:cs="Times New Roman"/>
                <w:i/>
                <w:iCs/>
                <w:snapToGrid w:val="0"/>
                <w:color w:val="auto"/>
                <w:kern w:val="0"/>
                <w:sz w:val="21"/>
                <w:szCs w:val="21"/>
                <w:lang w:val="en-US" w:eastAsia="zh-CN" w:bidi="ar"/>
              </w:rPr>
              <w:t>W</w:t>
            </w:r>
            <w:r>
              <w:rPr>
                <w:rFonts w:hint="default" w:ascii="Times New Roman" w:hAnsi="Times New Roman" w:eastAsia="宋体" w:cs="Times New Roman"/>
                <w:snapToGrid w:val="0"/>
                <w:color w:val="auto"/>
                <w:kern w:val="0"/>
                <w:sz w:val="21"/>
                <w:szCs w:val="21"/>
                <w:lang w:val="en-US" w:eastAsia="zh-CN" w:bidi="ar"/>
              </w:rPr>
              <w:t>＜6 000</w:t>
            </w:r>
          </w:p>
        </w:tc>
      </w:tr>
      <w:tr w14:paraId="1DBA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4" w:type="dxa"/>
            <w:tcBorders>
              <w:left w:val="nil"/>
            </w:tcBorders>
            <w:vAlign w:val="center"/>
          </w:tcPr>
          <w:p w14:paraId="758DDF3F">
            <w:pPr>
              <w:keepNext w:val="0"/>
              <w:keepLines w:val="0"/>
              <w:widowControl w:val="0"/>
              <w:suppressLineNumbers w:val="0"/>
              <w:spacing w:before="79" w:beforeAutospacing="0" w:after="0" w:afterAutospacing="0" w:line="357"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三级B</w:t>
            </w:r>
          </w:p>
        </w:tc>
        <w:tc>
          <w:tcPr>
            <w:tcW w:w="3144" w:type="dxa"/>
            <w:vAlign w:val="center"/>
          </w:tcPr>
          <w:p w14:paraId="0B1FC5DD">
            <w:pPr>
              <w:keepNext w:val="0"/>
              <w:keepLines w:val="0"/>
              <w:widowControl w:val="0"/>
              <w:suppressLineNumbers w:val="0"/>
              <w:spacing w:before="79" w:beforeAutospacing="0" w:after="0" w:afterAutospacing="0" w:line="357"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间接排放</w:t>
            </w:r>
          </w:p>
        </w:tc>
        <w:tc>
          <w:tcPr>
            <w:tcW w:w="3144" w:type="dxa"/>
            <w:tcBorders>
              <w:right w:val="nil"/>
            </w:tcBorders>
            <w:vAlign w:val="center"/>
          </w:tcPr>
          <w:p w14:paraId="198CB5AE">
            <w:pPr>
              <w:keepNext w:val="0"/>
              <w:keepLines w:val="0"/>
              <w:widowControl w:val="0"/>
              <w:suppressLineNumbers w:val="0"/>
              <w:spacing w:before="79" w:beforeAutospacing="0" w:after="0" w:afterAutospacing="0" w:line="357" w:lineRule="auto"/>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w:t>
            </w:r>
          </w:p>
        </w:tc>
      </w:tr>
      <w:tr w14:paraId="4D80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2" w:type="dxa"/>
            <w:gridSpan w:val="3"/>
            <w:tcBorders>
              <w:left w:val="nil"/>
              <w:right w:val="nil"/>
            </w:tcBorders>
            <w:vAlign w:val="center"/>
          </w:tcPr>
          <w:p w14:paraId="7D928D89">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 w:val="18"/>
                <w:szCs w:val="18"/>
              </w:rPr>
            </w:pPr>
            <w:r>
              <w:rPr>
                <w:rFonts w:hint="default" w:ascii="Times New Roman" w:hAnsi="Times New Roman" w:eastAsia="宋体" w:cs="Times New Roman"/>
                <w:snapToGrid w:val="0"/>
                <w:color w:val="auto"/>
                <w:kern w:val="0"/>
                <w:sz w:val="18"/>
                <w:szCs w:val="18"/>
                <w:lang w:val="en-US" w:eastAsia="zh-CN" w:bidi="ar"/>
              </w:rPr>
              <w:t>注1：水污染物当量数等于该污染物的年排放量除以该污染物的污染当量值（见附录A），计算排放污染物的污染物当 量数，应区分第一类水污染物和其他类水污染物，统计第一类污染物当量数总和，然后与其他类污染物按照污染物当量 数从大到小排序，取最大当量数作为建设项目评价等级确定的依据。</w:t>
            </w:r>
          </w:p>
          <w:p w14:paraId="1545211C">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 w:val="18"/>
                <w:szCs w:val="18"/>
              </w:rPr>
            </w:pPr>
            <w:r>
              <w:rPr>
                <w:rFonts w:hint="default" w:ascii="Times New Roman" w:hAnsi="Times New Roman" w:eastAsia="宋体" w:cs="Times New Roman"/>
                <w:snapToGrid w:val="0"/>
                <w:color w:val="auto"/>
                <w:kern w:val="0"/>
                <w:sz w:val="18"/>
                <w:szCs w:val="18"/>
                <w:lang w:val="en-US" w:eastAsia="zh-CN" w:bidi="ar"/>
              </w:rPr>
              <w:t>注2：废水排放量按行业排放标准中规定的废水种类统计，没有相关行业排放标准要求的通过工程分析合理确定，应统 计含热量大的冷却水的排放量，可不统计间接冷却水、循环水及其他含污染物极少的清净下水的排放量。</w:t>
            </w:r>
          </w:p>
          <w:p w14:paraId="70858A63">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4"/>
                <w:szCs w:val="24"/>
                <w:highlight w:val="none"/>
                <w:vertAlign w:val="baseline"/>
                <w:lang w:val="en-US" w:eastAsia="zh-CN"/>
              </w:rPr>
            </w:pPr>
            <w:r>
              <w:rPr>
                <w:rFonts w:hint="default" w:ascii="Times New Roman" w:hAnsi="Times New Roman" w:eastAsia="宋体" w:cs="Times New Roman"/>
                <w:snapToGrid w:val="0"/>
                <w:color w:val="auto"/>
                <w:kern w:val="0"/>
                <w:sz w:val="18"/>
                <w:szCs w:val="18"/>
                <w:lang w:val="en-US" w:eastAsia="zh-CN" w:bidi="ar"/>
              </w:rPr>
              <w:t>注3：厂区存在堆积物（露天堆放的原料、燃料、废渣等以及垃圾堆放场）、降尘污染的，应将初期雨污水纳入废水排 放量，相应的主要污染物纳入水污染当量计算。</w:t>
            </w:r>
          </w:p>
        </w:tc>
      </w:tr>
      <w:tr w14:paraId="6587F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4" w:type="dxa"/>
            <w:vMerge w:val="restart"/>
            <w:tcBorders>
              <w:left w:val="nil"/>
            </w:tcBorders>
            <w:vAlign w:val="center"/>
          </w:tcPr>
          <w:p w14:paraId="5BADBE7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snapToGrid w:val="0"/>
                <w:color w:val="auto"/>
                <w:kern w:val="0"/>
                <w:sz w:val="21"/>
                <w:szCs w:val="21"/>
                <w:lang w:val="en-US" w:eastAsia="zh-CN" w:bidi="ar"/>
              </w:rPr>
              <w:t>评价等级</w:t>
            </w:r>
          </w:p>
        </w:tc>
        <w:tc>
          <w:tcPr>
            <w:tcW w:w="6288" w:type="dxa"/>
            <w:gridSpan w:val="2"/>
            <w:tcBorders>
              <w:right w:val="nil"/>
            </w:tcBorders>
            <w:vAlign w:val="center"/>
          </w:tcPr>
          <w:p w14:paraId="65F859E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snapToGrid w:val="0"/>
                <w:color w:val="auto"/>
                <w:kern w:val="0"/>
                <w:sz w:val="21"/>
                <w:szCs w:val="21"/>
                <w:lang w:val="en-US" w:eastAsia="zh-CN" w:bidi="ar"/>
              </w:rPr>
              <w:t>判定依据</w:t>
            </w:r>
          </w:p>
        </w:tc>
      </w:tr>
      <w:tr w14:paraId="6658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4" w:type="dxa"/>
            <w:vMerge w:val="continue"/>
            <w:tcBorders>
              <w:left w:val="nil"/>
            </w:tcBorders>
            <w:vAlign w:val="center"/>
          </w:tcPr>
          <w:p w14:paraId="6B2E0F55">
            <w:pPr>
              <w:keepNext w:val="0"/>
              <w:keepLines w:val="0"/>
              <w:widowControl w:val="0"/>
              <w:suppressLineNumbers w:val="0"/>
              <w:spacing w:before="79" w:beforeAutospacing="0" w:after="0" w:afterAutospacing="0" w:line="357" w:lineRule="auto"/>
              <w:ind w:left="0" w:right="0"/>
              <w:jc w:val="center"/>
              <w:rPr>
                <w:rFonts w:hint="default" w:ascii="Times New Roman" w:hAnsi="Times New Roman" w:eastAsia="宋体" w:cs="Times New Roman"/>
                <w:color w:val="auto"/>
                <w:sz w:val="21"/>
                <w:szCs w:val="21"/>
                <w:highlight w:val="none"/>
                <w:vertAlign w:val="baseline"/>
                <w:lang w:val="en-US" w:eastAsia="zh-CN"/>
              </w:rPr>
            </w:pPr>
          </w:p>
        </w:tc>
        <w:tc>
          <w:tcPr>
            <w:tcW w:w="3144" w:type="dxa"/>
            <w:vAlign w:val="center"/>
          </w:tcPr>
          <w:p w14:paraId="5372E3F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snapToGrid w:val="0"/>
                <w:color w:val="auto"/>
                <w:kern w:val="0"/>
                <w:sz w:val="21"/>
                <w:szCs w:val="21"/>
                <w:lang w:val="en-US" w:eastAsia="zh-CN" w:bidi="ar"/>
              </w:rPr>
              <w:t>排放方式</w:t>
            </w:r>
          </w:p>
        </w:tc>
        <w:tc>
          <w:tcPr>
            <w:tcW w:w="3144" w:type="dxa"/>
            <w:tcBorders>
              <w:right w:val="nil"/>
            </w:tcBorders>
            <w:vAlign w:val="center"/>
          </w:tcPr>
          <w:p w14:paraId="5CD3FC0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废水排放量Q/（m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vertAlign w:val="baseline"/>
                <w:lang w:val="en-US" w:eastAsia="zh-CN"/>
              </w:rPr>
              <w:t>/d）；</w:t>
            </w:r>
          </w:p>
          <w:p w14:paraId="7B47F53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水污染物当量数W/(量纲一)</w:t>
            </w:r>
          </w:p>
        </w:tc>
      </w:tr>
      <w:tr w14:paraId="582F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2" w:type="dxa"/>
            <w:gridSpan w:val="3"/>
            <w:tcBorders>
              <w:left w:val="nil"/>
              <w:bottom w:val="single" w:color="auto" w:sz="12" w:space="0"/>
              <w:right w:val="nil"/>
            </w:tcBorders>
            <w:vAlign w:val="center"/>
          </w:tcPr>
          <w:p w14:paraId="1E192AD4">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snapToGrid w:val="0"/>
                <w:color w:val="auto"/>
                <w:kern w:val="0"/>
                <w:sz w:val="18"/>
                <w:szCs w:val="18"/>
                <w:lang w:val="en-US" w:eastAsia="zh-CN" w:bidi="ar"/>
              </w:rPr>
            </w:pPr>
            <w:r>
              <w:rPr>
                <w:rFonts w:hint="default" w:ascii="Times New Roman" w:hAnsi="Times New Roman" w:eastAsia="宋体" w:cs="Times New Roman"/>
                <w:snapToGrid w:val="0"/>
                <w:color w:val="auto"/>
                <w:kern w:val="0"/>
                <w:sz w:val="18"/>
                <w:szCs w:val="18"/>
                <w:lang w:val="en-US" w:eastAsia="zh-CN" w:bidi="ar"/>
              </w:rPr>
              <w:t>注4：建设项目直接排放第一类污染物的，其评价等级为一级；建设项目直接排放的污染物为受纳水体超标因子的，评价等级不低于二级。</w:t>
            </w:r>
          </w:p>
          <w:p w14:paraId="0F72D3D9">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snapToGrid w:val="0"/>
                <w:color w:val="auto"/>
                <w:kern w:val="0"/>
                <w:sz w:val="18"/>
                <w:szCs w:val="18"/>
                <w:lang w:val="en-US" w:eastAsia="zh-CN" w:bidi="ar"/>
              </w:rPr>
            </w:pPr>
            <w:r>
              <w:rPr>
                <w:rFonts w:hint="default" w:ascii="Times New Roman" w:hAnsi="Times New Roman" w:eastAsia="宋体" w:cs="Times New Roman"/>
                <w:snapToGrid w:val="0"/>
                <w:color w:val="auto"/>
                <w:kern w:val="0"/>
                <w:sz w:val="18"/>
                <w:szCs w:val="18"/>
                <w:lang w:val="en-US" w:eastAsia="zh-CN" w:bidi="ar"/>
              </w:rPr>
              <w:t>注5：直接排放受纳水体影响范围涉及饮用水水源保护区、饮用水取水口、重点保护与珍稀水生生物的栖息地、重要水生生物的自然产卵场等保护目标时，评价等级不低于二级。</w:t>
            </w:r>
          </w:p>
          <w:p w14:paraId="1B64C056">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snapToGrid w:val="0"/>
                <w:color w:val="auto"/>
                <w:kern w:val="0"/>
                <w:sz w:val="18"/>
                <w:szCs w:val="18"/>
                <w:lang w:val="en-US" w:eastAsia="zh-CN" w:bidi="ar"/>
              </w:rPr>
            </w:pPr>
            <w:r>
              <w:rPr>
                <w:rFonts w:hint="default" w:ascii="Times New Roman" w:hAnsi="Times New Roman" w:eastAsia="宋体" w:cs="Times New Roman"/>
                <w:snapToGrid w:val="0"/>
                <w:color w:val="auto"/>
                <w:kern w:val="0"/>
                <w:sz w:val="18"/>
                <w:szCs w:val="18"/>
                <w:lang w:val="en-US" w:eastAsia="zh-CN" w:bidi="ar"/>
              </w:rPr>
              <w:t>注6：建设项目向河流、湖库排放温排水引起受纳水体水温变化超过水环境质量标准要求，且评价范围有水温敏感目标时，评价等级为一级。</w:t>
            </w:r>
          </w:p>
          <w:p w14:paraId="5156BCF1">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snapToGrid w:val="0"/>
                <w:color w:val="auto"/>
                <w:kern w:val="0"/>
                <w:sz w:val="18"/>
                <w:szCs w:val="18"/>
                <w:lang w:val="en-US" w:eastAsia="zh-CN" w:bidi="ar"/>
              </w:rPr>
            </w:pPr>
            <w:r>
              <w:rPr>
                <w:rFonts w:hint="default" w:ascii="Times New Roman" w:hAnsi="Times New Roman" w:eastAsia="宋体" w:cs="Times New Roman"/>
                <w:snapToGrid w:val="0"/>
                <w:color w:val="auto"/>
                <w:kern w:val="0"/>
                <w:sz w:val="18"/>
                <w:szCs w:val="18"/>
                <w:lang w:val="en-US" w:eastAsia="zh-CN" w:bidi="ar"/>
              </w:rPr>
              <w:t>注7：建设项目利用海水作为调节温度介质，排水量≥500万m</w:t>
            </w:r>
            <w:r>
              <w:rPr>
                <w:rFonts w:hint="default" w:ascii="Times New Roman" w:hAnsi="Times New Roman" w:eastAsia="宋体" w:cs="Times New Roman"/>
                <w:snapToGrid w:val="0"/>
                <w:color w:val="auto"/>
                <w:kern w:val="0"/>
                <w:sz w:val="18"/>
                <w:szCs w:val="18"/>
                <w:vertAlign w:val="superscript"/>
                <w:lang w:val="en-US" w:eastAsia="zh-CN" w:bidi="ar"/>
              </w:rPr>
              <w:t>3</w:t>
            </w:r>
            <w:r>
              <w:rPr>
                <w:rFonts w:hint="default" w:ascii="Times New Roman" w:hAnsi="Times New Roman" w:eastAsia="宋体" w:cs="Times New Roman"/>
                <w:snapToGrid w:val="0"/>
                <w:color w:val="auto"/>
                <w:kern w:val="0"/>
                <w:sz w:val="18"/>
                <w:szCs w:val="18"/>
                <w:lang w:val="en-US" w:eastAsia="zh-CN" w:bidi="ar"/>
              </w:rPr>
              <w:t>/d ，评价等级为一级；排水量＜500 万m</w:t>
            </w:r>
            <w:r>
              <w:rPr>
                <w:rFonts w:hint="default" w:ascii="Times New Roman" w:hAnsi="Times New Roman" w:eastAsia="宋体" w:cs="Times New Roman"/>
                <w:snapToGrid w:val="0"/>
                <w:color w:val="auto"/>
                <w:kern w:val="0"/>
                <w:sz w:val="18"/>
                <w:szCs w:val="18"/>
                <w:vertAlign w:val="superscript"/>
                <w:lang w:val="en-US" w:eastAsia="zh-CN" w:bidi="ar"/>
              </w:rPr>
              <w:t>3</w:t>
            </w:r>
            <w:r>
              <w:rPr>
                <w:rFonts w:hint="default" w:ascii="Times New Roman" w:hAnsi="Times New Roman" w:eastAsia="宋体" w:cs="Times New Roman"/>
                <w:snapToGrid w:val="0"/>
                <w:color w:val="auto"/>
                <w:kern w:val="0"/>
                <w:sz w:val="18"/>
                <w:szCs w:val="18"/>
                <w:lang w:val="en-US" w:eastAsia="zh-CN" w:bidi="ar"/>
              </w:rPr>
              <w:t>/d ，评价等级为二级。</w:t>
            </w:r>
          </w:p>
          <w:p w14:paraId="3CA2C75B">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snapToGrid w:val="0"/>
                <w:color w:val="auto"/>
                <w:kern w:val="0"/>
                <w:sz w:val="18"/>
                <w:szCs w:val="18"/>
                <w:lang w:val="en-US" w:eastAsia="zh-CN" w:bidi="ar"/>
              </w:rPr>
            </w:pPr>
            <w:r>
              <w:rPr>
                <w:rFonts w:hint="default" w:ascii="Times New Roman" w:hAnsi="Times New Roman" w:eastAsia="宋体" w:cs="Times New Roman"/>
                <w:snapToGrid w:val="0"/>
                <w:color w:val="auto"/>
                <w:kern w:val="0"/>
                <w:sz w:val="18"/>
                <w:szCs w:val="18"/>
                <w:lang w:val="en-US" w:eastAsia="zh-CN" w:bidi="ar"/>
              </w:rPr>
              <w:t>注8：仅涉及清净下水排放的，如其排放水质满足受纳水体水环境质量标准要求的，评价等级为三 级A。</w:t>
            </w:r>
          </w:p>
          <w:p w14:paraId="0757E08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snapToGrid w:val="0"/>
                <w:color w:val="auto"/>
                <w:kern w:val="0"/>
                <w:sz w:val="18"/>
                <w:szCs w:val="18"/>
                <w:lang w:val="en-US" w:eastAsia="zh-CN" w:bidi="ar"/>
              </w:rPr>
            </w:pPr>
            <w:r>
              <w:rPr>
                <w:rFonts w:hint="default" w:ascii="Times New Roman" w:hAnsi="Times New Roman" w:eastAsia="宋体" w:cs="Times New Roman"/>
                <w:snapToGrid w:val="0"/>
                <w:color w:val="auto"/>
                <w:kern w:val="0"/>
                <w:sz w:val="18"/>
                <w:szCs w:val="18"/>
                <w:lang w:val="en-US" w:eastAsia="zh-CN" w:bidi="ar"/>
              </w:rPr>
              <w:t>注9：依托现有排放口，且对外环境未新增排放污染物的直接排放建设项目，评价等级参照间接排放，定为三级B。</w:t>
            </w:r>
          </w:p>
          <w:p w14:paraId="4628C96B">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4"/>
                <w:szCs w:val="24"/>
                <w:highlight w:val="none"/>
                <w:vertAlign w:val="baseline"/>
                <w:lang w:val="en-US" w:eastAsia="zh-CN"/>
              </w:rPr>
            </w:pPr>
            <w:r>
              <w:rPr>
                <w:rFonts w:hint="default" w:ascii="Times New Roman" w:hAnsi="Times New Roman" w:eastAsia="宋体" w:cs="Times New Roman"/>
                <w:snapToGrid w:val="0"/>
                <w:color w:val="auto"/>
                <w:kern w:val="0"/>
                <w:sz w:val="18"/>
                <w:szCs w:val="18"/>
                <w:lang w:val="en-US" w:eastAsia="zh-CN" w:bidi="ar"/>
              </w:rPr>
              <w:t>注10：建设项目生产工艺中有废水产生，但作为回水利用，不排放到外环境的，按三级B评价。</w:t>
            </w:r>
          </w:p>
        </w:tc>
      </w:tr>
    </w:tbl>
    <w:p w14:paraId="4BC680DB">
      <w:pPr>
        <w:spacing w:before="79" w:line="357" w:lineRule="auto"/>
        <w:ind w:firstLine="480" w:firstLineChars="200"/>
        <w:jc w:val="both"/>
        <w:rPr>
          <w:rFonts w:hint="eastAsia" w:ascii="Times New Roman" w:hAnsi="Times New Roman" w:eastAsia="宋体" w:cs="Times New Roman"/>
          <w:color w:val="auto"/>
          <w:spacing w:val="-3"/>
          <w:sz w:val="24"/>
          <w:szCs w:val="24"/>
          <w:highlight w:val="none"/>
          <w:lang w:val="en-US" w:eastAsia="zh-CN"/>
        </w:rPr>
      </w:pPr>
      <w:r>
        <w:rPr>
          <w:rFonts w:hint="eastAsia" w:ascii="宋体" w:hAnsi="宋体" w:eastAsia="宋体" w:cs="宋体"/>
          <w:color w:val="auto"/>
          <w:sz w:val="24"/>
          <w:szCs w:val="24"/>
          <w:highlight w:val="none"/>
          <w:lang w:val="en-US" w:eastAsia="zh-CN"/>
        </w:rPr>
        <w:t>鸡西市朝阳净水厂依托原有入河排污口及排污管线</w:t>
      </w:r>
      <w:r>
        <w:rPr>
          <w:rFonts w:hint="eastAsia" w:ascii="宋体" w:hAnsi="宋体" w:eastAsia="宋体" w:cs="宋体"/>
          <w:color w:val="auto"/>
          <w:sz w:val="24"/>
          <w:szCs w:val="24"/>
          <w:highlight w:val="none"/>
        </w:rPr>
        <w:t>，</w:t>
      </w:r>
      <w:r>
        <w:rPr>
          <w:rFonts w:hint="eastAsia" w:ascii="宋体" w:hAnsi="宋体" w:eastAsia="宋体" w:cs="宋体"/>
          <w:color w:val="auto"/>
          <w:spacing w:val="-3"/>
          <w:sz w:val="24"/>
          <w:szCs w:val="24"/>
          <w:highlight w:val="none"/>
        </w:rPr>
        <w:t>项目建成后废水排</w:t>
      </w:r>
      <w:r>
        <w:rPr>
          <w:rFonts w:ascii="宋体" w:hAnsi="宋体" w:eastAsia="宋体" w:cs="宋体"/>
          <w:color w:val="auto"/>
          <w:spacing w:val="-3"/>
          <w:sz w:val="24"/>
          <w:szCs w:val="24"/>
          <w:highlight w:val="none"/>
        </w:rPr>
        <w:t>放方式为直接排放，排污口总排放量为</w:t>
      </w:r>
      <w:r>
        <w:rPr>
          <w:rFonts w:hint="default" w:ascii="Times New Roman" w:hAnsi="Times New Roman" w:eastAsia="宋体" w:cs="Times New Roman"/>
          <w:color w:val="auto"/>
          <w:kern w:val="0"/>
          <w:sz w:val="24"/>
          <w:szCs w:val="24"/>
        </w:rPr>
        <w:t>7</w:t>
      </w:r>
      <w:r>
        <w:rPr>
          <w:rFonts w:hint="default" w:ascii="Times New Roman" w:hAnsi="Times New Roman" w:eastAsia="宋体" w:cs="Times New Roman"/>
          <w:color w:val="auto"/>
          <w:kern w:val="0"/>
          <w:sz w:val="24"/>
          <w:szCs w:val="24"/>
          <w:lang w:val="en-US" w:eastAsia="zh-CN"/>
        </w:rPr>
        <w:t>08.435</w:t>
      </w:r>
      <w:r>
        <w:rPr>
          <w:rFonts w:ascii="Times New Roman" w:hAnsi="Times New Roman" w:eastAsia="Times New Roman" w:cs="Times New Roman"/>
          <w:color w:val="auto"/>
          <w:spacing w:val="-3"/>
          <w:sz w:val="24"/>
          <w:szCs w:val="24"/>
          <w:highlight w:val="none"/>
        </w:rPr>
        <w:t>m</w:t>
      </w:r>
      <w:r>
        <w:rPr>
          <w:rFonts w:hint="eastAsia" w:ascii="Times New Roman" w:hAnsi="Times New Roman" w:eastAsia="宋体" w:cs="Times New Roman"/>
          <w:color w:val="auto"/>
          <w:spacing w:val="-3"/>
          <w:sz w:val="24"/>
          <w:szCs w:val="24"/>
          <w:highlight w:val="none"/>
          <w:vertAlign w:val="superscript"/>
          <w:lang w:val="en-US" w:eastAsia="zh-CN"/>
        </w:rPr>
        <w:t>3</w:t>
      </w:r>
      <w:r>
        <w:rPr>
          <w:rFonts w:ascii="Times New Roman" w:hAnsi="Times New Roman" w:eastAsia="Times New Roman" w:cs="Times New Roman"/>
          <w:color w:val="auto"/>
          <w:spacing w:val="-3"/>
          <w:sz w:val="24"/>
          <w:szCs w:val="24"/>
          <w:highlight w:val="none"/>
        </w:rPr>
        <w:t>/d</w:t>
      </w:r>
      <w:r>
        <w:rPr>
          <w:rFonts w:ascii="宋体" w:hAnsi="宋体" w:eastAsia="宋体" w:cs="宋体"/>
          <w:color w:val="auto"/>
          <w:spacing w:val="-3"/>
          <w:sz w:val="24"/>
          <w:szCs w:val="24"/>
          <w:highlight w:val="none"/>
        </w:rPr>
        <w:t>（</w:t>
      </w:r>
      <w:r>
        <w:rPr>
          <w:rFonts w:ascii="Times New Roman" w:hAnsi="Times New Roman" w:eastAsia="Times New Roman" w:cs="Times New Roman"/>
          <w:color w:val="auto"/>
          <w:spacing w:val="-3"/>
          <w:sz w:val="24"/>
          <w:szCs w:val="24"/>
          <w:highlight w:val="none"/>
        </w:rPr>
        <w:t>200</w:t>
      </w:r>
      <w:r>
        <w:rPr>
          <w:rFonts w:ascii="宋体" w:hAnsi="宋体" w:eastAsia="宋体" w:cs="宋体"/>
          <w:color w:val="auto"/>
          <w:spacing w:val="-3"/>
          <w:sz w:val="24"/>
          <w:szCs w:val="24"/>
          <w:highlight w:val="none"/>
        </w:rPr>
        <w:t>＜</w:t>
      </w:r>
      <w:r>
        <w:rPr>
          <w:rFonts w:ascii="Times New Roman" w:hAnsi="Times New Roman" w:eastAsia="Times New Roman" w:cs="Times New Roman"/>
          <w:color w:val="auto"/>
          <w:spacing w:val="-3"/>
          <w:sz w:val="24"/>
          <w:szCs w:val="24"/>
          <w:highlight w:val="none"/>
        </w:rPr>
        <w:t>Q</w:t>
      </w:r>
      <w:r>
        <w:rPr>
          <w:rFonts w:ascii="宋体" w:hAnsi="宋体" w:eastAsia="宋体" w:cs="宋体"/>
          <w:color w:val="auto"/>
          <w:spacing w:val="-3"/>
          <w:sz w:val="24"/>
          <w:szCs w:val="24"/>
          <w:highlight w:val="none"/>
        </w:rPr>
        <w:t>＜</w:t>
      </w:r>
      <w:r>
        <w:rPr>
          <w:rFonts w:ascii="Times New Roman" w:hAnsi="Times New Roman" w:eastAsia="Times New Roman" w:cs="Times New Roman"/>
          <w:color w:val="auto"/>
          <w:spacing w:val="-3"/>
          <w:sz w:val="24"/>
          <w:szCs w:val="24"/>
          <w:highlight w:val="none"/>
        </w:rPr>
        <w:t>20000</w:t>
      </w:r>
      <w:r>
        <w:rPr>
          <w:rFonts w:ascii="宋体" w:hAnsi="宋体" w:eastAsia="宋体" w:cs="宋体"/>
          <w:color w:val="auto"/>
          <w:spacing w:val="-3"/>
          <w:sz w:val="24"/>
          <w:szCs w:val="24"/>
          <w:highlight w:val="none"/>
        </w:rPr>
        <w:t>）。</w:t>
      </w:r>
      <w:r>
        <w:rPr>
          <w:rFonts w:hint="default" w:ascii="Times New Roman" w:hAnsi="Times New Roman" w:eastAsia="宋体" w:cs="Times New Roman"/>
          <w:color w:val="auto"/>
          <w:spacing w:val="-3"/>
          <w:sz w:val="24"/>
          <w:szCs w:val="24"/>
          <w:highlight w:val="none"/>
          <w:lang w:val="en-US" w:eastAsia="zh-CN"/>
        </w:rPr>
        <w:t>水污染物当量数W见</w:t>
      </w:r>
      <w:r>
        <w:rPr>
          <w:rFonts w:hint="eastAsia" w:ascii="Times New Roman" w:hAnsi="Times New Roman" w:eastAsia="宋体" w:cs="Times New Roman"/>
          <w:color w:val="auto"/>
          <w:spacing w:val="-3"/>
          <w:sz w:val="24"/>
          <w:szCs w:val="24"/>
          <w:highlight w:val="none"/>
          <w:lang w:val="en-US" w:eastAsia="zh-CN"/>
        </w:rPr>
        <w:t>表1-4。</w:t>
      </w:r>
    </w:p>
    <w:p w14:paraId="476E3E1F">
      <w:pPr>
        <w:bidi w:val="0"/>
        <w:jc w:val="center"/>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表1-</w:t>
      </w:r>
      <w:r>
        <w:rPr>
          <w:rFonts w:hint="eastAsia" w:ascii="Times New Roman" w:hAnsi="Times New Roman" w:eastAsia="宋体"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lang w:val="en-US" w:eastAsia="zh-CN"/>
        </w:rPr>
        <w:t>水污染物当量数一览表</w:t>
      </w:r>
    </w:p>
    <w:tbl>
      <w:tblPr>
        <w:tblStyle w:val="36"/>
        <w:tblW w:w="94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7"/>
        <w:gridCol w:w="2432"/>
        <w:gridCol w:w="2027"/>
        <w:gridCol w:w="2963"/>
      </w:tblGrid>
      <w:tr w14:paraId="0596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2017" w:type="dxa"/>
            <w:tcBorders>
              <w:left w:val="nil"/>
            </w:tcBorders>
            <w:vAlign w:val="center"/>
          </w:tcPr>
          <w:p w14:paraId="5AFC33C1">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污染物名称</w:t>
            </w:r>
          </w:p>
        </w:tc>
        <w:tc>
          <w:tcPr>
            <w:tcW w:w="2432" w:type="dxa"/>
            <w:vAlign w:val="center"/>
          </w:tcPr>
          <w:p w14:paraId="7506EC56">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污染物当量值kg</w:t>
            </w:r>
          </w:p>
        </w:tc>
        <w:tc>
          <w:tcPr>
            <w:tcW w:w="2027" w:type="dxa"/>
            <w:vAlign w:val="center"/>
          </w:tcPr>
          <w:p w14:paraId="290FD87A">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污染物年排放量t</w:t>
            </w:r>
          </w:p>
        </w:tc>
        <w:tc>
          <w:tcPr>
            <w:tcW w:w="2963" w:type="dxa"/>
            <w:tcBorders>
              <w:right w:val="nil"/>
            </w:tcBorders>
            <w:vAlign w:val="center"/>
          </w:tcPr>
          <w:p w14:paraId="5817C87A">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水污染物当量数W（无量纲）</w:t>
            </w:r>
          </w:p>
        </w:tc>
      </w:tr>
      <w:tr w14:paraId="0E82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2017" w:type="dxa"/>
            <w:tcBorders>
              <w:left w:val="nil"/>
            </w:tcBorders>
            <w:vAlign w:val="center"/>
          </w:tcPr>
          <w:p w14:paraId="740C38A5">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COD</w:t>
            </w:r>
          </w:p>
        </w:tc>
        <w:tc>
          <w:tcPr>
            <w:tcW w:w="2432" w:type="dxa"/>
            <w:vAlign w:val="center"/>
          </w:tcPr>
          <w:p w14:paraId="0C029B7E">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w:t>
            </w:r>
          </w:p>
        </w:tc>
        <w:tc>
          <w:tcPr>
            <w:tcW w:w="2027" w:type="dxa"/>
            <w:vAlign w:val="center"/>
          </w:tcPr>
          <w:p w14:paraId="0DCE78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lang w:val="en-US" w:eastAsia="zh-CN"/>
              </w:rPr>
              <w:t>4.65</w:t>
            </w:r>
          </w:p>
        </w:tc>
        <w:tc>
          <w:tcPr>
            <w:tcW w:w="2963" w:type="dxa"/>
            <w:tcBorders>
              <w:right w:val="nil"/>
            </w:tcBorders>
            <w:vAlign w:val="center"/>
          </w:tcPr>
          <w:p w14:paraId="2A6EFDDD">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4650</w:t>
            </w:r>
          </w:p>
        </w:tc>
      </w:tr>
      <w:tr w14:paraId="4EF3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2017" w:type="dxa"/>
            <w:tcBorders>
              <w:left w:val="nil"/>
            </w:tcBorders>
            <w:vAlign w:val="center"/>
          </w:tcPr>
          <w:p w14:paraId="545E1E1F">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BOD</w:t>
            </w:r>
            <w:r>
              <w:rPr>
                <w:rFonts w:hint="default" w:ascii="Times New Roman" w:hAnsi="Times New Roman" w:eastAsia="宋体" w:cs="Times New Roman"/>
                <w:color w:val="auto"/>
                <w:sz w:val="21"/>
                <w:szCs w:val="21"/>
                <w:highlight w:val="none"/>
                <w:vertAlign w:val="superscript"/>
                <w:lang w:val="en-US" w:eastAsia="zh-CN"/>
              </w:rPr>
              <w:t>5</w:t>
            </w:r>
          </w:p>
        </w:tc>
        <w:tc>
          <w:tcPr>
            <w:tcW w:w="2432" w:type="dxa"/>
            <w:vAlign w:val="center"/>
          </w:tcPr>
          <w:p w14:paraId="57867B54">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0.5</w:t>
            </w:r>
          </w:p>
        </w:tc>
        <w:tc>
          <w:tcPr>
            <w:tcW w:w="2027" w:type="dxa"/>
            <w:vAlign w:val="center"/>
          </w:tcPr>
          <w:p w14:paraId="4022C1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lang w:val="en-US" w:eastAsia="zh-CN"/>
              </w:rPr>
              <w:t>0.91</w:t>
            </w:r>
          </w:p>
        </w:tc>
        <w:tc>
          <w:tcPr>
            <w:tcW w:w="2963" w:type="dxa"/>
            <w:tcBorders>
              <w:right w:val="nil"/>
            </w:tcBorders>
            <w:vAlign w:val="center"/>
          </w:tcPr>
          <w:p w14:paraId="7E105D87">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1820</w:t>
            </w:r>
          </w:p>
        </w:tc>
      </w:tr>
      <w:tr w14:paraId="35450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2017" w:type="dxa"/>
            <w:tcBorders>
              <w:left w:val="nil"/>
            </w:tcBorders>
            <w:vAlign w:val="center"/>
          </w:tcPr>
          <w:p w14:paraId="6E7F1407">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SS</w:t>
            </w:r>
          </w:p>
        </w:tc>
        <w:tc>
          <w:tcPr>
            <w:tcW w:w="2432" w:type="dxa"/>
            <w:vAlign w:val="center"/>
          </w:tcPr>
          <w:p w14:paraId="6FA52E14">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4</w:t>
            </w:r>
          </w:p>
        </w:tc>
        <w:tc>
          <w:tcPr>
            <w:tcW w:w="2027" w:type="dxa"/>
            <w:vAlign w:val="center"/>
          </w:tcPr>
          <w:p w14:paraId="77F4ED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lang w:val="en-US" w:eastAsia="zh-CN"/>
              </w:rPr>
              <w:t>1.62</w:t>
            </w:r>
          </w:p>
        </w:tc>
        <w:tc>
          <w:tcPr>
            <w:tcW w:w="2963" w:type="dxa"/>
            <w:tcBorders>
              <w:right w:val="nil"/>
            </w:tcBorders>
            <w:vAlign w:val="center"/>
          </w:tcPr>
          <w:p w14:paraId="43416C9E">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405</w:t>
            </w:r>
          </w:p>
        </w:tc>
      </w:tr>
      <w:tr w14:paraId="799B7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017" w:type="dxa"/>
            <w:tcBorders>
              <w:left w:val="nil"/>
            </w:tcBorders>
            <w:vAlign w:val="center"/>
          </w:tcPr>
          <w:p w14:paraId="1FE84D69">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氨氮</w:t>
            </w:r>
          </w:p>
        </w:tc>
        <w:tc>
          <w:tcPr>
            <w:tcW w:w="2432" w:type="dxa"/>
            <w:vAlign w:val="center"/>
          </w:tcPr>
          <w:p w14:paraId="7D036EBC">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0.8</w:t>
            </w:r>
          </w:p>
        </w:tc>
        <w:tc>
          <w:tcPr>
            <w:tcW w:w="2027" w:type="dxa"/>
            <w:vAlign w:val="center"/>
          </w:tcPr>
          <w:p w14:paraId="3762F7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lang w:val="en-US" w:eastAsia="zh-CN"/>
              </w:rPr>
              <w:t>0.13</w:t>
            </w:r>
          </w:p>
        </w:tc>
        <w:tc>
          <w:tcPr>
            <w:tcW w:w="2963" w:type="dxa"/>
            <w:tcBorders>
              <w:right w:val="nil"/>
            </w:tcBorders>
            <w:vAlign w:val="center"/>
          </w:tcPr>
          <w:p w14:paraId="52E4A202">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162.5</w:t>
            </w:r>
          </w:p>
        </w:tc>
      </w:tr>
    </w:tbl>
    <w:p w14:paraId="55F806FE">
      <w:pPr>
        <w:spacing w:before="79" w:line="357" w:lineRule="auto"/>
        <w:ind w:firstLine="480" w:firstLineChars="200"/>
        <w:jc w:val="both"/>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本项目地表水环境评价工作等级确定因素如下：</w:t>
      </w:r>
    </w:p>
    <w:p w14:paraId="2D17322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bidi="ar-SA"/>
        </w:rPr>
        <w:t>（1）</w:t>
      </w:r>
      <w:r>
        <w:rPr>
          <w:rFonts w:hint="default" w:ascii="Times New Roman" w:hAnsi="Times New Roman" w:eastAsia="宋体" w:cs="Times New Roman"/>
          <w:color w:val="auto"/>
          <w:sz w:val="24"/>
          <w:szCs w:val="24"/>
          <w:highlight w:val="none"/>
          <w:lang w:val="en-US" w:eastAsia="zh-CN"/>
        </w:rPr>
        <w:t>排放方式：排放方式为直接排放；</w:t>
      </w:r>
    </w:p>
    <w:p w14:paraId="56639AA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（2）污水量：污水排放量为</w:t>
      </w:r>
      <w:r>
        <w:rPr>
          <w:rFonts w:hint="default" w:ascii="Times New Roman" w:hAnsi="Times New Roman" w:eastAsia="宋体" w:cs="Times New Roman"/>
          <w:color w:val="auto"/>
          <w:kern w:val="0"/>
          <w:sz w:val="24"/>
          <w:szCs w:val="24"/>
        </w:rPr>
        <w:t>7</w:t>
      </w:r>
      <w:r>
        <w:rPr>
          <w:rFonts w:hint="default" w:ascii="Times New Roman" w:hAnsi="Times New Roman" w:eastAsia="宋体" w:cs="Times New Roman"/>
          <w:color w:val="auto"/>
          <w:kern w:val="0"/>
          <w:sz w:val="24"/>
          <w:szCs w:val="24"/>
          <w:lang w:val="en-US" w:eastAsia="zh-CN"/>
        </w:rPr>
        <w:t>08.435</w:t>
      </w:r>
      <w:r>
        <w:rPr>
          <w:rFonts w:ascii="Times New Roman" w:hAnsi="Times New Roman" w:eastAsia="Times New Roman" w:cs="Times New Roman"/>
          <w:color w:val="auto"/>
          <w:spacing w:val="-3"/>
          <w:sz w:val="24"/>
          <w:szCs w:val="24"/>
          <w:highlight w:val="none"/>
        </w:rPr>
        <w:t>m</w:t>
      </w:r>
      <w:r>
        <w:rPr>
          <w:rFonts w:hint="eastAsia" w:ascii="Times New Roman" w:hAnsi="Times New Roman" w:eastAsia="宋体" w:cs="Times New Roman"/>
          <w:color w:val="auto"/>
          <w:spacing w:val="-3"/>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/d ，</w:t>
      </w:r>
      <w:r>
        <w:rPr>
          <w:rFonts w:ascii="Times New Roman" w:hAnsi="Times New Roman" w:eastAsia="Times New Roman" w:cs="Times New Roman"/>
          <w:color w:val="auto"/>
          <w:spacing w:val="-3"/>
          <w:sz w:val="24"/>
          <w:szCs w:val="24"/>
          <w:highlight w:val="none"/>
        </w:rPr>
        <w:t>200</w:t>
      </w:r>
      <w:r>
        <w:rPr>
          <w:rFonts w:ascii="宋体" w:hAnsi="宋体" w:eastAsia="宋体" w:cs="宋体"/>
          <w:color w:val="auto"/>
          <w:spacing w:val="-3"/>
          <w:sz w:val="24"/>
          <w:szCs w:val="24"/>
          <w:highlight w:val="none"/>
        </w:rPr>
        <w:t>＜</w:t>
      </w:r>
      <w:r>
        <w:rPr>
          <w:rFonts w:ascii="Times New Roman" w:hAnsi="Times New Roman" w:eastAsia="Times New Roman" w:cs="Times New Roman"/>
          <w:color w:val="auto"/>
          <w:spacing w:val="-3"/>
          <w:sz w:val="24"/>
          <w:szCs w:val="24"/>
          <w:highlight w:val="none"/>
        </w:rPr>
        <w:t>Q</w:t>
      </w:r>
      <w:r>
        <w:rPr>
          <w:rFonts w:ascii="宋体" w:hAnsi="宋体" w:eastAsia="宋体" w:cs="宋体"/>
          <w:color w:val="auto"/>
          <w:spacing w:val="-3"/>
          <w:sz w:val="24"/>
          <w:szCs w:val="24"/>
          <w:highlight w:val="none"/>
        </w:rPr>
        <w:t>＜</w:t>
      </w:r>
      <w:r>
        <w:rPr>
          <w:rFonts w:ascii="Times New Roman" w:hAnsi="Times New Roman" w:eastAsia="Times New Roman" w:cs="Times New Roman"/>
          <w:color w:val="auto"/>
          <w:spacing w:val="-3"/>
          <w:sz w:val="24"/>
          <w:szCs w:val="24"/>
          <w:highlight w:val="none"/>
        </w:rPr>
        <w:t>20000</w:t>
      </w:r>
      <w:r>
        <w:rPr>
          <w:rFonts w:hint="default" w:ascii="Times New Roman" w:hAnsi="Times New Roman" w:eastAsia="宋体" w:cs="Times New Roman"/>
          <w:color w:val="auto"/>
          <w:sz w:val="24"/>
          <w:szCs w:val="24"/>
          <w:highlight w:val="none"/>
          <w:lang w:val="en-US" w:eastAsia="zh-CN"/>
        </w:rPr>
        <w:t>；</w:t>
      </w:r>
    </w:p>
    <w:p w14:paraId="1969302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jc w:val="both"/>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（3）水污染物当量数：最大水污染物当量数为</w:t>
      </w:r>
      <w:r>
        <w:rPr>
          <w:rFonts w:hint="eastAsia" w:ascii="Times New Roman" w:hAnsi="Times New Roman" w:eastAsia="宋体" w:cs="Times New Roman"/>
          <w:color w:val="auto"/>
          <w:sz w:val="24"/>
          <w:szCs w:val="24"/>
          <w:highlight w:val="none"/>
          <w:lang w:val="en-US" w:eastAsia="zh-CN"/>
        </w:rPr>
        <w:t>4650</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W</w:t>
      </w:r>
      <w:r>
        <w:rPr>
          <w:rFonts w:hint="default" w:ascii="Times New Roman" w:hAnsi="Times New Roman" w:eastAsia="宋体" w:cs="Times New Roman"/>
          <w:color w:val="auto"/>
          <w:sz w:val="24"/>
          <w:szCs w:val="24"/>
          <w:highlight w:val="none"/>
          <w:lang w:val="en-US" w:eastAsia="zh-CN"/>
        </w:rPr>
        <w:t>&lt;</w:t>
      </w:r>
      <w:r>
        <w:rPr>
          <w:rFonts w:hint="eastAsia" w:ascii="Times New Roman" w:hAnsi="Times New Roman" w:eastAsia="宋体" w:cs="Times New Roman"/>
          <w:color w:val="auto"/>
          <w:sz w:val="24"/>
          <w:szCs w:val="24"/>
          <w:highlight w:val="none"/>
          <w:lang w:val="en-US" w:eastAsia="zh-CN"/>
        </w:rPr>
        <w:t>6000</w:t>
      </w:r>
      <w:r>
        <w:rPr>
          <w:rFonts w:hint="default" w:ascii="Times New Roman" w:hAnsi="Times New Roman" w:eastAsia="宋体" w:cs="Times New Roman"/>
          <w:color w:val="auto"/>
          <w:sz w:val="24"/>
          <w:szCs w:val="24"/>
          <w:highlight w:val="none"/>
          <w:lang w:val="en-US" w:eastAsia="zh-CN"/>
        </w:rPr>
        <w:t>；根据以上条件判定本次地表水环境评价工作等级定为二级。</w:t>
      </w:r>
    </w:p>
    <w:p w14:paraId="10C68C7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2"/>
        <w:rPr>
          <w:rFonts w:ascii="宋体" w:hAnsi="宋体" w:eastAsia="宋体" w:cs="宋体"/>
          <w:color w:val="auto"/>
          <w:sz w:val="28"/>
          <w:szCs w:val="28"/>
        </w:rPr>
      </w:pPr>
      <w:bookmarkStart w:id="42" w:name="bookmark16"/>
      <w:bookmarkEnd w:id="42"/>
      <w:r>
        <w:rPr>
          <w:rFonts w:ascii="Times New Roman" w:hAnsi="Times New Roman" w:eastAsia="Times New Roman" w:cs="Times New Roman"/>
          <w:b/>
          <w:bCs/>
          <w:color w:val="auto"/>
          <w:spacing w:val="-3"/>
          <w:sz w:val="28"/>
          <w:szCs w:val="28"/>
        </w:rPr>
        <w:t>1.</w:t>
      </w:r>
      <w:r>
        <w:rPr>
          <w:rFonts w:hint="eastAsia" w:ascii="Times New Roman" w:hAnsi="Times New Roman" w:eastAsia="宋体" w:cs="Times New Roman"/>
          <w:b/>
          <w:bCs/>
          <w:color w:val="auto"/>
          <w:spacing w:val="-3"/>
          <w:sz w:val="28"/>
          <w:szCs w:val="28"/>
          <w:lang w:val="en-US" w:eastAsia="zh-CN"/>
        </w:rPr>
        <w:t>6</w:t>
      </w:r>
      <w:r>
        <w:rPr>
          <w:rFonts w:ascii="Times New Roman" w:hAnsi="Times New Roman" w:eastAsia="Times New Roman" w:cs="Times New Roman"/>
          <w:b/>
          <w:bCs/>
          <w:color w:val="auto"/>
          <w:spacing w:val="-3"/>
          <w:sz w:val="28"/>
          <w:szCs w:val="28"/>
        </w:rPr>
        <w:t xml:space="preserve">.2  </w:t>
      </w:r>
      <w:r>
        <w:rPr>
          <w:rFonts w:ascii="宋体" w:hAnsi="宋体" w:eastAsia="宋体" w:cs="宋体"/>
          <w:b/>
          <w:bCs/>
          <w:color w:val="auto"/>
          <w:spacing w:val="-3"/>
          <w:sz w:val="28"/>
          <w:szCs w:val="28"/>
        </w:rPr>
        <w:t>评价范围</w:t>
      </w:r>
    </w:p>
    <w:p w14:paraId="4EE180F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color w:val="auto"/>
          <w:sz w:val="24"/>
          <w:szCs w:val="24"/>
        </w:rPr>
      </w:pPr>
      <w:r>
        <w:rPr>
          <w:rFonts w:ascii="宋体" w:hAnsi="宋体" w:eastAsia="宋体" w:cs="宋体"/>
          <w:color w:val="auto"/>
          <w:sz w:val="24"/>
          <w:szCs w:val="24"/>
        </w:rPr>
        <w:t>根据《环境影响评价技术导则  地表水环境》（</w:t>
      </w:r>
      <w:r>
        <w:rPr>
          <w:rFonts w:ascii="Times New Roman" w:hAnsi="Times New Roman" w:eastAsia="Times New Roman" w:cs="Times New Roman"/>
          <w:color w:val="auto"/>
          <w:sz w:val="24"/>
          <w:szCs w:val="24"/>
        </w:rPr>
        <w:t>HJ2.3-2018</w:t>
      </w:r>
      <w:r>
        <w:rPr>
          <w:rFonts w:ascii="宋体" w:hAnsi="宋体" w:eastAsia="宋体" w:cs="宋体"/>
          <w:color w:val="auto"/>
          <w:spacing w:val="6"/>
          <w:sz w:val="24"/>
          <w:szCs w:val="24"/>
        </w:rPr>
        <w:t>），</w:t>
      </w:r>
      <w:r>
        <w:rPr>
          <w:rFonts w:hint="eastAsia" w:ascii="宋体" w:hAnsi="宋体" w:eastAsia="宋体" w:cs="宋体"/>
          <w:color w:val="auto"/>
          <w:spacing w:val="6"/>
          <w:sz w:val="24"/>
          <w:szCs w:val="24"/>
          <w:lang w:eastAsia="zh-CN"/>
        </w:rPr>
        <w:t>二级</w:t>
      </w:r>
      <w:r>
        <w:rPr>
          <w:rFonts w:ascii="宋体" w:hAnsi="宋体" w:eastAsia="宋体" w:cs="宋体"/>
          <w:color w:val="auto"/>
          <w:sz w:val="24"/>
          <w:szCs w:val="24"/>
        </w:rPr>
        <w:t>评价范围应符合以</w:t>
      </w:r>
      <w:r>
        <w:rPr>
          <w:rFonts w:ascii="宋体" w:hAnsi="宋体" w:eastAsia="宋体" w:cs="宋体"/>
          <w:color w:val="auto"/>
          <w:spacing w:val="-5"/>
          <w:sz w:val="24"/>
          <w:szCs w:val="24"/>
        </w:rPr>
        <w:t>下要求：</w:t>
      </w:r>
    </w:p>
    <w:p w14:paraId="69A79CE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ascii="宋体" w:hAnsi="宋体" w:eastAsia="宋体" w:cs="宋体"/>
          <w:color w:val="auto"/>
          <w:sz w:val="24"/>
          <w:szCs w:val="24"/>
        </w:rPr>
      </w:pPr>
      <w:r>
        <w:rPr>
          <w:rFonts w:ascii="Times New Roman" w:hAnsi="Times New Roman" w:eastAsia="Times New Roman" w:cs="Times New Roman"/>
          <w:color w:val="auto"/>
          <w:spacing w:val="-2"/>
          <w:sz w:val="24"/>
          <w:szCs w:val="24"/>
        </w:rPr>
        <w:t>1</w:t>
      </w:r>
      <w:r>
        <w:rPr>
          <w:rFonts w:ascii="Times New Roman" w:hAnsi="Times New Roman" w:eastAsia="Times New Roman" w:cs="Times New Roman"/>
          <w:color w:val="auto"/>
          <w:spacing w:val="-20"/>
          <w:sz w:val="24"/>
          <w:szCs w:val="24"/>
        </w:rPr>
        <w:t xml:space="preserve"> </w:t>
      </w:r>
      <w:r>
        <w:rPr>
          <w:rFonts w:ascii="宋体" w:hAnsi="宋体" w:eastAsia="宋体" w:cs="宋体"/>
          <w:color w:val="auto"/>
          <w:spacing w:val="-2"/>
          <w:sz w:val="24"/>
          <w:szCs w:val="24"/>
        </w:rPr>
        <w:t>、应根据主要污染物迁移转化状况，至少需覆盖建设项目污染影响所及水域；</w:t>
      </w:r>
    </w:p>
    <w:p w14:paraId="55901DD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4"/>
        <w:textAlignment w:val="baseline"/>
        <w:rPr>
          <w:rFonts w:ascii="宋体" w:hAnsi="宋体" w:eastAsia="宋体" w:cs="宋体"/>
          <w:color w:val="auto"/>
          <w:sz w:val="24"/>
          <w:szCs w:val="24"/>
        </w:rPr>
      </w:pPr>
      <w:r>
        <w:rPr>
          <w:rFonts w:ascii="Times New Roman" w:hAnsi="Times New Roman" w:eastAsia="Times New Roman" w:cs="Times New Roman"/>
          <w:color w:val="auto"/>
          <w:spacing w:val="1"/>
          <w:sz w:val="24"/>
          <w:szCs w:val="24"/>
        </w:rPr>
        <w:t>2</w:t>
      </w:r>
      <w:r>
        <w:rPr>
          <w:rFonts w:ascii="Times New Roman" w:hAnsi="Times New Roman" w:eastAsia="Times New Roman" w:cs="Times New Roman"/>
          <w:color w:val="auto"/>
          <w:spacing w:val="-31"/>
          <w:sz w:val="24"/>
          <w:szCs w:val="24"/>
        </w:rPr>
        <w:t xml:space="preserve"> </w:t>
      </w:r>
      <w:r>
        <w:rPr>
          <w:rFonts w:ascii="宋体" w:hAnsi="宋体" w:eastAsia="宋体" w:cs="宋体"/>
          <w:color w:val="auto"/>
          <w:spacing w:val="1"/>
          <w:sz w:val="24"/>
          <w:szCs w:val="24"/>
        </w:rPr>
        <w:t>、受纳水体为河流时，应满足覆盖对照断面、控制断面与削减断面等关心断</w:t>
      </w:r>
      <w:r>
        <w:rPr>
          <w:rFonts w:ascii="宋体" w:hAnsi="宋体" w:eastAsia="宋体" w:cs="宋体"/>
          <w:color w:val="auto"/>
          <w:sz w:val="24"/>
          <w:szCs w:val="24"/>
        </w:rPr>
        <w:t xml:space="preserve">面的 </w:t>
      </w:r>
      <w:r>
        <w:rPr>
          <w:rFonts w:ascii="宋体" w:hAnsi="宋体" w:eastAsia="宋体" w:cs="宋体"/>
          <w:color w:val="auto"/>
          <w:spacing w:val="-4"/>
          <w:sz w:val="24"/>
          <w:szCs w:val="24"/>
        </w:rPr>
        <w:t>要求；</w:t>
      </w:r>
    </w:p>
    <w:p w14:paraId="07645B2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3"/>
        <w:textAlignment w:val="baseline"/>
        <w:rPr>
          <w:rFonts w:ascii="宋体" w:hAnsi="宋体" w:eastAsia="宋体" w:cs="宋体"/>
          <w:color w:val="auto"/>
          <w:spacing w:val="-3"/>
          <w:sz w:val="24"/>
          <w:szCs w:val="24"/>
        </w:rPr>
      </w:pPr>
      <w:r>
        <w:rPr>
          <w:rFonts w:ascii="Times New Roman" w:hAnsi="Times New Roman" w:eastAsia="Times New Roman" w:cs="Times New Roman"/>
          <w:color w:val="auto"/>
          <w:spacing w:val="1"/>
          <w:sz w:val="24"/>
          <w:szCs w:val="24"/>
        </w:rPr>
        <w:t>3</w:t>
      </w:r>
      <w:r>
        <w:rPr>
          <w:rFonts w:ascii="Times New Roman" w:hAnsi="Times New Roman" w:eastAsia="Times New Roman" w:cs="Times New Roman"/>
          <w:color w:val="auto"/>
          <w:spacing w:val="-31"/>
          <w:sz w:val="24"/>
          <w:szCs w:val="24"/>
        </w:rPr>
        <w:t xml:space="preserve"> </w:t>
      </w:r>
      <w:r>
        <w:rPr>
          <w:rFonts w:ascii="宋体" w:hAnsi="宋体" w:eastAsia="宋体" w:cs="宋体"/>
          <w:color w:val="auto"/>
          <w:spacing w:val="1"/>
          <w:sz w:val="24"/>
          <w:szCs w:val="24"/>
        </w:rPr>
        <w:t>、影响范围涉及水环境保护目标的，评价范围至少应扩大到水环</w:t>
      </w:r>
      <w:r>
        <w:rPr>
          <w:rFonts w:ascii="宋体" w:hAnsi="宋体" w:eastAsia="宋体" w:cs="宋体"/>
          <w:color w:val="auto"/>
          <w:sz w:val="24"/>
          <w:szCs w:val="24"/>
        </w:rPr>
        <w:t xml:space="preserve">境保护目标内受 </w:t>
      </w:r>
      <w:r>
        <w:rPr>
          <w:rFonts w:ascii="宋体" w:hAnsi="宋体" w:eastAsia="宋体" w:cs="宋体"/>
          <w:color w:val="auto"/>
          <w:spacing w:val="-3"/>
          <w:sz w:val="24"/>
          <w:szCs w:val="24"/>
        </w:rPr>
        <w:t>到影响的水域。</w:t>
      </w:r>
    </w:p>
    <w:p w14:paraId="3EC0AA3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3"/>
        <w:textAlignment w:val="baseline"/>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根据实地调研，区域内游穆棱河取水口见</w:t>
      </w:r>
      <w:r>
        <w:rPr>
          <w:rFonts w:hint="default" w:ascii="Times New Roman" w:hAnsi="Times New Roman" w:eastAsia="宋体" w:cs="Times New Roman"/>
          <w:color w:val="auto"/>
          <w:spacing w:val="1"/>
          <w:sz w:val="24"/>
          <w:szCs w:val="24"/>
          <w:lang w:val="en-US" w:eastAsia="zh-CN"/>
        </w:rPr>
        <w:t>表1-</w:t>
      </w:r>
      <w:r>
        <w:rPr>
          <w:rFonts w:hint="eastAsia" w:ascii="Times New Roman" w:hAnsi="Times New Roman" w:eastAsia="宋体" w:cs="Times New Roman"/>
          <w:color w:val="auto"/>
          <w:spacing w:val="1"/>
          <w:sz w:val="24"/>
          <w:szCs w:val="24"/>
          <w:lang w:val="en-US" w:eastAsia="zh-CN"/>
        </w:rPr>
        <w:t>5。</w:t>
      </w:r>
    </w:p>
    <w:p w14:paraId="1E256D3F">
      <w:pPr>
        <w:bidi w:val="0"/>
        <w:jc w:val="center"/>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表1-</w:t>
      </w:r>
      <w:r>
        <w:rPr>
          <w:rFonts w:hint="eastAsia" w:ascii="Times New Roman" w:hAnsi="Times New Roman" w:eastAsia="宋体" w:cs="Times New Roman"/>
          <w:b/>
          <w:bCs/>
          <w:color w:val="auto"/>
          <w:sz w:val="24"/>
          <w:szCs w:val="24"/>
          <w:lang w:val="en-US" w:eastAsia="zh-CN"/>
        </w:rPr>
        <w:t>5</w:t>
      </w:r>
      <w:r>
        <w:rPr>
          <w:rFonts w:hint="default" w:ascii="Times New Roman" w:hAnsi="Times New Roman" w:eastAsia="宋体" w:cs="Times New Roman"/>
          <w:b/>
          <w:bCs/>
          <w:color w:val="auto"/>
          <w:sz w:val="24"/>
          <w:szCs w:val="24"/>
          <w:lang w:val="en-US" w:eastAsia="zh-CN"/>
        </w:rPr>
        <w:t>本项目穆棱河下游取水口统计表</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9"/>
        <w:gridCol w:w="4799"/>
        <w:gridCol w:w="1173"/>
        <w:gridCol w:w="1729"/>
        <w:gridCol w:w="1088"/>
      </w:tblGrid>
      <w:tr w14:paraId="02382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99" w:type="dxa"/>
            <w:tcBorders>
              <w:left w:val="nil"/>
            </w:tcBorders>
            <w:vAlign w:val="center"/>
          </w:tcPr>
          <w:p w14:paraId="3DA35BBF">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i w:val="0"/>
                <w:iCs w:val="0"/>
                <w:color w:val="auto"/>
                <w:sz w:val="21"/>
                <w:szCs w:val="21"/>
                <w:vertAlign w:val="baseline"/>
                <w:lang w:val="en-US" w:eastAsia="zh-CN"/>
              </w:rPr>
            </w:pPr>
            <w:r>
              <w:rPr>
                <w:rFonts w:hint="default" w:ascii="Times New Roman" w:hAnsi="Times New Roman" w:eastAsia="宋体" w:cs="Times New Roman"/>
                <w:b/>
                <w:bCs/>
                <w:i w:val="0"/>
                <w:iCs w:val="0"/>
                <w:color w:val="auto"/>
                <w:sz w:val="21"/>
                <w:szCs w:val="21"/>
                <w:vertAlign w:val="baseline"/>
                <w:lang w:val="en-US" w:eastAsia="zh-CN"/>
              </w:rPr>
              <w:t>序号</w:t>
            </w:r>
          </w:p>
        </w:tc>
        <w:tc>
          <w:tcPr>
            <w:tcW w:w="4799" w:type="dxa"/>
            <w:vAlign w:val="center"/>
          </w:tcPr>
          <w:p w14:paraId="6BA27815">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i w:val="0"/>
                <w:iCs w:val="0"/>
                <w:color w:val="auto"/>
                <w:sz w:val="21"/>
                <w:szCs w:val="21"/>
                <w:vertAlign w:val="baseline"/>
                <w:lang w:val="en-US" w:eastAsia="zh-CN"/>
              </w:rPr>
            </w:pPr>
            <w:r>
              <w:rPr>
                <w:rFonts w:hint="default" w:ascii="Times New Roman" w:hAnsi="Times New Roman" w:eastAsia="宋体" w:cs="Times New Roman"/>
                <w:b/>
                <w:bCs/>
                <w:i w:val="0"/>
                <w:iCs w:val="0"/>
                <w:color w:val="auto"/>
                <w:sz w:val="21"/>
                <w:szCs w:val="21"/>
                <w:vertAlign w:val="baseline"/>
                <w:lang w:val="en-US" w:eastAsia="zh-CN"/>
              </w:rPr>
              <w:t>取水口名称</w:t>
            </w:r>
          </w:p>
        </w:tc>
        <w:tc>
          <w:tcPr>
            <w:tcW w:w="1173" w:type="dxa"/>
            <w:vAlign w:val="center"/>
          </w:tcPr>
          <w:p w14:paraId="39DAFE99">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i w:val="0"/>
                <w:iCs w:val="0"/>
                <w:color w:val="auto"/>
                <w:sz w:val="21"/>
                <w:szCs w:val="21"/>
                <w:vertAlign w:val="baseline"/>
                <w:lang w:val="en-US" w:eastAsia="zh-CN"/>
              </w:rPr>
            </w:pPr>
            <w:r>
              <w:rPr>
                <w:rFonts w:hint="default" w:ascii="Times New Roman" w:hAnsi="Times New Roman" w:eastAsia="宋体" w:cs="Times New Roman"/>
                <w:b/>
                <w:bCs/>
                <w:i w:val="0"/>
                <w:iCs w:val="0"/>
                <w:color w:val="auto"/>
                <w:sz w:val="21"/>
                <w:szCs w:val="21"/>
                <w:vertAlign w:val="baseline"/>
                <w:lang w:val="en-US" w:eastAsia="zh-CN"/>
              </w:rPr>
              <w:t>取水用途</w:t>
            </w:r>
          </w:p>
        </w:tc>
        <w:tc>
          <w:tcPr>
            <w:tcW w:w="1729" w:type="dxa"/>
            <w:vAlign w:val="center"/>
          </w:tcPr>
          <w:p w14:paraId="57AB4901">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i w:val="0"/>
                <w:iCs w:val="0"/>
                <w:color w:val="auto"/>
                <w:sz w:val="21"/>
                <w:szCs w:val="21"/>
                <w:vertAlign w:val="baseline"/>
                <w:lang w:val="en-US" w:eastAsia="zh-CN"/>
              </w:rPr>
            </w:pPr>
            <w:r>
              <w:rPr>
                <w:rFonts w:hint="default" w:ascii="Times New Roman" w:hAnsi="Times New Roman" w:eastAsia="宋体" w:cs="Times New Roman"/>
                <w:b/>
                <w:bCs/>
                <w:i w:val="0"/>
                <w:iCs w:val="0"/>
                <w:color w:val="auto"/>
                <w:sz w:val="21"/>
                <w:szCs w:val="21"/>
                <w:vertAlign w:val="baseline"/>
                <w:lang w:val="en-US" w:eastAsia="zh-CN"/>
              </w:rPr>
              <w:t>位置</w:t>
            </w:r>
          </w:p>
        </w:tc>
        <w:tc>
          <w:tcPr>
            <w:tcW w:w="1088" w:type="dxa"/>
            <w:tcBorders>
              <w:right w:val="nil"/>
            </w:tcBorders>
            <w:vAlign w:val="center"/>
          </w:tcPr>
          <w:p w14:paraId="16C6D092">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i w:val="0"/>
                <w:iCs w:val="0"/>
                <w:color w:val="auto"/>
                <w:sz w:val="21"/>
                <w:szCs w:val="21"/>
                <w:vertAlign w:val="baseline"/>
                <w:lang w:val="en-US" w:eastAsia="zh-CN"/>
              </w:rPr>
            </w:pPr>
            <w:r>
              <w:rPr>
                <w:rFonts w:hint="default" w:ascii="Times New Roman" w:hAnsi="Times New Roman" w:eastAsia="宋体" w:cs="Times New Roman"/>
                <w:b/>
                <w:bCs/>
                <w:i w:val="0"/>
                <w:iCs w:val="0"/>
                <w:color w:val="auto"/>
                <w:sz w:val="21"/>
                <w:szCs w:val="21"/>
                <w:vertAlign w:val="baseline"/>
                <w:lang w:val="en-US" w:eastAsia="zh-CN"/>
              </w:rPr>
              <w:t>取水方式</w:t>
            </w:r>
          </w:p>
        </w:tc>
      </w:tr>
      <w:tr w14:paraId="0B01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99" w:type="dxa"/>
            <w:tcBorders>
              <w:left w:val="nil"/>
            </w:tcBorders>
            <w:vAlign w:val="center"/>
          </w:tcPr>
          <w:p w14:paraId="471EB12E">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w:t>
            </w:r>
          </w:p>
        </w:tc>
        <w:tc>
          <w:tcPr>
            <w:tcW w:w="4799" w:type="dxa"/>
            <w:vAlign w:val="center"/>
          </w:tcPr>
          <w:p w14:paraId="518FBC9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snapToGrid w:val="0"/>
                <w:color w:val="auto"/>
                <w:kern w:val="0"/>
                <w:sz w:val="21"/>
                <w:szCs w:val="21"/>
                <w:lang w:val="en-US" w:eastAsia="zh-CN" w:bidi="ar"/>
              </w:rPr>
              <w:t>鸡冠山渠首取水口</w:t>
            </w:r>
          </w:p>
        </w:tc>
        <w:tc>
          <w:tcPr>
            <w:tcW w:w="1173" w:type="dxa"/>
            <w:vAlign w:val="center"/>
          </w:tcPr>
          <w:p w14:paraId="4A945CBF">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农业灌溉</w:t>
            </w:r>
          </w:p>
        </w:tc>
        <w:tc>
          <w:tcPr>
            <w:tcW w:w="1729" w:type="dxa"/>
            <w:vAlign w:val="center"/>
          </w:tcPr>
          <w:p w14:paraId="079C572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snapToGrid w:val="0"/>
                <w:color w:val="auto"/>
                <w:kern w:val="0"/>
                <w:sz w:val="21"/>
                <w:szCs w:val="21"/>
                <w:lang w:val="en-US" w:eastAsia="zh-CN" w:bidi="ar"/>
              </w:rPr>
              <w:t>穆棱河干流右岸</w:t>
            </w:r>
          </w:p>
        </w:tc>
        <w:tc>
          <w:tcPr>
            <w:tcW w:w="1088" w:type="dxa"/>
            <w:tcBorders>
              <w:right w:val="nil"/>
            </w:tcBorders>
            <w:vAlign w:val="center"/>
          </w:tcPr>
          <w:p w14:paraId="475BF5C6">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自流</w:t>
            </w:r>
          </w:p>
        </w:tc>
      </w:tr>
      <w:tr w14:paraId="1E3E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99" w:type="dxa"/>
            <w:tcBorders>
              <w:left w:val="nil"/>
            </w:tcBorders>
            <w:shd w:val="clear" w:color="auto" w:fill="auto"/>
            <w:vAlign w:val="center"/>
          </w:tcPr>
          <w:p w14:paraId="1942FA04">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2</w:t>
            </w:r>
          </w:p>
        </w:tc>
        <w:tc>
          <w:tcPr>
            <w:tcW w:w="4799" w:type="dxa"/>
            <w:shd w:val="clear" w:color="auto" w:fill="auto"/>
            <w:vAlign w:val="center"/>
          </w:tcPr>
          <w:p w14:paraId="73B50DF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东明渠首取水口</w:t>
            </w:r>
          </w:p>
        </w:tc>
        <w:tc>
          <w:tcPr>
            <w:tcW w:w="1173" w:type="dxa"/>
            <w:shd w:val="clear" w:color="auto" w:fill="auto"/>
            <w:vAlign w:val="center"/>
          </w:tcPr>
          <w:p w14:paraId="4F8CA43E">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农业灌溉</w:t>
            </w:r>
          </w:p>
        </w:tc>
        <w:tc>
          <w:tcPr>
            <w:tcW w:w="1729" w:type="dxa"/>
            <w:shd w:val="clear" w:color="auto" w:fill="auto"/>
            <w:vAlign w:val="center"/>
          </w:tcPr>
          <w:p w14:paraId="083248B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穆棱河干流右岸</w:t>
            </w:r>
          </w:p>
        </w:tc>
        <w:tc>
          <w:tcPr>
            <w:tcW w:w="1088" w:type="dxa"/>
            <w:tcBorders>
              <w:right w:val="nil"/>
            </w:tcBorders>
            <w:shd w:val="clear" w:color="auto" w:fill="auto"/>
            <w:vAlign w:val="center"/>
          </w:tcPr>
          <w:p w14:paraId="426D8DB7">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自流</w:t>
            </w:r>
          </w:p>
        </w:tc>
      </w:tr>
      <w:tr w14:paraId="06B47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99" w:type="dxa"/>
            <w:tcBorders>
              <w:left w:val="nil"/>
            </w:tcBorders>
            <w:shd w:val="clear" w:color="auto" w:fill="auto"/>
            <w:vAlign w:val="center"/>
          </w:tcPr>
          <w:p w14:paraId="1D3C285D">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3</w:t>
            </w:r>
          </w:p>
        </w:tc>
        <w:tc>
          <w:tcPr>
            <w:tcW w:w="4799" w:type="dxa"/>
            <w:shd w:val="clear" w:color="auto" w:fill="auto"/>
            <w:vAlign w:val="center"/>
          </w:tcPr>
          <w:p w14:paraId="375373E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富密渠首取水口</w:t>
            </w:r>
          </w:p>
        </w:tc>
        <w:tc>
          <w:tcPr>
            <w:tcW w:w="1173" w:type="dxa"/>
            <w:shd w:val="clear" w:color="auto" w:fill="auto"/>
            <w:vAlign w:val="center"/>
          </w:tcPr>
          <w:p w14:paraId="51FF09EA">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农业灌溉</w:t>
            </w:r>
          </w:p>
        </w:tc>
        <w:tc>
          <w:tcPr>
            <w:tcW w:w="1729" w:type="dxa"/>
            <w:shd w:val="clear" w:color="auto" w:fill="auto"/>
            <w:vAlign w:val="center"/>
          </w:tcPr>
          <w:p w14:paraId="0AD63FD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穆棱河干流右岸</w:t>
            </w:r>
          </w:p>
        </w:tc>
        <w:tc>
          <w:tcPr>
            <w:tcW w:w="1088" w:type="dxa"/>
            <w:tcBorders>
              <w:right w:val="nil"/>
            </w:tcBorders>
            <w:shd w:val="clear" w:color="auto" w:fill="auto"/>
            <w:vAlign w:val="center"/>
          </w:tcPr>
          <w:p w14:paraId="3624C899">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自流</w:t>
            </w:r>
          </w:p>
        </w:tc>
      </w:tr>
      <w:tr w14:paraId="46C94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99" w:type="dxa"/>
            <w:tcBorders>
              <w:left w:val="nil"/>
            </w:tcBorders>
            <w:shd w:val="clear" w:color="auto" w:fill="auto"/>
            <w:vAlign w:val="center"/>
          </w:tcPr>
          <w:p w14:paraId="5DF4266F">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4</w:t>
            </w:r>
          </w:p>
        </w:tc>
        <w:tc>
          <w:tcPr>
            <w:tcW w:w="4799" w:type="dxa"/>
            <w:shd w:val="clear" w:color="auto" w:fill="auto"/>
            <w:vAlign w:val="center"/>
          </w:tcPr>
          <w:p w14:paraId="3123B1A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密山市富密灌区水利水保总站1取水口</w:t>
            </w:r>
          </w:p>
        </w:tc>
        <w:tc>
          <w:tcPr>
            <w:tcW w:w="1173" w:type="dxa"/>
            <w:shd w:val="clear" w:color="auto" w:fill="auto"/>
            <w:vAlign w:val="center"/>
          </w:tcPr>
          <w:p w14:paraId="76F4E58A">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农业灌溉</w:t>
            </w:r>
          </w:p>
        </w:tc>
        <w:tc>
          <w:tcPr>
            <w:tcW w:w="1729" w:type="dxa"/>
            <w:shd w:val="clear" w:color="auto" w:fill="auto"/>
            <w:vAlign w:val="center"/>
          </w:tcPr>
          <w:p w14:paraId="7FD2820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穆棱河干流左岸</w:t>
            </w:r>
          </w:p>
        </w:tc>
        <w:tc>
          <w:tcPr>
            <w:tcW w:w="1088" w:type="dxa"/>
            <w:tcBorders>
              <w:right w:val="nil"/>
            </w:tcBorders>
            <w:shd w:val="clear" w:color="auto" w:fill="auto"/>
            <w:vAlign w:val="center"/>
          </w:tcPr>
          <w:p w14:paraId="3654698A">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自流</w:t>
            </w:r>
          </w:p>
        </w:tc>
      </w:tr>
      <w:tr w14:paraId="47E9E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99" w:type="dxa"/>
            <w:tcBorders>
              <w:left w:val="nil"/>
            </w:tcBorders>
            <w:shd w:val="clear" w:color="auto" w:fill="auto"/>
            <w:vAlign w:val="center"/>
          </w:tcPr>
          <w:p w14:paraId="7867FF52">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5</w:t>
            </w:r>
          </w:p>
        </w:tc>
        <w:tc>
          <w:tcPr>
            <w:tcW w:w="4799" w:type="dxa"/>
            <w:shd w:val="clear" w:color="auto" w:fill="auto"/>
            <w:vAlign w:val="center"/>
          </w:tcPr>
          <w:p w14:paraId="080F26D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密山市富密灌区水利水保总站3取水口</w:t>
            </w:r>
          </w:p>
        </w:tc>
        <w:tc>
          <w:tcPr>
            <w:tcW w:w="1173" w:type="dxa"/>
            <w:shd w:val="clear" w:color="auto" w:fill="auto"/>
            <w:vAlign w:val="center"/>
          </w:tcPr>
          <w:p w14:paraId="4FDE17BE">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农业灌溉</w:t>
            </w:r>
          </w:p>
        </w:tc>
        <w:tc>
          <w:tcPr>
            <w:tcW w:w="1729" w:type="dxa"/>
            <w:shd w:val="clear" w:color="auto" w:fill="auto"/>
            <w:vAlign w:val="center"/>
          </w:tcPr>
          <w:p w14:paraId="2D6656E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穆棱河干流左岸</w:t>
            </w:r>
          </w:p>
        </w:tc>
        <w:tc>
          <w:tcPr>
            <w:tcW w:w="1088" w:type="dxa"/>
            <w:tcBorders>
              <w:right w:val="nil"/>
            </w:tcBorders>
            <w:shd w:val="clear" w:color="auto" w:fill="auto"/>
            <w:vAlign w:val="center"/>
          </w:tcPr>
          <w:p w14:paraId="76A72049">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自流</w:t>
            </w:r>
          </w:p>
        </w:tc>
      </w:tr>
      <w:tr w14:paraId="3CA12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99" w:type="dxa"/>
            <w:tcBorders>
              <w:left w:val="nil"/>
            </w:tcBorders>
            <w:shd w:val="clear" w:color="auto" w:fill="auto"/>
            <w:vAlign w:val="center"/>
          </w:tcPr>
          <w:p w14:paraId="5E4A9E42">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6</w:t>
            </w:r>
          </w:p>
        </w:tc>
        <w:tc>
          <w:tcPr>
            <w:tcW w:w="4799" w:type="dxa"/>
            <w:shd w:val="clear" w:color="auto" w:fill="auto"/>
            <w:vAlign w:val="center"/>
          </w:tcPr>
          <w:p w14:paraId="5D01674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密山市集贤灌区水利水保总站当壁镇分站1取水口</w:t>
            </w:r>
          </w:p>
        </w:tc>
        <w:tc>
          <w:tcPr>
            <w:tcW w:w="1173" w:type="dxa"/>
            <w:shd w:val="clear" w:color="auto" w:fill="auto"/>
            <w:vAlign w:val="center"/>
          </w:tcPr>
          <w:p w14:paraId="360513AD">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农业灌溉</w:t>
            </w:r>
          </w:p>
        </w:tc>
        <w:tc>
          <w:tcPr>
            <w:tcW w:w="1729" w:type="dxa"/>
            <w:shd w:val="clear" w:color="auto" w:fill="auto"/>
            <w:vAlign w:val="center"/>
          </w:tcPr>
          <w:p w14:paraId="358D5BC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穆棱河干流右岸</w:t>
            </w:r>
          </w:p>
        </w:tc>
        <w:tc>
          <w:tcPr>
            <w:tcW w:w="1088" w:type="dxa"/>
            <w:tcBorders>
              <w:right w:val="nil"/>
            </w:tcBorders>
            <w:shd w:val="clear" w:color="auto" w:fill="auto"/>
            <w:vAlign w:val="center"/>
          </w:tcPr>
          <w:p w14:paraId="76FC13F8">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抽提</w:t>
            </w:r>
          </w:p>
        </w:tc>
      </w:tr>
      <w:tr w14:paraId="154E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99" w:type="dxa"/>
            <w:tcBorders>
              <w:left w:val="nil"/>
            </w:tcBorders>
            <w:shd w:val="clear" w:color="auto" w:fill="auto"/>
            <w:vAlign w:val="center"/>
          </w:tcPr>
          <w:p w14:paraId="30B81195">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7</w:t>
            </w:r>
          </w:p>
        </w:tc>
        <w:tc>
          <w:tcPr>
            <w:tcW w:w="4799" w:type="dxa"/>
            <w:shd w:val="clear" w:color="auto" w:fill="auto"/>
            <w:vAlign w:val="center"/>
          </w:tcPr>
          <w:p w14:paraId="77B4CE2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密山市知一灌区水利水保总站取水口</w:t>
            </w:r>
          </w:p>
        </w:tc>
        <w:tc>
          <w:tcPr>
            <w:tcW w:w="1173" w:type="dxa"/>
            <w:shd w:val="clear" w:color="auto" w:fill="auto"/>
            <w:vAlign w:val="center"/>
          </w:tcPr>
          <w:p w14:paraId="4108C3CB">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农业灌溉</w:t>
            </w:r>
          </w:p>
        </w:tc>
        <w:tc>
          <w:tcPr>
            <w:tcW w:w="1729" w:type="dxa"/>
            <w:shd w:val="clear" w:color="auto" w:fill="auto"/>
            <w:vAlign w:val="center"/>
          </w:tcPr>
          <w:p w14:paraId="2B9359B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穆棱河干流右岸</w:t>
            </w:r>
          </w:p>
        </w:tc>
        <w:tc>
          <w:tcPr>
            <w:tcW w:w="1088" w:type="dxa"/>
            <w:tcBorders>
              <w:right w:val="nil"/>
            </w:tcBorders>
            <w:shd w:val="clear" w:color="auto" w:fill="auto"/>
            <w:vAlign w:val="center"/>
          </w:tcPr>
          <w:p w14:paraId="6786E65A">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自流</w:t>
            </w:r>
          </w:p>
        </w:tc>
      </w:tr>
      <w:tr w14:paraId="2FFE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99" w:type="dxa"/>
            <w:tcBorders>
              <w:left w:val="nil"/>
            </w:tcBorders>
            <w:shd w:val="clear" w:color="auto" w:fill="auto"/>
            <w:vAlign w:val="center"/>
          </w:tcPr>
          <w:p w14:paraId="0C1EC281">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8</w:t>
            </w:r>
          </w:p>
        </w:tc>
        <w:tc>
          <w:tcPr>
            <w:tcW w:w="4799" w:type="dxa"/>
            <w:shd w:val="clear" w:color="auto" w:fill="auto"/>
            <w:vAlign w:val="center"/>
          </w:tcPr>
          <w:p w14:paraId="415DED23">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密山市青年灌区水利水保总站和平分站1取水口</w:t>
            </w:r>
          </w:p>
        </w:tc>
        <w:tc>
          <w:tcPr>
            <w:tcW w:w="1173" w:type="dxa"/>
            <w:shd w:val="clear" w:color="auto" w:fill="auto"/>
            <w:vAlign w:val="center"/>
          </w:tcPr>
          <w:p w14:paraId="2C5C8B26">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农业灌溉</w:t>
            </w:r>
          </w:p>
        </w:tc>
        <w:tc>
          <w:tcPr>
            <w:tcW w:w="1729" w:type="dxa"/>
            <w:shd w:val="clear" w:color="auto" w:fill="auto"/>
            <w:vAlign w:val="center"/>
          </w:tcPr>
          <w:p w14:paraId="10CAEFE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穆棱河干流左岸</w:t>
            </w:r>
          </w:p>
        </w:tc>
        <w:tc>
          <w:tcPr>
            <w:tcW w:w="1088" w:type="dxa"/>
            <w:tcBorders>
              <w:right w:val="nil"/>
            </w:tcBorders>
            <w:shd w:val="clear" w:color="auto" w:fill="auto"/>
            <w:vAlign w:val="center"/>
          </w:tcPr>
          <w:p w14:paraId="73F5FB70">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自流</w:t>
            </w:r>
          </w:p>
        </w:tc>
      </w:tr>
      <w:tr w14:paraId="1E7D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99" w:type="dxa"/>
            <w:tcBorders>
              <w:left w:val="nil"/>
            </w:tcBorders>
            <w:shd w:val="clear" w:color="auto" w:fill="auto"/>
            <w:vAlign w:val="center"/>
          </w:tcPr>
          <w:p w14:paraId="48A62172">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9</w:t>
            </w:r>
          </w:p>
        </w:tc>
        <w:tc>
          <w:tcPr>
            <w:tcW w:w="4799" w:type="dxa"/>
            <w:shd w:val="clear" w:color="auto" w:fill="auto"/>
            <w:vAlign w:val="center"/>
          </w:tcPr>
          <w:p w14:paraId="53964D0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密山市青年灌区水利水保总站和平分站2取水口</w:t>
            </w:r>
          </w:p>
        </w:tc>
        <w:tc>
          <w:tcPr>
            <w:tcW w:w="1173" w:type="dxa"/>
            <w:shd w:val="clear" w:color="auto" w:fill="auto"/>
            <w:vAlign w:val="center"/>
          </w:tcPr>
          <w:p w14:paraId="67AC9CE3">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农业灌溉</w:t>
            </w:r>
          </w:p>
        </w:tc>
        <w:tc>
          <w:tcPr>
            <w:tcW w:w="1729" w:type="dxa"/>
            <w:shd w:val="clear" w:color="auto" w:fill="auto"/>
            <w:vAlign w:val="center"/>
          </w:tcPr>
          <w:p w14:paraId="47DFF86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穆棱河干流左岸</w:t>
            </w:r>
          </w:p>
        </w:tc>
        <w:tc>
          <w:tcPr>
            <w:tcW w:w="1088" w:type="dxa"/>
            <w:tcBorders>
              <w:right w:val="nil"/>
            </w:tcBorders>
            <w:shd w:val="clear" w:color="auto" w:fill="auto"/>
            <w:vAlign w:val="center"/>
          </w:tcPr>
          <w:p w14:paraId="02A2D559">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自流</w:t>
            </w:r>
          </w:p>
        </w:tc>
      </w:tr>
      <w:tr w14:paraId="6D88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99" w:type="dxa"/>
            <w:tcBorders>
              <w:left w:val="nil"/>
            </w:tcBorders>
            <w:shd w:val="clear" w:color="auto" w:fill="auto"/>
            <w:vAlign w:val="center"/>
          </w:tcPr>
          <w:p w14:paraId="5A077065">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10</w:t>
            </w:r>
          </w:p>
        </w:tc>
        <w:tc>
          <w:tcPr>
            <w:tcW w:w="4799" w:type="dxa"/>
            <w:shd w:val="clear" w:color="auto" w:fill="auto"/>
            <w:vAlign w:val="center"/>
          </w:tcPr>
          <w:p w14:paraId="6441D01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密山市青年灌区水利水保总站和平分站3取水口</w:t>
            </w:r>
          </w:p>
        </w:tc>
        <w:tc>
          <w:tcPr>
            <w:tcW w:w="1173" w:type="dxa"/>
            <w:shd w:val="clear" w:color="auto" w:fill="auto"/>
            <w:vAlign w:val="center"/>
          </w:tcPr>
          <w:p w14:paraId="7BE6B75C">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农业灌溉</w:t>
            </w:r>
          </w:p>
        </w:tc>
        <w:tc>
          <w:tcPr>
            <w:tcW w:w="1729" w:type="dxa"/>
            <w:shd w:val="clear" w:color="auto" w:fill="auto"/>
            <w:vAlign w:val="center"/>
          </w:tcPr>
          <w:p w14:paraId="0E60832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穆棱河干流左岸</w:t>
            </w:r>
          </w:p>
        </w:tc>
        <w:tc>
          <w:tcPr>
            <w:tcW w:w="1088" w:type="dxa"/>
            <w:tcBorders>
              <w:right w:val="nil"/>
            </w:tcBorders>
            <w:shd w:val="clear" w:color="auto" w:fill="auto"/>
            <w:vAlign w:val="center"/>
          </w:tcPr>
          <w:p w14:paraId="4800A0FD">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自流</w:t>
            </w:r>
          </w:p>
        </w:tc>
      </w:tr>
      <w:tr w14:paraId="5128D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99" w:type="dxa"/>
            <w:tcBorders>
              <w:left w:val="nil"/>
            </w:tcBorders>
            <w:shd w:val="clear" w:color="auto" w:fill="auto"/>
            <w:vAlign w:val="center"/>
          </w:tcPr>
          <w:p w14:paraId="294C44A1">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11</w:t>
            </w:r>
          </w:p>
        </w:tc>
        <w:tc>
          <w:tcPr>
            <w:tcW w:w="4799" w:type="dxa"/>
            <w:shd w:val="clear" w:color="auto" w:fill="auto"/>
            <w:vAlign w:val="center"/>
          </w:tcPr>
          <w:p w14:paraId="2C98EC3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密山市青年灌区水利水保总站兴凯分站1取水口</w:t>
            </w:r>
          </w:p>
        </w:tc>
        <w:tc>
          <w:tcPr>
            <w:tcW w:w="1173" w:type="dxa"/>
            <w:shd w:val="clear" w:color="auto" w:fill="auto"/>
            <w:vAlign w:val="center"/>
          </w:tcPr>
          <w:p w14:paraId="6A471049">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农业灌溉</w:t>
            </w:r>
          </w:p>
        </w:tc>
        <w:tc>
          <w:tcPr>
            <w:tcW w:w="1729" w:type="dxa"/>
            <w:shd w:val="clear" w:color="auto" w:fill="auto"/>
            <w:vAlign w:val="center"/>
          </w:tcPr>
          <w:p w14:paraId="26FA881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穆棱河干流左岸</w:t>
            </w:r>
          </w:p>
        </w:tc>
        <w:tc>
          <w:tcPr>
            <w:tcW w:w="1088" w:type="dxa"/>
            <w:tcBorders>
              <w:right w:val="nil"/>
            </w:tcBorders>
            <w:shd w:val="clear" w:color="auto" w:fill="auto"/>
            <w:vAlign w:val="center"/>
          </w:tcPr>
          <w:p w14:paraId="73E96266">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自流</w:t>
            </w:r>
          </w:p>
        </w:tc>
      </w:tr>
      <w:tr w14:paraId="2439C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99" w:type="dxa"/>
            <w:tcBorders>
              <w:left w:val="nil"/>
            </w:tcBorders>
            <w:shd w:val="clear" w:color="auto" w:fill="auto"/>
            <w:vAlign w:val="center"/>
          </w:tcPr>
          <w:p w14:paraId="6F85FB14">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12</w:t>
            </w:r>
          </w:p>
        </w:tc>
        <w:tc>
          <w:tcPr>
            <w:tcW w:w="4799" w:type="dxa"/>
            <w:shd w:val="clear" w:color="auto" w:fill="auto"/>
            <w:vAlign w:val="center"/>
          </w:tcPr>
          <w:p w14:paraId="4D2B2AD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杨岗村一组固定抽水灌区取水口</w:t>
            </w:r>
          </w:p>
        </w:tc>
        <w:tc>
          <w:tcPr>
            <w:tcW w:w="1173" w:type="dxa"/>
            <w:shd w:val="clear" w:color="auto" w:fill="auto"/>
            <w:vAlign w:val="center"/>
          </w:tcPr>
          <w:p w14:paraId="4E0EE325">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农业灌溉</w:t>
            </w:r>
          </w:p>
        </w:tc>
        <w:tc>
          <w:tcPr>
            <w:tcW w:w="1729" w:type="dxa"/>
            <w:shd w:val="clear" w:color="auto" w:fill="auto"/>
            <w:vAlign w:val="center"/>
          </w:tcPr>
          <w:p w14:paraId="70DE452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穆棱河干流左岸</w:t>
            </w:r>
          </w:p>
        </w:tc>
        <w:tc>
          <w:tcPr>
            <w:tcW w:w="1088" w:type="dxa"/>
            <w:tcBorders>
              <w:right w:val="nil"/>
            </w:tcBorders>
            <w:shd w:val="clear" w:color="auto" w:fill="auto"/>
            <w:vAlign w:val="center"/>
          </w:tcPr>
          <w:p w14:paraId="0DE35D6B">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抽提</w:t>
            </w:r>
          </w:p>
        </w:tc>
      </w:tr>
      <w:tr w14:paraId="45CC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0" w:type="auto"/>
            <w:tcBorders>
              <w:left w:val="nil"/>
            </w:tcBorders>
            <w:shd w:val="clear" w:color="auto" w:fill="auto"/>
            <w:vAlign w:val="center"/>
          </w:tcPr>
          <w:p w14:paraId="263527A4">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13</w:t>
            </w:r>
          </w:p>
        </w:tc>
        <w:tc>
          <w:tcPr>
            <w:tcW w:w="0" w:type="auto"/>
            <w:shd w:val="clear" w:color="auto" w:fill="auto"/>
            <w:vAlign w:val="center"/>
          </w:tcPr>
          <w:p w14:paraId="65EFEA8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朝阳灌区取水口-朝阳灌渠渠首</w:t>
            </w:r>
          </w:p>
        </w:tc>
        <w:tc>
          <w:tcPr>
            <w:tcW w:w="0" w:type="auto"/>
            <w:shd w:val="clear" w:color="auto" w:fill="auto"/>
            <w:vAlign w:val="center"/>
          </w:tcPr>
          <w:p w14:paraId="47266FCB">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农业灌溉</w:t>
            </w:r>
          </w:p>
        </w:tc>
        <w:tc>
          <w:tcPr>
            <w:tcW w:w="0" w:type="auto"/>
            <w:shd w:val="clear" w:color="auto" w:fill="auto"/>
            <w:vAlign w:val="center"/>
          </w:tcPr>
          <w:p w14:paraId="20CBE36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snapToGrid w:val="0"/>
                <w:color w:val="auto"/>
                <w:kern w:val="0"/>
                <w:sz w:val="21"/>
                <w:szCs w:val="21"/>
                <w:lang w:val="en-US" w:eastAsia="zh-CN" w:bidi="ar"/>
              </w:rPr>
              <w:t>穆棱河干流右岸</w:t>
            </w:r>
          </w:p>
        </w:tc>
        <w:tc>
          <w:tcPr>
            <w:tcW w:w="0" w:type="auto"/>
            <w:tcBorders>
              <w:right w:val="nil"/>
            </w:tcBorders>
            <w:shd w:val="clear" w:color="auto" w:fill="auto"/>
            <w:vAlign w:val="center"/>
          </w:tcPr>
          <w:p w14:paraId="07FEAE34">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自流</w:t>
            </w:r>
          </w:p>
        </w:tc>
      </w:tr>
    </w:tbl>
    <w:p w14:paraId="7B5C72C5">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72" w:firstLineChars="200"/>
        <w:textAlignment w:val="baseline"/>
        <w:rPr>
          <w:rFonts w:hint="eastAsia" w:ascii="Times New Roman" w:hAnsi="Times New Roman" w:eastAsia="宋体" w:cs="Times New Roman"/>
          <w:color w:val="auto"/>
          <w:spacing w:val="-2"/>
          <w:sz w:val="24"/>
          <w:szCs w:val="24"/>
          <w:lang w:val="en-US" w:eastAsia="zh-CN"/>
        </w:rPr>
      </w:pPr>
      <w:r>
        <w:rPr>
          <w:rFonts w:hint="eastAsia" w:ascii="宋体" w:hAnsi="宋体" w:eastAsia="宋体" w:cs="宋体"/>
          <w:color w:val="auto"/>
          <w:spacing w:val="-2"/>
          <w:sz w:val="24"/>
          <w:szCs w:val="24"/>
          <w:lang w:val="en-US" w:eastAsia="zh-CN"/>
        </w:rPr>
        <w:t>本</w:t>
      </w:r>
      <w:r>
        <w:rPr>
          <w:rFonts w:hint="eastAsia" w:ascii="宋体" w:hAnsi="宋体" w:eastAsia="宋体" w:cs="宋体"/>
          <w:color w:val="auto"/>
          <w:spacing w:val="-2"/>
          <w:sz w:val="24"/>
          <w:szCs w:val="24"/>
          <w:lang w:eastAsia="zh-CN"/>
        </w:rPr>
        <w:t>项目下</w:t>
      </w:r>
      <w:r>
        <w:rPr>
          <w:rFonts w:hint="default" w:ascii="Times New Roman" w:hAnsi="Times New Roman" w:eastAsia="宋体" w:cs="Times New Roman"/>
          <w:color w:val="auto"/>
          <w:spacing w:val="-2"/>
          <w:sz w:val="24"/>
          <w:szCs w:val="24"/>
          <w:lang w:eastAsia="zh-CN"/>
        </w:rPr>
        <w:t>游</w:t>
      </w:r>
      <w:r>
        <w:rPr>
          <w:rFonts w:hint="eastAsia" w:ascii="Times New Roman" w:hAnsi="Times New Roman" w:eastAsia="宋体" w:cs="Times New Roman"/>
          <w:color w:val="auto"/>
          <w:spacing w:val="-2"/>
          <w:sz w:val="24"/>
          <w:szCs w:val="24"/>
          <w:lang w:val="en-US" w:eastAsia="zh-CN"/>
        </w:rPr>
        <w:t>知一桥为国控断面，定为本项目控制断面。</w:t>
      </w:r>
    </w:p>
    <w:p w14:paraId="6B0125A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default" w:ascii="Times New Roman" w:hAnsi="Times New Roman" w:eastAsia="宋体" w:cs="Times New Roman"/>
          <w:color w:val="auto"/>
          <w:spacing w:val="-2"/>
          <w:sz w:val="24"/>
          <w:szCs w:val="24"/>
          <w:lang w:val="en-US" w:eastAsia="zh-CN"/>
        </w:rPr>
      </w:pPr>
      <w:bookmarkStart w:id="43" w:name="bookmark17"/>
      <w:bookmarkEnd w:id="43"/>
      <w:r>
        <w:rPr>
          <w:rFonts w:hint="eastAsia" w:ascii="宋体" w:hAnsi="宋体" w:eastAsia="宋体" w:cs="宋体"/>
          <w:color w:val="auto"/>
          <w:spacing w:val="-2"/>
          <w:sz w:val="24"/>
          <w:szCs w:val="24"/>
          <w:highlight w:val="none"/>
          <w:lang w:eastAsia="zh-CN"/>
        </w:rPr>
        <w:t>本次评价对照断面设置在本工程</w:t>
      </w:r>
      <w:r>
        <w:rPr>
          <w:rFonts w:hint="eastAsia" w:ascii="宋体" w:hAnsi="宋体" w:eastAsia="宋体" w:cs="宋体"/>
          <w:color w:val="auto"/>
          <w:spacing w:val="-2"/>
          <w:sz w:val="24"/>
          <w:szCs w:val="24"/>
          <w:highlight w:val="none"/>
          <w:lang w:val="en-US" w:eastAsia="zh-CN"/>
        </w:rPr>
        <w:t>排污口在红光沟处</w:t>
      </w:r>
      <w:r>
        <w:rPr>
          <w:rFonts w:hint="default" w:ascii="Times New Roman" w:hAnsi="Times New Roman" w:eastAsia="宋体" w:cs="Times New Roman"/>
          <w:color w:val="auto"/>
          <w:spacing w:val="-2"/>
          <w:sz w:val="24"/>
          <w:szCs w:val="24"/>
          <w:highlight w:val="none"/>
          <w:lang w:eastAsia="zh-CN"/>
        </w:rPr>
        <w:t>上游</w:t>
      </w:r>
      <w:r>
        <w:rPr>
          <w:rFonts w:hint="default" w:ascii="Times New Roman" w:hAnsi="Times New Roman" w:eastAsia="宋体" w:cs="Times New Roman"/>
          <w:color w:val="auto"/>
          <w:spacing w:val="-2"/>
          <w:sz w:val="24"/>
          <w:szCs w:val="24"/>
          <w:highlight w:val="none"/>
          <w:lang w:val="en-US" w:eastAsia="zh-CN"/>
        </w:rPr>
        <w:t>500米，控制断面设置在排放口下游1</w:t>
      </w:r>
      <w:r>
        <w:rPr>
          <w:rFonts w:hint="eastAsia" w:ascii="Times New Roman" w:hAnsi="Times New Roman" w:eastAsia="宋体" w:cs="Times New Roman"/>
          <w:color w:val="auto"/>
          <w:spacing w:val="-2"/>
          <w:sz w:val="24"/>
          <w:szCs w:val="24"/>
          <w:highlight w:val="none"/>
          <w:lang w:val="en-US" w:eastAsia="zh-CN"/>
        </w:rPr>
        <w:t>09.4</w:t>
      </w:r>
      <w:r>
        <w:rPr>
          <w:rFonts w:hint="default" w:ascii="Times New Roman" w:hAnsi="Times New Roman" w:eastAsia="宋体" w:cs="Times New Roman"/>
          <w:color w:val="auto"/>
          <w:spacing w:val="-2"/>
          <w:sz w:val="24"/>
          <w:szCs w:val="24"/>
          <w:highlight w:val="none"/>
          <w:lang w:val="en-US" w:eastAsia="zh-CN"/>
        </w:rPr>
        <w:t>km处知一桥国控监测断面，总长度1</w:t>
      </w:r>
      <w:r>
        <w:rPr>
          <w:rFonts w:hint="eastAsia" w:ascii="Times New Roman" w:hAnsi="Times New Roman" w:eastAsia="宋体" w:cs="Times New Roman"/>
          <w:color w:val="auto"/>
          <w:spacing w:val="-2"/>
          <w:sz w:val="24"/>
          <w:szCs w:val="24"/>
          <w:highlight w:val="none"/>
          <w:lang w:val="en-US" w:eastAsia="zh-CN"/>
        </w:rPr>
        <w:t>09.4</w:t>
      </w:r>
      <w:r>
        <w:rPr>
          <w:rFonts w:hint="default" w:ascii="Times New Roman" w:hAnsi="Times New Roman" w:eastAsia="宋体" w:cs="Times New Roman"/>
          <w:color w:val="auto"/>
          <w:spacing w:val="-2"/>
          <w:sz w:val="24"/>
          <w:szCs w:val="24"/>
          <w:highlight w:val="none"/>
          <w:lang w:val="en-US" w:eastAsia="zh-CN"/>
        </w:rPr>
        <w:t>km的穆</w:t>
      </w:r>
      <w:r>
        <w:rPr>
          <w:rFonts w:hint="default" w:ascii="Times New Roman" w:hAnsi="Times New Roman" w:eastAsia="宋体" w:cs="Times New Roman"/>
          <w:color w:val="auto"/>
          <w:spacing w:val="-2"/>
          <w:sz w:val="24"/>
          <w:szCs w:val="24"/>
          <w:lang w:val="en-US" w:eastAsia="zh-CN"/>
        </w:rPr>
        <w:t>棱河段</w:t>
      </w:r>
      <w:r>
        <w:rPr>
          <w:rFonts w:hint="eastAsia" w:ascii="Times New Roman" w:hAnsi="Times New Roman" w:eastAsia="宋体" w:cs="Times New Roman"/>
          <w:color w:val="auto"/>
          <w:spacing w:val="-2"/>
          <w:sz w:val="24"/>
          <w:szCs w:val="24"/>
          <w:lang w:val="en-US" w:eastAsia="zh-CN"/>
        </w:rPr>
        <w:t>。评价范围图见附件1。</w:t>
      </w:r>
    </w:p>
    <w:p w14:paraId="3D4A7BB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2"/>
        <w:rPr>
          <w:rFonts w:ascii="宋体" w:hAnsi="宋体" w:eastAsia="宋体" w:cs="宋体"/>
          <w:b/>
          <w:bCs/>
          <w:color w:val="auto"/>
          <w:sz w:val="28"/>
          <w:szCs w:val="28"/>
        </w:rPr>
      </w:pPr>
      <w:r>
        <w:rPr>
          <w:rFonts w:ascii="宋体" w:hAnsi="宋体" w:eastAsia="宋体" w:cs="宋体"/>
          <w:b/>
          <w:bCs/>
          <w:color w:val="auto"/>
          <w:sz w:val="28"/>
          <w:szCs w:val="28"/>
        </w:rPr>
        <w:t>1.</w:t>
      </w:r>
      <w:r>
        <w:rPr>
          <w:rFonts w:hint="eastAsia" w:ascii="宋体" w:hAnsi="宋体" w:eastAsia="宋体" w:cs="宋体"/>
          <w:b/>
          <w:bCs/>
          <w:color w:val="auto"/>
          <w:sz w:val="28"/>
          <w:szCs w:val="28"/>
          <w:lang w:val="en-US" w:eastAsia="zh-CN"/>
        </w:rPr>
        <w:t>6</w:t>
      </w:r>
      <w:r>
        <w:rPr>
          <w:rFonts w:ascii="宋体" w:hAnsi="宋体" w:eastAsia="宋体" w:cs="宋体"/>
          <w:b/>
          <w:bCs/>
          <w:color w:val="auto"/>
          <w:sz w:val="28"/>
          <w:szCs w:val="28"/>
        </w:rPr>
        <w:t>.3  评价时期</w:t>
      </w:r>
    </w:p>
    <w:p w14:paraId="3E2048B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pacing w:val="-2"/>
          <w:sz w:val="24"/>
          <w:szCs w:val="24"/>
          <w:lang w:eastAsia="zh-CN"/>
        </w:rPr>
        <w:sectPr>
          <w:footerReference r:id="rId6" w:type="default"/>
          <w:pgSz w:w="11906" w:h="16839"/>
          <w:pgMar w:top="1417" w:right="1417" w:bottom="1417" w:left="1417" w:header="0" w:footer="85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z w:val="24"/>
          <w:szCs w:val="24"/>
          <w:lang w:eastAsia="zh-CN"/>
        </w:rPr>
        <w:t>根据《环境影响评价技术导则地表水环境》（HJ2.3-2018），本项目为水污染影响型建设项目评价等级为二级，受影响地表水体为</w:t>
      </w:r>
      <w:r>
        <w:rPr>
          <w:rFonts w:hint="eastAsia" w:ascii="宋体" w:hAnsi="宋体" w:eastAsia="宋体" w:cs="宋体"/>
          <w:color w:val="auto"/>
          <w:sz w:val="24"/>
          <w:szCs w:val="24"/>
          <w:lang w:val="en-US" w:eastAsia="zh-CN"/>
        </w:rPr>
        <w:t>穆棱河</w:t>
      </w:r>
      <w:r>
        <w:rPr>
          <w:rFonts w:hint="eastAsia" w:ascii="宋体" w:hAnsi="宋体" w:eastAsia="宋体" w:cs="宋体"/>
          <w:color w:val="auto"/>
          <w:sz w:val="24"/>
          <w:szCs w:val="24"/>
          <w:lang w:eastAsia="zh-CN"/>
        </w:rPr>
        <w:t>，评价时期为丰水期和枯水期，至少为枯水期，本次选择</w:t>
      </w:r>
      <w:r>
        <w:rPr>
          <w:rFonts w:hint="eastAsia" w:ascii="宋体" w:hAnsi="宋体" w:eastAsia="宋体" w:cs="宋体"/>
          <w:color w:val="auto"/>
          <w:sz w:val="24"/>
          <w:szCs w:val="24"/>
          <w:lang w:val="en-US" w:eastAsia="zh-CN"/>
        </w:rPr>
        <w:t>枯水期</w:t>
      </w:r>
      <w:r>
        <w:rPr>
          <w:rFonts w:hint="eastAsia" w:ascii="宋体" w:hAnsi="宋体" w:eastAsia="宋体" w:cs="宋体"/>
          <w:color w:val="auto"/>
          <w:sz w:val="24"/>
          <w:szCs w:val="24"/>
          <w:lang w:eastAsia="zh-CN"/>
        </w:rPr>
        <w:t>。</w:t>
      </w:r>
    </w:p>
    <w:p w14:paraId="5620FD7D">
      <w:pPr>
        <w:spacing w:before="114" w:line="225" w:lineRule="auto"/>
        <w:jc w:val="center"/>
        <w:outlineLvl w:val="0"/>
        <w:rPr>
          <w:rFonts w:ascii="宋体" w:hAnsi="宋体" w:eastAsia="宋体" w:cs="宋体"/>
          <w:color w:val="auto"/>
          <w:sz w:val="35"/>
          <w:szCs w:val="35"/>
        </w:rPr>
      </w:pPr>
      <w:bookmarkStart w:id="44" w:name="bookmark53"/>
      <w:bookmarkEnd w:id="44"/>
      <w:bookmarkStart w:id="45" w:name="bookmark14"/>
      <w:bookmarkEnd w:id="45"/>
      <w:bookmarkStart w:id="46" w:name="bookmark19"/>
      <w:bookmarkEnd w:id="46"/>
      <w:bookmarkStart w:id="47" w:name="bookmark20"/>
      <w:bookmarkEnd w:id="47"/>
      <w:r>
        <w:rPr>
          <w:rFonts w:ascii="Times New Roman" w:hAnsi="Times New Roman" w:eastAsia="Times New Roman" w:cs="Times New Roman"/>
          <w:b/>
          <w:bCs/>
          <w:color w:val="auto"/>
          <w:spacing w:val="5"/>
          <w:sz w:val="35"/>
          <w:szCs w:val="35"/>
        </w:rPr>
        <w:t xml:space="preserve">2  </w:t>
      </w:r>
      <w:r>
        <w:rPr>
          <w:rFonts w:ascii="宋体" w:hAnsi="宋体" w:eastAsia="宋体" w:cs="宋体"/>
          <w:b/>
          <w:bCs/>
          <w:color w:val="auto"/>
          <w:spacing w:val="5"/>
          <w:sz w:val="35"/>
          <w:szCs w:val="35"/>
        </w:rPr>
        <w:t>工程概况及工程内容</w:t>
      </w:r>
    </w:p>
    <w:p w14:paraId="7499072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default" w:ascii="Times New Roman" w:hAnsi="Times New Roman" w:eastAsia="宋体" w:cs="Times New Roman"/>
          <w:color w:val="auto"/>
          <w:sz w:val="30"/>
          <w:szCs w:val="30"/>
        </w:rPr>
      </w:pPr>
      <w:bookmarkStart w:id="48" w:name="bookmark54"/>
      <w:bookmarkEnd w:id="48"/>
      <w:r>
        <w:rPr>
          <w:rFonts w:hint="default" w:ascii="Times New Roman" w:hAnsi="Times New Roman" w:eastAsia="Times New Roman" w:cs="Times New Roman"/>
          <w:b/>
          <w:bCs/>
          <w:color w:val="auto"/>
          <w:spacing w:val="-5"/>
          <w:sz w:val="30"/>
          <w:szCs w:val="30"/>
        </w:rPr>
        <w:t>2.1</w:t>
      </w:r>
      <w:r>
        <w:rPr>
          <w:rFonts w:hint="default" w:ascii="Times New Roman" w:hAnsi="Times New Roman" w:eastAsia="Times New Roman" w:cs="Times New Roman"/>
          <w:b/>
          <w:bCs/>
          <w:color w:val="auto"/>
          <w:spacing w:val="15"/>
          <w:sz w:val="30"/>
          <w:szCs w:val="30"/>
        </w:rPr>
        <w:t xml:space="preserve"> </w:t>
      </w:r>
      <w:r>
        <w:rPr>
          <w:rFonts w:hint="default" w:ascii="Times New Roman" w:hAnsi="Times New Roman" w:eastAsia="宋体" w:cs="Times New Roman"/>
          <w:b/>
          <w:bCs/>
          <w:color w:val="auto"/>
          <w:spacing w:val="-5"/>
          <w:sz w:val="30"/>
          <w:szCs w:val="30"/>
        </w:rPr>
        <w:t>项目概况</w:t>
      </w:r>
    </w:p>
    <w:p w14:paraId="3DBC33D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cs="Times New Roman"/>
          <w:color w:val="auto"/>
          <w:kern w:val="0"/>
          <w:sz w:val="24"/>
          <w:szCs w:val="24"/>
          <w:highlight w:val="none"/>
          <w:lang w:val="en-US" w:eastAsia="zh-CN"/>
        </w:rPr>
      </w:pPr>
      <w:bookmarkStart w:id="49" w:name="bookmark21"/>
      <w:bookmarkEnd w:id="49"/>
      <w:r>
        <w:rPr>
          <w:rFonts w:hint="default" w:ascii="Times New Roman" w:hAnsi="Times New Roman" w:eastAsia="宋体" w:cs="Times New Roman"/>
          <w:bCs/>
          <w:color w:val="auto"/>
          <w:spacing w:val="0"/>
          <w:kern w:val="0"/>
          <w:sz w:val="24"/>
          <w:szCs w:val="24"/>
          <w:highlight w:val="none"/>
          <w:lang w:val="en-US" w:eastAsia="zh-CN"/>
        </w:rPr>
        <w:t>本项目将</w:t>
      </w:r>
      <w:r>
        <w:rPr>
          <w:rFonts w:hint="default" w:ascii="Times New Roman" w:hAnsi="Times New Roman" w:eastAsia="宋体" w:cs="Times New Roman"/>
          <w:color w:val="auto"/>
          <w:spacing w:val="0"/>
          <w:sz w:val="24"/>
          <w:szCs w:val="24"/>
        </w:rPr>
        <w:t>沉淀池排泥水</w:t>
      </w:r>
      <w:r>
        <w:rPr>
          <w:rFonts w:hint="default" w:ascii="Times New Roman" w:hAnsi="Times New Roman" w:eastAsia="宋体" w:cs="Times New Roman"/>
          <w:color w:val="auto"/>
          <w:spacing w:val="0"/>
          <w:kern w:val="21"/>
          <w:sz w:val="24"/>
          <w:szCs w:val="24"/>
          <w:highlight w:val="none"/>
          <w:lang w:val="en-US" w:eastAsia="zh-CN"/>
        </w:rPr>
        <w:t>经絮凝、沉淀处理后满足</w:t>
      </w:r>
      <w:r>
        <w:rPr>
          <w:rFonts w:hint="default" w:ascii="Times New Roman" w:hAnsi="Times New Roman" w:eastAsia="宋体" w:cs="Times New Roman"/>
          <w:color w:val="auto"/>
          <w:spacing w:val="0"/>
          <w:sz w:val="24"/>
          <w:szCs w:val="24"/>
          <w:highlight w:val="none"/>
          <w:lang w:val="en-US" w:eastAsia="zh-CN"/>
        </w:rPr>
        <w:t>《地表水环境质量标准》（GB3838-2002）表1中三类标准、悬浮物满足《污水综合排放标准》（GB8978-1996）一级标准</w:t>
      </w:r>
      <w:r>
        <w:rPr>
          <w:rFonts w:hint="default" w:ascii="Times New Roman" w:hAnsi="Times New Roman" w:eastAsia="宋体" w:cs="Times New Roman"/>
          <w:color w:val="auto"/>
          <w:spacing w:val="0"/>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排入</w:t>
      </w:r>
      <w:r>
        <w:rPr>
          <w:rFonts w:hint="eastAsia" w:ascii="Times New Roman" w:hAnsi="Times New Roman" w:eastAsia="宋体" w:cs="Times New Roman"/>
          <w:color w:val="auto"/>
          <w:sz w:val="24"/>
          <w:szCs w:val="24"/>
          <w:highlight w:val="none"/>
          <w:lang w:val="en-US" w:eastAsia="zh-CN"/>
        </w:rPr>
        <w:t>红光沟流入</w:t>
      </w:r>
      <w:r>
        <w:rPr>
          <w:rFonts w:hint="default" w:ascii="Times New Roman" w:hAnsi="Times New Roman" w:eastAsia="宋体" w:cs="Times New Roman"/>
          <w:color w:val="auto"/>
          <w:sz w:val="24"/>
          <w:szCs w:val="24"/>
          <w:highlight w:val="none"/>
          <w:lang w:val="en-US" w:eastAsia="zh-CN"/>
        </w:rPr>
        <w:t>穆棱河</w:t>
      </w:r>
      <w:r>
        <w:rPr>
          <w:rFonts w:hint="default" w:ascii="Times New Roman" w:hAnsi="Times New Roman" w:eastAsia="宋体" w:cs="Times New Roman"/>
          <w:color w:val="auto"/>
          <w:spacing w:val="0"/>
          <w:sz w:val="24"/>
          <w:szCs w:val="24"/>
          <w:highlight w:val="none"/>
          <w:lang w:val="en-US" w:eastAsia="zh-CN"/>
        </w:rPr>
        <w:t>。</w:t>
      </w:r>
      <w:r>
        <w:rPr>
          <w:rFonts w:hint="eastAsia" w:cs="Times New Roman"/>
          <w:bCs/>
          <w:color w:val="auto"/>
          <w:spacing w:val="0"/>
          <w:kern w:val="0"/>
          <w:sz w:val="24"/>
          <w:szCs w:val="24"/>
          <w:highlight w:val="none"/>
          <w:lang w:val="en-US" w:eastAsia="zh-CN"/>
        </w:rPr>
        <w:t>本项目无新增占地面积，本次改建</w:t>
      </w:r>
      <w:r>
        <w:rPr>
          <w:rFonts w:hint="default" w:ascii="Times New Roman" w:hAnsi="Times New Roman" w:eastAsia="宋体" w:cs="Times New Roman"/>
          <w:color w:val="auto"/>
          <w:spacing w:val="0"/>
          <w:sz w:val="24"/>
          <w:szCs w:val="24"/>
          <w:highlight w:val="none"/>
          <w:lang w:val="en-US" w:eastAsia="zh-CN"/>
        </w:rPr>
        <w:t>建设内容为</w:t>
      </w:r>
      <w:r>
        <w:rPr>
          <w:rFonts w:hint="eastAsia" w:cs="Times New Roman"/>
          <w:color w:val="auto"/>
          <w:spacing w:val="0"/>
          <w:sz w:val="24"/>
          <w:szCs w:val="24"/>
          <w:highlight w:val="none"/>
          <w:lang w:val="en-US" w:eastAsia="zh-CN"/>
        </w:rPr>
        <w:t>利用原有</w:t>
      </w:r>
      <w:r>
        <w:rPr>
          <w:rFonts w:hint="eastAsia" w:cs="Times New Roman"/>
          <w:bCs/>
          <w:color w:val="auto"/>
          <w:spacing w:val="0"/>
          <w:kern w:val="0"/>
          <w:sz w:val="24"/>
          <w:szCs w:val="24"/>
          <w:highlight w:val="none"/>
          <w:lang w:val="en-US" w:eastAsia="zh-CN"/>
        </w:rPr>
        <w:t>1座入河排污口及原有</w:t>
      </w:r>
      <w:r>
        <w:rPr>
          <w:rFonts w:hint="default" w:ascii="Times New Roman" w:hAnsi="Times New Roman" w:eastAsia="宋体" w:cs="Times New Roman"/>
          <w:bCs/>
          <w:color w:val="auto"/>
          <w:spacing w:val="0"/>
          <w:kern w:val="0"/>
          <w:sz w:val="24"/>
          <w:szCs w:val="24"/>
          <w:highlight w:val="none"/>
          <w:lang w:val="en-US" w:eastAsia="zh-CN"/>
        </w:rPr>
        <w:t>排污管线</w:t>
      </w:r>
      <w:r>
        <w:rPr>
          <w:rFonts w:hint="eastAsia" w:cs="Times New Roman"/>
          <w:bCs/>
          <w:color w:val="auto"/>
          <w:spacing w:val="0"/>
          <w:kern w:val="0"/>
          <w:sz w:val="24"/>
          <w:szCs w:val="24"/>
          <w:highlight w:val="none"/>
          <w:lang w:val="en-US" w:eastAsia="zh-CN"/>
        </w:rPr>
        <w:t>，管线</w:t>
      </w:r>
      <w:r>
        <w:rPr>
          <w:rFonts w:hint="default" w:ascii="Times New Roman" w:hAnsi="Times New Roman" w:eastAsia="宋体" w:cs="Times New Roman"/>
          <w:bCs/>
          <w:color w:val="auto"/>
          <w:spacing w:val="0"/>
          <w:kern w:val="0"/>
          <w:sz w:val="24"/>
          <w:szCs w:val="24"/>
        </w:rPr>
        <w:t>长度约为520m</w:t>
      </w:r>
      <w:r>
        <w:rPr>
          <w:rFonts w:hint="default" w:ascii="Times New Roman" w:hAnsi="Times New Roman" w:eastAsia="宋体" w:cs="Times New Roman"/>
          <w:bCs/>
          <w:color w:val="auto"/>
          <w:spacing w:val="0"/>
          <w:kern w:val="0"/>
          <w:sz w:val="24"/>
          <w:szCs w:val="24"/>
          <w:lang w:eastAsia="zh-CN"/>
        </w:rPr>
        <w:t>，</w:t>
      </w:r>
      <w:r>
        <w:rPr>
          <w:rFonts w:hint="default" w:ascii="Times New Roman" w:hAnsi="Times New Roman" w:eastAsia="宋体" w:cs="Times New Roman"/>
          <w:bCs/>
          <w:color w:val="auto"/>
          <w:spacing w:val="0"/>
          <w:kern w:val="0"/>
          <w:sz w:val="24"/>
          <w:szCs w:val="24"/>
        </w:rPr>
        <w:t>污水经管道排入红光沟流入穆棱河。入河排污口位于鸡西市鸡冠区鸡西北方热电厂北侧，地理坐标为：经度为131.015052°，纬度为45.281099°。</w:t>
      </w:r>
      <w:r>
        <w:rPr>
          <w:rFonts w:hint="default" w:ascii="Times New Roman" w:hAnsi="Times New Roman" w:eastAsia="宋体" w:cs="Times New Roman"/>
          <w:color w:val="auto"/>
          <w:spacing w:val="0"/>
          <w:sz w:val="24"/>
          <w:szCs w:val="24"/>
        </w:rPr>
        <w:t>排放方式为</w:t>
      </w:r>
      <w:r>
        <w:rPr>
          <w:rFonts w:hint="eastAsia" w:cs="Times New Roman"/>
          <w:color w:val="auto"/>
          <w:spacing w:val="0"/>
          <w:sz w:val="24"/>
          <w:szCs w:val="24"/>
          <w:lang w:val="en-US" w:eastAsia="zh-CN"/>
        </w:rPr>
        <w:t>间歇</w:t>
      </w:r>
      <w:r>
        <w:rPr>
          <w:rFonts w:hint="default" w:ascii="Times New Roman" w:hAnsi="Times New Roman" w:eastAsia="宋体" w:cs="Times New Roman"/>
          <w:color w:val="auto"/>
          <w:spacing w:val="0"/>
          <w:sz w:val="24"/>
          <w:szCs w:val="24"/>
        </w:rPr>
        <w:t>式，排污口排放的废水为排泥水经絮凝、沉淀处理后的上清液。排污口材质为Ⅱ级钢筋混凝土管，管径为DN1500</w:t>
      </w:r>
      <w:r>
        <w:rPr>
          <w:rFonts w:hint="eastAsia" w:cs="Times New Roman"/>
          <w:color w:val="auto"/>
          <w:spacing w:val="0"/>
          <w:sz w:val="24"/>
          <w:szCs w:val="24"/>
          <w:lang w:eastAsia="zh-CN"/>
        </w:rPr>
        <w:t>；</w:t>
      </w:r>
      <w:r>
        <w:rPr>
          <w:rFonts w:hint="eastAsia" w:cs="Times New Roman"/>
          <w:color w:val="auto"/>
          <w:spacing w:val="0"/>
          <w:sz w:val="24"/>
          <w:szCs w:val="24"/>
          <w:lang w:val="en-US" w:eastAsia="zh-CN"/>
        </w:rPr>
        <w:t>污泥脱水间内由于部分设备老化，本次将更换污泥脱水间设备，污泥脱水工艺不变，</w:t>
      </w:r>
      <w:r>
        <w:rPr>
          <w:rFonts w:hint="default" w:ascii="Times New Roman" w:hAnsi="Times New Roman" w:eastAsia="宋体" w:cs="Times New Roman"/>
          <w:b w:val="0"/>
          <w:bCs w:val="0"/>
          <w:color w:val="auto"/>
          <w:spacing w:val="0"/>
          <w:w w:val="100"/>
          <w:sz w:val="24"/>
          <w:szCs w:val="24"/>
          <w:highlight w:val="none"/>
          <w:lang w:val="en-US" w:eastAsia="zh-CN"/>
        </w:rPr>
        <w:t>脱水污泥</w:t>
      </w:r>
      <w:r>
        <w:rPr>
          <w:rFonts w:hint="eastAsia" w:cs="Times New Roman"/>
          <w:b w:val="0"/>
          <w:bCs w:val="0"/>
          <w:color w:val="auto"/>
          <w:spacing w:val="0"/>
          <w:w w:val="100"/>
          <w:sz w:val="24"/>
          <w:szCs w:val="24"/>
          <w:highlight w:val="none"/>
          <w:lang w:val="en-US" w:eastAsia="zh-CN"/>
        </w:rPr>
        <w:t>由</w:t>
      </w:r>
      <w:r>
        <w:rPr>
          <w:rFonts w:hint="default" w:ascii="Times New Roman" w:hAnsi="Times New Roman" w:eastAsia="宋体" w:cs="Times New Roman"/>
          <w:color w:val="auto"/>
          <w:spacing w:val="0"/>
          <w:kern w:val="0"/>
          <w:sz w:val="24"/>
          <w:szCs w:val="24"/>
        </w:rPr>
        <w:t>运至鸡西市垃圾填埋场处理</w:t>
      </w:r>
      <w:r>
        <w:rPr>
          <w:rFonts w:hint="eastAsia" w:ascii="Times New Roman" w:hAnsi="Times New Roman" w:eastAsia="宋体" w:cs="Times New Roman"/>
          <w:color w:val="auto"/>
          <w:spacing w:val="0"/>
          <w:kern w:val="0"/>
          <w:sz w:val="24"/>
          <w:szCs w:val="24"/>
          <w:lang w:val="en-US" w:eastAsia="zh-CN"/>
        </w:rPr>
        <w:t>改为</w:t>
      </w:r>
      <w:r>
        <w:rPr>
          <w:rFonts w:hint="eastAsia" w:cs="Times New Roman"/>
          <w:b w:val="0"/>
          <w:bCs w:val="0"/>
          <w:color w:val="auto"/>
          <w:spacing w:val="0"/>
          <w:w w:val="100"/>
          <w:sz w:val="24"/>
          <w:szCs w:val="24"/>
          <w:highlight w:val="none"/>
          <w:lang w:val="en-US" w:eastAsia="zh-CN"/>
        </w:rPr>
        <w:t>暂存污泥暂存库内，定期</w:t>
      </w:r>
      <w:r>
        <w:rPr>
          <w:rFonts w:hint="eastAsia" w:ascii="宋体" w:hAnsi="宋体" w:cs="宋体"/>
          <w:color w:val="auto"/>
          <w:sz w:val="24"/>
          <w:szCs w:val="24"/>
          <w:highlight w:val="none"/>
          <w:lang w:val="en-US" w:eastAsia="zh-CN"/>
        </w:rPr>
        <w:t>外运委托有资质单位处理</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kern w:val="0"/>
          <w:sz w:val="24"/>
          <w:szCs w:val="24"/>
          <w:highlight w:val="none"/>
          <w:lang w:val="en-US" w:eastAsia="zh-CN"/>
        </w:rPr>
        <w:t>本项目建成后设计处理量仍为</w:t>
      </w:r>
      <w:r>
        <w:rPr>
          <w:rFonts w:hint="default" w:ascii="Times New Roman" w:hAnsi="Times New Roman" w:eastAsia="宋体" w:cs="Times New Roman"/>
          <w:color w:val="auto"/>
          <w:spacing w:val="0"/>
          <w:kern w:val="0"/>
          <w:sz w:val="24"/>
          <w:szCs w:val="24"/>
          <w:highlight w:val="none"/>
          <w:lang w:val="en-US" w:eastAsia="zh-CN"/>
        </w:rPr>
        <w:t>15</w:t>
      </w:r>
      <w:r>
        <w:rPr>
          <w:rFonts w:hint="default" w:ascii="Times New Roman" w:hAnsi="Times New Roman" w:cs="Times New Roman"/>
          <w:color w:val="auto"/>
          <w:kern w:val="0"/>
          <w:sz w:val="24"/>
          <w:szCs w:val="24"/>
          <w:highlight w:val="none"/>
          <w:lang w:val="en-US" w:eastAsia="zh-CN"/>
        </w:rPr>
        <w:t>万m</w:t>
      </w:r>
      <w:r>
        <w:rPr>
          <w:rFonts w:hint="default" w:ascii="Times New Roman" w:hAnsi="Times New Roman" w:cs="Times New Roman"/>
          <w:color w:val="auto"/>
          <w:kern w:val="0"/>
          <w:sz w:val="24"/>
          <w:szCs w:val="24"/>
          <w:highlight w:val="none"/>
          <w:vertAlign w:val="superscript"/>
          <w:lang w:val="en-US" w:eastAsia="zh-CN"/>
        </w:rPr>
        <w:t>3</w:t>
      </w:r>
      <w:r>
        <w:rPr>
          <w:rFonts w:hint="default" w:ascii="Times New Roman" w:hAnsi="Times New Roman" w:cs="Times New Roman"/>
          <w:color w:val="auto"/>
          <w:kern w:val="0"/>
          <w:sz w:val="24"/>
          <w:szCs w:val="24"/>
          <w:highlight w:val="none"/>
          <w:lang w:val="en-US" w:eastAsia="zh-CN"/>
        </w:rPr>
        <w:t>/d</w:t>
      </w:r>
      <w:r>
        <w:rPr>
          <w:rFonts w:hint="eastAsia" w:ascii="Times New Roman" w:hAnsi="Times New Roman" w:cs="Times New Roman"/>
          <w:color w:val="auto"/>
          <w:kern w:val="0"/>
          <w:sz w:val="24"/>
          <w:szCs w:val="24"/>
          <w:highlight w:val="none"/>
          <w:lang w:val="en-US" w:eastAsia="zh-CN"/>
        </w:rPr>
        <w:t>。</w:t>
      </w:r>
    </w:p>
    <w:p w14:paraId="6B06DD54">
      <w:pPr>
        <w:spacing w:before="3" w:line="219" w:lineRule="auto"/>
        <w:outlineLvl w:val="1"/>
        <w:rPr>
          <w:rFonts w:ascii="宋体" w:hAnsi="宋体" w:eastAsia="宋体" w:cs="宋体"/>
          <w:color w:val="auto"/>
          <w:sz w:val="30"/>
          <w:szCs w:val="30"/>
          <w:highlight w:val="none"/>
        </w:rPr>
      </w:pPr>
      <w:r>
        <w:rPr>
          <w:rFonts w:ascii="Times New Roman" w:hAnsi="Times New Roman" w:eastAsia="Times New Roman" w:cs="Times New Roman"/>
          <w:b/>
          <w:bCs/>
          <w:color w:val="auto"/>
          <w:spacing w:val="-3"/>
          <w:sz w:val="30"/>
          <w:szCs w:val="30"/>
          <w:highlight w:val="none"/>
        </w:rPr>
        <w:t xml:space="preserve">2.2 </w:t>
      </w:r>
      <w:r>
        <w:rPr>
          <w:rFonts w:ascii="宋体" w:hAnsi="宋体" w:eastAsia="宋体" w:cs="宋体"/>
          <w:b/>
          <w:bCs/>
          <w:color w:val="auto"/>
          <w:spacing w:val="-3"/>
          <w:sz w:val="30"/>
          <w:szCs w:val="30"/>
          <w:highlight w:val="none"/>
        </w:rPr>
        <w:t>建设内容</w:t>
      </w:r>
    </w:p>
    <w:p w14:paraId="2F8AA675">
      <w:pPr>
        <w:spacing w:before="295" w:line="219" w:lineRule="auto"/>
        <w:ind w:left="3029"/>
        <w:rPr>
          <w:rFonts w:ascii="宋体" w:hAnsi="宋体" w:eastAsia="宋体" w:cs="宋体"/>
          <w:b/>
          <w:bCs/>
          <w:color w:val="auto"/>
          <w:spacing w:val="-2"/>
          <w:sz w:val="24"/>
          <w:szCs w:val="24"/>
          <w:highlight w:val="none"/>
        </w:rPr>
      </w:pPr>
      <w:r>
        <w:rPr>
          <w:rFonts w:ascii="宋体" w:hAnsi="宋体" w:eastAsia="宋体" w:cs="宋体"/>
          <w:b/>
          <w:bCs/>
          <w:color w:val="auto"/>
          <w:spacing w:val="-2"/>
          <w:sz w:val="24"/>
          <w:szCs w:val="24"/>
          <w:highlight w:val="none"/>
        </w:rPr>
        <w:t>表</w:t>
      </w:r>
      <w:r>
        <w:rPr>
          <w:rFonts w:ascii="宋体" w:hAnsi="宋体" w:eastAsia="宋体" w:cs="宋体"/>
          <w:b/>
          <w:bCs/>
          <w:color w:val="auto"/>
          <w:spacing w:val="-54"/>
          <w:sz w:val="24"/>
          <w:szCs w:val="24"/>
          <w:highlight w:val="none"/>
        </w:rPr>
        <w:t xml:space="preserve"> </w:t>
      </w:r>
      <w:r>
        <w:rPr>
          <w:rFonts w:ascii="Times New Roman" w:hAnsi="Times New Roman" w:eastAsia="Times New Roman" w:cs="Times New Roman"/>
          <w:b/>
          <w:bCs/>
          <w:color w:val="auto"/>
          <w:spacing w:val="-2"/>
          <w:sz w:val="24"/>
          <w:szCs w:val="24"/>
          <w:highlight w:val="none"/>
        </w:rPr>
        <w:t>2</w:t>
      </w:r>
      <w:r>
        <w:rPr>
          <w:rFonts w:hint="eastAsia" w:ascii="Times New Roman" w:hAnsi="Times New Roman" w:eastAsia="宋体" w:cs="Times New Roman"/>
          <w:b/>
          <w:bCs/>
          <w:color w:val="auto"/>
          <w:spacing w:val="-2"/>
          <w:sz w:val="24"/>
          <w:szCs w:val="24"/>
          <w:highlight w:val="none"/>
          <w:lang w:val="en-US" w:eastAsia="zh-CN"/>
        </w:rPr>
        <w:t>-</w:t>
      </w:r>
      <w:r>
        <w:rPr>
          <w:rFonts w:ascii="Times New Roman" w:hAnsi="Times New Roman" w:eastAsia="Times New Roman" w:cs="Times New Roman"/>
          <w:b/>
          <w:bCs/>
          <w:color w:val="auto"/>
          <w:spacing w:val="-2"/>
          <w:sz w:val="24"/>
          <w:szCs w:val="24"/>
          <w:highlight w:val="none"/>
        </w:rPr>
        <w:t>1</w:t>
      </w:r>
      <w:r>
        <w:rPr>
          <w:rFonts w:ascii="宋体" w:hAnsi="宋体" w:eastAsia="宋体" w:cs="宋体"/>
          <w:b/>
          <w:bCs/>
          <w:color w:val="auto"/>
          <w:spacing w:val="-2"/>
          <w:sz w:val="24"/>
          <w:szCs w:val="24"/>
          <w:highlight w:val="none"/>
        </w:rPr>
        <w:t>项目建设内容一览表</w:t>
      </w:r>
    </w:p>
    <w:tbl>
      <w:tblPr>
        <w:tblStyle w:val="35"/>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242"/>
        <w:gridCol w:w="5729"/>
        <w:gridCol w:w="1593"/>
      </w:tblGrid>
      <w:tr w14:paraId="382820D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8" w:type="pct"/>
            <w:gridSpan w:val="2"/>
            <w:tcBorders>
              <w:tl2br w:val="nil"/>
              <w:tr2bl w:val="nil"/>
            </w:tcBorders>
            <w:vAlign w:val="center"/>
          </w:tcPr>
          <w:p w14:paraId="0F6FE3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default" w:ascii="Times New Roman" w:hAnsi="Times New Roman" w:eastAsia="宋体" w:cs="Times New Roman"/>
                <w:b w:val="0"/>
                <w:bCs w:val="0"/>
                <w:color w:val="auto"/>
                <w:spacing w:val="0"/>
                <w:w w:val="100"/>
                <w:sz w:val="21"/>
                <w:szCs w:val="21"/>
                <w:highlight w:val="none"/>
              </w:rPr>
              <w:t>建设内容</w:t>
            </w:r>
          </w:p>
        </w:tc>
        <w:tc>
          <w:tcPr>
            <w:tcW w:w="3084" w:type="pct"/>
            <w:tcBorders>
              <w:tl2br w:val="nil"/>
              <w:tr2bl w:val="nil"/>
            </w:tcBorders>
            <w:vAlign w:val="center"/>
          </w:tcPr>
          <w:p w14:paraId="4B2512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default" w:ascii="Times New Roman" w:hAnsi="Times New Roman" w:eastAsia="宋体" w:cs="Times New Roman"/>
                <w:b w:val="0"/>
                <w:bCs w:val="0"/>
                <w:color w:val="auto"/>
                <w:spacing w:val="0"/>
                <w:w w:val="100"/>
                <w:sz w:val="21"/>
                <w:szCs w:val="21"/>
                <w:highlight w:val="none"/>
              </w:rPr>
              <w:t>建设规模及内容</w:t>
            </w:r>
          </w:p>
        </w:tc>
        <w:tc>
          <w:tcPr>
            <w:tcW w:w="857" w:type="pct"/>
            <w:tcBorders>
              <w:tl2br w:val="nil"/>
              <w:tr2bl w:val="nil"/>
            </w:tcBorders>
            <w:vAlign w:val="center"/>
          </w:tcPr>
          <w:p w14:paraId="515BA3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default" w:ascii="Times New Roman" w:hAnsi="Times New Roman" w:eastAsia="宋体" w:cs="Times New Roman"/>
                <w:b w:val="0"/>
                <w:bCs w:val="0"/>
                <w:color w:val="auto"/>
                <w:spacing w:val="0"/>
                <w:w w:val="100"/>
                <w:sz w:val="21"/>
                <w:szCs w:val="21"/>
                <w:highlight w:val="none"/>
              </w:rPr>
              <w:t>备注</w:t>
            </w:r>
          </w:p>
        </w:tc>
      </w:tr>
      <w:tr w14:paraId="44A3CDC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restart"/>
            <w:tcBorders>
              <w:tl2br w:val="nil"/>
              <w:tr2bl w:val="nil"/>
            </w:tcBorders>
            <w:shd w:val="clear" w:color="auto" w:fill="auto"/>
            <w:vAlign w:val="center"/>
          </w:tcPr>
          <w:p w14:paraId="5DBBC8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lang w:val="en-US" w:eastAsia="zh-CN"/>
              </w:rPr>
            </w:pPr>
            <w:r>
              <w:rPr>
                <w:rFonts w:hint="default" w:ascii="Times New Roman" w:hAnsi="Times New Roman" w:eastAsia="宋体" w:cs="Times New Roman"/>
                <w:b w:val="0"/>
                <w:bCs w:val="0"/>
                <w:color w:val="auto"/>
                <w:spacing w:val="0"/>
                <w:w w:val="100"/>
                <w:sz w:val="21"/>
                <w:szCs w:val="21"/>
                <w:highlight w:val="none"/>
                <w:lang w:val="en-US" w:eastAsia="zh-CN"/>
              </w:rPr>
              <w:t>主体工程</w:t>
            </w:r>
          </w:p>
        </w:tc>
        <w:tc>
          <w:tcPr>
            <w:tcW w:w="668" w:type="pct"/>
            <w:tcBorders>
              <w:tl2br w:val="nil"/>
              <w:tr2bl w:val="nil"/>
            </w:tcBorders>
            <w:shd w:val="clear" w:color="auto" w:fill="auto"/>
            <w:vAlign w:val="center"/>
          </w:tcPr>
          <w:p w14:paraId="0178FF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highlight w:val="none"/>
                <w:lang w:val="en-US" w:eastAsia="zh-CN"/>
              </w:rPr>
              <w:t>排泥水排放</w:t>
            </w:r>
            <w:r>
              <w:rPr>
                <w:rFonts w:hint="default" w:ascii="Times New Roman" w:hAnsi="Times New Roman" w:eastAsia="宋体" w:cs="Times New Roman"/>
                <w:b w:val="0"/>
                <w:bCs w:val="0"/>
                <w:color w:val="auto"/>
                <w:spacing w:val="0"/>
                <w:w w:val="100"/>
                <w:sz w:val="21"/>
                <w:szCs w:val="21"/>
                <w:highlight w:val="none"/>
                <w:lang w:val="en-US" w:eastAsia="zh-CN"/>
              </w:rPr>
              <w:t>工程</w:t>
            </w:r>
          </w:p>
        </w:tc>
        <w:tc>
          <w:tcPr>
            <w:tcW w:w="3084" w:type="pct"/>
            <w:tcBorders>
              <w:tl2br w:val="nil"/>
              <w:tr2bl w:val="nil"/>
            </w:tcBorders>
            <w:shd w:val="clear" w:color="auto" w:fill="auto"/>
            <w:vAlign w:val="center"/>
          </w:tcPr>
          <w:p w14:paraId="3B9777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Cs/>
                <w:color w:val="auto"/>
                <w:spacing w:val="0"/>
                <w:kern w:val="0"/>
                <w:sz w:val="21"/>
                <w:szCs w:val="21"/>
                <w:highlight w:val="none"/>
                <w:lang w:val="en-US" w:eastAsia="zh-CN"/>
              </w:rPr>
              <w:t>本项目将</w:t>
            </w:r>
            <w:r>
              <w:rPr>
                <w:rFonts w:hint="default" w:ascii="Times New Roman" w:hAnsi="Times New Roman" w:eastAsia="宋体" w:cs="Times New Roman"/>
                <w:color w:val="auto"/>
                <w:spacing w:val="0"/>
                <w:sz w:val="21"/>
                <w:szCs w:val="21"/>
              </w:rPr>
              <w:t>沉淀池排泥水</w:t>
            </w:r>
            <w:r>
              <w:rPr>
                <w:rFonts w:hint="default" w:ascii="Times New Roman" w:hAnsi="Times New Roman" w:eastAsia="宋体" w:cs="Times New Roman"/>
                <w:color w:val="auto"/>
                <w:spacing w:val="0"/>
                <w:kern w:val="21"/>
                <w:sz w:val="21"/>
                <w:szCs w:val="21"/>
                <w:highlight w:val="none"/>
                <w:lang w:val="en-US" w:eastAsia="zh-CN"/>
              </w:rPr>
              <w:t>经絮凝、沉淀处理后</w:t>
            </w:r>
            <w:r>
              <w:rPr>
                <w:rFonts w:hint="eastAsia" w:ascii="Times New Roman" w:hAnsi="Times New Roman" w:eastAsia="宋体" w:cs="Times New Roman"/>
                <w:color w:val="auto"/>
                <w:spacing w:val="0"/>
                <w:kern w:val="21"/>
                <w:sz w:val="21"/>
                <w:szCs w:val="21"/>
                <w:highlight w:val="none"/>
                <w:lang w:val="en-US" w:eastAsia="zh-CN"/>
              </w:rPr>
              <w:t>，由回收利用改为</w:t>
            </w:r>
            <w:r>
              <w:rPr>
                <w:rFonts w:hint="default" w:ascii="Times New Roman" w:hAnsi="Times New Roman" w:eastAsia="宋体" w:cs="Times New Roman"/>
                <w:color w:val="auto"/>
                <w:sz w:val="21"/>
                <w:szCs w:val="21"/>
                <w:highlight w:val="none"/>
                <w:lang w:val="en-US" w:eastAsia="zh-CN"/>
              </w:rPr>
              <w:t>排入</w:t>
            </w:r>
            <w:r>
              <w:rPr>
                <w:rFonts w:hint="eastAsia" w:ascii="Times New Roman" w:hAnsi="Times New Roman" w:eastAsia="宋体" w:cs="Times New Roman"/>
                <w:color w:val="auto"/>
                <w:sz w:val="21"/>
                <w:szCs w:val="21"/>
                <w:highlight w:val="none"/>
                <w:lang w:val="en-US" w:eastAsia="zh-CN"/>
              </w:rPr>
              <w:t>红光沟流入</w:t>
            </w:r>
            <w:r>
              <w:rPr>
                <w:rFonts w:hint="default" w:ascii="Times New Roman" w:hAnsi="Times New Roman" w:eastAsia="宋体" w:cs="Times New Roman"/>
                <w:color w:val="auto"/>
                <w:sz w:val="21"/>
                <w:szCs w:val="21"/>
                <w:highlight w:val="none"/>
                <w:lang w:val="en-US" w:eastAsia="zh-CN"/>
              </w:rPr>
              <w:t>穆棱河</w:t>
            </w:r>
            <w:r>
              <w:rPr>
                <w:rFonts w:hint="default" w:ascii="Times New Roman" w:hAnsi="Times New Roman" w:eastAsia="宋体" w:cs="Times New Roman"/>
                <w:bCs/>
                <w:color w:val="auto"/>
                <w:spacing w:val="0"/>
                <w:kern w:val="0"/>
                <w:sz w:val="21"/>
                <w:szCs w:val="21"/>
                <w:highlight w:val="none"/>
                <w:lang w:val="en-US" w:eastAsia="zh-CN"/>
              </w:rPr>
              <w:t>。依托原有入河排污口及排水管线，</w:t>
            </w:r>
            <w:r>
              <w:rPr>
                <w:rFonts w:hint="default" w:ascii="Times New Roman" w:hAnsi="Times New Roman" w:eastAsia="宋体" w:cs="Times New Roman"/>
                <w:bCs/>
                <w:color w:val="auto"/>
                <w:spacing w:val="0"/>
                <w:kern w:val="0"/>
                <w:sz w:val="21"/>
                <w:szCs w:val="21"/>
              </w:rPr>
              <w:t>入河排污口位于鸡西市鸡冠区鸡西北方热电厂北侧，地理坐标为：经度为131.015052°，纬度为45.281099°。</w:t>
            </w:r>
            <w:r>
              <w:rPr>
                <w:rFonts w:hint="default" w:ascii="Times New Roman" w:hAnsi="Times New Roman" w:eastAsia="宋体" w:cs="Times New Roman"/>
                <w:color w:val="auto"/>
                <w:spacing w:val="0"/>
                <w:sz w:val="21"/>
                <w:szCs w:val="21"/>
                <w:lang w:val="en-US" w:eastAsia="zh-CN"/>
              </w:rPr>
              <w:t>入河方式为暗管进明渠，</w:t>
            </w:r>
            <w:r>
              <w:rPr>
                <w:rFonts w:hint="default" w:ascii="Times New Roman" w:hAnsi="Times New Roman" w:eastAsia="宋体" w:cs="Times New Roman"/>
                <w:color w:val="auto"/>
                <w:sz w:val="21"/>
                <w:szCs w:val="21"/>
              </w:rPr>
              <w:t>污水排放方式为</w:t>
            </w:r>
            <w:r>
              <w:rPr>
                <w:rFonts w:hint="eastAsia" w:cs="Times New Roman"/>
                <w:color w:val="auto"/>
                <w:sz w:val="21"/>
                <w:szCs w:val="21"/>
                <w:lang w:val="en-US" w:eastAsia="zh-CN"/>
              </w:rPr>
              <w:t>间歇性</w:t>
            </w:r>
            <w:r>
              <w:rPr>
                <w:rFonts w:hint="default" w:ascii="Times New Roman" w:hAnsi="Times New Roman" w:eastAsia="宋体" w:cs="Times New Roman"/>
                <w:color w:val="auto"/>
                <w:sz w:val="21"/>
                <w:szCs w:val="21"/>
              </w:rPr>
              <w:t>排放</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pacing w:val="0"/>
                <w:sz w:val="21"/>
                <w:szCs w:val="21"/>
              </w:rPr>
              <w:t>排污口材质为Ⅱ级钢筋混凝土管，</w:t>
            </w:r>
            <w:r>
              <w:rPr>
                <w:rFonts w:hint="default" w:ascii="Times New Roman" w:hAnsi="Times New Roman" w:eastAsia="宋体" w:cs="Times New Roman"/>
                <w:bCs/>
                <w:color w:val="auto"/>
                <w:spacing w:val="0"/>
                <w:kern w:val="0"/>
                <w:sz w:val="21"/>
                <w:szCs w:val="21"/>
                <w:highlight w:val="none"/>
                <w:lang w:val="en-US" w:eastAsia="zh-CN"/>
              </w:rPr>
              <w:t>排污管线</w:t>
            </w:r>
            <w:r>
              <w:rPr>
                <w:rFonts w:hint="default" w:ascii="Times New Roman" w:hAnsi="Times New Roman" w:eastAsia="宋体" w:cs="Times New Roman"/>
                <w:bCs/>
                <w:color w:val="auto"/>
                <w:spacing w:val="0"/>
                <w:kern w:val="0"/>
                <w:sz w:val="21"/>
                <w:szCs w:val="21"/>
              </w:rPr>
              <w:t>长度约为520m</w:t>
            </w:r>
            <w:r>
              <w:rPr>
                <w:rFonts w:hint="default" w:ascii="Times New Roman" w:hAnsi="Times New Roman" w:eastAsia="宋体" w:cs="Times New Roman"/>
                <w:bCs/>
                <w:color w:val="auto"/>
                <w:spacing w:val="0"/>
                <w:kern w:val="0"/>
                <w:sz w:val="21"/>
                <w:szCs w:val="21"/>
                <w:lang w:eastAsia="zh-CN"/>
              </w:rPr>
              <w:t>，</w:t>
            </w:r>
            <w:r>
              <w:rPr>
                <w:rFonts w:hint="default" w:ascii="Times New Roman" w:hAnsi="Times New Roman" w:eastAsia="宋体" w:cs="Times New Roman"/>
                <w:color w:val="auto"/>
                <w:spacing w:val="0"/>
                <w:sz w:val="21"/>
                <w:szCs w:val="21"/>
              </w:rPr>
              <w:t>管径为</w:t>
            </w:r>
            <w:r>
              <w:rPr>
                <w:rFonts w:hint="default" w:ascii="Times New Roman" w:hAnsi="Times New Roman" w:eastAsia="宋体" w:cs="Times New Roman"/>
                <w:color w:val="auto"/>
                <w:spacing w:val="0"/>
                <w:sz w:val="21"/>
                <w:szCs w:val="21"/>
                <w:lang w:val="en-US" w:eastAsia="zh-CN"/>
              </w:rPr>
              <w:t>1m</w:t>
            </w:r>
            <w:r>
              <w:rPr>
                <w:rFonts w:hint="default" w:ascii="Times New Roman" w:hAnsi="Times New Roman" w:eastAsia="宋体" w:cs="Times New Roman"/>
                <w:color w:val="auto"/>
                <w:spacing w:val="0"/>
                <w:sz w:val="21"/>
                <w:szCs w:val="21"/>
                <w:lang w:eastAsia="zh-CN"/>
              </w:rPr>
              <w:t>。</w:t>
            </w:r>
          </w:p>
        </w:tc>
        <w:tc>
          <w:tcPr>
            <w:tcW w:w="857" w:type="pct"/>
            <w:tcBorders>
              <w:tl2br w:val="nil"/>
              <w:tr2bl w:val="nil"/>
            </w:tcBorders>
            <w:vAlign w:val="center"/>
          </w:tcPr>
          <w:p w14:paraId="20BDCC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w w:val="100"/>
                <w:sz w:val="21"/>
                <w:szCs w:val="21"/>
                <w:highlight w:val="none"/>
                <w:lang w:val="en-US" w:eastAsia="zh-CN"/>
              </w:rPr>
            </w:pPr>
            <w:r>
              <w:rPr>
                <w:rFonts w:hint="eastAsia" w:cs="Times New Roman"/>
                <w:bCs/>
                <w:color w:val="auto"/>
                <w:spacing w:val="0"/>
                <w:kern w:val="0"/>
                <w:sz w:val="21"/>
                <w:szCs w:val="21"/>
                <w:highlight w:val="none"/>
                <w:lang w:val="en-US" w:eastAsia="zh-CN"/>
              </w:rPr>
              <w:t>入河排污口依托，排泥水排放去向改建</w:t>
            </w:r>
          </w:p>
        </w:tc>
      </w:tr>
      <w:tr w14:paraId="3A07FD7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shd w:val="clear" w:color="auto" w:fill="auto"/>
            <w:vAlign w:val="center"/>
          </w:tcPr>
          <w:p w14:paraId="0D57A1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lang w:val="en-US" w:eastAsia="zh-CN"/>
              </w:rPr>
            </w:pPr>
          </w:p>
        </w:tc>
        <w:tc>
          <w:tcPr>
            <w:tcW w:w="668" w:type="pct"/>
            <w:tcBorders>
              <w:tl2br w:val="nil"/>
              <w:tr2bl w:val="nil"/>
            </w:tcBorders>
            <w:shd w:val="clear" w:color="auto" w:fill="auto"/>
            <w:vAlign w:val="center"/>
          </w:tcPr>
          <w:p w14:paraId="396D7FC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eastAsia" w:ascii="Times New Roman" w:hAnsi="Times New Roman" w:eastAsia="宋体" w:cs="Times New Roman"/>
                <w:b w:val="0"/>
                <w:bCs w:val="0"/>
                <w:color w:val="auto"/>
                <w:spacing w:val="0"/>
                <w:w w:val="100"/>
                <w:sz w:val="21"/>
                <w:szCs w:val="21"/>
                <w:highlight w:val="none"/>
                <w:lang w:val="en-US" w:eastAsia="zh-CN"/>
              </w:rPr>
            </w:pPr>
            <w:r>
              <w:rPr>
                <w:rFonts w:hint="eastAsia" w:ascii="Times New Roman" w:hAnsi="Times New Roman" w:cs="Times New Roman"/>
                <w:b w:val="0"/>
                <w:bCs w:val="0"/>
                <w:color w:val="auto"/>
                <w:spacing w:val="0"/>
                <w:w w:val="100"/>
                <w:sz w:val="21"/>
                <w:szCs w:val="21"/>
                <w:lang w:val="en-US" w:eastAsia="zh-CN"/>
              </w:rPr>
              <w:t>污泥脱水间</w:t>
            </w:r>
          </w:p>
        </w:tc>
        <w:tc>
          <w:tcPr>
            <w:tcW w:w="3084" w:type="pct"/>
            <w:tcBorders>
              <w:tl2br w:val="nil"/>
              <w:tr2bl w:val="nil"/>
            </w:tcBorders>
            <w:shd w:val="clear" w:color="auto" w:fill="auto"/>
            <w:vAlign w:val="center"/>
          </w:tcPr>
          <w:p w14:paraId="7100FCC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kern w:val="0"/>
                <w:sz w:val="21"/>
                <w:szCs w:val="21"/>
                <w:highlight w:val="none"/>
                <w:lang w:val="en-US" w:eastAsia="zh-CN" w:bidi="ar"/>
              </w:rPr>
            </w:pPr>
            <w:r>
              <w:rPr>
                <w:rFonts w:hint="eastAsia" w:ascii="Times New Roman" w:hAnsi="Times New Roman" w:eastAsia="宋体" w:cs="Times New Roman"/>
                <w:color w:val="auto"/>
                <w:spacing w:val="3"/>
                <w:sz w:val="21"/>
                <w:szCs w:val="21"/>
                <w:lang w:val="en-US" w:eastAsia="zh-CN"/>
              </w:rPr>
              <w:t>污泥脱水间厂房不变，</w:t>
            </w:r>
            <w:r>
              <w:rPr>
                <w:rFonts w:hint="default" w:ascii="Times New Roman" w:hAnsi="Times New Roman" w:eastAsia="宋体" w:cs="Times New Roman"/>
                <w:color w:val="auto"/>
                <w:spacing w:val="3"/>
                <w:sz w:val="21"/>
                <w:szCs w:val="21"/>
                <w:lang w:val="en-US" w:eastAsia="zh-CN"/>
              </w:rPr>
              <w:t>由于污泥脱水间部分设备老化，本项目</w:t>
            </w:r>
            <w:r>
              <w:rPr>
                <w:rFonts w:hint="eastAsia" w:ascii="Times New Roman" w:hAnsi="Times New Roman" w:eastAsia="宋体" w:cs="Times New Roman"/>
                <w:color w:val="auto"/>
                <w:spacing w:val="3"/>
                <w:sz w:val="21"/>
                <w:szCs w:val="21"/>
                <w:lang w:val="en-US" w:eastAsia="zh-CN"/>
              </w:rPr>
              <w:t>污泥脱水间内仅</w:t>
            </w:r>
            <w:r>
              <w:rPr>
                <w:rFonts w:hint="default" w:ascii="Times New Roman" w:hAnsi="Times New Roman" w:eastAsia="宋体" w:cs="Times New Roman"/>
                <w:color w:val="auto"/>
                <w:spacing w:val="3"/>
                <w:sz w:val="21"/>
                <w:szCs w:val="21"/>
                <w:lang w:val="en-US" w:eastAsia="zh-CN"/>
              </w:rPr>
              <w:t>更换污泥脱水设备，污泥处理工艺不变，</w:t>
            </w:r>
            <w:r>
              <w:rPr>
                <w:rFonts w:hint="default" w:ascii="Times New Roman" w:hAnsi="Times New Roman" w:eastAsia="宋体" w:cs="Times New Roman"/>
                <w:color w:val="auto"/>
                <w:spacing w:val="3"/>
                <w:sz w:val="21"/>
                <w:szCs w:val="21"/>
              </w:rPr>
              <w:t>采用容压一体化污泥深度脱水技术</w:t>
            </w:r>
            <w:r>
              <w:rPr>
                <w:rFonts w:hint="default" w:ascii="Times New Roman" w:hAnsi="Times New Roman" w:eastAsia="宋体" w:cs="Times New Roman"/>
                <w:b w:val="0"/>
                <w:bCs w:val="0"/>
                <w:color w:val="auto"/>
                <w:spacing w:val="0"/>
                <w:w w:val="100"/>
                <w:sz w:val="21"/>
                <w:szCs w:val="21"/>
              </w:rPr>
              <w:t>。</w:t>
            </w:r>
          </w:p>
        </w:tc>
        <w:tc>
          <w:tcPr>
            <w:tcW w:w="857" w:type="pct"/>
            <w:tcBorders>
              <w:tl2br w:val="nil"/>
              <w:tr2bl w:val="nil"/>
            </w:tcBorders>
            <w:vAlign w:val="center"/>
          </w:tcPr>
          <w:p w14:paraId="348606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lang w:val="en-US" w:eastAsia="zh-CN"/>
              </w:rPr>
            </w:pPr>
            <w:r>
              <w:rPr>
                <w:rFonts w:hint="eastAsia" w:cs="Times New Roman"/>
                <w:b w:val="0"/>
                <w:bCs w:val="0"/>
                <w:color w:val="auto"/>
                <w:spacing w:val="0"/>
                <w:w w:val="100"/>
                <w:sz w:val="21"/>
                <w:szCs w:val="21"/>
                <w:highlight w:val="none"/>
                <w:lang w:val="en-US" w:eastAsia="zh-CN"/>
              </w:rPr>
              <w:t>厂房</w:t>
            </w:r>
            <w:r>
              <w:rPr>
                <w:rFonts w:hint="default" w:ascii="Times New Roman" w:hAnsi="Times New Roman" w:eastAsia="宋体" w:cs="Times New Roman"/>
                <w:b w:val="0"/>
                <w:bCs w:val="0"/>
                <w:color w:val="auto"/>
                <w:spacing w:val="0"/>
                <w:w w:val="100"/>
                <w:sz w:val="21"/>
                <w:szCs w:val="21"/>
                <w:highlight w:val="none"/>
                <w:lang w:val="en-US" w:eastAsia="zh-CN"/>
              </w:rPr>
              <w:t>依托</w:t>
            </w:r>
          </w:p>
          <w:p w14:paraId="2DBC8B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lang w:val="en-US" w:eastAsia="zh-CN"/>
              </w:rPr>
            </w:pPr>
            <w:r>
              <w:rPr>
                <w:rFonts w:hint="eastAsia" w:cs="Times New Roman"/>
                <w:b w:val="0"/>
                <w:bCs w:val="0"/>
                <w:color w:val="auto"/>
                <w:spacing w:val="0"/>
                <w:w w:val="100"/>
                <w:sz w:val="21"/>
                <w:szCs w:val="21"/>
                <w:highlight w:val="none"/>
                <w:lang w:val="en-US" w:eastAsia="zh-CN"/>
              </w:rPr>
              <w:t>设备更换</w:t>
            </w:r>
          </w:p>
        </w:tc>
      </w:tr>
      <w:tr w14:paraId="2FE5265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restart"/>
            <w:tcBorders>
              <w:tl2br w:val="nil"/>
              <w:tr2bl w:val="nil"/>
            </w:tcBorders>
            <w:shd w:val="clear" w:color="auto" w:fill="auto"/>
            <w:vAlign w:val="center"/>
          </w:tcPr>
          <w:p w14:paraId="72CFE1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default" w:ascii="Times New Roman" w:hAnsi="Times New Roman" w:eastAsia="宋体" w:cs="Times New Roman"/>
                <w:b w:val="0"/>
                <w:bCs w:val="0"/>
                <w:color w:val="auto"/>
                <w:spacing w:val="0"/>
                <w:w w:val="100"/>
                <w:sz w:val="21"/>
                <w:szCs w:val="21"/>
                <w:highlight w:val="none"/>
              </w:rPr>
              <w:t>储运</w:t>
            </w:r>
          </w:p>
          <w:p w14:paraId="19E7A7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default" w:ascii="Times New Roman" w:hAnsi="Times New Roman" w:eastAsia="宋体" w:cs="Times New Roman"/>
                <w:b w:val="0"/>
                <w:bCs w:val="0"/>
                <w:color w:val="auto"/>
                <w:spacing w:val="0"/>
                <w:w w:val="100"/>
                <w:sz w:val="21"/>
                <w:szCs w:val="21"/>
                <w:highlight w:val="none"/>
              </w:rPr>
              <w:t>工程</w:t>
            </w:r>
          </w:p>
        </w:tc>
        <w:tc>
          <w:tcPr>
            <w:tcW w:w="668" w:type="pct"/>
            <w:tcBorders>
              <w:tl2br w:val="nil"/>
              <w:tr2bl w:val="nil"/>
            </w:tcBorders>
            <w:shd w:val="clear" w:color="auto" w:fill="auto"/>
            <w:vAlign w:val="center"/>
          </w:tcPr>
          <w:p w14:paraId="4184E46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eastAsia" w:ascii="Times New Roman" w:hAnsi="Times New Roman" w:cs="Times New Roman"/>
                <w:b w:val="0"/>
                <w:bCs w:val="0"/>
                <w:color w:val="auto"/>
                <w:spacing w:val="0"/>
                <w:w w:val="100"/>
                <w:sz w:val="21"/>
                <w:szCs w:val="21"/>
                <w:highlight w:val="none"/>
                <w:lang w:val="en-US" w:eastAsia="zh-CN"/>
              </w:rPr>
              <w:t>污泥暂存库</w:t>
            </w:r>
          </w:p>
        </w:tc>
        <w:tc>
          <w:tcPr>
            <w:tcW w:w="3084" w:type="pct"/>
            <w:tcBorders>
              <w:tl2br w:val="nil"/>
              <w:tr2bl w:val="nil"/>
            </w:tcBorders>
            <w:shd w:val="clear" w:color="auto" w:fill="auto"/>
            <w:vAlign w:val="center"/>
          </w:tcPr>
          <w:p w14:paraId="69563D4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lang w:val="en-US" w:eastAsia="zh-CN"/>
              </w:rPr>
            </w:pPr>
            <w:r>
              <w:rPr>
                <w:rFonts w:hint="eastAsia" w:ascii="Times New Roman" w:hAnsi="Times New Roman" w:cs="Times New Roman"/>
                <w:b w:val="0"/>
                <w:bCs w:val="0"/>
                <w:color w:val="auto"/>
                <w:spacing w:val="0"/>
                <w:w w:val="100"/>
                <w:sz w:val="21"/>
                <w:szCs w:val="21"/>
                <w:lang w:val="en-US" w:eastAsia="zh-CN"/>
              </w:rPr>
              <w:t>位于污泥脱水间</w:t>
            </w:r>
            <w:r>
              <w:rPr>
                <w:rFonts w:hint="eastAsia" w:ascii="Times New Roman" w:hAnsi="Times New Roman" w:cs="Times New Roman"/>
                <w:b w:val="0"/>
                <w:bCs w:val="0"/>
                <w:color w:val="auto"/>
                <w:spacing w:val="0"/>
                <w:w w:val="100"/>
                <w:sz w:val="21"/>
                <w:szCs w:val="21"/>
                <w:highlight w:val="none"/>
                <w:lang w:val="en-US" w:eastAsia="zh-CN"/>
              </w:rPr>
              <w:t>内，面积约80m</w:t>
            </w:r>
            <w:r>
              <w:rPr>
                <w:rFonts w:hint="eastAsia" w:ascii="Times New Roman" w:hAnsi="Times New Roman" w:cs="Times New Roman"/>
                <w:b w:val="0"/>
                <w:bCs w:val="0"/>
                <w:color w:val="auto"/>
                <w:spacing w:val="0"/>
                <w:w w:val="100"/>
                <w:sz w:val="21"/>
                <w:szCs w:val="21"/>
                <w:highlight w:val="none"/>
                <w:vertAlign w:val="superscript"/>
                <w:lang w:val="en-US" w:eastAsia="zh-CN"/>
              </w:rPr>
              <w:t>2</w:t>
            </w:r>
            <w:r>
              <w:rPr>
                <w:rFonts w:hint="eastAsia" w:ascii="Times New Roman" w:hAnsi="Times New Roman" w:cs="Times New Roman"/>
                <w:b w:val="0"/>
                <w:bCs w:val="0"/>
                <w:color w:val="auto"/>
                <w:spacing w:val="0"/>
                <w:w w:val="100"/>
                <w:sz w:val="21"/>
                <w:szCs w:val="21"/>
                <w:highlight w:val="none"/>
                <w:vertAlign w:val="baseline"/>
                <w:lang w:val="en-US" w:eastAsia="zh-CN"/>
              </w:rPr>
              <w:t>，最大存储量为200t，用于存储脱水后污泥</w:t>
            </w:r>
            <w:r>
              <w:rPr>
                <w:rFonts w:hint="default" w:ascii="Times New Roman" w:hAnsi="Times New Roman" w:eastAsia="宋体" w:cs="Times New Roman"/>
                <w:b w:val="0"/>
                <w:bCs w:val="0"/>
                <w:color w:val="auto"/>
                <w:spacing w:val="0"/>
                <w:w w:val="100"/>
                <w:sz w:val="21"/>
                <w:szCs w:val="21"/>
                <w:highlight w:val="none"/>
              </w:rPr>
              <w:t>。</w:t>
            </w:r>
          </w:p>
        </w:tc>
        <w:tc>
          <w:tcPr>
            <w:tcW w:w="857" w:type="pct"/>
            <w:tcBorders>
              <w:tl2br w:val="nil"/>
              <w:tr2bl w:val="nil"/>
            </w:tcBorders>
            <w:vAlign w:val="center"/>
          </w:tcPr>
          <w:p w14:paraId="689D84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lang w:val="en-US" w:eastAsia="zh-CN"/>
              </w:rPr>
            </w:pPr>
            <w:r>
              <w:rPr>
                <w:rFonts w:hint="eastAsia" w:cs="Times New Roman"/>
                <w:b w:val="0"/>
                <w:bCs w:val="0"/>
                <w:color w:val="auto"/>
                <w:spacing w:val="0"/>
                <w:w w:val="100"/>
                <w:sz w:val="21"/>
                <w:szCs w:val="21"/>
                <w:highlight w:val="none"/>
                <w:lang w:val="en-US" w:eastAsia="zh-CN"/>
              </w:rPr>
              <w:t>新建</w:t>
            </w:r>
          </w:p>
        </w:tc>
      </w:tr>
      <w:tr w14:paraId="6437AF6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shd w:val="clear" w:color="auto" w:fill="auto"/>
            <w:vAlign w:val="center"/>
          </w:tcPr>
          <w:p w14:paraId="4805EF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p>
        </w:tc>
        <w:tc>
          <w:tcPr>
            <w:tcW w:w="668" w:type="pct"/>
            <w:tcBorders>
              <w:tl2br w:val="nil"/>
              <w:tr2bl w:val="nil"/>
            </w:tcBorders>
            <w:shd w:val="clear" w:color="auto" w:fill="auto"/>
            <w:vAlign w:val="center"/>
          </w:tcPr>
          <w:p w14:paraId="4A7C3A6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cs="Times New Roman"/>
                <w:b w:val="0"/>
                <w:bCs w:val="0"/>
                <w:color w:val="auto"/>
                <w:spacing w:val="0"/>
                <w:w w:val="100"/>
                <w:sz w:val="21"/>
                <w:szCs w:val="21"/>
                <w:highlight w:val="none"/>
                <w:lang w:val="en-US" w:eastAsia="zh-CN"/>
              </w:rPr>
            </w:pPr>
            <w:r>
              <w:rPr>
                <w:rFonts w:hint="eastAsia" w:ascii="Times New Roman" w:hAnsi="Times New Roman" w:cs="Times New Roman"/>
                <w:b w:val="0"/>
                <w:bCs w:val="0"/>
                <w:color w:val="auto"/>
                <w:spacing w:val="0"/>
                <w:w w:val="100"/>
                <w:sz w:val="21"/>
                <w:szCs w:val="21"/>
                <w:highlight w:val="none"/>
                <w:lang w:val="en-US" w:eastAsia="zh-CN"/>
              </w:rPr>
              <w:t>加氯加药间</w:t>
            </w:r>
          </w:p>
        </w:tc>
        <w:tc>
          <w:tcPr>
            <w:tcW w:w="3084" w:type="pct"/>
            <w:tcBorders>
              <w:tl2br w:val="nil"/>
              <w:tr2bl w:val="nil"/>
            </w:tcBorders>
            <w:shd w:val="clear" w:color="auto" w:fill="auto"/>
            <w:vAlign w:val="center"/>
          </w:tcPr>
          <w:p w14:paraId="76B7C12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cs="Times New Roman"/>
                <w:b w:val="0"/>
                <w:bCs w:val="0"/>
                <w:color w:val="auto"/>
                <w:spacing w:val="0"/>
                <w:w w:val="100"/>
                <w:sz w:val="21"/>
                <w:szCs w:val="21"/>
                <w:lang w:val="en-US" w:eastAsia="zh-CN"/>
              </w:rPr>
            </w:pPr>
            <w:r>
              <w:rPr>
                <w:rFonts w:hint="eastAsia" w:ascii="Times New Roman" w:hAnsi="Times New Roman" w:cs="Times New Roman"/>
                <w:b w:val="0"/>
                <w:bCs w:val="0"/>
                <w:color w:val="auto"/>
                <w:spacing w:val="0"/>
                <w:w w:val="100"/>
                <w:sz w:val="21"/>
                <w:szCs w:val="21"/>
                <w:lang w:val="en-US" w:eastAsia="zh-CN"/>
              </w:rPr>
              <w:t>厂区现有加氯加药间，建筑面积</w:t>
            </w:r>
            <w:r>
              <w:rPr>
                <w:rFonts w:hint="eastAsia" w:ascii="Times New Roman" w:hAnsi="Times New Roman" w:cs="Times New Roman"/>
                <w:b w:val="0"/>
                <w:bCs w:val="0"/>
                <w:color w:val="auto"/>
                <w:spacing w:val="0"/>
                <w:w w:val="100"/>
                <w:sz w:val="21"/>
                <w:szCs w:val="21"/>
                <w:highlight w:val="none"/>
                <w:lang w:val="en-US" w:eastAsia="zh-CN"/>
              </w:rPr>
              <w:t>756m</w:t>
            </w:r>
            <w:r>
              <w:rPr>
                <w:rFonts w:hint="eastAsia" w:ascii="Times New Roman" w:hAnsi="Times New Roman" w:cs="Times New Roman"/>
                <w:b w:val="0"/>
                <w:bCs w:val="0"/>
                <w:color w:val="auto"/>
                <w:spacing w:val="0"/>
                <w:w w:val="100"/>
                <w:sz w:val="21"/>
                <w:szCs w:val="21"/>
                <w:highlight w:val="none"/>
                <w:vertAlign w:val="superscript"/>
                <w:lang w:val="en-US" w:eastAsia="zh-CN"/>
              </w:rPr>
              <w:t>2</w:t>
            </w:r>
            <w:r>
              <w:rPr>
                <w:rFonts w:hint="eastAsia" w:ascii="Times New Roman" w:hAnsi="Times New Roman" w:cs="Times New Roman"/>
                <w:b w:val="0"/>
                <w:bCs w:val="0"/>
                <w:color w:val="auto"/>
                <w:spacing w:val="0"/>
                <w:w w:val="100"/>
                <w:sz w:val="21"/>
                <w:szCs w:val="21"/>
                <w:highlight w:val="none"/>
                <w:vertAlign w:val="baseline"/>
                <w:lang w:val="en-US" w:eastAsia="zh-CN"/>
              </w:rPr>
              <w:t>，内存液氯（氯瓶存储，设有安全阀）、</w:t>
            </w:r>
            <w:r>
              <w:rPr>
                <w:rFonts w:hint="default" w:ascii="Times New Roman" w:hAnsi="Times New Roman" w:cs="Times New Roman"/>
                <w:color w:val="auto"/>
                <w:spacing w:val="0"/>
                <w:sz w:val="21"/>
                <w:szCs w:val="21"/>
              </w:rPr>
              <w:t>38%三氯化铁溶液</w:t>
            </w:r>
            <w:r>
              <w:rPr>
                <w:rFonts w:hint="eastAsia" w:ascii="Times New Roman" w:hAnsi="Times New Roman" w:cs="Times New Roman"/>
                <w:color w:val="auto"/>
                <w:spacing w:val="0"/>
                <w:sz w:val="21"/>
                <w:szCs w:val="21"/>
                <w:lang w:eastAsia="zh-CN"/>
              </w:rPr>
              <w:t>（</w:t>
            </w:r>
            <w:r>
              <w:rPr>
                <w:rFonts w:hint="eastAsia" w:ascii="Times New Roman" w:hAnsi="Times New Roman" w:cs="Times New Roman"/>
                <w:color w:val="auto"/>
                <w:spacing w:val="0"/>
                <w:sz w:val="21"/>
                <w:szCs w:val="21"/>
                <w:lang w:val="en-US" w:eastAsia="zh-CN"/>
              </w:rPr>
              <w:t>密闭桶装）、硅酸钠（密封桶装）、PAC（密封袋装）、PAM（密封桶装）。所有药剂的最大贮存量为12t/a。</w:t>
            </w:r>
          </w:p>
        </w:tc>
        <w:tc>
          <w:tcPr>
            <w:tcW w:w="857" w:type="pct"/>
            <w:tcBorders>
              <w:tl2br w:val="nil"/>
              <w:tr2bl w:val="nil"/>
            </w:tcBorders>
            <w:vAlign w:val="center"/>
          </w:tcPr>
          <w:p w14:paraId="19862B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b w:val="0"/>
                <w:bCs w:val="0"/>
                <w:color w:val="auto"/>
                <w:spacing w:val="0"/>
                <w:w w:val="100"/>
                <w:sz w:val="21"/>
                <w:szCs w:val="21"/>
                <w:highlight w:val="none"/>
                <w:lang w:val="en-US" w:eastAsia="zh-CN"/>
              </w:rPr>
            </w:pPr>
            <w:r>
              <w:rPr>
                <w:rFonts w:hint="eastAsia" w:cs="Times New Roman"/>
                <w:b w:val="0"/>
                <w:bCs w:val="0"/>
                <w:color w:val="auto"/>
                <w:spacing w:val="0"/>
                <w:w w:val="100"/>
                <w:sz w:val="21"/>
                <w:szCs w:val="21"/>
                <w:highlight w:val="none"/>
                <w:lang w:val="en-US" w:eastAsia="zh-CN"/>
              </w:rPr>
              <w:t>依托</w:t>
            </w:r>
          </w:p>
        </w:tc>
      </w:tr>
      <w:tr w14:paraId="6D765B3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restart"/>
            <w:tcBorders>
              <w:tl2br w:val="nil"/>
              <w:tr2bl w:val="nil"/>
            </w:tcBorders>
            <w:vAlign w:val="center"/>
          </w:tcPr>
          <w:p w14:paraId="1AD96B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default" w:ascii="Times New Roman" w:hAnsi="Times New Roman" w:eastAsia="宋体" w:cs="Times New Roman"/>
                <w:b w:val="0"/>
                <w:bCs w:val="0"/>
                <w:color w:val="auto"/>
                <w:spacing w:val="0"/>
                <w:w w:val="100"/>
                <w:sz w:val="21"/>
                <w:szCs w:val="21"/>
                <w:highlight w:val="none"/>
              </w:rPr>
              <w:t>公用工程</w:t>
            </w:r>
          </w:p>
        </w:tc>
        <w:tc>
          <w:tcPr>
            <w:tcW w:w="668" w:type="pct"/>
            <w:tcBorders>
              <w:tl2br w:val="nil"/>
              <w:tr2bl w:val="nil"/>
            </w:tcBorders>
            <w:vAlign w:val="center"/>
          </w:tcPr>
          <w:p w14:paraId="6666F2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default" w:ascii="Times New Roman" w:hAnsi="Times New Roman" w:eastAsia="宋体" w:cs="Times New Roman"/>
                <w:b w:val="0"/>
                <w:bCs w:val="0"/>
                <w:color w:val="auto"/>
                <w:spacing w:val="0"/>
                <w:w w:val="100"/>
                <w:sz w:val="21"/>
                <w:szCs w:val="21"/>
                <w:highlight w:val="none"/>
              </w:rPr>
              <w:t>供水</w:t>
            </w:r>
          </w:p>
        </w:tc>
        <w:tc>
          <w:tcPr>
            <w:tcW w:w="3084" w:type="pct"/>
            <w:tcBorders>
              <w:tl2br w:val="nil"/>
              <w:tr2bl w:val="nil"/>
            </w:tcBorders>
            <w:vAlign w:val="center"/>
          </w:tcPr>
          <w:p w14:paraId="2D60F5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lang w:val="en-US" w:eastAsia="zh-CN"/>
              </w:rPr>
            </w:pPr>
            <w:r>
              <w:rPr>
                <w:rFonts w:hint="default" w:ascii="Times New Roman" w:hAnsi="Times New Roman" w:eastAsia="宋体" w:cs="Times New Roman"/>
                <w:b w:val="0"/>
                <w:bCs w:val="0"/>
                <w:color w:val="auto"/>
                <w:spacing w:val="0"/>
                <w:w w:val="100"/>
                <w:sz w:val="21"/>
                <w:szCs w:val="21"/>
                <w:highlight w:val="none"/>
                <w:lang w:val="en-US" w:eastAsia="zh-CN"/>
              </w:rPr>
              <w:t>生产、生活用水由厂区供给</w:t>
            </w:r>
          </w:p>
        </w:tc>
        <w:tc>
          <w:tcPr>
            <w:tcW w:w="857" w:type="pct"/>
            <w:tcBorders>
              <w:tl2br w:val="nil"/>
              <w:tr2bl w:val="nil"/>
            </w:tcBorders>
            <w:vAlign w:val="center"/>
          </w:tcPr>
          <w:p w14:paraId="67908A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default" w:ascii="Times New Roman" w:hAnsi="Times New Roman" w:eastAsia="宋体" w:cs="Times New Roman"/>
                <w:b w:val="0"/>
                <w:bCs w:val="0"/>
                <w:color w:val="auto"/>
                <w:spacing w:val="0"/>
                <w:w w:val="100"/>
                <w:sz w:val="21"/>
                <w:szCs w:val="21"/>
                <w:highlight w:val="none"/>
              </w:rPr>
              <w:t>依托</w:t>
            </w:r>
          </w:p>
        </w:tc>
      </w:tr>
      <w:tr w14:paraId="48B4B5B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77AAE0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p>
        </w:tc>
        <w:tc>
          <w:tcPr>
            <w:tcW w:w="668" w:type="pct"/>
            <w:vMerge w:val="restart"/>
            <w:tcBorders>
              <w:tl2br w:val="nil"/>
              <w:tr2bl w:val="nil"/>
            </w:tcBorders>
            <w:vAlign w:val="center"/>
          </w:tcPr>
          <w:p w14:paraId="0A0889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default" w:ascii="Times New Roman" w:hAnsi="Times New Roman" w:eastAsia="宋体" w:cs="Times New Roman"/>
                <w:b w:val="0"/>
                <w:bCs w:val="0"/>
                <w:color w:val="auto"/>
                <w:spacing w:val="0"/>
                <w:w w:val="100"/>
                <w:sz w:val="21"/>
                <w:szCs w:val="21"/>
                <w:highlight w:val="none"/>
              </w:rPr>
              <w:t>排水</w:t>
            </w:r>
          </w:p>
        </w:tc>
        <w:tc>
          <w:tcPr>
            <w:tcW w:w="3084" w:type="pct"/>
            <w:tcBorders>
              <w:tl2br w:val="nil"/>
              <w:tr2bl w:val="nil"/>
            </w:tcBorders>
            <w:vAlign w:val="center"/>
          </w:tcPr>
          <w:p w14:paraId="45B791AC">
            <w:pPr>
              <w:pStyle w:val="15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kern w:val="0"/>
                <w:sz w:val="21"/>
                <w:szCs w:val="21"/>
                <w:highlight w:val="none"/>
                <w:lang w:val="en-US" w:eastAsia="zh-CN"/>
              </w:rPr>
            </w:pPr>
            <w:r>
              <w:rPr>
                <w:rFonts w:hint="eastAsia" w:ascii="Times New Roman" w:hAnsi="Times New Roman" w:cs="Times New Roman"/>
                <w:color w:val="auto"/>
                <w:spacing w:val="0"/>
                <w:sz w:val="21"/>
                <w:szCs w:val="21"/>
                <w:lang w:val="en-US" w:eastAsia="zh-CN"/>
              </w:rPr>
              <w:t>净水厂现有</w:t>
            </w:r>
            <w:r>
              <w:rPr>
                <w:rFonts w:hint="default" w:ascii="Times New Roman" w:hAnsi="Times New Roman" w:cs="Times New Roman"/>
                <w:color w:val="auto"/>
                <w:spacing w:val="0"/>
                <w:sz w:val="21"/>
                <w:szCs w:val="21"/>
              </w:rPr>
              <w:t>生活污水经厂区</w:t>
            </w:r>
            <w:r>
              <w:rPr>
                <w:rFonts w:hint="default" w:ascii="Times New Roman" w:hAnsi="Times New Roman" w:eastAsia="宋体" w:cs="Times New Roman"/>
                <w:color w:val="auto"/>
                <w:spacing w:val="0"/>
                <w:sz w:val="21"/>
                <w:szCs w:val="21"/>
              </w:rPr>
              <w:t>化粪池</w:t>
            </w:r>
            <w:r>
              <w:rPr>
                <w:rFonts w:hint="eastAsia" w:ascii="Times New Roman" w:hAnsi="Times New Roman" w:cs="Times New Roman"/>
                <w:color w:val="auto"/>
                <w:spacing w:val="0"/>
                <w:sz w:val="21"/>
                <w:szCs w:val="21"/>
                <w:lang w:val="en-US" w:eastAsia="zh-CN"/>
              </w:rPr>
              <w:t>沉淀</w:t>
            </w:r>
            <w:r>
              <w:rPr>
                <w:rFonts w:hint="default" w:ascii="Times New Roman" w:hAnsi="Times New Roman" w:eastAsia="宋体" w:cs="Times New Roman"/>
                <w:color w:val="auto"/>
                <w:spacing w:val="0"/>
                <w:sz w:val="21"/>
                <w:szCs w:val="21"/>
              </w:rPr>
              <w:t>处理</w:t>
            </w:r>
            <w:r>
              <w:rPr>
                <w:rFonts w:hint="default" w:ascii="Times New Roman" w:hAnsi="Times New Roman" w:cs="Times New Roman"/>
                <w:color w:val="auto"/>
                <w:spacing w:val="0"/>
                <w:sz w:val="21"/>
                <w:szCs w:val="21"/>
              </w:rPr>
              <w:t>后进入市政管网，最终排至</w:t>
            </w:r>
            <w:r>
              <w:rPr>
                <w:rFonts w:hint="eastAsia" w:ascii="Times New Roman" w:hAnsi="Times New Roman" w:cs="Times New Roman"/>
                <w:color w:val="auto"/>
                <w:spacing w:val="0"/>
                <w:sz w:val="21"/>
                <w:szCs w:val="21"/>
                <w:lang w:eastAsia="zh-CN"/>
              </w:rPr>
              <w:t>鸡西市鸡冠区</w:t>
            </w:r>
            <w:r>
              <w:rPr>
                <w:rFonts w:hint="default" w:ascii="Times New Roman" w:hAnsi="Times New Roman" w:cs="Times New Roman"/>
                <w:color w:val="auto"/>
                <w:spacing w:val="0"/>
                <w:sz w:val="21"/>
                <w:szCs w:val="21"/>
              </w:rPr>
              <w:t>污水处理厂达到《城镇污水处理厂污染物排放标准》</w:t>
            </w:r>
            <w:r>
              <w:rPr>
                <w:rFonts w:hint="eastAsia" w:ascii="Times New Roman" w:hAnsi="Times New Roman" w:cs="Times New Roman"/>
                <w:color w:val="auto"/>
                <w:spacing w:val="0"/>
                <w:sz w:val="21"/>
                <w:szCs w:val="21"/>
                <w:lang w:eastAsia="zh-CN"/>
              </w:rPr>
              <w:t>（</w:t>
            </w:r>
            <w:r>
              <w:rPr>
                <w:rFonts w:hint="default" w:ascii="Times New Roman" w:hAnsi="Times New Roman" w:cs="Times New Roman"/>
                <w:color w:val="auto"/>
                <w:spacing w:val="0"/>
                <w:sz w:val="21"/>
                <w:szCs w:val="21"/>
              </w:rPr>
              <w:t>GB18918-2002</w:t>
            </w:r>
            <w:r>
              <w:rPr>
                <w:rFonts w:hint="eastAsia" w:ascii="Times New Roman" w:hAnsi="Times New Roman" w:cs="Times New Roman"/>
                <w:color w:val="auto"/>
                <w:spacing w:val="0"/>
                <w:sz w:val="21"/>
                <w:szCs w:val="21"/>
                <w:lang w:eastAsia="zh-CN"/>
              </w:rPr>
              <w:t>）</w:t>
            </w:r>
            <w:r>
              <w:rPr>
                <w:rFonts w:hint="default" w:ascii="Times New Roman" w:hAnsi="Times New Roman" w:cs="Times New Roman"/>
                <w:color w:val="auto"/>
                <w:spacing w:val="0"/>
                <w:sz w:val="21"/>
                <w:szCs w:val="21"/>
              </w:rPr>
              <w:t>中一级A标准后排入穆棱河。</w:t>
            </w:r>
            <w:r>
              <w:rPr>
                <w:rFonts w:hint="eastAsia" w:ascii="Times New Roman" w:hAnsi="Times New Roman" w:cs="Times New Roman"/>
                <w:bCs/>
                <w:color w:val="auto"/>
                <w:spacing w:val="0"/>
                <w:kern w:val="0"/>
                <w:sz w:val="21"/>
                <w:szCs w:val="21"/>
                <w:highlight w:val="none"/>
                <w:lang w:val="en-US" w:eastAsia="zh-CN"/>
              </w:rPr>
              <w:t>本项目不新增生活污水。</w:t>
            </w:r>
          </w:p>
        </w:tc>
        <w:tc>
          <w:tcPr>
            <w:tcW w:w="857" w:type="pct"/>
            <w:tcBorders>
              <w:tl2br w:val="nil"/>
              <w:tr2bl w:val="nil"/>
            </w:tcBorders>
            <w:vAlign w:val="center"/>
          </w:tcPr>
          <w:p w14:paraId="2F536E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lang w:eastAsia="zh-CN"/>
              </w:rPr>
            </w:pPr>
            <w:r>
              <w:rPr>
                <w:rFonts w:hint="default" w:ascii="Times New Roman" w:hAnsi="Times New Roman" w:eastAsia="宋体" w:cs="Times New Roman"/>
                <w:b w:val="0"/>
                <w:bCs w:val="0"/>
                <w:color w:val="auto"/>
                <w:spacing w:val="0"/>
                <w:w w:val="100"/>
                <w:sz w:val="21"/>
                <w:szCs w:val="21"/>
                <w:highlight w:val="none"/>
              </w:rPr>
              <w:t>依托</w:t>
            </w:r>
          </w:p>
        </w:tc>
      </w:tr>
      <w:tr w14:paraId="050DD25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10FA61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p>
        </w:tc>
        <w:tc>
          <w:tcPr>
            <w:tcW w:w="668" w:type="pct"/>
            <w:vMerge w:val="continue"/>
            <w:tcBorders>
              <w:tl2br w:val="nil"/>
              <w:tr2bl w:val="nil"/>
            </w:tcBorders>
            <w:vAlign w:val="center"/>
          </w:tcPr>
          <w:p w14:paraId="678606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p>
        </w:tc>
        <w:tc>
          <w:tcPr>
            <w:tcW w:w="3084" w:type="pct"/>
            <w:tcBorders>
              <w:tl2br w:val="nil"/>
              <w:tr2bl w:val="nil"/>
            </w:tcBorders>
            <w:vAlign w:val="center"/>
          </w:tcPr>
          <w:p w14:paraId="6F583900">
            <w:pPr>
              <w:pStyle w:val="15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pacing w:val="0"/>
                <w:sz w:val="21"/>
                <w:szCs w:val="21"/>
                <w:lang w:val="en-US" w:eastAsia="zh-CN"/>
              </w:rPr>
            </w:pPr>
            <w:r>
              <w:rPr>
                <w:rFonts w:hint="default" w:ascii="Times New Roman" w:hAnsi="Times New Roman" w:eastAsia="宋体" w:cs="Times New Roman"/>
                <w:bCs/>
                <w:color w:val="auto"/>
                <w:spacing w:val="0"/>
                <w:kern w:val="0"/>
                <w:sz w:val="21"/>
                <w:szCs w:val="21"/>
                <w:highlight w:val="none"/>
                <w:lang w:val="en-US" w:eastAsia="zh-CN"/>
              </w:rPr>
              <w:t>反冲洗废水</w:t>
            </w:r>
            <w:r>
              <w:rPr>
                <w:rFonts w:hint="eastAsia" w:cs="Times New Roman"/>
                <w:color w:val="auto"/>
                <w:sz w:val="21"/>
                <w:szCs w:val="21"/>
                <w:highlight w:val="none"/>
                <w:lang w:eastAsia="zh-CN"/>
              </w:rPr>
              <w:t>回收</w:t>
            </w:r>
            <w:r>
              <w:rPr>
                <w:rFonts w:hint="eastAsia" w:cs="Times New Roman"/>
                <w:color w:val="auto"/>
                <w:sz w:val="21"/>
                <w:szCs w:val="21"/>
                <w:highlight w:val="none"/>
                <w:lang w:val="en-US" w:eastAsia="zh-CN"/>
              </w:rPr>
              <w:t>排入</w:t>
            </w:r>
            <w:r>
              <w:rPr>
                <w:rFonts w:hint="eastAsia" w:cs="Times New Roman"/>
                <w:color w:val="auto"/>
                <w:sz w:val="21"/>
                <w:szCs w:val="21"/>
                <w:highlight w:val="none"/>
                <w:lang w:eastAsia="zh-CN"/>
              </w:rPr>
              <w:t>配水</w:t>
            </w:r>
            <w:r>
              <w:rPr>
                <w:rFonts w:hint="eastAsia" w:cs="Times New Roman"/>
                <w:color w:val="auto"/>
                <w:sz w:val="21"/>
                <w:szCs w:val="21"/>
                <w:highlight w:val="none"/>
                <w:lang w:val="en-US" w:eastAsia="zh-CN"/>
              </w:rPr>
              <w:t>井</w:t>
            </w:r>
            <w:r>
              <w:rPr>
                <w:rFonts w:hint="eastAsia" w:cs="Times New Roman"/>
                <w:color w:val="auto"/>
                <w:sz w:val="21"/>
                <w:szCs w:val="21"/>
                <w:highlight w:val="none"/>
                <w:lang w:eastAsia="zh-CN"/>
              </w:rPr>
              <w:t>与原水混合回用，不外排</w:t>
            </w:r>
          </w:p>
        </w:tc>
        <w:tc>
          <w:tcPr>
            <w:tcW w:w="857" w:type="pct"/>
            <w:tcBorders>
              <w:tl2br w:val="nil"/>
              <w:tr2bl w:val="nil"/>
            </w:tcBorders>
            <w:vAlign w:val="center"/>
          </w:tcPr>
          <w:p w14:paraId="7BBC1E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 w:val="0"/>
                <w:bCs w:val="0"/>
                <w:color w:val="auto"/>
                <w:spacing w:val="0"/>
                <w:w w:val="100"/>
                <w:sz w:val="21"/>
                <w:szCs w:val="21"/>
                <w:highlight w:val="none"/>
                <w:lang w:val="en-US" w:eastAsia="zh-CN"/>
              </w:rPr>
            </w:pPr>
            <w:r>
              <w:rPr>
                <w:rFonts w:hint="eastAsia" w:cs="Times New Roman"/>
                <w:b w:val="0"/>
                <w:bCs w:val="0"/>
                <w:color w:val="auto"/>
                <w:spacing w:val="0"/>
                <w:w w:val="100"/>
                <w:sz w:val="21"/>
                <w:szCs w:val="21"/>
                <w:highlight w:val="none"/>
                <w:lang w:val="en-US" w:eastAsia="zh-CN"/>
              </w:rPr>
              <w:t>依托</w:t>
            </w:r>
          </w:p>
        </w:tc>
      </w:tr>
      <w:tr w14:paraId="116DA6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399666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pacing w:val="0"/>
                <w:sz w:val="21"/>
                <w:szCs w:val="21"/>
              </w:rPr>
            </w:pPr>
          </w:p>
        </w:tc>
        <w:tc>
          <w:tcPr>
            <w:tcW w:w="668" w:type="pct"/>
            <w:vMerge w:val="continue"/>
            <w:tcBorders>
              <w:tl2br w:val="nil"/>
              <w:tr2bl w:val="nil"/>
            </w:tcBorders>
            <w:vAlign w:val="center"/>
          </w:tcPr>
          <w:p w14:paraId="2F1C2A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pacing w:val="0"/>
                <w:sz w:val="21"/>
                <w:szCs w:val="21"/>
              </w:rPr>
            </w:pPr>
          </w:p>
        </w:tc>
        <w:tc>
          <w:tcPr>
            <w:tcW w:w="3084" w:type="pct"/>
            <w:tcBorders>
              <w:tl2br w:val="nil"/>
              <w:tr2bl w:val="nil"/>
            </w:tcBorders>
            <w:vAlign w:val="center"/>
          </w:tcPr>
          <w:p w14:paraId="7A885F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kern w:val="0"/>
                <w:sz w:val="21"/>
                <w:szCs w:val="21"/>
                <w:highlight w:val="none"/>
                <w:lang w:val="en-US" w:eastAsia="zh-CN"/>
              </w:rPr>
            </w:pPr>
            <w:r>
              <w:rPr>
                <w:rFonts w:hint="default" w:ascii="Times New Roman" w:hAnsi="Times New Roman" w:eastAsia="宋体" w:cs="Times New Roman"/>
                <w:color w:val="auto"/>
                <w:spacing w:val="0"/>
                <w:sz w:val="21"/>
                <w:szCs w:val="21"/>
              </w:rPr>
              <w:t>沉淀池排泥水</w:t>
            </w:r>
            <w:r>
              <w:rPr>
                <w:rFonts w:hint="default" w:ascii="Times New Roman" w:hAnsi="Times New Roman" w:eastAsia="宋体" w:cs="Times New Roman"/>
                <w:color w:val="auto"/>
                <w:spacing w:val="0"/>
                <w:kern w:val="21"/>
                <w:sz w:val="21"/>
                <w:szCs w:val="21"/>
                <w:highlight w:val="none"/>
                <w:lang w:val="en-US" w:eastAsia="zh-CN"/>
              </w:rPr>
              <w:t>经絮凝、沉淀处理后满足</w:t>
            </w:r>
            <w:r>
              <w:rPr>
                <w:rFonts w:hint="default" w:ascii="Times New Roman" w:hAnsi="Times New Roman" w:eastAsia="宋体" w:cs="Times New Roman"/>
                <w:color w:val="auto"/>
                <w:spacing w:val="0"/>
                <w:sz w:val="21"/>
                <w:szCs w:val="21"/>
                <w:highlight w:val="none"/>
                <w:lang w:val="en-US" w:eastAsia="zh-CN"/>
              </w:rPr>
              <w:t>《地表水环境质量标准》（GB3838-2002）表1中三类标准、悬浮物满足《污水综合排放标准》（GB8978-1996）一级标准</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排入</w:t>
            </w:r>
            <w:r>
              <w:rPr>
                <w:rFonts w:hint="eastAsia" w:ascii="Times New Roman" w:hAnsi="Times New Roman" w:eastAsia="宋体" w:cs="Times New Roman"/>
                <w:color w:val="auto"/>
                <w:sz w:val="21"/>
                <w:szCs w:val="21"/>
                <w:highlight w:val="none"/>
                <w:lang w:val="en-US" w:eastAsia="zh-CN"/>
              </w:rPr>
              <w:t>红光沟流入</w:t>
            </w:r>
            <w:r>
              <w:rPr>
                <w:rFonts w:hint="default" w:ascii="Times New Roman" w:hAnsi="Times New Roman" w:eastAsia="宋体" w:cs="Times New Roman"/>
                <w:color w:val="auto"/>
                <w:sz w:val="21"/>
                <w:szCs w:val="21"/>
                <w:highlight w:val="none"/>
                <w:lang w:val="en-US" w:eastAsia="zh-CN"/>
              </w:rPr>
              <w:t>穆棱河</w:t>
            </w:r>
            <w:r>
              <w:rPr>
                <w:rFonts w:hint="default" w:ascii="Times New Roman" w:hAnsi="Times New Roman" w:eastAsia="宋体" w:cs="Times New Roman"/>
                <w:color w:val="auto"/>
                <w:spacing w:val="0"/>
                <w:sz w:val="21"/>
                <w:szCs w:val="21"/>
                <w:highlight w:val="none"/>
                <w:lang w:val="en-US" w:eastAsia="zh-CN"/>
              </w:rPr>
              <w:t>。</w:t>
            </w:r>
          </w:p>
        </w:tc>
        <w:tc>
          <w:tcPr>
            <w:tcW w:w="857" w:type="pct"/>
            <w:tcBorders>
              <w:tl2br w:val="nil"/>
              <w:tr2bl w:val="nil"/>
            </w:tcBorders>
            <w:vAlign w:val="center"/>
          </w:tcPr>
          <w:p w14:paraId="77DDAD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kern w:val="0"/>
                <w:sz w:val="21"/>
                <w:szCs w:val="21"/>
                <w:highlight w:val="none"/>
                <w:lang w:val="en-US" w:eastAsia="zh-CN"/>
              </w:rPr>
            </w:pPr>
            <w:r>
              <w:rPr>
                <w:rFonts w:hint="default" w:ascii="Times New Roman" w:hAnsi="Times New Roman" w:eastAsia="宋体" w:cs="Times New Roman"/>
                <w:b w:val="0"/>
                <w:bCs w:val="0"/>
                <w:color w:val="auto"/>
                <w:spacing w:val="0"/>
                <w:w w:val="100"/>
                <w:kern w:val="0"/>
                <w:sz w:val="21"/>
                <w:szCs w:val="21"/>
                <w:highlight w:val="none"/>
                <w:lang w:val="en-US" w:eastAsia="zh-CN"/>
              </w:rPr>
              <w:t>改建</w:t>
            </w:r>
          </w:p>
        </w:tc>
      </w:tr>
      <w:tr w14:paraId="67E9D48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579399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p>
        </w:tc>
        <w:tc>
          <w:tcPr>
            <w:tcW w:w="668" w:type="pct"/>
            <w:tcBorders>
              <w:tl2br w:val="nil"/>
              <w:tr2bl w:val="nil"/>
            </w:tcBorders>
            <w:vAlign w:val="center"/>
          </w:tcPr>
          <w:p w14:paraId="7DFBBB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default" w:ascii="Times New Roman" w:hAnsi="Times New Roman" w:eastAsia="宋体" w:cs="Times New Roman"/>
                <w:b w:val="0"/>
                <w:bCs w:val="0"/>
                <w:color w:val="auto"/>
                <w:spacing w:val="0"/>
                <w:w w:val="100"/>
                <w:sz w:val="21"/>
                <w:szCs w:val="21"/>
                <w:highlight w:val="none"/>
              </w:rPr>
              <w:t>供热/暖</w:t>
            </w:r>
          </w:p>
        </w:tc>
        <w:tc>
          <w:tcPr>
            <w:tcW w:w="3084" w:type="pct"/>
            <w:tcBorders>
              <w:tl2br w:val="nil"/>
              <w:tr2bl w:val="nil"/>
            </w:tcBorders>
            <w:vAlign w:val="center"/>
          </w:tcPr>
          <w:p w14:paraId="5303E8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lang w:val="en-US" w:eastAsia="zh-CN"/>
              </w:rPr>
            </w:pPr>
            <w:r>
              <w:rPr>
                <w:rFonts w:hint="default" w:ascii="Times New Roman" w:hAnsi="Times New Roman" w:eastAsia="宋体" w:cs="Times New Roman"/>
                <w:b w:val="0"/>
                <w:bCs w:val="0"/>
                <w:color w:val="auto"/>
                <w:spacing w:val="0"/>
                <w:w w:val="100"/>
                <w:sz w:val="21"/>
                <w:szCs w:val="21"/>
              </w:rPr>
              <w:t>本工程取暖为电采暖</w:t>
            </w:r>
          </w:p>
        </w:tc>
        <w:tc>
          <w:tcPr>
            <w:tcW w:w="857" w:type="pct"/>
            <w:tcBorders>
              <w:tl2br w:val="nil"/>
              <w:tr2bl w:val="nil"/>
            </w:tcBorders>
            <w:vAlign w:val="center"/>
          </w:tcPr>
          <w:p w14:paraId="7C73EB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lang w:val="en-US" w:eastAsia="zh-CN"/>
              </w:rPr>
            </w:pPr>
            <w:r>
              <w:rPr>
                <w:rFonts w:hint="default" w:ascii="Times New Roman" w:hAnsi="Times New Roman" w:eastAsia="宋体" w:cs="Times New Roman"/>
                <w:b w:val="0"/>
                <w:bCs w:val="0"/>
                <w:color w:val="auto"/>
                <w:spacing w:val="0"/>
                <w:w w:val="100"/>
                <w:sz w:val="21"/>
                <w:szCs w:val="21"/>
                <w:highlight w:val="none"/>
                <w:lang w:val="en-US" w:eastAsia="zh-CN"/>
              </w:rPr>
              <w:t>依托</w:t>
            </w:r>
          </w:p>
        </w:tc>
      </w:tr>
      <w:tr w14:paraId="37CE38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24E720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p>
        </w:tc>
        <w:tc>
          <w:tcPr>
            <w:tcW w:w="668" w:type="pct"/>
            <w:tcBorders>
              <w:tl2br w:val="nil"/>
              <w:tr2bl w:val="nil"/>
            </w:tcBorders>
            <w:vAlign w:val="center"/>
          </w:tcPr>
          <w:p w14:paraId="222495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default" w:ascii="Times New Roman" w:hAnsi="Times New Roman" w:eastAsia="宋体" w:cs="Times New Roman"/>
                <w:b w:val="0"/>
                <w:bCs w:val="0"/>
                <w:color w:val="auto"/>
                <w:spacing w:val="0"/>
                <w:w w:val="100"/>
                <w:sz w:val="21"/>
                <w:szCs w:val="21"/>
                <w:highlight w:val="none"/>
              </w:rPr>
              <w:t>供电</w:t>
            </w:r>
          </w:p>
        </w:tc>
        <w:tc>
          <w:tcPr>
            <w:tcW w:w="3084" w:type="pct"/>
            <w:tcBorders>
              <w:tl2br w:val="nil"/>
              <w:tr2bl w:val="nil"/>
            </w:tcBorders>
            <w:vAlign w:val="center"/>
          </w:tcPr>
          <w:p w14:paraId="5EFA4C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lang w:val="en-US" w:eastAsia="zh-CN"/>
              </w:rPr>
            </w:pPr>
            <w:r>
              <w:rPr>
                <w:rFonts w:hint="default" w:ascii="Times New Roman" w:hAnsi="Times New Roman" w:eastAsia="宋体" w:cs="Times New Roman"/>
                <w:b w:val="0"/>
                <w:bCs w:val="0"/>
                <w:color w:val="auto"/>
                <w:spacing w:val="0"/>
                <w:w w:val="100"/>
                <w:sz w:val="21"/>
                <w:szCs w:val="21"/>
                <w:highlight w:val="none"/>
                <w:lang w:val="en-US" w:eastAsia="zh-CN"/>
              </w:rPr>
              <w:t>市政供电</w:t>
            </w:r>
          </w:p>
        </w:tc>
        <w:tc>
          <w:tcPr>
            <w:tcW w:w="857" w:type="pct"/>
            <w:tcBorders>
              <w:tl2br w:val="nil"/>
              <w:tr2bl w:val="nil"/>
            </w:tcBorders>
            <w:vAlign w:val="center"/>
          </w:tcPr>
          <w:p w14:paraId="06B204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default" w:ascii="Times New Roman" w:hAnsi="Times New Roman" w:eastAsia="宋体" w:cs="Times New Roman"/>
                <w:b w:val="0"/>
                <w:bCs w:val="0"/>
                <w:color w:val="auto"/>
                <w:spacing w:val="0"/>
                <w:w w:val="100"/>
                <w:sz w:val="21"/>
                <w:szCs w:val="21"/>
                <w:highlight w:val="none"/>
              </w:rPr>
              <w:t>依托</w:t>
            </w:r>
          </w:p>
        </w:tc>
      </w:tr>
      <w:tr w14:paraId="5C9A476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restart"/>
            <w:tcBorders>
              <w:tl2br w:val="nil"/>
              <w:tr2bl w:val="nil"/>
            </w:tcBorders>
            <w:vAlign w:val="center"/>
          </w:tcPr>
          <w:p w14:paraId="557E43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default" w:ascii="Times New Roman" w:hAnsi="Times New Roman" w:eastAsia="宋体" w:cs="Times New Roman"/>
                <w:b w:val="0"/>
                <w:bCs w:val="0"/>
                <w:color w:val="auto"/>
                <w:spacing w:val="0"/>
                <w:w w:val="100"/>
                <w:sz w:val="21"/>
                <w:szCs w:val="21"/>
                <w:highlight w:val="none"/>
              </w:rPr>
              <w:t>环保工程</w:t>
            </w:r>
          </w:p>
        </w:tc>
        <w:tc>
          <w:tcPr>
            <w:tcW w:w="668" w:type="pct"/>
            <w:tcBorders>
              <w:tl2br w:val="nil"/>
              <w:tr2bl w:val="nil"/>
            </w:tcBorders>
            <w:vAlign w:val="center"/>
          </w:tcPr>
          <w:p w14:paraId="40B921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default" w:ascii="Times New Roman" w:hAnsi="Times New Roman" w:eastAsia="宋体" w:cs="Times New Roman"/>
                <w:b w:val="0"/>
                <w:bCs w:val="0"/>
                <w:color w:val="auto"/>
                <w:spacing w:val="0"/>
                <w:w w:val="100"/>
                <w:sz w:val="21"/>
                <w:szCs w:val="21"/>
                <w:highlight w:val="none"/>
              </w:rPr>
              <w:t>废气</w:t>
            </w:r>
          </w:p>
        </w:tc>
        <w:tc>
          <w:tcPr>
            <w:tcW w:w="3084" w:type="pct"/>
            <w:tcBorders>
              <w:tl2br w:val="nil"/>
              <w:tr2bl w:val="nil"/>
            </w:tcBorders>
            <w:vAlign w:val="center"/>
          </w:tcPr>
          <w:p w14:paraId="03E05A6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auto"/>
                <w:spacing w:val="0"/>
                <w:w w:val="100"/>
                <w:sz w:val="21"/>
                <w:szCs w:val="21"/>
                <w:highlight w:val="none"/>
                <w:lang w:val="en-US" w:eastAsia="zh-CN"/>
              </w:rPr>
            </w:pPr>
            <w:r>
              <w:rPr>
                <w:rFonts w:hint="eastAsia" w:ascii="Times New Roman" w:hAnsi="Times New Roman" w:cs="Times New Roman"/>
                <w:color w:val="auto"/>
                <w:spacing w:val="0"/>
                <w:sz w:val="21"/>
                <w:szCs w:val="21"/>
                <w:lang w:val="en-US" w:eastAsia="zh-CN"/>
              </w:rPr>
              <w:t>本项目不新增废气，</w:t>
            </w:r>
            <w:r>
              <w:rPr>
                <w:rFonts w:hint="default" w:ascii="Times New Roman" w:hAnsi="Times New Roman" w:eastAsia="宋体" w:cs="Times New Roman"/>
                <w:color w:val="auto"/>
                <w:spacing w:val="0"/>
                <w:sz w:val="21"/>
                <w:szCs w:val="21"/>
                <w:lang w:val="en-US" w:eastAsia="zh-CN"/>
              </w:rPr>
              <w:t>净</w:t>
            </w:r>
            <w:r>
              <w:rPr>
                <w:rFonts w:hint="default" w:ascii="Times New Roman" w:hAnsi="Times New Roman" w:eastAsia="宋体" w:cs="Times New Roman"/>
                <w:color w:val="auto"/>
                <w:spacing w:val="0"/>
                <w:kern w:val="0"/>
                <w:sz w:val="21"/>
                <w:szCs w:val="21"/>
              </w:rPr>
              <w:t>水厂生产过程中不会排放生产废气，加氯间仅有少量游离的Cl产生；在污泥处理区的贮泥池、浓缩池、污泥浓缩脱水间</w:t>
            </w:r>
            <w:r>
              <w:rPr>
                <w:rFonts w:hint="eastAsia" w:ascii="Times New Roman" w:hAnsi="Times New Roman" w:cs="Times New Roman"/>
                <w:color w:val="auto"/>
                <w:spacing w:val="0"/>
                <w:kern w:val="0"/>
                <w:sz w:val="21"/>
                <w:szCs w:val="21"/>
                <w:lang w:eastAsia="zh-CN"/>
              </w:rPr>
              <w:t>、</w:t>
            </w:r>
            <w:r>
              <w:rPr>
                <w:rFonts w:hint="eastAsia" w:ascii="Times New Roman" w:hAnsi="Times New Roman" w:cs="Times New Roman"/>
                <w:color w:val="auto"/>
                <w:spacing w:val="0"/>
                <w:kern w:val="0"/>
                <w:sz w:val="21"/>
                <w:szCs w:val="21"/>
                <w:lang w:val="en-US" w:eastAsia="zh-CN"/>
              </w:rPr>
              <w:t>污泥暂存库</w:t>
            </w:r>
            <w:r>
              <w:rPr>
                <w:rFonts w:hint="default" w:ascii="Times New Roman" w:hAnsi="Times New Roman" w:eastAsia="宋体" w:cs="Times New Roman"/>
                <w:color w:val="auto"/>
                <w:spacing w:val="0"/>
                <w:kern w:val="0"/>
                <w:sz w:val="21"/>
                <w:szCs w:val="21"/>
              </w:rPr>
              <w:t>等会产生轻微的臭味，因比较轻微，且本工程稳压配水间通风次数为2次/h</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设置1台轴流通风机。滤池间通风次数为3次/h, 设置2台轴流通风机。加氯、加药间通风次数为8次h</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设置6台轴流通风机。污泥脱水间通风次数为8次/h</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设置5台轴流通风机。经上述措施，同时加强室内通风及厂区绿化</w:t>
            </w:r>
            <w:r>
              <w:rPr>
                <w:rFonts w:hint="default" w:ascii="Times New Roman" w:hAnsi="Times New Roman" w:eastAsia="宋体" w:cs="Times New Roman"/>
                <w:color w:val="auto"/>
                <w:spacing w:val="0"/>
                <w:kern w:val="0"/>
                <w:sz w:val="21"/>
                <w:szCs w:val="21"/>
                <w:lang w:val="en-US" w:eastAsia="zh-CN"/>
              </w:rPr>
              <w:t>隔离稀释</w:t>
            </w:r>
            <w:r>
              <w:rPr>
                <w:rFonts w:hint="default" w:ascii="Times New Roman" w:hAnsi="Times New Roman" w:eastAsia="宋体" w:cs="Times New Roman"/>
                <w:color w:val="auto"/>
                <w:spacing w:val="0"/>
                <w:kern w:val="0"/>
                <w:sz w:val="21"/>
                <w:szCs w:val="21"/>
              </w:rPr>
              <w:t>，游离氯厂界浓度可满足《大气污染物综合排放标准》</w:t>
            </w:r>
            <w:r>
              <w:rPr>
                <w:rFonts w:hint="default" w:ascii="Times New Roman" w:hAnsi="Times New Roman" w:eastAsia="宋体" w:cs="Times New Roman"/>
                <w:color w:val="auto"/>
                <w:spacing w:val="0"/>
                <w:kern w:val="0"/>
                <w:sz w:val="21"/>
                <w:szCs w:val="21"/>
              </w:rPr>
              <w:tab/>
            </w:r>
            <w:r>
              <w:rPr>
                <w:rFonts w:hint="default" w:ascii="Times New Roman" w:hAnsi="Times New Roman" w:eastAsia="宋体" w:cs="Times New Roman"/>
                <w:color w:val="auto"/>
                <w:spacing w:val="0"/>
                <w:kern w:val="0"/>
                <w:sz w:val="21"/>
                <w:szCs w:val="21"/>
              </w:rPr>
              <w:t>(GB16297-1996</w:t>
            </w:r>
            <w:r>
              <w:rPr>
                <w:rFonts w:hint="eastAsia" w:ascii="Times New Roman" w:hAnsi="Times New Roman"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中无组织排放监控浓度限值要求</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氨、硫化氢、臭气浓度满足《恶臭污染物排放标准》 (GB14554-93)  表一限值要求</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lang w:val="en-US" w:eastAsia="zh-CN"/>
              </w:rPr>
              <w:t>食堂油烟经油烟净化器（处理效率75%）处理后</w:t>
            </w:r>
            <w:r>
              <w:rPr>
                <w:rFonts w:hint="default" w:ascii="Times New Roman" w:hAnsi="Times New Roman" w:eastAsia="宋体" w:cs="Times New Roman"/>
                <w:color w:val="auto"/>
                <w:spacing w:val="0"/>
                <w:sz w:val="21"/>
                <w:szCs w:val="21"/>
              </w:rPr>
              <w:t>由专用烟道高于楼顶排放</w:t>
            </w: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油烟排放</w:t>
            </w:r>
            <w:r>
              <w:rPr>
                <w:rFonts w:hint="default" w:ascii="Times New Roman" w:hAnsi="Times New Roman" w:eastAsia="宋体" w:cs="Times New Roman"/>
                <w:color w:val="auto"/>
                <w:spacing w:val="0"/>
                <w:sz w:val="21"/>
                <w:szCs w:val="21"/>
                <w:lang w:val="en-US" w:eastAsia="zh-CN"/>
              </w:rPr>
              <w:t>满足</w:t>
            </w:r>
            <w:r>
              <w:rPr>
                <w:rFonts w:hint="default" w:ascii="Times New Roman" w:hAnsi="Times New Roman" w:eastAsia="宋体" w:cs="Times New Roman"/>
                <w:color w:val="auto"/>
                <w:spacing w:val="0"/>
                <w:sz w:val="21"/>
                <w:szCs w:val="21"/>
              </w:rPr>
              <w:t>《饮食业油烟排放标准》</w:t>
            </w:r>
            <w:r>
              <w:rPr>
                <w:rFonts w:hint="eastAsia" w:ascii="Times New Roman" w:hAnsi="Times New Roman" w:cs="Times New Roman"/>
                <w:color w:val="auto"/>
                <w:spacing w:val="0"/>
                <w:sz w:val="21"/>
                <w:szCs w:val="21"/>
                <w:lang w:eastAsia="zh-CN"/>
              </w:rPr>
              <w:t>（</w:t>
            </w:r>
            <w:r>
              <w:rPr>
                <w:rFonts w:hint="default" w:ascii="Times New Roman" w:hAnsi="Times New Roman" w:eastAsia="宋体" w:cs="Times New Roman"/>
                <w:color w:val="auto"/>
                <w:spacing w:val="0"/>
                <w:sz w:val="21"/>
                <w:szCs w:val="21"/>
              </w:rPr>
              <w:t>试行GB18483-2001</w:t>
            </w:r>
            <w:r>
              <w:rPr>
                <w:rFonts w:hint="eastAsia" w:ascii="Times New Roman" w:hAnsi="Times New Roman" w:cs="Times New Roman"/>
                <w:color w:val="auto"/>
                <w:spacing w:val="0"/>
                <w:sz w:val="21"/>
                <w:szCs w:val="21"/>
                <w:lang w:eastAsia="zh-CN"/>
              </w:rPr>
              <w:t>）</w:t>
            </w:r>
            <w:r>
              <w:rPr>
                <w:rFonts w:hint="default" w:ascii="Times New Roman" w:hAnsi="Times New Roman" w:eastAsia="宋体" w:cs="Times New Roman"/>
                <w:color w:val="auto"/>
                <w:spacing w:val="0"/>
                <w:sz w:val="21"/>
                <w:szCs w:val="21"/>
              </w:rPr>
              <w:t>中最高允许排放浓度2.0mg/m³。</w:t>
            </w:r>
          </w:p>
        </w:tc>
        <w:tc>
          <w:tcPr>
            <w:tcW w:w="857" w:type="pct"/>
            <w:tcBorders>
              <w:tl2br w:val="nil"/>
              <w:tr2bl w:val="nil"/>
            </w:tcBorders>
            <w:vAlign w:val="center"/>
          </w:tcPr>
          <w:p w14:paraId="494200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default" w:ascii="Times New Roman" w:hAnsi="Times New Roman" w:eastAsia="宋体" w:cs="Times New Roman"/>
                <w:b w:val="0"/>
                <w:bCs w:val="0"/>
                <w:color w:val="auto"/>
                <w:spacing w:val="0"/>
                <w:w w:val="100"/>
                <w:sz w:val="21"/>
                <w:szCs w:val="21"/>
                <w:highlight w:val="none"/>
              </w:rPr>
              <w:t>依托</w:t>
            </w:r>
          </w:p>
        </w:tc>
      </w:tr>
      <w:tr w14:paraId="507B4FB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3511BC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p>
        </w:tc>
        <w:tc>
          <w:tcPr>
            <w:tcW w:w="668" w:type="pct"/>
            <w:vMerge w:val="restart"/>
            <w:tcBorders>
              <w:tl2br w:val="nil"/>
              <w:tr2bl w:val="nil"/>
            </w:tcBorders>
            <w:vAlign w:val="center"/>
          </w:tcPr>
          <w:p w14:paraId="60CE74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default" w:ascii="Times New Roman" w:hAnsi="Times New Roman" w:eastAsia="宋体" w:cs="Times New Roman"/>
                <w:b w:val="0"/>
                <w:bCs w:val="0"/>
                <w:color w:val="auto"/>
                <w:spacing w:val="0"/>
                <w:w w:val="100"/>
                <w:sz w:val="21"/>
                <w:szCs w:val="21"/>
                <w:highlight w:val="none"/>
              </w:rPr>
              <w:t>废水</w:t>
            </w:r>
          </w:p>
        </w:tc>
        <w:tc>
          <w:tcPr>
            <w:tcW w:w="3084" w:type="pct"/>
            <w:tcBorders>
              <w:tl2br w:val="nil"/>
              <w:tr2bl w:val="nil"/>
            </w:tcBorders>
            <w:vAlign w:val="center"/>
          </w:tcPr>
          <w:p w14:paraId="6F8DA4AE">
            <w:pPr>
              <w:pStyle w:val="15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w w:val="100"/>
                <w:sz w:val="21"/>
                <w:szCs w:val="21"/>
                <w:highlight w:val="none"/>
                <w:lang w:val="en-US" w:eastAsia="zh-CN"/>
              </w:rPr>
            </w:pPr>
            <w:r>
              <w:rPr>
                <w:rFonts w:hint="eastAsia" w:ascii="Times New Roman" w:hAnsi="Times New Roman" w:cs="Times New Roman"/>
                <w:color w:val="auto"/>
                <w:spacing w:val="0"/>
                <w:sz w:val="21"/>
                <w:szCs w:val="21"/>
                <w:lang w:val="en-US" w:eastAsia="zh-CN"/>
              </w:rPr>
              <w:t>净水厂现有</w:t>
            </w:r>
            <w:r>
              <w:rPr>
                <w:rFonts w:hint="default" w:ascii="Times New Roman" w:hAnsi="Times New Roman" w:cs="Times New Roman"/>
                <w:color w:val="auto"/>
                <w:spacing w:val="0"/>
                <w:sz w:val="21"/>
                <w:szCs w:val="21"/>
              </w:rPr>
              <w:t>生活污水经厂区</w:t>
            </w:r>
            <w:r>
              <w:rPr>
                <w:rFonts w:hint="default" w:ascii="Times New Roman" w:hAnsi="Times New Roman" w:eastAsia="宋体" w:cs="Times New Roman"/>
                <w:color w:val="auto"/>
                <w:spacing w:val="0"/>
                <w:sz w:val="21"/>
                <w:szCs w:val="21"/>
              </w:rPr>
              <w:t>化粪池</w:t>
            </w:r>
            <w:r>
              <w:rPr>
                <w:rFonts w:hint="eastAsia" w:ascii="Times New Roman" w:hAnsi="Times New Roman" w:cs="Times New Roman"/>
                <w:color w:val="auto"/>
                <w:spacing w:val="0"/>
                <w:sz w:val="21"/>
                <w:szCs w:val="21"/>
                <w:lang w:val="en-US" w:eastAsia="zh-CN"/>
              </w:rPr>
              <w:t>沉淀</w:t>
            </w:r>
            <w:r>
              <w:rPr>
                <w:rFonts w:hint="default" w:ascii="Times New Roman" w:hAnsi="Times New Roman" w:eastAsia="宋体" w:cs="Times New Roman"/>
                <w:color w:val="auto"/>
                <w:spacing w:val="0"/>
                <w:sz w:val="21"/>
                <w:szCs w:val="21"/>
              </w:rPr>
              <w:t>处理</w:t>
            </w:r>
            <w:r>
              <w:rPr>
                <w:rFonts w:hint="default" w:ascii="Times New Roman" w:hAnsi="Times New Roman" w:cs="Times New Roman"/>
                <w:color w:val="auto"/>
                <w:spacing w:val="0"/>
                <w:sz w:val="21"/>
                <w:szCs w:val="21"/>
              </w:rPr>
              <w:t>后进入市政管网，最终排至</w:t>
            </w:r>
            <w:r>
              <w:rPr>
                <w:rFonts w:hint="eastAsia" w:ascii="Times New Roman" w:hAnsi="Times New Roman" w:cs="Times New Roman"/>
                <w:color w:val="auto"/>
                <w:spacing w:val="0"/>
                <w:sz w:val="21"/>
                <w:szCs w:val="21"/>
                <w:lang w:eastAsia="zh-CN"/>
              </w:rPr>
              <w:t>鸡西市鸡冠区</w:t>
            </w:r>
            <w:r>
              <w:rPr>
                <w:rFonts w:hint="default" w:ascii="Times New Roman" w:hAnsi="Times New Roman" w:cs="Times New Roman"/>
                <w:color w:val="auto"/>
                <w:spacing w:val="0"/>
                <w:sz w:val="21"/>
                <w:szCs w:val="21"/>
              </w:rPr>
              <w:t>污水处理厂达到《城镇污水处理厂污染物排放标准》</w:t>
            </w:r>
            <w:r>
              <w:rPr>
                <w:rFonts w:hint="eastAsia" w:ascii="Times New Roman" w:hAnsi="Times New Roman" w:cs="Times New Roman"/>
                <w:color w:val="auto"/>
                <w:spacing w:val="0"/>
                <w:sz w:val="21"/>
                <w:szCs w:val="21"/>
                <w:lang w:eastAsia="zh-CN"/>
              </w:rPr>
              <w:t>（</w:t>
            </w:r>
            <w:r>
              <w:rPr>
                <w:rFonts w:hint="default" w:ascii="Times New Roman" w:hAnsi="Times New Roman" w:cs="Times New Roman"/>
                <w:color w:val="auto"/>
                <w:spacing w:val="0"/>
                <w:sz w:val="21"/>
                <w:szCs w:val="21"/>
              </w:rPr>
              <w:t>GB18918-2002</w:t>
            </w:r>
            <w:r>
              <w:rPr>
                <w:rFonts w:hint="eastAsia" w:ascii="Times New Roman" w:hAnsi="Times New Roman" w:cs="Times New Roman"/>
                <w:color w:val="auto"/>
                <w:spacing w:val="0"/>
                <w:sz w:val="21"/>
                <w:szCs w:val="21"/>
                <w:lang w:eastAsia="zh-CN"/>
              </w:rPr>
              <w:t>）</w:t>
            </w:r>
            <w:r>
              <w:rPr>
                <w:rFonts w:hint="default" w:ascii="Times New Roman" w:hAnsi="Times New Roman" w:cs="Times New Roman"/>
                <w:color w:val="auto"/>
                <w:spacing w:val="0"/>
                <w:sz w:val="21"/>
                <w:szCs w:val="21"/>
              </w:rPr>
              <w:t>中一级A标准后排入穆棱河。</w:t>
            </w:r>
            <w:r>
              <w:rPr>
                <w:rFonts w:hint="eastAsia" w:ascii="Times New Roman" w:hAnsi="Times New Roman" w:cs="Times New Roman"/>
                <w:bCs/>
                <w:color w:val="auto"/>
                <w:spacing w:val="0"/>
                <w:kern w:val="0"/>
                <w:sz w:val="21"/>
                <w:szCs w:val="21"/>
                <w:highlight w:val="none"/>
                <w:lang w:val="en-US" w:eastAsia="zh-CN"/>
              </w:rPr>
              <w:t>本项目不新增生活污水。</w:t>
            </w:r>
          </w:p>
        </w:tc>
        <w:tc>
          <w:tcPr>
            <w:tcW w:w="857" w:type="pct"/>
            <w:tcBorders>
              <w:tl2br w:val="nil"/>
              <w:tr2bl w:val="nil"/>
            </w:tcBorders>
            <w:vAlign w:val="center"/>
          </w:tcPr>
          <w:p w14:paraId="5C09FF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w w:val="100"/>
                <w:sz w:val="21"/>
                <w:szCs w:val="21"/>
                <w:highlight w:val="none"/>
                <w:lang w:eastAsia="zh-CN"/>
              </w:rPr>
            </w:pPr>
            <w:r>
              <w:rPr>
                <w:rFonts w:hint="default" w:ascii="Times New Roman" w:hAnsi="Times New Roman" w:eastAsia="宋体" w:cs="Times New Roman"/>
                <w:b w:val="0"/>
                <w:bCs w:val="0"/>
                <w:color w:val="auto"/>
                <w:spacing w:val="0"/>
                <w:w w:val="100"/>
                <w:sz w:val="21"/>
                <w:szCs w:val="21"/>
                <w:highlight w:val="none"/>
              </w:rPr>
              <w:t>依托</w:t>
            </w:r>
          </w:p>
        </w:tc>
      </w:tr>
      <w:tr w14:paraId="08ED426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138F35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p>
        </w:tc>
        <w:tc>
          <w:tcPr>
            <w:tcW w:w="668" w:type="pct"/>
            <w:vMerge w:val="continue"/>
            <w:tcBorders>
              <w:tl2br w:val="nil"/>
              <w:tr2bl w:val="nil"/>
            </w:tcBorders>
            <w:vAlign w:val="center"/>
          </w:tcPr>
          <w:p w14:paraId="2E9ED5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p>
        </w:tc>
        <w:tc>
          <w:tcPr>
            <w:tcW w:w="3084" w:type="pct"/>
            <w:tcBorders>
              <w:tl2br w:val="nil"/>
              <w:tr2bl w:val="nil"/>
            </w:tcBorders>
            <w:vAlign w:val="center"/>
          </w:tcPr>
          <w:p w14:paraId="003DF832">
            <w:pPr>
              <w:pStyle w:val="15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cs="Times New Roman"/>
                <w:color w:val="auto"/>
                <w:spacing w:val="0"/>
                <w:sz w:val="21"/>
                <w:szCs w:val="21"/>
                <w:lang w:val="en-US" w:eastAsia="zh-CN"/>
              </w:rPr>
            </w:pPr>
            <w:r>
              <w:rPr>
                <w:rFonts w:hint="default" w:ascii="Times New Roman" w:hAnsi="Times New Roman" w:eastAsia="宋体" w:cs="Times New Roman"/>
                <w:bCs/>
                <w:color w:val="auto"/>
                <w:spacing w:val="0"/>
                <w:kern w:val="0"/>
                <w:sz w:val="21"/>
                <w:szCs w:val="21"/>
                <w:highlight w:val="none"/>
                <w:lang w:val="en-US" w:eastAsia="zh-CN"/>
              </w:rPr>
              <w:t>反冲洗废水</w:t>
            </w:r>
            <w:r>
              <w:rPr>
                <w:rFonts w:hint="eastAsia" w:cs="Times New Roman"/>
                <w:color w:val="auto"/>
                <w:sz w:val="21"/>
                <w:szCs w:val="21"/>
                <w:highlight w:val="none"/>
                <w:lang w:eastAsia="zh-CN"/>
              </w:rPr>
              <w:t>回收</w:t>
            </w:r>
            <w:r>
              <w:rPr>
                <w:rFonts w:hint="eastAsia" w:cs="Times New Roman"/>
                <w:color w:val="auto"/>
                <w:sz w:val="21"/>
                <w:szCs w:val="21"/>
                <w:highlight w:val="none"/>
                <w:lang w:val="en-US" w:eastAsia="zh-CN"/>
              </w:rPr>
              <w:t>排入</w:t>
            </w:r>
            <w:r>
              <w:rPr>
                <w:rFonts w:hint="eastAsia" w:cs="Times New Roman"/>
                <w:color w:val="auto"/>
                <w:sz w:val="21"/>
                <w:szCs w:val="21"/>
                <w:highlight w:val="none"/>
                <w:lang w:eastAsia="zh-CN"/>
              </w:rPr>
              <w:t>配水</w:t>
            </w:r>
            <w:r>
              <w:rPr>
                <w:rFonts w:hint="eastAsia" w:cs="Times New Roman"/>
                <w:color w:val="auto"/>
                <w:sz w:val="21"/>
                <w:szCs w:val="21"/>
                <w:highlight w:val="none"/>
                <w:lang w:val="en-US" w:eastAsia="zh-CN"/>
              </w:rPr>
              <w:t>井</w:t>
            </w:r>
            <w:r>
              <w:rPr>
                <w:rFonts w:hint="eastAsia" w:cs="Times New Roman"/>
                <w:color w:val="auto"/>
                <w:sz w:val="21"/>
                <w:szCs w:val="21"/>
                <w:highlight w:val="none"/>
                <w:lang w:eastAsia="zh-CN"/>
              </w:rPr>
              <w:t>与原水混合回用，不外排</w:t>
            </w:r>
          </w:p>
        </w:tc>
        <w:tc>
          <w:tcPr>
            <w:tcW w:w="857" w:type="pct"/>
            <w:tcBorders>
              <w:tl2br w:val="nil"/>
              <w:tr2bl w:val="nil"/>
            </w:tcBorders>
            <w:vAlign w:val="center"/>
          </w:tcPr>
          <w:p w14:paraId="6E38A0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eastAsia" w:cs="Times New Roman"/>
                <w:b w:val="0"/>
                <w:bCs w:val="0"/>
                <w:color w:val="auto"/>
                <w:spacing w:val="0"/>
                <w:w w:val="100"/>
                <w:sz w:val="21"/>
                <w:szCs w:val="21"/>
                <w:highlight w:val="none"/>
                <w:lang w:val="en-US" w:eastAsia="zh-CN"/>
              </w:rPr>
              <w:t>依托</w:t>
            </w:r>
          </w:p>
        </w:tc>
      </w:tr>
      <w:tr w14:paraId="4737DA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478F55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pacing w:val="0"/>
                <w:sz w:val="21"/>
                <w:szCs w:val="21"/>
              </w:rPr>
            </w:pPr>
          </w:p>
        </w:tc>
        <w:tc>
          <w:tcPr>
            <w:tcW w:w="668" w:type="pct"/>
            <w:vMerge w:val="continue"/>
            <w:tcBorders>
              <w:tl2br w:val="nil"/>
              <w:tr2bl w:val="nil"/>
            </w:tcBorders>
            <w:vAlign w:val="center"/>
          </w:tcPr>
          <w:p w14:paraId="69B319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pacing w:val="0"/>
                <w:sz w:val="21"/>
                <w:szCs w:val="21"/>
              </w:rPr>
            </w:pPr>
          </w:p>
        </w:tc>
        <w:tc>
          <w:tcPr>
            <w:tcW w:w="3084" w:type="pct"/>
            <w:tcBorders>
              <w:tl2br w:val="nil"/>
              <w:tr2bl w:val="nil"/>
            </w:tcBorders>
            <w:vAlign w:val="center"/>
          </w:tcPr>
          <w:p w14:paraId="1B0E19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w w:val="100"/>
                <w:kern w:val="0"/>
                <w:sz w:val="21"/>
                <w:szCs w:val="21"/>
                <w:highlight w:val="none"/>
                <w:lang w:val="en-US" w:eastAsia="zh-CN"/>
              </w:rPr>
            </w:pPr>
            <w:r>
              <w:rPr>
                <w:rFonts w:hint="default" w:ascii="Times New Roman" w:hAnsi="Times New Roman" w:eastAsia="宋体" w:cs="Times New Roman"/>
                <w:color w:val="auto"/>
                <w:spacing w:val="0"/>
                <w:sz w:val="21"/>
                <w:szCs w:val="21"/>
              </w:rPr>
              <w:t>沉淀池排泥水</w:t>
            </w:r>
            <w:r>
              <w:rPr>
                <w:rFonts w:hint="default" w:ascii="Times New Roman" w:hAnsi="Times New Roman" w:eastAsia="宋体" w:cs="Times New Roman"/>
                <w:color w:val="auto"/>
                <w:spacing w:val="0"/>
                <w:kern w:val="21"/>
                <w:sz w:val="21"/>
                <w:szCs w:val="21"/>
                <w:highlight w:val="none"/>
                <w:lang w:val="en-US" w:eastAsia="zh-CN"/>
              </w:rPr>
              <w:t>经絮凝、沉淀处理后满足</w:t>
            </w:r>
            <w:r>
              <w:rPr>
                <w:rFonts w:hint="default" w:ascii="Times New Roman" w:hAnsi="Times New Roman" w:eastAsia="宋体" w:cs="Times New Roman"/>
                <w:color w:val="auto"/>
                <w:spacing w:val="0"/>
                <w:sz w:val="21"/>
                <w:szCs w:val="21"/>
                <w:highlight w:val="none"/>
                <w:lang w:val="en-US" w:eastAsia="zh-CN"/>
              </w:rPr>
              <w:t>《地表水环境质量标准》（GB3838-2002）表1中三类标准、悬浮物满足《污水综合排放标准》（GB8978-1996）一级标准</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排入</w:t>
            </w:r>
            <w:r>
              <w:rPr>
                <w:rFonts w:hint="eastAsia" w:ascii="Times New Roman" w:hAnsi="Times New Roman" w:eastAsia="宋体" w:cs="Times New Roman"/>
                <w:color w:val="auto"/>
                <w:sz w:val="21"/>
                <w:szCs w:val="21"/>
                <w:highlight w:val="none"/>
                <w:lang w:val="en-US" w:eastAsia="zh-CN"/>
              </w:rPr>
              <w:t>红光沟流入</w:t>
            </w:r>
            <w:r>
              <w:rPr>
                <w:rFonts w:hint="default" w:ascii="Times New Roman" w:hAnsi="Times New Roman" w:eastAsia="宋体" w:cs="Times New Roman"/>
                <w:color w:val="auto"/>
                <w:sz w:val="21"/>
                <w:szCs w:val="21"/>
                <w:highlight w:val="none"/>
                <w:lang w:val="en-US" w:eastAsia="zh-CN"/>
              </w:rPr>
              <w:t>穆棱河</w:t>
            </w:r>
            <w:r>
              <w:rPr>
                <w:rFonts w:hint="default" w:ascii="Times New Roman" w:hAnsi="Times New Roman" w:eastAsia="宋体" w:cs="Times New Roman"/>
                <w:color w:val="auto"/>
                <w:spacing w:val="0"/>
                <w:sz w:val="21"/>
                <w:szCs w:val="21"/>
                <w:highlight w:val="none"/>
                <w:lang w:val="en-US" w:eastAsia="zh-CN"/>
              </w:rPr>
              <w:t>。</w:t>
            </w:r>
          </w:p>
        </w:tc>
        <w:tc>
          <w:tcPr>
            <w:tcW w:w="857" w:type="pct"/>
            <w:tcBorders>
              <w:tl2br w:val="nil"/>
              <w:tr2bl w:val="nil"/>
            </w:tcBorders>
            <w:vAlign w:val="center"/>
          </w:tcPr>
          <w:p w14:paraId="4123BD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w w:val="100"/>
                <w:kern w:val="0"/>
                <w:sz w:val="21"/>
                <w:szCs w:val="21"/>
                <w:highlight w:val="none"/>
                <w:lang w:val="en-US" w:eastAsia="zh-CN"/>
              </w:rPr>
            </w:pPr>
            <w:r>
              <w:rPr>
                <w:rFonts w:hint="default" w:ascii="Times New Roman" w:hAnsi="Times New Roman" w:eastAsia="宋体" w:cs="Times New Roman"/>
                <w:b w:val="0"/>
                <w:bCs w:val="0"/>
                <w:color w:val="auto"/>
                <w:spacing w:val="0"/>
                <w:w w:val="100"/>
                <w:kern w:val="0"/>
                <w:sz w:val="21"/>
                <w:szCs w:val="21"/>
                <w:highlight w:val="none"/>
                <w:lang w:val="en-US" w:eastAsia="zh-CN"/>
              </w:rPr>
              <w:t>改建</w:t>
            </w:r>
          </w:p>
        </w:tc>
      </w:tr>
      <w:tr w14:paraId="06B296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51B85A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p>
        </w:tc>
        <w:tc>
          <w:tcPr>
            <w:tcW w:w="668" w:type="pct"/>
            <w:tcBorders>
              <w:tl2br w:val="nil"/>
              <w:tr2bl w:val="nil"/>
            </w:tcBorders>
            <w:vAlign w:val="center"/>
          </w:tcPr>
          <w:p w14:paraId="07BFF0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default" w:ascii="Times New Roman" w:hAnsi="Times New Roman" w:eastAsia="宋体" w:cs="Times New Roman"/>
                <w:b w:val="0"/>
                <w:bCs w:val="0"/>
                <w:color w:val="auto"/>
                <w:spacing w:val="0"/>
                <w:w w:val="100"/>
                <w:sz w:val="21"/>
                <w:szCs w:val="21"/>
                <w:highlight w:val="none"/>
              </w:rPr>
              <w:t>噪声</w:t>
            </w:r>
          </w:p>
        </w:tc>
        <w:tc>
          <w:tcPr>
            <w:tcW w:w="3084" w:type="pct"/>
            <w:tcBorders>
              <w:tl2br w:val="nil"/>
              <w:tr2bl w:val="nil"/>
            </w:tcBorders>
            <w:vAlign w:val="center"/>
          </w:tcPr>
          <w:p w14:paraId="7591B5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default" w:ascii="Times New Roman" w:hAnsi="Times New Roman" w:eastAsia="宋体" w:cs="Times New Roman"/>
                <w:b w:val="0"/>
                <w:bCs w:val="0"/>
                <w:color w:val="auto"/>
                <w:spacing w:val="0"/>
                <w:w w:val="100"/>
                <w:sz w:val="21"/>
                <w:szCs w:val="21"/>
                <w:highlight w:val="none"/>
              </w:rPr>
              <w:t>本项目采用低噪声设备、厂房隔声、基础减振等措施。厂界噪声满足《工业企业厂界环境噪声排放标准》（GB12348-2008）表1中</w:t>
            </w:r>
            <w:r>
              <w:rPr>
                <w:rFonts w:hint="default" w:ascii="Times New Roman" w:hAnsi="Times New Roman" w:eastAsia="宋体" w:cs="Times New Roman"/>
                <w:b w:val="0"/>
                <w:bCs w:val="0"/>
                <w:color w:val="auto"/>
                <w:spacing w:val="0"/>
                <w:w w:val="100"/>
                <w:sz w:val="21"/>
                <w:szCs w:val="21"/>
                <w:highlight w:val="none"/>
                <w:lang w:val="en-US" w:eastAsia="zh-CN"/>
              </w:rPr>
              <w:t>2</w:t>
            </w:r>
            <w:r>
              <w:rPr>
                <w:rFonts w:hint="default" w:ascii="Times New Roman" w:hAnsi="Times New Roman" w:eastAsia="宋体" w:cs="Times New Roman"/>
                <w:b w:val="0"/>
                <w:bCs w:val="0"/>
                <w:color w:val="auto"/>
                <w:spacing w:val="0"/>
                <w:w w:val="100"/>
                <w:sz w:val="21"/>
                <w:szCs w:val="21"/>
                <w:highlight w:val="none"/>
              </w:rPr>
              <w:t>类标准要求。</w:t>
            </w:r>
          </w:p>
        </w:tc>
        <w:tc>
          <w:tcPr>
            <w:tcW w:w="857" w:type="pct"/>
            <w:tcBorders>
              <w:tl2br w:val="nil"/>
              <w:tr2bl w:val="nil"/>
            </w:tcBorders>
            <w:vAlign w:val="center"/>
          </w:tcPr>
          <w:p w14:paraId="79A582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default" w:ascii="Times New Roman" w:hAnsi="Times New Roman" w:eastAsia="宋体" w:cs="Times New Roman"/>
                <w:b w:val="0"/>
                <w:bCs w:val="0"/>
                <w:color w:val="auto"/>
                <w:spacing w:val="0"/>
                <w:w w:val="100"/>
                <w:sz w:val="21"/>
                <w:szCs w:val="21"/>
                <w:highlight w:val="none"/>
              </w:rPr>
              <w:t>依托</w:t>
            </w:r>
          </w:p>
        </w:tc>
      </w:tr>
      <w:tr w14:paraId="1A5EADA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314029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p>
        </w:tc>
        <w:tc>
          <w:tcPr>
            <w:tcW w:w="668" w:type="pct"/>
            <w:vMerge w:val="restart"/>
            <w:tcBorders>
              <w:tl2br w:val="nil"/>
              <w:tr2bl w:val="nil"/>
            </w:tcBorders>
            <w:vAlign w:val="center"/>
          </w:tcPr>
          <w:p w14:paraId="017DE7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default" w:ascii="Times New Roman" w:hAnsi="Times New Roman" w:eastAsia="宋体" w:cs="Times New Roman"/>
                <w:b w:val="0"/>
                <w:bCs w:val="0"/>
                <w:color w:val="auto"/>
                <w:spacing w:val="0"/>
                <w:w w:val="100"/>
                <w:sz w:val="21"/>
                <w:szCs w:val="21"/>
                <w:highlight w:val="none"/>
              </w:rPr>
              <w:t>固废</w:t>
            </w:r>
          </w:p>
        </w:tc>
        <w:tc>
          <w:tcPr>
            <w:tcW w:w="3084" w:type="pct"/>
            <w:tcBorders>
              <w:tl2br w:val="nil"/>
              <w:tr2bl w:val="nil"/>
            </w:tcBorders>
            <w:vAlign w:val="center"/>
          </w:tcPr>
          <w:p w14:paraId="200CFB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val="0"/>
                <w:color w:val="auto"/>
                <w:spacing w:val="0"/>
                <w:w w:val="100"/>
                <w:sz w:val="21"/>
                <w:szCs w:val="21"/>
                <w:highlight w:val="none"/>
                <w:lang w:val="en-US" w:eastAsia="zh-CN"/>
              </w:rPr>
            </w:pPr>
            <w:r>
              <w:rPr>
                <w:rFonts w:hint="eastAsia" w:ascii="Times New Roman" w:hAnsi="Times New Roman" w:cs="Times New Roman"/>
                <w:b w:val="0"/>
                <w:bCs w:val="0"/>
                <w:color w:val="auto"/>
                <w:spacing w:val="0"/>
                <w:w w:val="100"/>
                <w:kern w:val="0"/>
                <w:sz w:val="21"/>
                <w:szCs w:val="21"/>
                <w:highlight w:val="none"/>
                <w:lang w:val="en-US" w:eastAsia="zh-CN"/>
              </w:rPr>
              <w:t>净水厂现有</w:t>
            </w:r>
            <w:r>
              <w:rPr>
                <w:rFonts w:hint="default" w:ascii="Times New Roman" w:hAnsi="Times New Roman" w:eastAsia="宋体" w:cs="Times New Roman"/>
                <w:b w:val="0"/>
                <w:bCs w:val="0"/>
                <w:color w:val="auto"/>
                <w:spacing w:val="0"/>
                <w:w w:val="100"/>
                <w:kern w:val="0"/>
                <w:sz w:val="21"/>
                <w:szCs w:val="21"/>
                <w:highlight w:val="none"/>
              </w:rPr>
              <w:t>生活垃圾</w:t>
            </w:r>
            <w:r>
              <w:rPr>
                <w:rFonts w:hint="default" w:ascii="Times New Roman" w:hAnsi="Times New Roman" w:eastAsia="宋体" w:cs="Times New Roman"/>
                <w:b w:val="0"/>
                <w:bCs w:val="0"/>
                <w:color w:val="auto"/>
                <w:spacing w:val="0"/>
                <w:w w:val="100"/>
                <w:kern w:val="0"/>
                <w:sz w:val="21"/>
                <w:szCs w:val="21"/>
                <w:highlight w:val="none"/>
                <w:lang w:val="en-US" w:eastAsia="zh-CN"/>
              </w:rPr>
              <w:t>委托环卫部门统一处置</w:t>
            </w:r>
            <w:r>
              <w:rPr>
                <w:rFonts w:hint="eastAsia" w:ascii="Times New Roman" w:hAnsi="Times New Roman" w:cs="Times New Roman"/>
                <w:color w:val="auto"/>
                <w:spacing w:val="0"/>
                <w:kern w:val="0"/>
                <w:sz w:val="21"/>
                <w:szCs w:val="21"/>
                <w:lang w:eastAsia="zh-CN"/>
              </w:rPr>
              <w:t>。</w:t>
            </w:r>
          </w:p>
        </w:tc>
        <w:tc>
          <w:tcPr>
            <w:tcW w:w="857" w:type="pct"/>
            <w:tcBorders>
              <w:tl2br w:val="nil"/>
              <w:tr2bl w:val="nil"/>
            </w:tcBorders>
            <w:vAlign w:val="center"/>
          </w:tcPr>
          <w:p w14:paraId="4B29BE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default" w:ascii="Times New Roman" w:hAnsi="Times New Roman" w:eastAsia="宋体" w:cs="Times New Roman"/>
                <w:b w:val="0"/>
                <w:bCs w:val="0"/>
                <w:color w:val="auto"/>
                <w:spacing w:val="0"/>
                <w:w w:val="100"/>
                <w:sz w:val="21"/>
                <w:szCs w:val="21"/>
                <w:highlight w:val="none"/>
              </w:rPr>
              <w:t>依托</w:t>
            </w:r>
          </w:p>
        </w:tc>
      </w:tr>
      <w:tr w14:paraId="62B4C2C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2D14B7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pacing w:val="0"/>
                <w:sz w:val="21"/>
                <w:szCs w:val="21"/>
              </w:rPr>
            </w:pPr>
          </w:p>
        </w:tc>
        <w:tc>
          <w:tcPr>
            <w:tcW w:w="668" w:type="pct"/>
            <w:vMerge w:val="continue"/>
            <w:tcBorders>
              <w:tl2br w:val="nil"/>
              <w:tr2bl w:val="nil"/>
            </w:tcBorders>
            <w:vAlign w:val="center"/>
          </w:tcPr>
          <w:p w14:paraId="0B7105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pacing w:val="0"/>
                <w:sz w:val="21"/>
                <w:szCs w:val="21"/>
              </w:rPr>
            </w:pPr>
          </w:p>
        </w:tc>
        <w:tc>
          <w:tcPr>
            <w:tcW w:w="3084" w:type="pct"/>
            <w:tcBorders>
              <w:tl2br w:val="nil"/>
              <w:tr2bl w:val="nil"/>
            </w:tcBorders>
            <w:vAlign w:val="center"/>
          </w:tcPr>
          <w:p w14:paraId="6629F9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r>
              <w:rPr>
                <w:rFonts w:hint="eastAsia" w:ascii="Times New Roman" w:hAnsi="Times New Roman" w:cs="Times New Roman"/>
                <w:b w:val="0"/>
                <w:bCs w:val="0"/>
                <w:color w:val="auto"/>
                <w:spacing w:val="0"/>
                <w:w w:val="100"/>
                <w:sz w:val="21"/>
                <w:szCs w:val="21"/>
                <w:highlight w:val="none"/>
                <w:lang w:val="en-US" w:eastAsia="zh-CN"/>
              </w:rPr>
              <w:t>本项目不新增生活垃圾，</w:t>
            </w:r>
            <w:r>
              <w:rPr>
                <w:rFonts w:hint="default" w:ascii="Times New Roman" w:hAnsi="Times New Roman" w:eastAsia="宋体" w:cs="Times New Roman"/>
                <w:b w:val="0"/>
                <w:bCs w:val="0"/>
                <w:color w:val="auto"/>
                <w:spacing w:val="0"/>
                <w:w w:val="100"/>
                <w:sz w:val="21"/>
                <w:szCs w:val="21"/>
                <w:highlight w:val="none"/>
                <w:lang w:val="en-US" w:eastAsia="zh-CN"/>
              </w:rPr>
              <w:t>脱水污泥</w:t>
            </w:r>
            <w:r>
              <w:rPr>
                <w:rFonts w:hint="eastAsia" w:cs="Times New Roman"/>
                <w:b w:val="0"/>
                <w:bCs w:val="0"/>
                <w:color w:val="auto"/>
                <w:spacing w:val="0"/>
                <w:w w:val="100"/>
                <w:sz w:val="21"/>
                <w:szCs w:val="21"/>
                <w:highlight w:val="none"/>
                <w:lang w:val="en-US" w:eastAsia="zh-CN"/>
              </w:rPr>
              <w:t>暂存污泥暂存库内，定期</w:t>
            </w:r>
            <w:r>
              <w:rPr>
                <w:rFonts w:hint="eastAsia" w:ascii="宋体" w:hAnsi="宋体" w:cs="宋体"/>
                <w:color w:val="auto"/>
                <w:sz w:val="21"/>
                <w:szCs w:val="21"/>
                <w:highlight w:val="none"/>
                <w:lang w:val="en-US" w:eastAsia="zh-CN"/>
              </w:rPr>
              <w:t>外运委托有资质单位处理</w:t>
            </w:r>
            <w:r>
              <w:rPr>
                <w:rFonts w:hint="eastAsia"/>
                <w:color w:val="auto"/>
                <w:sz w:val="21"/>
                <w:szCs w:val="21"/>
                <w:highlight w:val="none"/>
                <w:lang w:val="en-US" w:eastAsia="zh-CN"/>
              </w:rPr>
              <w:t>。</w:t>
            </w:r>
          </w:p>
        </w:tc>
        <w:tc>
          <w:tcPr>
            <w:tcW w:w="857" w:type="pct"/>
            <w:tcBorders>
              <w:tl2br w:val="nil"/>
              <w:tr2bl w:val="nil"/>
            </w:tcBorders>
            <w:vAlign w:val="center"/>
          </w:tcPr>
          <w:p w14:paraId="12598F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lang w:val="en-US" w:eastAsia="zh-CN"/>
              </w:rPr>
            </w:pPr>
            <w:r>
              <w:rPr>
                <w:rFonts w:hint="default" w:ascii="Times New Roman" w:hAnsi="Times New Roman" w:eastAsia="宋体" w:cs="Times New Roman"/>
                <w:b w:val="0"/>
                <w:bCs w:val="0"/>
                <w:color w:val="auto"/>
                <w:spacing w:val="0"/>
                <w:w w:val="100"/>
                <w:sz w:val="21"/>
                <w:szCs w:val="21"/>
                <w:highlight w:val="none"/>
                <w:lang w:val="en-US" w:eastAsia="zh-CN"/>
              </w:rPr>
              <w:t>改建</w:t>
            </w:r>
          </w:p>
        </w:tc>
      </w:tr>
      <w:tr w14:paraId="120038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 w:type="pct"/>
            <w:vMerge w:val="continue"/>
            <w:tcBorders>
              <w:tl2br w:val="nil"/>
              <w:tr2bl w:val="nil"/>
            </w:tcBorders>
            <w:vAlign w:val="center"/>
          </w:tcPr>
          <w:p w14:paraId="3F9227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rPr>
            </w:pPr>
          </w:p>
        </w:tc>
        <w:tc>
          <w:tcPr>
            <w:tcW w:w="668" w:type="pct"/>
            <w:tcBorders>
              <w:tl2br w:val="nil"/>
              <w:tr2bl w:val="nil"/>
            </w:tcBorders>
            <w:vAlign w:val="center"/>
          </w:tcPr>
          <w:p w14:paraId="7090BD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lang w:val="en-US" w:eastAsia="zh-CN"/>
              </w:rPr>
            </w:pPr>
            <w:r>
              <w:rPr>
                <w:rFonts w:hint="default" w:ascii="Times New Roman" w:hAnsi="Times New Roman" w:eastAsia="宋体" w:cs="Times New Roman"/>
                <w:b w:val="0"/>
                <w:bCs w:val="0"/>
                <w:color w:val="auto"/>
                <w:spacing w:val="0"/>
                <w:w w:val="100"/>
                <w:sz w:val="21"/>
                <w:szCs w:val="21"/>
                <w:highlight w:val="none"/>
                <w:lang w:val="en-US" w:eastAsia="zh-CN"/>
              </w:rPr>
              <w:t>防渗</w:t>
            </w:r>
          </w:p>
        </w:tc>
        <w:tc>
          <w:tcPr>
            <w:tcW w:w="3084" w:type="pct"/>
            <w:tcBorders>
              <w:tl2br w:val="nil"/>
              <w:tr2bl w:val="nil"/>
            </w:tcBorders>
            <w:vAlign w:val="center"/>
          </w:tcPr>
          <w:p w14:paraId="43257F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pacing w:val="0"/>
                <w:w w:val="100"/>
                <w:sz w:val="21"/>
                <w:szCs w:val="21"/>
                <w:highlight w:val="none"/>
                <w:lang w:val="en-US" w:eastAsia="zh-CN"/>
              </w:rPr>
            </w:pPr>
            <w:r>
              <w:rPr>
                <w:rFonts w:hint="default" w:ascii="Times New Roman" w:hAnsi="Times New Roman" w:cs="Times New Roman"/>
                <w:color w:val="auto"/>
                <w:spacing w:val="0"/>
                <w:sz w:val="21"/>
                <w:szCs w:val="21"/>
              </w:rPr>
              <w:t>本项目</w:t>
            </w:r>
            <w:r>
              <w:rPr>
                <w:rFonts w:hint="default" w:ascii="Times New Roman" w:hAnsi="Times New Roman" w:cs="Times New Roman"/>
                <w:color w:val="auto"/>
                <w:spacing w:val="0"/>
                <w:sz w:val="21"/>
                <w:szCs w:val="21"/>
                <w:lang w:val="en-US" w:eastAsia="zh-CN"/>
              </w:rPr>
              <w:t>依托现有工程防渗措施，</w:t>
            </w:r>
            <w:r>
              <w:rPr>
                <w:rFonts w:hint="default" w:ascii="Times New Roman" w:hAnsi="Times New Roman" w:cs="Times New Roman"/>
                <w:color w:val="auto"/>
                <w:spacing w:val="0"/>
                <w:sz w:val="21"/>
                <w:szCs w:val="21"/>
              </w:rPr>
              <w:t>加氯</w:t>
            </w:r>
            <w:r>
              <w:rPr>
                <w:rFonts w:hint="default" w:ascii="Times New Roman" w:hAnsi="Times New Roman" w:cs="Times New Roman"/>
                <w:color w:val="auto"/>
                <w:spacing w:val="0"/>
                <w:sz w:val="21"/>
                <w:szCs w:val="21"/>
                <w:lang w:val="en-US" w:eastAsia="zh-CN"/>
              </w:rPr>
              <w:t>加药间</w:t>
            </w:r>
            <w:r>
              <w:rPr>
                <w:rFonts w:hint="default" w:ascii="Times New Roman" w:hAnsi="Times New Roman" w:cs="Times New Roman"/>
                <w:color w:val="auto"/>
                <w:spacing w:val="0"/>
                <w:sz w:val="21"/>
                <w:szCs w:val="21"/>
              </w:rPr>
              <w:t>地面进行重点防渗，防渗措施应满足《环境影响评价技术导则地下水环境》（HJ 610—2016）中等效黏土防渗层Mb≥</w:t>
            </w:r>
            <w:r>
              <w:rPr>
                <w:rFonts w:hint="default" w:ascii="Times New Roman" w:hAnsi="Times New Roman" w:cs="Times New Roman"/>
                <w:color w:val="auto"/>
                <w:spacing w:val="0"/>
                <w:sz w:val="21"/>
                <w:szCs w:val="21"/>
                <w:lang w:val="en-US" w:eastAsia="zh-CN"/>
              </w:rPr>
              <w:t>6.0</w:t>
            </w:r>
            <w:r>
              <w:rPr>
                <w:rFonts w:hint="default" w:ascii="Times New Roman" w:hAnsi="Times New Roman" w:cs="Times New Roman"/>
                <w:color w:val="auto"/>
                <w:spacing w:val="0"/>
                <w:sz w:val="21"/>
                <w:szCs w:val="21"/>
              </w:rPr>
              <w:t>m，渗透系数K≤1×10</w:t>
            </w:r>
            <w:r>
              <w:rPr>
                <w:rFonts w:hint="default" w:ascii="Times New Roman" w:hAnsi="Times New Roman" w:cs="Times New Roman"/>
                <w:color w:val="auto"/>
                <w:spacing w:val="0"/>
                <w:sz w:val="21"/>
                <w:szCs w:val="21"/>
                <w:vertAlign w:val="superscript"/>
              </w:rPr>
              <w:t>-7</w:t>
            </w:r>
            <w:r>
              <w:rPr>
                <w:rFonts w:hint="default" w:ascii="Times New Roman" w:hAnsi="Times New Roman" w:cs="Times New Roman"/>
                <w:color w:val="auto"/>
                <w:spacing w:val="0"/>
                <w:sz w:val="21"/>
                <w:szCs w:val="21"/>
              </w:rPr>
              <w:t>cm/s</w:t>
            </w:r>
            <w:r>
              <w:rPr>
                <w:rFonts w:hint="default" w:ascii="Times New Roman" w:hAnsi="Times New Roman" w:cs="Times New Roman"/>
                <w:color w:val="auto"/>
                <w:spacing w:val="0"/>
                <w:sz w:val="21"/>
                <w:szCs w:val="21"/>
                <w:lang w:eastAsia="zh-CN"/>
              </w:rPr>
              <w:t>。</w:t>
            </w:r>
            <w:r>
              <w:rPr>
                <w:rFonts w:hint="default" w:ascii="Times New Roman" w:hAnsi="Times New Roman" w:eastAsia="宋体" w:cs="Times New Roman"/>
                <w:color w:val="auto"/>
                <w:spacing w:val="0"/>
                <w:sz w:val="21"/>
                <w:szCs w:val="21"/>
                <w:lang w:val="en-US" w:eastAsia="zh-CN"/>
              </w:rPr>
              <w:t>同时采取截流措施，避免进入外环境；定期检查</w:t>
            </w:r>
            <w:r>
              <w:rPr>
                <w:rFonts w:hint="default" w:ascii="Times New Roman" w:hAnsi="Times New Roman" w:cs="Times New Roman"/>
                <w:color w:val="auto"/>
                <w:spacing w:val="0"/>
                <w:sz w:val="21"/>
                <w:szCs w:val="21"/>
                <w:lang w:val="en-US" w:eastAsia="zh-CN"/>
              </w:rPr>
              <w:t>药剂及液氯瓶装</w:t>
            </w:r>
            <w:r>
              <w:rPr>
                <w:rFonts w:hint="default" w:ascii="Times New Roman" w:hAnsi="Times New Roman" w:eastAsia="宋体" w:cs="Times New Roman"/>
                <w:color w:val="auto"/>
                <w:spacing w:val="0"/>
                <w:sz w:val="21"/>
                <w:szCs w:val="21"/>
                <w:lang w:val="en-US" w:eastAsia="zh-CN"/>
              </w:rPr>
              <w:t>是否完整无损</w:t>
            </w:r>
            <w:r>
              <w:rPr>
                <w:rFonts w:hint="default" w:ascii="Times New Roman" w:hAnsi="Times New Roman" w:cs="Times New Roman"/>
                <w:color w:val="auto"/>
                <w:spacing w:val="0"/>
                <w:sz w:val="21"/>
                <w:szCs w:val="21"/>
                <w:lang w:val="en-US" w:eastAsia="zh-CN"/>
              </w:rPr>
              <w:t>。</w:t>
            </w:r>
            <w:r>
              <w:rPr>
                <w:rFonts w:hint="default" w:ascii="Times New Roman" w:hAnsi="Times New Roman" w:cs="Times New Roman"/>
                <w:color w:val="auto"/>
                <w:sz w:val="21"/>
                <w:szCs w:val="21"/>
              </w:rPr>
              <w:t>防渗</w:t>
            </w:r>
            <w:r>
              <w:rPr>
                <w:rFonts w:hint="eastAsia" w:cs="Times New Roman"/>
                <w:color w:val="auto"/>
                <w:sz w:val="21"/>
                <w:szCs w:val="21"/>
                <w:lang w:val="en-US" w:eastAsia="zh-CN"/>
              </w:rPr>
              <w:t>化粪池</w:t>
            </w:r>
            <w:r>
              <w:rPr>
                <w:rFonts w:hint="eastAsia"/>
                <w:bCs/>
                <w:color w:val="auto"/>
                <w:sz w:val="21"/>
                <w:szCs w:val="21"/>
              </w:rPr>
              <w:t>采取一般防渗要求，防渗技术要求达到等效粘土防渗层</w:t>
            </w:r>
            <w:r>
              <w:rPr>
                <w:rFonts w:hint="default"/>
                <w:bCs/>
                <w:color w:val="auto"/>
                <w:sz w:val="21"/>
                <w:szCs w:val="21"/>
              </w:rPr>
              <w:t>Mb≥1.5m</w:t>
            </w:r>
            <w:r>
              <w:rPr>
                <w:rFonts w:hint="eastAsia"/>
                <w:bCs/>
                <w:color w:val="auto"/>
                <w:sz w:val="21"/>
                <w:szCs w:val="21"/>
              </w:rPr>
              <w:t>，</w:t>
            </w:r>
            <w:r>
              <w:rPr>
                <w:rFonts w:hint="default"/>
                <w:bCs/>
                <w:color w:val="auto"/>
                <w:sz w:val="21"/>
                <w:szCs w:val="21"/>
              </w:rPr>
              <w:t>K≤1×10</w:t>
            </w:r>
            <w:r>
              <w:rPr>
                <w:rFonts w:hint="default"/>
                <w:bCs/>
                <w:color w:val="auto"/>
                <w:sz w:val="21"/>
                <w:szCs w:val="21"/>
                <w:vertAlign w:val="superscript"/>
              </w:rPr>
              <w:t>-7</w:t>
            </w:r>
            <w:r>
              <w:rPr>
                <w:rFonts w:hint="default"/>
                <w:bCs/>
                <w:color w:val="auto"/>
                <w:sz w:val="21"/>
                <w:szCs w:val="21"/>
              </w:rPr>
              <w:t>cm/s</w:t>
            </w:r>
            <w:r>
              <w:rPr>
                <w:rFonts w:hint="eastAsia"/>
                <w:bCs/>
                <w:color w:val="auto"/>
                <w:sz w:val="21"/>
                <w:szCs w:val="21"/>
                <w:lang w:eastAsia="zh-CN"/>
              </w:rPr>
              <w:t>。</w:t>
            </w:r>
            <w:r>
              <w:rPr>
                <w:rFonts w:hint="default" w:ascii="Times New Roman" w:hAnsi="Times New Roman" w:eastAsia="宋体" w:cs="Times New Roman"/>
                <w:color w:val="auto"/>
                <w:spacing w:val="0"/>
                <w:kern w:val="0"/>
                <w:sz w:val="21"/>
                <w:szCs w:val="21"/>
                <w:highlight w:val="none"/>
                <w:lang w:val="en-US" w:eastAsia="zh-CN"/>
              </w:rPr>
              <w:t>厂区其他区域为简单防渗，进行一般地面硬化。</w:t>
            </w:r>
          </w:p>
        </w:tc>
        <w:tc>
          <w:tcPr>
            <w:tcW w:w="857" w:type="pct"/>
            <w:tcBorders>
              <w:tl2br w:val="nil"/>
              <w:tr2bl w:val="nil"/>
            </w:tcBorders>
            <w:vAlign w:val="center"/>
          </w:tcPr>
          <w:p w14:paraId="35AF9B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w w:val="100"/>
                <w:sz w:val="21"/>
                <w:szCs w:val="21"/>
                <w:highlight w:val="none"/>
                <w:lang w:val="en-US" w:eastAsia="zh-CN"/>
              </w:rPr>
            </w:pPr>
            <w:r>
              <w:rPr>
                <w:rFonts w:hint="eastAsia" w:cs="Times New Roman"/>
                <w:b w:val="0"/>
                <w:bCs w:val="0"/>
                <w:color w:val="auto"/>
                <w:spacing w:val="0"/>
                <w:w w:val="100"/>
                <w:sz w:val="21"/>
                <w:szCs w:val="21"/>
                <w:highlight w:val="none"/>
                <w:lang w:val="en-US" w:eastAsia="zh-CN"/>
              </w:rPr>
              <w:t>依托</w:t>
            </w:r>
          </w:p>
        </w:tc>
      </w:tr>
    </w:tbl>
    <w:p w14:paraId="02BFE18D">
      <w:pPr>
        <w:spacing w:before="98" w:line="220" w:lineRule="auto"/>
        <w:outlineLvl w:val="1"/>
        <w:rPr>
          <w:rFonts w:ascii="宋体" w:hAnsi="宋体" w:eastAsia="宋体" w:cs="宋体"/>
          <w:color w:val="auto"/>
          <w:sz w:val="30"/>
          <w:szCs w:val="30"/>
        </w:rPr>
      </w:pPr>
      <w:bookmarkStart w:id="50" w:name="bookmark24"/>
      <w:bookmarkEnd w:id="50"/>
      <w:bookmarkStart w:id="51" w:name="bookmark22"/>
      <w:bookmarkEnd w:id="51"/>
      <w:bookmarkStart w:id="52" w:name="bookmark23"/>
      <w:bookmarkEnd w:id="52"/>
      <w:r>
        <w:rPr>
          <w:rFonts w:ascii="Times New Roman" w:hAnsi="Times New Roman" w:eastAsia="Times New Roman" w:cs="Times New Roman"/>
          <w:b/>
          <w:bCs/>
          <w:color w:val="auto"/>
          <w:spacing w:val="-3"/>
          <w:sz w:val="30"/>
          <w:szCs w:val="30"/>
        </w:rPr>
        <w:t>2.</w:t>
      </w:r>
      <w:r>
        <w:rPr>
          <w:rFonts w:hint="eastAsia" w:ascii="Times New Roman" w:hAnsi="Times New Roman" w:eastAsia="宋体" w:cs="Times New Roman"/>
          <w:b/>
          <w:bCs/>
          <w:color w:val="auto"/>
          <w:spacing w:val="-3"/>
          <w:sz w:val="30"/>
          <w:szCs w:val="30"/>
          <w:lang w:val="en-US" w:eastAsia="zh-CN"/>
        </w:rPr>
        <w:t>3</w:t>
      </w:r>
      <w:r>
        <w:rPr>
          <w:rFonts w:ascii="Times New Roman" w:hAnsi="Times New Roman" w:eastAsia="Times New Roman" w:cs="Times New Roman"/>
          <w:b/>
          <w:bCs/>
          <w:color w:val="auto"/>
          <w:spacing w:val="-3"/>
          <w:sz w:val="30"/>
          <w:szCs w:val="30"/>
        </w:rPr>
        <w:t xml:space="preserve"> </w:t>
      </w:r>
      <w:r>
        <w:rPr>
          <w:rFonts w:ascii="宋体" w:hAnsi="宋体" w:eastAsia="宋体" w:cs="宋体"/>
          <w:b/>
          <w:bCs/>
          <w:color w:val="auto"/>
          <w:spacing w:val="-3"/>
          <w:sz w:val="30"/>
          <w:szCs w:val="30"/>
        </w:rPr>
        <w:t>工程分析</w:t>
      </w:r>
    </w:p>
    <w:p w14:paraId="484F9F1A">
      <w:pPr>
        <w:spacing w:before="220" w:line="219" w:lineRule="auto"/>
        <w:ind w:left="558"/>
        <w:outlineLvl w:val="2"/>
        <w:rPr>
          <w:rFonts w:ascii="宋体" w:hAnsi="宋体" w:eastAsia="宋体" w:cs="宋体"/>
          <w:color w:val="auto"/>
          <w:sz w:val="28"/>
          <w:szCs w:val="28"/>
        </w:rPr>
      </w:pPr>
      <w:bookmarkStart w:id="53" w:name="bookmark55"/>
      <w:bookmarkEnd w:id="53"/>
      <w:r>
        <w:rPr>
          <w:rFonts w:ascii="Times New Roman" w:hAnsi="Times New Roman" w:eastAsia="Times New Roman" w:cs="Times New Roman"/>
          <w:b/>
          <w:bCs/>
          <w:color w:val="auto"/>
          <w:spacing w:val="-2"/>
          <w:sz w:val="28"/>
          <w:szCs w:val="28"/>
        </w:rPr>
        <w:t>2.</w:t>
      </w:r>
      <w:r>
        <w:rPr>
          <w:rFonts w:hint="eastAsia" w:ascii="Times New Roman" w:hAnsi="Times New Roman" w:eastAsia="宋体" w:cs="Times New Roman"/>
          <w:b/>
          <w:bCs/>
          <w:color w:val="auto"/>
          <w:spacing w:val="-2"/>
          <w:sz w:val="28"/>
          <w:szCs w:val="28"/>
          <w:lang w:val="en-US" w:eastAsia="zh-CN"/>
        </w:rPr>
        <w:t>3</w:t>
      </w:r>
      <w:r>
        <w:rPr>
          <w:rFonts w:ascii="Times New Roman" w:hAnsi="Times New Roman" w:eastAsia="Times New Roman" w:cs="Times New Roman"/>
          <w:b/>
          <w:bCs/>
          <w:color w:val="auto"/>
          <w:spacing w:val="-2"/>
          <w:sz w:val="28"/>
          <w:szCs w:val="28"/>
        </w:rPr>
        <w:t xml:space="preserve">.1  </w:t>
      </w:r>
      <w:r>
        <w:rPr>
          <w:rFonts w:ascii="宋体" w:hAnsi="宋体" w:eastAsia="宋体" w:cs="宋体"/>
          <w:b/>
          <w:bCs/>
          <w:color w:val="auto"/>
          <w:spacing w:val="-2"/>
          <w:sz w:val="28"/>
          <w:szCs w:val="28"/>
        </w:rPr>
        <w:t>工艺流程简述</w:t>
      </w:r>
    </w:p>
    <w:p w14:paraId="007273EE">
      <w:pPr>
        <w:spacing w:before="206" w:line="362" w:lineRule="auto"/>
        <w:ind w:left="6" w:firstLine="478"/>
        <w:rPr>
          <w:rFonts w:ascii="宋体" w:hAnsi="宋体" w:eastAsia="宋体" w:cs="宋体"/>
          <w:color w:val="auto"/>
          <w:spacing w:val="-2"/>
          <w:sz w:val="24"/>
          <w:szCs w:val="24"/>
        </w:rPr>
      </w:pPr>
      <w:r>
        <w:rPr>
          <w:rFonts w:hint="eastAsia" w:ascii="宋体" w:hAnsi="宋体" w:eastAsia="宋体" w:cs="宋体"/>
          <w:color w:val="auto"/>
          <w:spacing w:val="-6"/>
          <w:sz w:val="24"/>
          <w:szCs w:val="24"/>
          <w:lang w:val="en-US" w:eastAsia="zh-CN"/>
        </w:rPr>
        <w:t>本项目运营期产生的污染物主要为反冲洗废水及排泥水上清液，脱水污泥等，</w:t>
      </w:r>
      <w:r>
        <w:rPr>
          <w:rFonts w:ascii="宋体" w:hAnsi="宋体" w:eastAsia="宋体" w:cs="宋体"/>
          <w:color w:val="auto"/>
          <w:spacing w:val="-2"/>
          <w:sz w:val="24"/>
          <w:szCs w:val="24"/>
        </w:rPr>
        <w:t>项目生产工艺及产污环节见图</w:t>
      </w:r>
      <w:r>
        <w:rPr>
          <w:rFonts w:ascii="宋体" w:hAnsi="宋体" w:eastAsia="宋体" w:cs="宋体"/>
          <w:color w:val="auto"/>
          <w:spacing w:val="-41"/>
          <w:sz w:val="24"/>
          <w:szCs w:val="24"/>
        </w:rPr>
        <w:t xml:space="preserve"> </w:t>
      </w:r>
      <w:r>
        <w:rPr>
          <w:rFonts w:ascii="Times New Roman" w:hAnsi="Times New Roman" w:eastAsia="Times New Roman" w:cs="Times New Roman"/>
          <w:color w:val="auto"/>
          <w:spacing w:val="-2"/>
          <w:sz w:val="24"/>
          <w:szCs w:val="24"/>
        </w:rPr>
        <w:t>2-1</w:t>
      </w:r>
      <w:r>
        <w:rPr>
          <w:rFonts w:ascii="宋体" w:hAnsi="宋体" w:eastAsia="宋体" w:cs="宋体"/>
          <w:color w:val="auto"/>
          <w:spacing w:val="-2"/>
          <w:sz w:val="24"/>
          <w:szCs w:val="24"/>
        </w:rPr>
        <w:t>。</w:t>
      </w:r>
    </w:p>
    <w:p w14:paraId="13B4FB5D">
      <w:pPr>
        <w:spacing w:before="206" w:line="362" w:lineRule="auto"/>
        <w:jc w:val="center"/>
        <w:rPr>
          <w:rFonts w:hint="default"/>
          <w:color w:val="auto"/>
        </w:rPr>
      </w:pPr>
      <w:r>
        <w:rPr>
          <w:rFonts w:hint="default"/>
          <w:color w:val="auto"/>
        </w:rPr>
        <w:object>
          <v:shape id="_x0000_i1028" o:spt="75" type="#_x0000_t75" style="height:138.65pt;width:412.75pt;" o:ole="t" filled="f" o:preferrelative="t" stroked="f" coordsize="21600,21600">
            <v:path/>
            <v:fill on="f" focussize="0,0"/>
            <v:stroke on="f"/>
            <v:imagedata r:id="rId66" o:title=""/>
            <o:lock v:ext="edit" aspectratio="f"/>
            <w10:wrap type="none"/>
            <w10:anchorlock/>
          </v:shape>
          <o:OLEObject Type="Embed" ProgID="Visio.Drawing.11" ShapeID="_x0000_i1028" DrawAspect="Content" ObjectID="_1468075728" r:id="rId65">
            <o:LockedField>false</o:LockedField>
          </o:OLEObject>
        </w:object>
      </w:r>
    </w:p>
    <w:p w14:paraId="31D0C578">
      <w:pPr>
        <w:keepNext w:val="0"/>
        <w:keepLines w:val="0"/>
        <w:pageBreakBefore w:val="0"/>
        <w:widowControl/>
        <w:kinsoku w:val="0"/>
        <w:wordWrap/>
        <w:overflowPunct/>
        <w:topLinePunct w:val="0"/>
        <w:autoSpaceDE w:val="0"/>
        <w:autoSpaceDN w:val="0"/>
        <w:bidi w:val="0"/>
        <w:adjustRightInd/>
        <w:snapToGrid/>
        <w:spacing w:line="363" w:lineRule="auto"/>
        <w:jc w:val="center"/>
        <w:textAlignment w:val="baseline"/>
        <w:rPr>
          <w:rFonts w:hint="default" w:ascii="宋体" w:hAnsi="宋体" w:eastAsia="宋体" w:cs="宋体"/>
          <w:color w:val="auto"/>
          <w:spacing w:val="-6"/>
          <w:sz w:val="24"/>
          <w:szCs w:val="24"/>
          <w:lang w:val="en-US" w:eastAsia="zh-CN"/>
        </w:rPr>
      </w:pPr>
      <w:r>
        <w:rPr>
          <w:rFonts w:ascii="宋体" w:hAnsi="宋体" w:eastAsia="宋体" w:cs="宋体"/>
          <w:b/>
          <w:bCs/>
          <w:color w:val="auto"/>
          <w:spacing w:val="-4"/>
          <w:sz w:val="24"/>
          <w:szCs w:val="24"/>
        </w:rPr>
        <w:t>图</w:t>
      </w:r>
      <w:r>
        <w:rPr>
          <w:rFonts w:ascii="宋体" w:hAnsi="宋体" w:eastAsia="宋体" w:cs="宋体"/>
          <w:color w:val="auto"/>
          <w:spacing w:val="-38"/>
          <w:sz w:val="24"/>
          <w:szCs w:val="24"/>
        </w:rPr>
        <w:t xml:space="preserve"> </w:t>
      </w:r>
      <w:r>
        <w:rPr>
          <w:rFonts w:ascii="Times New Roman" w:hAnsi="Times New Roman" w:eastAsia="Times New Roman" w:cs="Times New Roman"/>
          <w:b/>
          <w:bCs/>
          <w:color w:val="auto"/>
          <w:spacing w:val="-4"/>
          <w:sz w:val="24"/>
          <w:szCs w:val="24"/>
        </w:rPr>
        <w:t xml:space="preserve">2-1    </w:t>
      </w:r>
      <w:r>
        <w:rPr>
          <w:rFonts w:ascii="宋体" w:hAnsi="宋体" w:eastAsia="宋体" w:cs="宋体"/>
          <w:b/>
          <w:bCs/>
          <w:color w:val="auto"/>
          <w:spacing w:val="-4"/>
          <w:sz w:val="24"/>
          <w:szCs w:val="24"/>
        </w:rPr>
        <w:t>项目生产工艺及产污环节图</w:t>
      </w:r>
    </w:p>
    <w:p w14:paraId="09E1EF01">
      <w:pPr>
        <w:spacing w:before="206" w:line="362" w:lineRule="auto"/>
        <w:ind w:left="6" w:firstLine="478"/>
        <w:rPr>
          <w:rFonts w:hint="default" w:ascii="宋体" w:hAnsi="宋体" w:eastAsia="宋体" w:cs="宋体"/>
          <w:color w:val="auto"/>
          <w:spacing w:val="-6"/>
          <w:sz w:val="24"/>
          <w:szCs w:val="24"/>
          <w:lang w:val="en-US" w:eastAsia="zh-CN"/>
        </w:rPr>
      </w:pPr>
      <w:r>
        <w:rPr>
          <w:rFonts w:hint="default" w:ascii="宋体" w:hAnsi="宋体" w:eastAsia="宋体" w:cs="宋体"/>
          <w:color w:val="auto"/>
          <w:spacing w:val="-6"/>
          <w:sz w:val="24"/>
          <w:szCs w:val="24"/>
          <w:lang w:val="en-US" w:eastAsia="zh-CN"/>
        </w:rPr>
        <w:t>工艺流程简述：</w:t>
      </w:r>
    </w:p>
    <w:p w14:paraId="503502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pacing w:val="0"/>
          <w:sz w:val="24"/>
          <w:szCs w:val="24"/>
          <w:lang w:val="en-US" w:eastAsia="zh-CN"/>
        </w:rPr>
      </w:pPr>
      <w:r>
        <w:rPr>
          <w:rFonts w:hint="default" w:ascii="Times New Roman" w:hAnsi="Times New Roman" w:eastAsia="宋体" w:cs="Times New Roman"/>
          <w:color w:val="auto"/>
          <w:spacing w:val="0"/>
          <w:sz w:val="24"/>
          <w:szCs w:val="24"/>
          <w:highlight w:val="none"/>
          <w:lang w:val="en-US" w:eastAsia="zh-CN"/>
        </w:rPr>
        <w:t>净水厂</w:t>
      </w:r>
      <w:r>
        <w:rPr>
          <w:rFonts w:hint="default" w:ascii="Times New Roman" w:hAnsi="Times New Roman" w:eastAsia="宋体" w:cs="Times New Roman"/>
          <w:color w:val="auto"/>
          <w:spacing w:val="0"/>
          <w:sz w:val="24"/>
          <w:szCs w:val="24"/>
        </w:rPr>
        <w:t>原水经取水泵房提升后送至厂区内的配水井稳压，经加碱式氯化铝和活化硅酸 后进入折板絮凝池，斜板沉淀池和V型滤池净化后加氯消毒进入清水池泵入市政给水管网。</w:t>
      </w:r>
      <w:r>
        <w:rPr>
          <w:rFonts w:hint="eastAsia" w:ascii="Times New Roman" w:hAnsi="Times New Roman" w:eastAsia="宋体" w:cs="Times New Roman"/>
          <w:color w:val="auto"/>
          <w:spacing w:val="0"/>
          <w:sz w:val="24"/>
          <w:szCs w:val="24"/>
          <w:lang w:val="en-US" w:eastAsia="zh-CN"/>
        </w:rPr>
        <w:t xml:space="preserve"> </w:t>
      </w:r>
    </w:p>
    <w:p w14:paraId="4A0518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ascii="Times New Roman" w:hAnsi="Times New Roman" w:eastAsia="Times New Roman" w:cs="Times New Roman"/>
          <w:b/>
          <w:bCs/>
          <w:color w:val="auto"/>
          <w:spacing w:val="-2"/>
          <w:sz w:val="28"/>
          <w:szCs w:val="28"/>
        </w:rPr>
      </w:pPr>
      <w:r>
        <w:rPr>
          <w:rFonts w:hint="default" w:ascii="Times New Roman" w:hAnsi="Times New Roman" w:eastAsia="宋体" w:cs="Times New Roman"/>
          <w:color w:val="auto"/>
          <w:spacing w:val="0"/>
          <w:sz w:val="24"/>
          <w:szCs w:val="24"/>
        </w:rPr>
        <w:t>本项目采用容压一体化污泥深度脱水技术，</w:t>
      </w:r>
      <w:r>
        <w:rPr>
          <w:rFonts w:hint="default" w:ascii="Times New Roman" w:hAnsi="Times New Roman" w:eastAsia="宋体" w:cs="Times New Roman"/>
          <w:color w:val="auto"/>
          <w:spacing w:val="0"/>
          <w:sz w:val="24"/>
          <w:szCs w:val="24"/>
          <w:highlight w:val="none"/>
          <w:lang w:val="en-US" w:eastAsia="zh-CN"/>
        </w:rPr>
        <w:t>沉淀过程中产生的排泥水进入排泥池，</w:t>
      </w:r>
      <w:r>
        <w:rPr>
          <w:rFonts w:hint="default" w:ascii="Times New Roman" w:hAnsi="Times New Roman" w:eastAsia="宋体" w:cs="Times New Roman"/>
          <w:color w:val="auto"/>
          <w:spacing w:val="0"/>
          <w:sz w:val="24"/>
          <w:szCs w:val="24"/>
        </w:rPr>
        <w:t>将原生污泥</w:t>
      </w:r>
      <w:r>
        <w:rPr>
          <w:rFonts w:hint="default" w:ascii="Times New Roman" w:hAnsi="Times New Roman" w:eastAsia="宋体" w:cs="Times New Roman"/>
          <w:color w:val="auto"/>
          <w:spacing w:val="0"/>
          <w:sz w:val="24"/>
          <w:szCs w:val="24"/>
          <w:lang w:eastAsia="zh-CN"/>
        </w:rPr>
        <w:t>（</w:t>
      </w:r>
      <w:r>
        <w:rPr>
          <w:rFonts w:hint="default" w:ascii="Times New Roman" w:hAnsi="Times New Roman" w:eastAsia="宋体" w:cs="Times New Roman"/>
          <w:color w:val="auto"/>
          <w:spacing w:val="0"/>
          <w:sz w:val="24"/>
          <w:szCs w:val="24"/>
          <w:lang w:val="en-US" w:eastAsia="zh-CN"/>
        </w:rPr>
        <w:t>含水率为99%</w:t>
      </w:r>
      <w:r>
        <w:rPr>
          <w:rFonts w:hint="default" w:ascii="Times New Roman" w:hAnsi="Times New Roman" w:eastAsia="宋体" w:cs="Times New Roman"/>
          <w:color w:val="auto"/>
          <w:spacing w:val="0"/>
          <w:sz w:val="24"/>
          <w:szCs w:val="24"/>
          <w:lang w:eastAsia="zh-CN"/>
        </w:rPr>
        <w:t>）</w:t>
      </w:r>
      <w:r>
        <w:rPr>
          <w:rFonts w:hint="default" w:ascii="Times New Roman" w:hAnsi="Times New Roman" w:eastAsia="宋体" w:cs="Times New Roman"/>
          <w:color w:val="auto"/>
          <w:spacing w:val="0"/>
          <w:sz w:val="24"/>
          <w:szCs w:val="24"/>
        </w:rPr>
        <w:t>经叠螺式污泥浓缩系统浓缩后，在污泥反应罐中与 三氯化铁调理剂、固化剂快速有效地混合均匀，使出料污泥达到改性 要求，改性后的污泥再用高压泵送至</w:t>
      </w:r>
      <w:r>
        <w:rPr>
          <w:rFonts w:hint="default" w:ascii="Times New Roman" w:hAnsi="Times New Roman" w:eastAsia="宋体" w:cs="Times New Roman"/>
          <w:color w:val="auto"/>
          <w:spacing w:val="0"/>
          <w:sz w:val="24"/>
          <w:szCs w:val="24"/>
          <w:highlight w:val="none"/>
          <w:lang w:val="en-US" w:eastAsia="zh-CN"/>
        </w:rPr>
        <w:t>高压隔膜压滤机</w:t>
      </w:r>
      <w:r>
        <w:rPr>
          <w:rFonts w:hint="default" w:ascii="Times New Roman" w:hAnsi="Times New Roman" w:eastAsia="宋体" w:cs="Times New Roman"/>
          <w:color w:val="auto"/>
          <w:spacing w:val="0"/>
          <w:sz w:val="24"/>
          <w:szCs w:val="24"/>
        </w:rPr>
        <w:t>，由高压油泵提 供强压压缩滤板之间空隙内的污泥，使滤板之间空隙内的污泥再次压 滤，得到含水率为60%以下的块状泥饼。</w:t>
      </w:r>
      <w:r>
        <w:rPr>
          <w:rFonts w:hint="default" w:ascii="Times New Roman" w:hAnsi="Times New Roman" w:eastAsia="宋体" w:cs="Times New Roman"/>
          <w:color w:val="auto"/>
          <w:spacing w:val="0"/>
          <w:sz w:val="24"/>
          <w:szCs w:val="24"/>
          <w:lang w:val="en-US" w:eastAsia="zh-CN"/>
        </w:rPr>
        <w:t>污泥</w:t>
      </w:r>
      <w:r>
        <w:rPr>
          <w:rFonts w:hint="default" w:ascii="Times New Roman" w:hAnsi="Times New Roman" w:eastAsia="宋体" w:cs="Times New Roman"/>
          <w:b w:val="0"/>
          <w:bCs w:val="0"/>
          <w:color w:val="auto"/>
          <w:spacing w:val="0"/>
          <w:w w:val="100"/>
          <w:sz w:val="24"/>
          <w:szCs w:val="24"/>
          <w:highlight w:val="none"/>
          <w:lang w:val="en-US" w:eastAsia="zh-CN"/>
        </w:rPr>
        <w:t>暂存污泥暂存库内，定期</w:t>
      </w:r>
      <w:r>
        <w:rPr>
          <w:rFonts w:hint="default" w:ascii="Times New Roman" w:hAnsi="Times New Roman" w:eastAsia="宋体" w:cs="Times New Roman"/>
          <w:color w:val="auto"/>
          <w:spacing w:val="0"/>
          <w:sz w:val="24"/>
          <w:szCs w:val="24"/>
          <w:highlight w:val="none"/>
          <w:lang w:val="en-US" w:eastAsia="zh-CN"/>
        </w:rPr>
        <w:t>外运委托有资质单位处理。</w:t>
      </w:r>
      <w:r>
        <w:rPr>
          <w:rFonts w:hint="default" w:ascii="Times New Roman" w:hAnsi="Times New Roman" w:eastAsia="宋体" w:cs="Times New Roman"/>
          <w:bCs/>
          <w:color w:val="auto"/>
          <w:spacing w:val="0"/>
          <w:kern w:val="0"/>
          <w:sz w:val="24"/>
          <w:szCs w:val="24"/>
          <w:highlight w:val="none"/>
          <w:lang w:val="en-US" w:eastAsia="zh-CN"/>
        </w:rPr>
        <w:t>反冲洗废水</w:t>
      </w:r>
      <w:r>
        <w:rPr>
          <w:rFonts w:hint="default" w:ascii="Times New Roman" w:hAnsi="Times New Roman" w:eastAsia="宋体" w:cs="Times New Roman"/>
          <w:color w:val="auto"/>
          <w:spacing w:val="0"/>
          <w:sz w:val="24"/>
          <w:szCs w:val="24"/>
          <w:highlight w:val="none"/>
          <w:lang w:eastAsia="zh-CN"/>
        </w:rPr>
        <w:t>回收</w:t>
      </w:r>
      <w:r>
        <w:rPr>
          <w:rFonts w:hint="default" w:ascii="Times New Roman" w:hAnsi="Times New Roman" w:eastAsia="宋体" w:cs="Times New Roman"/>
          <w:color w:val="auto"/>
          <w:spacing w:val="0"/>
          <w:sz w:val="24"/>
          <w:szCs w:val="24"/>
          <w:highlight w:val="none"/>
          <w:lang w:val="en-US" w:eastAsia="zh-CN"/>
        </w:rPr>
        <w:t>排入</w:t>
      </w:r>
      <w:r>
        <w:rPr>
          <w:rFonts w:hint="default" w:ascii="Times New Roman" w:hAnsi="Times New Roman" w:eastAsia="宋体" w:cs="Times New Roman"/>
          <w:color w:val="auto"/>
          <w:spacing w:val="0"/>
          <w:sz w:val="24"/>
          <w:szCs w:val="24"/>
          <w:highlight w:val="none"/>
          <w:lang w:eastAsia="zh-CN"/>
        </w:rPr>
        <w:t>配水</w:t>
      </w:r>
      <w:r>
        <w:rPr>
          <w:rFonts w:hint="default" w:ascii="Times New Roman" w:hAnsi="Times New Roman" w:eastAsia="宋体" w:cs="Times New Roman"/>
          <w:color w:val="auto"/>
          <w:spacing w:val="0"/>
          <w:sz w:val="24"/>
          <w:szCs w:val="24"/>
          <w:highlight w:val="none"/>
          <w:lang w:val="en-US" w:eastAsia="zh-CN"/>
        </w:rPr>
        <w:t>井</w:t>
      </w:r>
      <w:r>
        <w:rPr>
          <w:rFonts w:hint="default" w:ascii="Times New Roman" w:hAnsi="Times New Roman" w:eastAsia="宋体" w:cs="Times New Roman"/>
          <w:color w:val="auto"/>
          <w:spacing w:val="0"/>
          <w:sz w:val="24"/>
          <w:szCs w:val="24"/>
          <w:highlight w:val="none"/>
          <w:lang w:eastAsia="zh-CN"/>
        </w:rPr>
        <w:t>与原水混合回用，不外排，</w:t>
      </w:r>
      <w:r>
        <w:rPr>
          <w:rFonts w:hint="default" w:ascii="Times New Roman" w:hAnsi="Times New Roman" w:eastAsia="宋体" w:cs="Times New Roman"/>
          <w:color w:val="auto"/>
          <w:spacing w:val="0"/>
          <w:sz w:val="24"/>
          <w:szCs w:val="24"/>
          <w:highlight w:val="none"/>
          <w:lang w:val="en-US" w:eastAsia="zh-CN"/>
        </w:rPr>
        <w:t>排泥水上清液</w:t>
      </w:r>
      <w:r>
        <w:rPr>
          <w:rFonts w:hint="default" w:ascii="Times New Roman" w:hAnsi="Times New Roman" w:eastAsia="宋体" w:cs="Times New Roman"/>
          <w:color w:val="auto"/>
          <w:spacing w:val="0"/>
          <w:kern w:val="21"/>
          <w:sz w:val="24"/>
          <w:szCs w:val="24"/>
          <w:highlight w:val="none"/>
          <w:lang w:val="en-US" w:eastAsia="zh-CN"/>
        </w:rPr>
        <w:t>满足</w:t>
      </w:r>
      <w:r>
        <w:rPr>
          <w:rFonts w:hint="default" w:ascii="Times New Roman" w:hAnsi="Times New Roman" w:eastAsia="宋体" w:cs="Times New Roman"/>
          <w:color w:val="auto"/>
          <w:spacing w:val="0"/>
          <w:sz w:val="24"/>
          <w:szCs w:val="24"/>
          <w:highlight w:val="none"/>
          <w:lang w:val="en-US" w:eastAsia="zh-CN"/>
        </w:rPr>
        <w:t>《地表水环境质量标准》（GB3838-2002）表1中三类标准、悬浮物满足《污水综合排放标准》（GB8978-1996）一级标准后，排入红光沟流入穆棱河。</w:t>
      </w:r>
      <w:bookmarkStart w:id="54" w:name="bookmark25"/>
      <w:bookmarkEnd w:id="54"/>
    </w:p>
    <w:p w14:paraId="10494B11">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2"/>
        <w:rPr>
          <w:rFonts w:ascii="宋体" w:hAnsi="宋体" w:eastAsia="宋体" w:cs="宋体"/>
          <w:color w:val="auto"/>
          <w:sz w:val="28"/>
          <w:szCs w:val="28"/>
        </w:rPr>
      </w:pPr>
      <w:r>
        <w:rPr>
          <w:rFonts w:ascii="Times New Roman" w:hAnsi="Times New Roman" w:eastAsia="Times New Roman" w:cs="Times New Roman"/>
          <w:b/>
          <w:bCs/>
          <w:color w:val="auto"/>
          <w:spacing w:val="-2"/>
          <w:sz w:val="28"/>
          <w:szCs w:val="28"/>
        </w:rPr>
        <w:t>2.</w:t>
      </w:r>
      <w:r>
        <w:rPr>
          <w:rFonts w:hint="eastAsia" w:ascii="Times New Roman" w:hAnsi="Times New Roman" w:eastAsia="宋体" w:cs="Times New Roman"/>
          <w:b/>
          <w:bCs/>
          <w:color w:val="auto"/>
          <w:spacing w:val="-2"/>
          <w:sz w:val="28"/>
          <w:szCs w:val="28"/>
          <w:lang w:val="en-US" w:eastAsia="zh-CN"/>
        </w:rPr>
        <w:t>3</w:t>
      </w:r>
      <w:r>
        <w:rPr>
          <w:rFonts w:ascii="Times New Roman" w:hAnsi="Times New Roman" w:eastAsia="Times New Roman" w:cs="Times New Roman"/>
          <w:b/>
          <w:bCs/>
          <w:color w:val="auto"/>
          <w:spacing w:val="-2"/>
          <w:sz w:val="28"/>
          <w:szCs w:val="28"/>
        </w:rPr>
        <w:t xml:space="preserve">.2  </w:t>
      </w:r>
      <w:r>
        <w:rPr>
          <w:rFonts w:ascii="宋体" w:hAnsi="宋体" w:eastAsia="宋体" w:cs="宋体"/>
          <w:b/>
          <w:bCs/>
          <w:color w:val="auto"/>
          <w:spacing w:val="-2"/>
          <w:sz w:val="28"/>
          <w:szCs w:val="28"/>
        </w:rPr>
        <w:t>产排污环节</w:t>
      </w:r>
    </w:p>
    <w:p w14:paraId="414113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bCs/>
          <w:color w:val="auto"/>
          <w:spacing w:val="0"/>
          <w:kern w:val="0"/>
          <w:sz w:val="24"/>
          <w:szCs w:val="24"/>
          <w:highlight w:val="none"/>
          <w:lang w:val="en-US" w:eastAsia="zh-CN"/>
        </w:rPr>
      </w:pPr>
      <w:r>
        <w:rPr>
          <w:rFonts w:hint="default" w:ascii="Times New Roman" w:hAnsi="Times New Roman" w:eastAsia="宋体" w:cs="Times New Roman"/>
          <w:color w:val="auto"/>
          <w:spacing w:val="0"/>
          <w:kern w:val="0"/>
          <w:sz w:val="24"/>
          <w:szCs w:val="24"/>
          <w:highlight w:val="none"/>
        </w:rPr>
        <w:t>废气：</w:t>
      </w:r>
      <w:r>
        <w:rPr>
          <w:rFonts w:hint="default" w:ascii="Times New Roman" w:hAnsi="Times New Roman" w:eastAsia="宋体" w:cs="Times New Roman"/>
          <w:color w:val="auto"/>
          <w:spacing w:val="0"/>
          <w:kern w:val="0"/>
          <w:sz w:val="24"/>
          <w:szCs w:val="24"/>
          <w:highlight w:val="none"/>
          <w:lang w:val="en-US" w:eastAsia="zh-CN"/>
        </w:rPr>
        <w:t>净水厂</w:t>
      </w:r>
      <w:r>
        <w:rPr>
          <w:rFonts w:hint="default" w:ascii="Times New Roman" w:hAnsi="Times New Roman" w:eastAsia="宋体" w:cs="Times New Roman"/>
          <w:color w:val="auto"/>
          <w:spacing w:val="0"/>
          <w:kern w:val="0"/>
          <w:sz w:val="24"/>
          <w:szCs w:val="24"/>
          <w:highlight w:val="none"/>
        </w:rPr>
        <w:t>废气</w:t>
      </w:r>
      <w:r>
        <w:rPr>
          <w:rFonts w:hint="default" w:ascii="Times New Roman" w:hAnsi="Times New Roman" w:eastAsia="宋体" w:cs="Times New Roman"/>
          <w:color w:val="auto"/>
          <w:spacing w:val="0"/>
          <w:kern w:val="0"/>
          <w:sz w:val="24"/>
          <w:szCs w:val="24"/>
          <w:highlight w:val="none"/>
          <w:lang w:val="en-US" w:eastAsia="zh-CN"/>
        </w:rPr>
        <w:t>主要为污泥间产生的少量恶臭气体、加氯间产生少量氯气、食堂油烟。</w:t>
      </w:r>
    </w:p>
    <w:p w14:paraId="61F7CC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bCs/>
          <w:color w:val="auto"/>
          <w:spacing w:val="0"/>
          <w:kern w:val="0"/>
          <w:sz w:val="24"/>
          <w:szCs w:val="24"/>
          <w:highlight w:val="none"/>
          <w:lang w:val="en-US" w:eastAsia="zh-CN"/>
        </w:rPr>
      </w:pPr>
      <w:r>
        <w:rPr>
          <w:rFonts w:hint="default" w:ascii="Times New Roman" w:hAnsi="Times New Roman" w:eastAsia="宋体" w:cs="Times New Roman"/>
          <w:color w:val="auto"/>
          <w:spacing w:val="0"/>
          <w:kern w:val="0"/>
          <w:sz w:val="24"/>
          <w:szCs w:val="24"/>
          <w:highlight w:val="none"/>
          <w:lang w:val="en-US" w:eastAsia="zh-CN"/>
        </w:rPr>
        <w:t>废水：净水厂废水为生活污水、滤池反冲洗废水、排泥水</w:t>
      </w:r>
      <w:r>
        <w:rPr>
          <w:rFonts w:hint="eastAsia" w:ascii="Times New Roman" w:hAnsi="Times New Roman" w:eastAsia="宋体" w:cs="Times New Roman"/>
          <w:color w:val="auto"/>
          <w:spacing w:val="0"/>
          <w:kern w:val="0"/>
          <w:sz w:val="24"/>
          <w:szCs w:val="24"/>
          <w:highlight w:val="none"/>
          <w:lang w:val="en-US" w:eastAsia="zh-CN"/>
        </w:rPr>
        <w:t>上清液</w:t>
      </w:r>
      <w:r>
        <w:rPr>
          <w:rFonts w:hint="default" w:ascii="Times New Roman" w:hAnsi="Times New Roman" w:eastAsia="宋体" w:cs="Times New Roman"/>
          <w:color w:val="auto"/>
          <w:spacing w:val="0"/>
          <w:kern w:val="0"/>
          <w:sz w:val="24"/>
          <w:szCs w:val="24"/>
          <w:highlight w:val="none"/>
          <w:lang w:val="en-US" w:eastAsia="zh-CN"/>
        </w:rPr>
        <w:t>。</w:t>
      </w:r>
    </w:p>
    <w:p w14:paraId="3073B6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pacing w:val="0"/>
          <w:kern w:val="0"/>
          <w:sz w:val="24"/>
          <w:szCs w:val="24"/>
          <w:highlight w:val="none"/>
          <w:lang w:eastAsia="zh-CN"/>
        </w:rPr>
      </w:pPr>
      <w:r>
        <w:rPr>
          <w:rFonts w:hint="default" w:ascii="Times New Roman" w:hAnsi="Times New Roman" w:eastAsia="宋体" w:cs="Times New Roman"/>
          <w:color w:val="auto"/>
          <w:spacing w:val="0"/>
          <w:kern w:val="0"/>
          <w:sz w:val="24"/>
          <w:szCs w:val="24"/>
          <w:highlight w:val="none"/>
        </w:rPr>
        <w:t>噪声：</w:t>
      </w:r>
      <w:r>
        <w:rPr>
          <w:rFonts w:hint="default" w:ascii="Times New Roman" w:hAnsi="Times New Roman" w:eastAsia="宋体" w:cs="Times New Roman"/>
          <w:color w:val="auto"/>
          <w:spacing w:val="0"/>
          <w:kern w:val="0"/>
          <w:sz w:val="24"/>
          <w:szCs w:val="24"/>
          <w:highlight w:val="none"/>
          <w:lang w:val="en-US" w:eastAsia="zh-CN"/>
        </w:rPr>
        <w:t>净水厂</w:t>
      </w:r>
      <w:r>
        <w:rPr>
          <w:rFonts w:hint="default" w:ascii="Times New Roman" w:hAnsi="Times New Roman" w:eastAsia="宋体" w:cs="Times New Roman"/>
          <w:color w:val="auto"/>
          <w:spacing w:val="0"/>
          <w:kern w:val="0"/>
          <w:sz w:val="24"/>
          <w:szCs w:val="24"/>
          <w:highlight w:val="none"/>
        </w:rPr>
        <w:t>噪声主要来自生产设备运行时产生的噪声</w:t>
      </w:r>
      <w:r>
        <w:rPr>
          <w:rFonts w:hint="default" w:ascii="Times New Roman" w:hAnsi="Times New Roman" w:eastAsia="宋体" w:cs="Times New Roman"/>
          <w:color w:val="auto"/>
          <w:spacing w:val="0"/>
          <w:kern w:val="0"/>
          <w:sz w:val="24"/>
          <w:szCs w:val="24"/>
          <w:highlight w:val="none"/>
          <w:lang w:eastAsia="zh-CN"/>
        </w:rPr>
        <w:t>。</w:t>
      </w:r>
    </w:p>
    <w:p w14:paraId="48327D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pacing w:val="0"/>
          <w:sz w:val="24"/>
          <w:szCs w:val="24"/>
          <w:lang w:val="en-US" w:eastAsia="zh-CN"/>
        </w:rPr>
      </w:pPr>
      <w:r>
        <w:rPr>
          <w:rFonts w:hint="default" w:ascii="Times New Roman" w:hAnsi="Times New Roman" w:eastAsia="宋体" w:cs="Times New Roman"/>
          <w:color w:val="auto"/>
          <w:spacing w:val="0"/>
          <w:kern w:val="0"/>
          <w:sz w:val="24"/>
          <w:szCs w:val="24"/>
          <w:highlight w:val="none"/>
        </w:rPr>
        <w:t>固废：</w:t>
      </w:r>
      <w:r>
        <w:rPr>
          <w:rFonts w:hint="default" w:ascii="Times New Roman" w:hAnsi="Times New Roman" w:eastAsia="宋体" w:cs="Times New Roman"/>
          <w:color w:val="auto"/>
          <w:spacing w:val="0"/>
          <w:kern w:val="0"/>
          <w:sz w:val="24"/>
          <w:szCs w:val="24"/>
          <w:highlight w:val="none"/>
          <w:lang w:val="en-US" w:eastAsia="zh-CN"/>
        </w:rPr>
        <w:t>净水厂</w:t>
      </w:r>
      <w:r>
        <w:rPr>
          <w:rFonts w:hint="default" w:ascii="Times New Roman" w:hAnsi="Times New Roman" w:eastAsia="宋体" w:cs="Times New Roman"/>
          <w:color w:val="auto"/>
          <w:spacing w:val="0"/>
          <w:kern w:val="0"/>
          <w:sz w:val="24"/>
          <w:szCs w:val="24"/>
          <w:highlight w:val="none"/>
        </w:rPr>
        <w:t>固废主要为生活垃圾</w:t>
      </w:r>
      <w:r>
        <w:rPr>
          <w:rFonts w:hint="default" w:ascii="Times New Roman" w:hAnsi="Times New Roman" w:eastAsia="宋体" w:cs="Times New Roman"/>
          <w:color w:val="auto"/>
          <w:spacing w:val="0"/>
          <w:kern w:val="0"/>
          <w:sz w:val="24"/>
          <w:szCs w:val="24"/>
          <w:highlight w:val="none"/>
          <w:lang w:val="en-US" w:eastAsia="zh-CN"/>
        </w:rPr>
        <w:t>、</w:t>
      </w:r>
      <w:r>
        <w:rPr>
          <w:rFonts w:hint="eastAsia" w:ascii="Times New Roman" w:hAnsi="Times New Roman" w:eastAsia="宋体" w:cs="Times New Roman"/>
          <w:color w:val="auto"/>
          <w:spacing w:val="0"/>
          <w:kern w:val="0"/>
          <w:sz w:val="24"/>
          <w:szCs w:val="24"/>
          <w:highlight w:val="none"/>
          <w:lang w:val="en-US" w:eastAsia="zh-CN"/>
        </w:rPr>
        <w:t>脱水</w:t>
      </w:r>
      <w:r>
        <w:rPr>
          <w:rFonts w:hint="default" w:ascii="Times New Roman" w:hAnsi="Times New Roman" w:eastAsia="宋体" w:cs="Times New Roman"/>
          <w:color w:val="auto"/>
          <w:spacing w:val="0"/>
          <w:kern w:val="0"/>
          <w:sz w:val="24"/>
          <w:szCs w:val="24"/>
          <w:highlight w:val="none"/>
          <w:lang w:val="en-US" w:eastAsia="zh-CN"/>
        </w:rPr>
        <w:t>污泥。</w:t>
      </w:r>
    </w:p>
    <w:p w14:paraId="30A5BEA1">
      <w:pPr>
        <w:keepNext w:val="0"/>
        <w:keepLines w:val="0"/>
        <w:pageBreakBefore w:val="0"/>
        <w:widowControl/>
        <w:kinsoku w:val="0"/>
        <w:wordWrap/>
        <w:overflowPunct/>
        <w:topLinePunct w:val="0"/>
        <w:autoSpaceDE w:val="0"/>
        <w:autoSpaceDN w:val="0"/>
        <w:bidi w:val="0"/>
        <w:adjustRightInd w:val="0"/>
        <w:snapToGrid w:val="0"/>
        <w:spacing w:line="360" w:lineRule="auto"/>
        <w:ind w:firstLine="456" w:firstLineChars="200"/>
        <w:textAlignment w:val="baseline"/>
        <w:rPr>
          <w:rFonts w:hint="default" w:ascii="宋体" w:hAnsi="宋体" w:eastAsia="宋体" w:cs="宋体"/>
          <w:color w:val="auto"/>
          <w:spacing w:val="-6"/>
          <w:sz w:val="24"/>
          <w:szCs w:val="24"/>
          <w:lang w:val="en-US" w:eastAsia="zh-CN"/>
        </w:rPr>
      </w:pPr>
      <w:r>
        <w:rPr>
          <w:rFonts w:hint="default" w:ascii="宋体" w:hAnsi="宋体" w:eastAsia="宋体" w:cs="宋体"/>
          <w:color w:val="auto"/>
          <w:spacing w:val="-6"/>
          <w:sz w:val="24"/>
          <w:szCs w:val="24"/>
          <w:lang w:val="en-US" w:eastAsia="zh-CN"/>
        </w:rPr>
        <w:t>本项目运营期工程主要排污节</w:t>
      </w:r>
      <w:r>
        <w:rPr>
          <w:rFonts w:hint="default" w:ascii="Times New Roman" w:hAnsi="Times New Roman" w:eastAsia="宋体" w:cs="Times New Roman"/>
          <w:color w:val="auto"/>
          <w:spacing w:val="-6"/>
          <w:sz w:val="24"/>
          <w:szCs w:val="24"/>
          <w:lang w:val="en-US" w:eastAsia="zh-CN"/>
        </w:rPr>
        <w:t>点见表2-2。</w:t>
      </w:r>
    </w:p>
    <w:p w14:paraId="02194580">
      <w:pPr>
        <w:keepNext w:val="0"/>
        <w:keepLines w:val="0"/>
        <w:widowControl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color w:val="auto"/>
          <w:spacing w:val="0"/>
          <w:kern w:val="0"/>
          <w:sz w:val="24"/>
          <w:szCs w:val="24"/>
          <w:highlight w:val="none"/>
          <w:lang w:val="en-US" w:eastAsia="zh-CN" w:bidi="ar-SA"/>
        </w:rPr>
      </w:pPr>
      <w:r>
        <w:rPr>
          <w:rFonts w:hint="default" w:ascii="Times New Roman" w:hAnsi="Times New Roman" w:eastAsia="宋体" w:cs="Times New Roman"/>
          <w:b/>
          <w:bCs/>
          <w:color w:val="auto"/>
          <w:spacing w:val="0"/>
          <w:kern w:val="0"/>
          <w:sz w:val="24"/>
          <w:szCs w:val="24"/>
          <w:highlight w:val="none"/>
          <w:lang w:val="en-US" w:eastAsia="zh-CN" w:bidi="ar-SA"/>
        </w:rPr>
        <w:t>表2-</w:t>
      </w:r>
      <w:r>
        <w:rPr>
          <w:rFonts w:hint="default" w:ascii="Times New Roman" w:hAnsi="Times New Roman" w:cs="Times New Roman"/>
          <w:b/>
          <w:bCs/>
          <w:color w:val="auto"/>
          <w:spacing w:val="0"/>
          <w:kern w:val="0"/>
          <w:sz w:val="24"/>
          <w:szCs w:val="24"/>
          <w:highlight w:val="none"/>
          <w:lang w:val="en-US" w:eastAsia="zh-CN" w:bidi="ar-SA"/>
        </w:rPr>
        <w:t>2</w:t>
      </w:r>
      <w:r>
        <w:rPr>
          <w:rFonts w:hint="default" w:ascii="Times New Roman" w:hAnsi="Times New Roman" w:eastAsia="宋体" w:cs="Times New Roman"/>
          <w:b/>
          <w:bCs/>
          <w:color w:val="auto"/>
          <w:spacing w:val="0"/>
          <w:kern w:val="0"/>
          <w:sz w:val="24"/>
          <w:szCs w:val="24"/>
          <w:highlight w:val="none"/>
          <w:lang w:val="en-US" w:eastAsia="zh-CN" w:bidi="ar-SA"/>
        </w:rPr>
        <w:t>本项目</w:t>
      </w:r>
      <w:r>
        <w:rPr>
          <w:rFonts w:hint="eastAsia" w:ascii="Times New Roman" w:hAnsi="Times New Roman" w:eastAsia="宋体" w:cs="Times New Roman"/>
          <w:b/>
          <w:bCs/>
          <w:color w:val="auto"/>
          <w:spacing w:val="0"/>
          <w:kern w:val="0"/>
          <w:sz w:val="24"/>
          <w:szCs w:val="24"/>
          <w:highlight w:val="none"/>
          <w:lang w:val="en-US" w:eastAsia="zh-CN" w:bidi="ar-SA"/>
        </w:rPr>
        <w:t>建成后全厂</w:t>
      </w:r>
      <w:r>
        <w:rPr>
          <w:rFonts w:hint="default" w:ascii="Times New Roman" w:hAnsi="Times New Roman" w:eastAsia="宋体" w:cs="Times New Roman"/>
          <w:b/>
          <w:bCs/>
          <w:color w:val="auto"/>
          <w:spacing w:val="0"/>
          <w:kern w:val="0"/>
          <w:sz w:val="24"/>
          <w:szCs w:val="24"/>
          <w:highlight w:val="none"/>
          <w:lang w:val="en-US" w:eastAsia="zh-CN" w:bidi="ar-SA"/>
        </w:rPr>
        <w:t>运营期工程主要排污节点一览表</w:t>
      </w:r>
    </w:p>
    <w:tbl>
      <w:tblPr>
        <w:tblStyle w:val="35"/>
        <w:tblW w:w="4998"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1451"/>
        <w:gridCol w:w="1125"/>
        <w:gridCol w:w="4773"/>
      </w:tblGrid>
      <w:tr w14:paraId="66459B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dxa"/>
            <w:tcBorders>
              <w:tl2br w:val="nil"/>
              <w:tr2bl w:val="nil"/>
            </w:tcBorders>
            <w:noWrap w:val="0"/>
            <w:vAlign w:val="center"/>
          </w:tcPr>
          <w:p w14:paraId="67550F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项目</w:t>
            </w:r>
          </w:p>
        </w:tc>
        <w:tc>
          <w:tcPr>
            <w:tcW w:w="1070" w:type="dxa"/>
            <w:tcBorders>
              <w:tl2br w:val="nil"/>
              <w:tr2bl w:val="nil"/>
            </w:tcBorders>
            <w:noWrap w:val="0"/>
            <w:vAlign w:val="center"/>
          </w:tcPr>
          <w:p w14:paraId="1B9DE8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污染源</w:t>
            </w:r>
          </w:p>
        </w:tc>
        <w:tc>
          <w:tcPr>
            <w:tcW w:w="1290" w:type="dxa"/>
            <w:tcBorders>
              <w:tl2br w:val="nil"/>
              <w:tr2bl w:val="nil"/>
            </w:tcBorders>
            <w:noWrap w:val="0"/>
            <w:vAlign w:val="center"/>
          </w:tcPr>
          <w:p w14:paraId="4F3B25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污染物</w:t>
            </w:r>
          </w:p>
        </w:tc>
        <w:tc>
          <w:tcPr>
            <w:tcW w:w="1000" w:type="dxa"/>
            <w:tcBorders>
              <w:tl2br w:val="nil"/>
              <w:tr2bl w:val="nil"/>
            </w:tcBorders>
            <w:noWrap w:val="0"/>
            <w:vAlign w:val="center"/>
          </w:tcPr>
          <w:p w14:paraId="76AF68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排放特点</w:t>
            </w:r>
          </w:p>
        </w:tc>
        <w:tc>
          <w:tcPr>
            <w:tcW w:w="4244" w:type="dxa"/>
            <w:tcBorders>
              <w:tl2br w:val="nil"/>
              <w:tr2bl w:val="nil"/>
            </w:tcBorders>
            <w:noWrap w:val="0"/>
            <w:vAlign w:val="center"/>
          </w:tcPr>
          <w:p w14:paraId="7D5E7E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治理措施</w:t>
            </w:r>
          </w:p>
        </w:tc>
      </w:tr>
      <w:tr w14:paraId="2E4D5C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dxa"/>
            <w:vMerge w:val="restart"/>
            <w:tcBorders>
              <w:tl2br w:val="nil"/>
              <w:tr2bl w:val="nil"/>
            </w:tcBorders>
            <w:noWrap w:val="0"/>
            <w:vAlign w:val="center"/>
          </w:tcPr>
          <w:p w14:paraId="1527FA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废气</w:t>
            </w:r>
          </w:p>
        </w:tc>
        <w:tc>
          <w:tcPr>
            <w:tcW w:w="1070" w:type="dxa"/>
            <w:tcBorders>
              <w:tl2br w:val="nil"/>
              <w:tr2bl w:val="nil"/>
            </w:tcBorders>
            <w:noWrap w:val="0"/>
            <w:vAlign w:val="center"/>
          </w:tcPr>
          <w:p w14:paraId="1C37C5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ascii="宋体" w:hAnsi="宋体" w:cs="宋体"/>
                <w:color w:val="auto"/>
                <w:spacing w:val="0"/>
                <w:sz w:val="21"/>
                <w:szCs w:val="21"/>
                <w:highlight w:val="none"/>
                <w:lang w:val="en-US" w:eastAsia="zh-CN"/>
              </w:rPr>
              <w:t>生产废气</w:t>
            </w:r>
          </w:p>
        </w:tc>
        <w:tc>
          <w:tcPr>
            <w:tcW w:w="1290" w:type="dxa"/>
            <w:tcBorders>
              <w:tl2br w:val="nil"/>
              <w:tr2bl w:val="nil"/>
            </w:tcBorders>
            <w:noWrap w:val="0"/>
            <w:vAlign w:val="center"/>
          </w:tcPr>
          <w:p w14:paraId="199DE3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氨、硫化氢、臭气浓度、氯气</w:t>
            </w:r>
          </w:p>
        </w:tc>
        <w:tc>
          <w:tcPr>
            <w:tcW w:w="1000" w:type="dxa"/>
            <w:vMerge w:val="restart"/>
            <w:tcBorders>
              <w:tl2br w:val="nil"/>
              <w:tr2bl w:val="nil"/>
            </w:tcBorders>
            <w:noWrap w:val="0"/>
            <w:vAlign w:val="center"/>
          </w:tcPr>
          <w:p w14:paraId="3263AC99">
            <w:pPr>
              <w:keepNext w:val="0"/>
              <w:keepLines w:val="0"/>
              <w:pageBreakBefore w:val="0"/>
              <w:widowControl/>
              <w:suppressLineNumbers w:val="0"/>
              <w:tabs>
                <w:tab w:val="left" w:pos="5760"/>
              </w:tabs>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21"/>
                <w:szCs w:val="21"/>
                <w:highlight w:val="none"/>
                <w:lang w:val="en-US"/>
              </w:rPr>
            </w:pPr>
            <w:r>
              <w:rPr>
                <w:rFonts w:hint="eastAsia" w:cs="Times New Roman"/>
                <w:color w:val="auto"/>
                <w:spacing w:val="0"/>
                <w:sz w:val="21"/>
                <w:szCs w:val="21"/>
                <w:highlight w:val="none"/>
                <w:lang w:val="en-US" w:eastAsia="zh-CN"/>
              </w:rPr>
              <w:t>连续</w:t>
            </w:r>
          </w:p>
        </w:tc>
        <w:tc>
          <w:tcPr>
            <w:tcW w:w="4244" w:type="dxa"/>
            <w:tcBorders>
              <w:tl2br w:val="nil"/>
              <w:tr2bl w:val="nil"/>
            </w:tcBorders>
            <w:noWrap w:val="0"/>
            <w:vAlign w:val="center"/>
          </w:tcPr>
          <w:p w14:paraId="13BDCB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spacing w:val="0"/>
                <w:kern w:val="0"/>
                <w:sz w:val="21"/>
                <w:szCs w:val="21"/>
                <w:highlight w:val="none"/>
                <w:lang w:val="en-US" w:eastAsia="zh-CN"/>
              </w:rPr>
            </w:pPr>
            <w:r>
              <w:rPr>
                <w:rFonts w:hint="default" w:ascii="Times New Roman" w:hAnsi="Times New Roman" w:eastAsia="宋体" w:cs="Times New Roman"/>
                <w:color w:val="auto"/>
                <w:spacing w:val="0"/>
                <w:sz w:val="21"/>
                <w:szCs w:val="21"/>
                <w:lang w:val="en-US" w:eastAsia="zh-CN"/>
              </w:rPr>
              <w:t>净</w:t>
            </w:r>
            <w:r>
              <w:rPr>
                <w:rFonts w:hint="default" w:ascii="Times New Roman" w:hAnsi="Times New Roman" w:eastAsia="宋体" w:cs="Times New Roman"/>
                <w:color w:val="auto"/>
                <w:spacing w:val="0"/>
                <w:kern w:val="0"/>
                <w:sz w:val="21"/>
                <w:szCs w:val="21"/>
              </w:rPr>
              <w:t>水厂生产过程中不会排放生产废气，加氯间仅有少量游离的Cl产生；在污泥处理区的贮泥池、浓缩池、污泥浓缩脱水间</w:t>
            </w:r>
            <w:r>
              <w:rPr>
                <w:rFonts w:hint="eastAsia" w:cs="Times New Roman"/>
                <w:color w:val="auto"/>
                <w:spacing w:val="0"/>
                <w:kern w:val="0"/>
                <w:sz w:val="21"/>
                <w:szCs w:val="21"/>
                <w:lang w:eastAsia="zh-CN"/>
              </w:rPr>
              <w:t>、</w:t>
            </w:r>
            <w:r>
              <w:rPr>
                <w:rFonts w:hint="eastAsia" w:cs="Times New Roman"/>
                <w:color w:val="auto"/>
                <w:spacing w:val="0"/>
                <w:kern w:val="0"/>
                <w:sz w:val="21"/>
                <w:szCs w:val="21"/>
                <w:lang w:val="en-US" w:eastAsia="zh-CN"/>
              </w:rPr>
              <w:t>污泥暂存库</w:t>
            </w:r>
            <w:r>
              <w:rPr>
                <w:rFonts w:hint="default" w:ascii="Times New Roman" w:hAnsi="Times New Roman" w:eastAsia="宋体" w:cs="Times New Roman"/>
                <w:color w:val="auto"/>
                <w:spacing w:val="0"/>
                <w:kern w:val="0"/>
                <w:sz w:val="21"/>
                <w:szCs w:val="21"/>
              </w:rPr>
              <w:t>等会产生轻微的臭味，因比较轻微，且本工程稳压配水间通风次数为2次/h</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设置1台轴流通风机。滤池间通风次数为3次/h, 设置2台轴流通风机。加氯、加药间通风次数为8次h</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设置6台轴流通风机。污泥脱水间</w:t>
            </w:r>
            <w:r>
              <w:rPr>
                <w:rFonts w:hint="eastAsia" w:cs="Times New Roman"/>
                <w:color w:val="auto"/>
                <w:spacing w:val="0"/>
                <w:kern w:val="0"/>
                <w:sz w:val="21"/>
                <w:szCs w:val="21"/>
                <w:lang w:eastAsia="zh-CN"/>
              </w:rPr>
              <w:t>（</w:t>
            </w:r>
            <w:r>
              <w:rPr>
                <w:rFonts w:hint="eastAsia" w:cs="Times New Roman"/>
                <w:color w:val="auto"/>
                <w:spacing w:val="0"/>
                <w:kern w:val="0"/>
                <w:sz w:val="21"/>
                <w:szCs w:val="21"/>
                <w:lang w:val="en-US" w:eastAsia="zh-CN"/>
              </w:rPr>
              <w:t>包括污泥暂存库</w:t>
            </w:r>
            <w:r>
              <w:rPr>
                <w:rFonts w:hint="eastAsia" w:cs="Times New Roman"/>
                <w:color w:val="auto"/>
                <w:spacing w:val="0"/>
                <w:kern w:val="0"/>
                <w:sz w:val="21"/>
                <w:szCs w:val="21"/>
                <w:lang w:eastAsia="zh-CN"/>
              </w:rPr>
              <w:t>）</w:t>
            </w:r>
            <w:r>
              <w:rPr>
                <w:rFonts w:hint="eastAsia" w:cs="Times New Roman"/>
                <w:color w:val="auto"/>
                <w:spacing w:val="0"/>
                <w:kern w:val="0"/>
                <w:sz w:val="21"/>
                <w:szCs w:val="21"/>
                <w:lang w:val="en-US" w:eastAsia="zh-CN"/>
              </w:rPr>
              <w:t>污泥暂存库</w:t>
            </w:r>
            <w:r>
              <w:rPr>
                <w:rFonts w:hint="default" w:ascii="Times New Roman" w:hAnsi="Times New Roman" w:eastAsia="宋体" w:cs="Times New Roman"/>
                <w:color w:val="auto"/>
                <w:spacing w:val="0"/>
                <w:kern w:val="0"/>
                <w:sz w:val="21"/>
                <w:szCs w:val="21"/>
              </w:rPr>
              <w:t>通风次数为8次/h</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设置5台轴流通风机。经上述措施，同时加强室内通风及厂区绿化</w:t>
            </w:r>
            <w:r>
              <w:rPr>
                <w:rFonts w:hint="default" w:ascii="Times New Roman" w:hAnsi="Times New Roman" w:eastAsia="宋体" w:cs="Times New Roman"/>
                <w:color w:val="auto"/>
                <w:spacing w:val="0"/>
                <w:kern w:val="0"/>
                <w:sz w:val="21"/>
                <w:szCs w:val="21"/>
                <w:lang w:val="en-US" w:eastAsia="zh-CN"/>
              </w:rPr>
              <w:t>隔离稀释</w:t>
            </w:r>
            <w:r>
              <w:rPr>
                <w:rFonts w:hint="default" w:ascii="Times New Roman" w:hAnsi="Times New Roman" w:eastAsia="宋体" w:cs="Times New Roman"/>
                <w:color w:val="auto"/>
                <w:spacing w:val="0"/>
                <w:kern w:val="0"/>
                <w:sz w:val="21"/>
                <w:szCs w:val="21"/>
              </w:rPr>
              <w:t>，游离氯厂界浓度可满足《大气污染物综合排放标准》</w:t>
            </w:r>
            <w:r>
              <w:rPr>
                <w:rFonts w:hint="default" w:ascii="Times New Roman" w:hAnsi="Times New Roman" w:eastAsia="宋体" w:cs="Times New Roman"/>
                <w:color w:val="auto"/>
                <w:spacing w:val="0"/>
                <w:kern w:val="0"/>
                <w:sz w:val="21"/>
                <w:szCs w:val="21"/>
              </w:rPr>
              <w:tab/>
            </w:r>
            <w:r>
              <w:rPr>
                <w:rFonts w:hint="default" w:ascii="Times New Roman" w:hAnsi="Times New Roman" w:eastAsia="宋体" w:cs="Times New Roman"/>
                <w:color w:val="auto"/>
                <w:spacing w:val="0"/>
                <w:kern w:val="0"/>
                <w:sz w:val="21"/>
                <w:szCs w:val="21"/>
              </w:rPr>
              <w:t>(GB16297-1996</w:t>
            </w:r>
            <w:r>
              <w:rPr>
                <w:rFonts w:hint="eastAsia"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中无组织排放监控浓度限值要求</w:t>
            </w:r>
            <w:r>
              <w:rPr>
                <w:rFonts w:hint="default" w:ascii="Times New Roman" w:hAnsi="Times New Roman" w:eastAsia="宋体"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氨、硫化氢、臭气浓度满足《恶臭污染物排放标准》 (GB14554-93)  表一限值要求</w:t>
            </w:r>
            <w:r>
              <w:rPr>
                <w:rFonts w:hint="eastAsia" w:ascii="Times New Roman" w:hAnsi="Times New Roman" w:eastAsia="宋体" w:cs="Times New Roman"/>
                <w:color w:val="auto"/>
                <w:spacing w:val="0"/>
                <w:kern w:val="0"/>
                <w:sz w:val="21"/>
                <w:szCs w:val="21"/>
                <w:lang w:eastAsia="zh-CN"/>
              </w:rPr>
              <w:t>。</w:t>
            </w:r>
          </w:p>
        </w:tc>
      </w:tr>
      <w:tr w14:paraId="64F594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dxa"/>
            <w:vMerge w:val="continue"/>
            <w:tcBorders>
              <w:tl2br w:val="nil"/>
              <w:tr2bl w:val="nil"/>
            </w:tcBorders>
            <w:noWrap w:val="0"/>
            <w:vAlign w:val="center"/>
          </w:tcPr>
          <w:p w14:paraId="211D5F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p>
        </w:tc>
        <w:tc>
          <w:tcPr>
            <w:tcW w:w="1070" w:type="dxa"/>
            <w:tcBorders>
              <w:tl2br w:val="nil"/>
              <w:tr2bl w:val="nil"/>
            </w:tcBorders>
            <w:noWrap w:val="0"/>
            <w:vAlign w:val="center"/>
          </w:tcPr>
          <w:p w14:paraId="279F26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宋体" w:hAnsi="宋体" w:cs="宋体"/>
                <w:color w:val="auto"/>
                <w:spacing w:val="0"/>
                <w:sz w:val="21"/>
                <w:szCs w:val="21"/>
                <w:highlight w:val="none"/>
                <w:lang w:val="en-US" w:eastAsia="zh-CN"/>
              </w:rPr>
            </w:pPr>
            <w:r>
              <w:rPr>
                <w:rFonts w:hint="eastAsia" w:ascii="宋体" w:hAnsi="宋体" w:cs="宋体"/>
                <w:color w:val="auto"/>
                <w:spacing w:val="0"/>
                <w:sz w:val="21"/>
                <w:szCs w:val="21"/>
                <w:highlight w:val="none"/>
                <w:lang w:val="en-US" w:eastAsia="zh-CN"/>
              </w:rPr>
              <w:t>食堂</w:t>
            </w:r>
          </w:p>
        </w:tc>
        <w:tc>
          <w:tcPr>
            <w:tcW w:w="1290" w:type="dxa"/>
            <w:tcBorders>
              <w:tl2br w:val="nil"/>
              <w:tr2bl w:val="nil"/>
            </w:tcBorders>
            <w:noWrap w:val="0"/>
            <w:vAlign w:val="center"/>
          </w:tcPr>
          <w:p w14:paraId="3C3742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油烟</w:t>
            </w:r>
          </w:p>
        </w:tc>
        <w:tc>
          <w:tcPr>
            <w:tcW w:w="1000" w:type="dxa"/>
            <w:vMerge w:val="continue"/>
            <w:tcBorders>
              <w:tl2br w:val="nil"/>
              <w:tr2bl w:val="nil"/>
            </w:tcBorders>
            <w:noWrap w:val="0"/>
            <w:vAlign w:val="center"/>
          </w:tcPr>
          <w:p w14:paraId="5CE6BEB3">
            <w:pPr>
              <w:keepNext w:val="0"/>
              <w:keepLines w:val="0"/>
              <w:pageBreakBefore w:val="0"/>
              <w:widowControl/>
              <w:suppressLineNumbers w:val="0"/>
              <w:tabs>
                <w:tab w:val="left" w:pos="5760"/>
              </w:tabs>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21"/>
                <w:szCs w:val="21"/>
                <w:highlight w:val="none"/>
                <w:lang w:val="en-US" w:eastAsia="zh-CN"/>
              </w:rPr>
            </w:pPr>
          </w:p>
        </w:tc>
        <w:tc>
          <w:tcPr>
            <w:tcW w:w="4244" w:type="dxa"/>
            <w:tcBorders>
              <w:tl2br w:val="nil"/>
              <w:tr2bl w:val="nil"/>
            </w:tcBorders>
            <w:noWrap w:val="0"/>
            <w:vAlign w:val="center"/>
          </w:tcPr>
          <w:p w14:paraId="4229BB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cs="宋体"/>
                <w:color w:val="auto"/>
                <w:spacing w:val="0"/>
                <w:sz w:val="21"/>
                <w:szCs w:val="21"/>
                <w:highlight w:val="none"/>
                <w:lang w:val="en-US" w:eastAsia="zh-CN"/>
              </w:rPr>
            </w:pPr>
            <w:r>
              <w:rPr>
                <w:rFonts w:hint="default" w:ascii="Times New Roman" w:hAnsi="Times New Roman" w:eastAsia="宋体" w:cs="Times New Roman"/>
                <w:color w:val="auto"/>
                <w:spacing w:val="0"/>
                <w:kern w:val="0"/>
                <w:sz w:val="21"/>
                <w:szCs w:val="21"/>
                <w:lang w:val="en-US" w:eastAsia="zh-CN"/>
              </w:rPr>
              <w:t>食堂油烟经油烟净化器（处理效率75%）处理后</w:t>
            </w:r>
            <w:r>
              <w:rPr>
                <w:rFonts w:hint="default" w:ascii="Times New Roman" w:hAnsi="Times New Roman" w:eastAsia="宋体" w:cs="Times New Roman"/>
                <w:color w:val="auto"/>
                <w:spacing w:val="0"/>
                <w:sz w:val="21"/>
                <w:szCs w:val="21"/>
              </w:rPr>
              <w:t>由专用烟道高于楼顶排放</w:t>
            </w:r>
            <w:r>
              <w:rPr>
                <w:rFonts w:hint="default"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油烟排放</w:t>
            </w:r>
            <w:r>
              <w:rPr>
                <w:rFonts w:hint="default" w:ascii="Times New Roman" w:hAnsi="Times New Roman" w:eastAsia="宋体" w:cs="Times New Roman"/>
                <w:color w:val="auto"/>
                <w:spacing w:val="0"/>
                <w:sz w:val="21"/>
                <w:szCs w:val="21"/>
                <w:lang w:val="en-US" w:eastAsia="zh-CN"/>
              </w:rPr>
              <w:t>满足</w:t>
            </w:r>
            <w:r>
              <w:rPr>
                <w:rFonts w:hint="default" w:ascii="Times New Roman" w:hAnsi="Times New Roman" w:eastAsia="宋体" w:cs="Times New Roman"/>
                <w:color w:val="auto"/>
                <w:spacing w:val="0"/>
                <w:sz w:val="21"/>
                <w:szCs w:val="21"/>
              </w:rPr>
              <w:t>《饮食业油烟排放标准》</w:t>
            </w:r>
            <w:r>
              <w:rPr>
                <w:rFonts w:hint="eastAsia"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试行GB18483-2001</w:t>
            </w:r>
            <w:r>
              <w:rPr>
                <w:rFonts w:hint="eastAsia" w:ascii="Times New Roman" w:hAnsi="Times New Roman" w:eastAsia="宋体" w:cs="Times New Roman"/>
                <w:color w:val="auto"/>
                <w:spacing w:val="0"/>
                <w:sz w:val="21"/>
                <w:szCs w:val="21"/>
                <w:lang w:eastAsia="zh-CN"/>
              </w:rPr>
              <w:t>）</w:t>
            </w:r>
            <w:r>
              <w:rPr>
                <w:rFonts w:hint="default" w:ascii="Times New Roman" w:hAnsi="Times New Roman" w:eastAsia="宋体" w:cs="Times New Roman"/>
                <w:color w:val="auto"/>
                <w:spacing w:val="0"/>
                <w:sz w:val="21"/>
                <w:szCs w:val="21"/>
              </w:rPr>
              <w:t>中最高允许排放浓度2.0mg/m³。</w:t>
            </w:r>
          </w:p>
        </w:tc>
      </w:tr>
      <w:tr w14:paraId="78C94F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dxa"/>
            <w:vMerge w:val="restart"/>
            <w:tcBorders>
              <w:tl2br w:val="nil"/>
              <w:tr2bl w:val="nil"/>
            </w:tcBorders>
            <w:noWrap w:val="0"/>
            <w:vAlign w:val="center"/>
          </w:tcPr>
          <w:p w14:paraId="315CCD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废水</w:t>
            </w:r>
          </w:p>
        </w:tc>
        <w:tc>
          <w:tcPr>
            <w:tcW w:w="1070" w:type="dxa"/>
            <w:tcBorders>
              <w:tl2br w:val="nil"/>
              <w:tr2bl w:val="nil"/>
            </w:tcBorders>
            <w:noWrap w:val="0"/>
            <w:vAlign w:val="center"/>
          </w:tcPr>
          <w:p w14:paraId="1F162B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1"/>
                <w:sz w:val="21"/>
                <w:szCs w:val="21"/>
                <w:highlight w:val="none"/>
                <w:lang w:eastAsia="zh-CN"/>
              </w:rPr>
              <w:t>生活污水</w:t>
            </w:r>
          </w:p>
        </w:tc>
        <w:tc>
          <w:tcPr>
            <w:tcW w:w="1290" w:type="dxa"/>
            <w:tcBorders>
              <w:tl2br w:val="nil"/>
              <w:tr2bl w:val="nil"/>
            </w:tcBorders>
            <w:noWrap w:val="0"/>
            <w:vAlign w:val="center"/>
          </w:tcPr>
          <w:p w14:paraId="2D449A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1"/>
                <w:sz w:val="21"/>
                <w:szCs w:val="21"/>
                <w:highlight w:val="none"/>
                <w:lang w:val="en-US" w:eastAsia="zh-CN"/>
              </w:rPr>
              <w:t>COD</w:t>
            </w:r>
            <w:r>
              <w:rPr>
                <w:rFonts w:hint="default" w:ascii="Times New Roman" w:hAnsi="Times New Roman" w:eastAsia="宋体" w:cs="Times New Roman"/>
                <w:color w:val="auto"/>
                <w:spacing w:val="0"/>
                <w:kern w:val="21"/>
                <w:sz w:val="21"/>
                <w:szCs w:val="21"/>
                <w:highlight w:val="none"/>
              </w:rPr>
              <w:t>、氨氮、</w:t>
            </w:r>
            <w:r>
              <w:rPr>
                <w:rFonts w:hint="default" w:ascii="Times New Roman" w:hAnsi="Times New Roman" w:eastAsia="宋体" w:cs="Times New Roman"/>
                <w:color w:val="auto"/>
                <w:spacing w:val="0"/>
                <w:kern w:val="21"/>
                <w:sz w:val="21"/>
                <w:szCs w:val="21"/>
                <w:highlight w:val="none"/>
                <w:lang w:val="en-US" w:eastAsia="zh-CN"/>
              </w:rPr>
              <w:t>SS</w:t>
            </w:r>
            <w:r>
              <w:rPr>
                <w:rFonts w:hint="default" w:ascii="Times New Roman" w:hAnsi="Times New Roman" w:eastAsia="宋体" w:cs="Times New Roman"/>
                <w:color w:val="auto"/>
                <w:spacing w:val="0"/>
                <w:kern w:val="21"/>
                <w:sz w:val="21"/>
                <w:szCs w:val="21"/>
                <w:highlight w:val="none"/>
              </w:rPr>
              <w:t>、</w:t>
            </w:r>
            <w:r>
              <w:rPr>
                <w:rFonts w:hint="default" w:ascii="Times New Roman" w:hAnsi="Times New Roman" w:eastAsia="宋体" w:cs="Times New Roman"/>
                <w:color w:val="auto"/>
                <w:spacing w:val="0"/>
                <w:sz w:val="21"/>
                <w:szCs w:val="21"/>
                <w:highlight w:val="none"/>
              </w:rPr>
              <w:t>pH、</w:t>
            </w:r>
            <w:r>
              <w:rPr>
                <w:rFonts w:hint="default" w:ascii="Times New Roman" w:hAnsi="Times New Roman" w:eastAsia="宋体" w:cs="Times New Roman"/>
                <w:color w:val="auto"/>
                <w:spacing w:val="0"/>
                <w:kern w:val="21"/>
                <w:sz w:val="21"/>
                <w:szCs w:val="21"/>
                <w:highlight w:val="none"/>
                <w:lang w:val="en-US" w:eastAsia="zh-CN"/>
              </w:rPr>
              <w:t>BOD</w:t>
            </w:r>
            <w:r>
              <w:rPr>
                <w:rFonts w:hint="default" w:ascii="Times New Roman" w:hAnsi="Times New Roman" w:eastAsia="宋体" w:cs="Times New Roman"/>
                <w:color w:val="auto"/>
                <w:spacing w:val="0"/>
                <w:kern w:val="21"/>
                <w:sz w:val="21"/>
                <w:szCs w:val="21"/>
                <w:highlight w:val="none"/>
                <w:vertAlign w:val="subscript"/>
                <w:lang w:val="en-US" w:eastAsia="zh-CN"/>
              </w:rPr>
              <w:t>5</w:t>
            </w:r>
          </w:p>
        </w:tc>
        <w:tc>
          <w:tcPr>
            <w:tcW w:w="1000" w:type="dxa"/>
            <w:vMerge w:val="restart"/>
            <w:tcBorders>
              <w:tl2br w:val="nil"/>
              <w:tr2bl w:val="nil"/>
            </w:tcBorders>
            <w:noWrap w:val="0"/>
            <w:vAlign w:val="center"/>
          </w:tcPr>
          <w:p w14:paraId="63D63D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c>
          <w:tcPr>
            <w:tcW w:w="4244" w:type="dxa"/>
            <w:tcBorders>
              <w:tl2br w:val="nil"/>
              <w:tr2bl w:val="nil"/>
            </w:tcBorders>
            <w:noWrap w:val="0"/>
            <w:vAlign w:val="center"/>
          </w:tcPr>
          <w:p w14:paraId="03ECB93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rPr>
              <w:t>生活污水经厂区</w:t>
            </w:r>
            <w:r>
              <w:rPr>
                <w:rFonts w:hint="default" w:ascii="Times New Roman" w:hAnsi="Times New Roman" w:eastAsia="宋体" w:cs="Times New Roman"/>
                <w:color w:val="auto"/>
                <w:spacing w:val="0"/>
                <w:sz w:val="21"/>
                <w:szCs w:val="21"/>
              </w:rPr>
              <w:t>化粪池</w:t>
            </w:r>
            <w:r>
              <w:rPr>
                <w:rFonts w:hint="eastAsia" w:ascii="Times New Roman" w:hAnsi="Times New Roman" w:cs="Times New Roman"/>
                <w:color w:val="auto"/>
                <w:spacing w:val="0"/>
                <w:sz w:val="21"/>
                <w:szCs w:val="21"/>
                <w:lang w:val="en-US" w:eastAsia="zh-CN"/>
              </w:rPr>
              <w:t>沉淀</w:t>
            </w:r>
            <w:r>
              <w:rPr>
                <w:rFonts w:hint="default" w:ascii="Times New Roman" w:hAnsi="Times New Roman" w:eastAsia="宋体" w:cs="Times New Roman"/>
                <w:color w:val="auto"/>
                <w:spacing w:val="0"/>
                <w:sz w:val="21"/>
                <w:szCs w:val="21"/>
              </w:rPr>
              <w:t>处理</w:t>
            </w:r>
            <w:r>
              <w:rPr>
                <w:rFonts w:hint="default" w:ascii="Times New Roman" w:hAnsi="Times New Roman" w:cs="Times New Roman"/>
                <w:color w:val="auto"/>
                <w:spacing w:val="0"/>
                <w:sz w:val="21"/>
                <w:szCs w:val="21"/>
              </w:rPr>
              <w:t>后进入市政管网，最终排至</w:t>
            </w:r>
            <w:r>
              <w:rPr>
                <w:rFonts w:hint="eastAsia" w:ascii="Times New Roman" w:hAnsi="Times New Roman" w:cs="Times New Roman"/>
                <w:color w:val="auto"/>
                <w:spacing w:val="0"/>
                <w:sz w:val="21"/>
                <w:szCs w:val="21"/>
                <w:lang w:eastAsia="zh-CN"/>
              </w:rPr>
              <w:t>鸡西市鸡冠区</w:t>
            </w:r>
            <w:r>
              <w:rPr>
                <w:rFonts w:hint="default" w:ascii="Times New Roman" w:hAnsi="Times New Roman" w:cs="Times New Roman"/>
                <w:color w:val="auto"/>
                <w:spacing w:val="0"/>
                <w:sz w:val="21"/>
                <w:szCs w:val="21"/>
              </w:rPr>
              <w:t>污水处理厂达到《城镇污水处理厂污染物排放标准》</w:t>
            </w:r>
            <w:r>
              <w:rPr>
                <w:rFonts w:hint="eastAsia" w:ascii="Times New Roman" w:hAnsi="Times New Roman" w:cs="Times New Roman"/>
                <w:color w:val="auto"/>
                <w:spacing w:val="0"/>
                <w:sz w:val="21"/>
                <w:szCs w:val="21"/>
                <w:lang w:eastAsia="zh-CN"/>
              </w:rPr>
              <w:t>（</w:t>
            </w:r>
            <w:r>
              <w:rPr>
                <w:rFonts w:hint="default" w:ascii="Times New Roman" w:hAnsi="Times New Roman" w:cs="Times New Roman"/>
                <w:color w:val="auto"/>
                <w:spacing w:val="0"/>
                <w:sz w:val="21"/>
                <w:szCs w:val="21"/>
              </w:rPr>
              <w:t>GB18918-2002</w:t>
            </w:r>
            <w:r>
              <w:rPr>
                <w:rFonts w:hint="eastAsia" w:ascii="Times New Roman" w:hAnsi="Times New Roman" w:cs="Times New Roman"/>
                <w:color w:val="auto"/>
                <w:spacing w:val="0"/>
                <w:sz w:val="21"/>
                <w:szCs w:val="21"/>
                <w:lang w:eastAsia="zh-CN"/>
              </w:rPr>
              <w:t>）</w:t>
            </w:r>
            <w:r>
              <w:rPr>
                <w:rFonts w:hint="default" w:ascii="Times New Roman" w:hAnsi="Times New Roman" w:cs="Times New Roman"/>
                <w:color w:val="auto"/>
                <w:spacing w:val="0"/>
                <w:sz w:val="21"/>
                <w:szCs w:val="21"/>
              </w:rPr>
              <w:t>中一级A标准后排入穆棱河。</w:t>
            </w:r>
          </w:p>
        </w:tc>
      </w:tr>
      <w:tr w14:paraId="02BD28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dxa"/>
            <w:vMerge w:val="continue"/>
            <w:tcBorders>
              <w:tl2br w:val="nil"/>
              <w:tr2bl w:val="nil"/>
            </w:tcBorders>
            <w:noWrap w:val="0"/>
            <w:vAlign w:val="center"/>
          </w:tcPr>
          <w:p w14:paraId="636F9A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p>
        </w:tc>
        <w:tc>
          <w:tcPr>
            <w:tcW w:w="1070" w:type="dxa"/>
            <w:tcBorders>
              <w:tl2br w:val="nil"/>
              <w:tr2bl w:val="nil"/>
            </w:tcBorders>
            <w:noWrap w:val="0"/>
            <w:vAlign w:val="center"/>
          </w:tcPr>
          <w:p w14:paraId="21A69F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kern w:val="21"/>
                <w:sz w:val="21"/>
                <w:szCs w:val="21"/>
                <w:highlight w:val="none"/>
                <w:lang w:eastAsia="zh-CN"/>
              </w:rPr>
            </w:pPr>
            <w:r>
              <w:rPr>
                <w:rFonts w:hint="eastAsia" w:cs="Times New Roman"/>
                <w:color w:val="auto"/>
                <w:spacing w:val="0"/>
                <w:kern w:val="21"/>
                <w:sz w:val="21"/>
                <w:szCs w:val="21"/>
                <w:highlight w:val="none"/>
                <w:lang w:val="en-US" w:eastAsia="zh-CN"/>
              </w:rPr>
              <w:t>滤池反冲洗废水</w:t>
            </w:r>
          </w:p>
        </w:tc>
        <w:tc>
          <w:tcPr>
            <w:tcW w:w="1290" w:type="dxa"/>
            <w:tcBorders>
              <w:tl2br w:val="nil"/>
              <w:tr2bl w:val="nil"/>
            </w:tcBorders>
            <w:noWrap w:val="0"/>
            <w:vAlign w:val="center"/>
          </w:tcPr>
          <w:p w14:paraId="72BEE1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kern w:val="21"/>
                <w:sz w:val="21"/>
                <w:szCs w:val="21"/>
                <w:highlight w:val="none"/>
                <w:lang w:val="en-US" w:eastAsia="zh-CN"/>
              </w:rPr>
            </w:pPr>
            <w:r>
              <w:rPr>
                <w:rFonts w:hint="eastAsia" w:cs="Times New Roman"/>
                <w:color w:val="auto"/>
                <w:spacing w:val="0"/>
                <w:kern w:val="21"/>
                <w:sz w:val="21"/>
                <w:szCs w:val="21"/>
                <w:highlight w:val="none"/>
                <w:lang w:val="en-US" w:eastAsia="zh-CN"/>
              </w:rPr>
              <w:t>SS</w:t>
            </w:r>
          </w:p>
        </w:tc>
        <w:tc>
          <w:tcPr>
            <w:tcW w:w="1000" w:type="dxa"/>
            <w:vMerge w:val="continue"/>
            <w:tcBorders>
              <w:tl2br w:val="nil"/>
              <w:tr2bl w:val="nil"/>
            </w:tcBorders>
            <w:noWrap w:val="0"/>
            <w:vAlign w:val="center"/>
          </w:tcPr>
          <w:p w14:paraId="7709A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p>
        </w:tc>
        <w:tc>
          <w:tcPr>
            <w:tcW w:w="4244" w:type="dxa"/>
            <w:tcBorders>
              <w:tl2br w:val="nil"/>
              <w:tr2bl w:val="nil"/>
            </w:tcBorders>
            <w:noWrap w:val="0"/>
            <w:vAlign w:val="center"/>
          </w:tcPr>
          <w:p w14:paraId="1CFDDA1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pacing w:val="0"/>
                <w:sz w:val="21"/>
                <w:szCs w:val="21"/>
              </w:rPr>
            </w:pPr>
            <w:r>
              <w:rPr>
                <w:rFonts w:hint="default" w:ascii="Times New Roman" w:hAnsi="Times New Roman" w:eastAsia="宋体" w:cs="Times New Roman"/>
                <w:bCs/>
                <w:color w:val="auto"/>
                <w:spacing w:val="0"/>
                <w:kern w:val="0"/>
                <w:sz w:val="21"/>
                <w:szCs w:val="21"/>
                <w:highlight w:val="none"/>
                <w:lang w:val="en-US" w:eastAsia="zh-CN"/>
              </w:rPr>
              <w:t>反冲洗废水</w:t>
            </w:r>
            <w:r>
              <w:rPr>
                <w:rFonts w:hint="eastAsia" w:cs="Times New Roman"/>
                <w:color w:val="auto"/>
                <w:sz w:val="21"/>
                <w:szCs w:val="21"/>
                <w:highlight w:val="none"/>
                <w:lang w:eastAsia="zh-CN"/>
              </w:rPr>
              <w:t>回收</w:t>
            </w:r>
            <w:r>
              <w:rPr>
                <w:rFonts w:hint="eastAsia" w:cs="Times New Roman"/>
                <w:color w:val="auto"/>
                <w:sz w:val="21"/>
                <w:szCs w:val="21"/>
                <w:highlight w:val="none"/>
                <w:lang w:val="en-US" w:eastAsia="zh-CN"/>
              </w:rPr>
              <w:t>排入</w:t>
            </w:r>
            <w:r>
              <w:rPr>
                <w:rFonts w:hint="eastAsia" w:cs="Times New Roman"/>
                <w:color w:val="auto"/>
                <w:sz w:val="21"/>
                <w:szCs w:val="21"/>
                <w:highlight w:val="none"/>
                <w:lang w:eastAsia="zh-CN"/>
              </w:rPr>
              <w:t>配水</w:t>
            </w:r>
            <w:r>
              <w:rPr>
                <w:rFonts w:hint="eastAsia" w:cs="Times New Roman"/>
                <w:color w:val="auto"/>
                <w:sz w:val="21"/>
                <w:szCs w:val="21"/>
                <w:highlight w:val="none"/>
                <w:lang w:val="en-US" w:eastAsia="zh-CN"/>
              </w:rPr>
              <w:t>井</w:t>
            </w:r>
            <w:r>
              <w:rPr>
                <w:rFonts w:hint="eastAsia" w:cs="Times New Roman"/>
                <w:color w:val="auto"/>
                <w:sz w:val="21"/>
                <w:szCs w:val="21"/>
                <w:highlight w:val="none"/>
                <w:lang w:eastAsia="zh-CN"/>
              </w:rPr>
              <w:t>与原水混合回用，不外排。</w:t>
            </w:r>
          </w:p>
        </w:tc>
      </w:tr>
      <w:tr w14:paraId="3F88CE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dxa"/>
            <w:vMerge w:val="continue"/>
            <w:tcBorders>
              <w:tl2br w:val="nil"/>
              <w:tr2bl w:val="nil"/>
            </w:tcBorders>
            <w:noWrap w:val="0"/>
            <w:vAlign w:val="center"/>
          </w:tcPr>
          <w:p w14:paraId="3888DF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p>
        </w:tc>
        <w:tc>
          <w:tcPr>
            <w:tcW w:w="1070" w:type="dxa"/>
            <w:tcBorders>
              <w:tl2br w:val="nil"/>
              <w:tr2bl w:val="nil"/>
            </w:tcBorders>
            <w:noWrap w:val="0"/>
            <w:vAlign w:val="center"/>
          </w:tcPr>
          <w:p w14:paraId="553E64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spacing w:val="0"/>
                <w:kern w:val="21"/>
                <w:sz w:val="21"/>
                <w:szCs w:val="21"/>
                <w:highlight w:val="none"/>
                <w:lang w:val="en-US" w:eastAsia="zh-CN"/>
              </w:rPr>
            </w:pPr>
            <w:r>
              <w:rPr>
                <w:rFonts w:hint="eastAsia" w:cs="Times New Roman"/>
                <w:color w:val="auto"/>
                <w:spacing w:val="0"/>
                <w:kern w:val="0"/>
                <w:sz w:val="21"/>
                <w:szCs w:val="21"/>
                <w:highlight w:val="none"/>
                <w:lang w:val="en-US" w:eastAsia="zh-CN"/>
              </w:rPr>
              <w:t>排泥水</w:t>
            </w:r>
          </w:p>
        </w:tc>
        <w:tc>
          <w:tcPr>
            <w:tcW w:w="1290" w:type="dxa"/>
            <w:tcBorders>
              <w:tl2br w:val="nil"/>
              <w:tr2bl w:val="nil"/>
            </w:tcBorders>
            <w:noWrap w:val="0"/>
            <w:vAlign w:val="center"/>
          </w:tcPr>
          <w:p w14:paraId="5D278A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kern w:val="21"/>
                <w:sz w:val="21"/>
                <w:szCs w:val="21"/>
                <w:highlight w:val="none"/>
                <w:lang w:val="en-US" w:eastAsia="zh-CN"/>
              </w:rPr>
            </w:pPr>
            <w:r>
              <w:rPr>
                <w:rFonts w:hint="default" w:ascii="Times New Roman" w:hAnsi="Times New Roman" w:eastAsia="宋体" w:cs="Times New Roman"/>
                <w:color w:val="auto"/>
                <w:spacing w:val="0"/>
                <w:kern w:val="21"/>
                <w:sz w:val="21"/>
                <w:szCs w:val="21"/>
                <w:highlight w:val="none"/>
                <w:lang w:val="en-US" w:eastAsia="zh-CN"/>
              </w:rPr>
              <w:t>COD</w:t>
            </w:r>
            <w:r>
              <w:rPr>
                <w:rFonts w:hint="default" w:ascii="Times New Roman" w:hAnsi="Times New Roman" w:eastAsia="宋体" w:cs="Times New Roman"/>
                <w:color w:val="auto"/>
                <w:spacing w:val="0"/>
                <w:kern w:val="21"/>
                <w:sz w:val="21"/>
                <w:szCs w:val="21"/>
                <w:highlight w:val="none"/>
              </w:rPr>
              <w:t>、</w:t>
            </w:r>
            <w:r>
              <w:rPr>
                <w:rFonts w:hint="default" w:ascii="Times New Roman" w:hAnsi="Times New Roman" w:eastAsia="宋体" w:cs="Times New Roman"/>
                <w:color w:val="auto"/>
                <w:spacing w:val="0"/>
                <w:kern w:val="21"/>
                <w:sz w:val="21"/>
                <w:szCs w:val="21"/>
                <w:highlight w:val="none"/>
                <w:lang w:val="en-US" w:eastAsia="zh-CN"/>
              </w:rPr>
              <w:t>BOD</w:t>
            </w:r>
            <w:r>
              <w:rPr>
                <w:rFonts w:hint="default" w:ascii="Times New Roman" w:hAnsi="Times New Roman" w:eastAsia="宋体" w:cs="Times New Roman"/>
                <w:color w:val="auto"/>
                <w:spacing w:val="0"/>
                <w:kern w:val="21"/>
                <w:sz w:val="21"/>
                <w:szCs w:val="21"/>
                <w:highlight w:val="none"/>
                <w:vertAlign w:val="subscript"/>
                <w:lang w:val="en-US" w:eastAsia="zh-CN"/>
              </w:rPr>
              <w:t>5</w:t>
            </w:r>
            <w:r>
              <w:rPr>
                <w:rFonts w:hint="eastAsia" w:ascii="Times New Roman" w:hAnsi="Times New Roman" w:eastAsia="宋体" w:cs="Times New Roman"/>
                <w:color w:val="auto"/>
                <w:spacing w:val="0"/>
                <w:kern w:val="21"/>
                <w:sz w:val="21"/>
                <w:szCs w:val="21"/>
                <w:highlight w:val="none"/>
                <w:vertAlign w:val="baseline"/>
                <w:lang w:val="en-US" w:eastAsia="zh-CN"/>
              </w:rPr>
              <w:t>、</w:t>
            </w:r>
            <w:r>
              <w:rPr>
                <w:rFonts w:hint="default" w:ascii="Times New Roman" w:hAnsi="Times New Roman" w:eastAsia="宋体" w:cs="Times New Roman"/>
                <w:color w:val="auto"/>
                <w:spacing w:val="0"/>
                <w:kern w:val="21"/>
                <w:sz w:val="21"/>
                <w:szCs w:val="21"/>
                <w:highlight w:val="none"/>
              </w:rPr>
              <w:t>氨氮、</w:t>
            </w:r>
            <w:r>
              <w:rPr>
                <w:rFonts w:hint="default" w:ascii="Times New Roman" w:hAnsi="Times New Roman" w:eastAsia="宋体" w:cs="Times New Roman"/>
                <w:color w:val="auto"/>
                <w:spacing w:val="0"/>
                <w:kern w:val="21"/>
                <w:sz w:val="21"/>
                <w:szCs w:val="21"/>
                <w:highlight w:val="none"/>
                <w:lang w:val="en-US" w:eastAsia="zh-CN"/>
              </w:rPr>
              <w:t>SS</w:t>
            </w:r>
          </w:p>
        </w:tc>
        <w:tc>
          <w:tcPr>
            <w:tcW w:w="1000" w:type="dxa"/>
            <w:vMerge w:val="continue"/>
            <w:tcBorders>
              <w:tl2br w:val="nil"/>
              <w:tr2bl w:val="nil"/>
            </w:tcBorders>
            <w:noWrap w:val="0"/>
            <w:vAlign w:val="center"/>
          </w:tcPr>
          <w:p w14:paraId="0709B4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p>
        </w:tc>
        <w:tc>
          <w:tcPr>
            <w:tcW w:w="4244" w:type="dxa"/>
            <w:tcBorders>
              <w:tl2br w:val="nil"/>
              <w:tr2bl w:val="nil"/>
            </w:tcBorders>
            <w:noWrap w:val="0"/>
            <w:vAlign w:val="center"/>
          </w:tcPr>
          <w:p w14:paraId="28BD8F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rPr>
              <w:t>沉淀池排泥水</w:t>
            </w:r>
            <w:r>
              <w:rPr>
                <w:rFonts w:hint="default" w:ascii="Times New Roman" w:hAnsi="Times New Roman" w:eastAsia="宋体" w:cs="Times New Roman"/>
                <w:color w:val="auto"/>
                <w:spacing w:val="0"/>
                <w:kern w:val="21"/>
                <w:sz w:val="21"/>
                <w:szCs w:val="21"/>
                <w:highlight w:val="none"/>
                <w:lang w:val="en-US" w:eastAsia="zh-CN"/>
              </w:rPr>
              <w:t>经絮凝、沉淀处理后满足</w:t>
            </w:r>
            <w:r>
              <w:rPr>
                <w:rFonts w:hint="default" w:ascii="Times New Roman" w:hAnsi="Times New Roman" w:eastAsia="宋体" w:cs="Times New Roman"/>
                <w:color w:val="auto"/>
                <w:spacing w:val="0"/>
                <w:sz w:val="21"/>
                <w:szCs w:val="21"/>
                <w:highlight w:val="none"/>
                <w:lang w:val="en-US" w:eastAsia="zh-CN"/>
              </w:rPr>
              <w:t>《地表水环境质量标准》（GB3838-2002）表1中三类标准、悬浮物满足《污水综合排放标准》（GB8978-1996）一级标准</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排入</w:t>
            </w:r>
            <w:r>
              <w:rPr>
                <w:rFonts w:hint="eastAsia" w:ascii="Times New Roman" w:hAnsi="Times New Roman" w:eastAsia="宋体" w:cs="Times New Roman"/>
                <w:color w:val="auto"/>
                <w:sz w:val="21"/>
                <w:szCs w:val="21"/>
                <w:highlight w:val="none"/>
                <w:lang w:val="en-US" w:eastAsia="zh-CN"/>
              </w:rPr>
              <w:t>红光沟流入</w:t>
            </w:r>
            <w:r>
              <w:rPr>
                <w:rFonts w:hint="default" w:ascii="Times New Roman" w:hAnsi="Times New Roman" w:eastAsia="宋体" w:cs="Times New Roman"/>
                <w:color w:val="auto"/>
                <w:sz w:val="21"/>
                <w:szCs w:val="21"/>
                <w:highlight w:val="none"/>
                <w:lang w:val="en-US" w:eastAsia="zh-CN"/>
              </w:rPr>
              <w:t>穆棱河</w:t>
            </w:r>
            <w:r>
              <w:rPr>
                <w:rFonts w:hint="default" w:ascii="Times New Roman" w:hAnsi="Times New Roman" w:eastAsia="宋体" w:cs="Times New Roman"/>
                <w:color w:val="auto"/>
                <w:spacing w:val="0"/>
                <w:sz w:val="21"/>
                <w:szCs w:val="21"/>
                <w:highlight w:val="none"/>
                <w:lang w:val="en-US" w:eastAsia="zh-CN"/>
              </w:rPr>
              <w:t>。</w:t>
            </w:r>
          </w:p>
        </w:tc>
      </w:tr>
      <w:tr w14:paraId="1C720DC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dxa"/>
            <w:tcBorders>
              <w:tl2br w:val="nil"/>
              <w:tr2bl w:val="nil"/>
            </w:tcBorders>
            <w:noWrap w:val="0"/>
            <w:vAlign w:val="center"/>
          </w:tcPr>
          <w:p w14:paraId="673979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噪声</w:t>
            </w:r>
          </w:p>
        </w:tc>
        <w:tc>
          <w:tcPr>
            <w:tcW w:w="1070" w:type="dxa"/>
            <w:tcBorders>
              <w:tl2br w:val="nil"/>
              <w:tr2bl w:val="nil"/>
            </w:tcBorders>
            <w:noWrap w:val="0"/>
            <w:vAlign w:val="center"/>
          </w:tcPr>
          <w:p w14:paraId="25C726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kern w:val="21"/>
                <w:sz w:val="21"/>
                <w:szCs w:val="21"/>
                <w:highlight w:val="none"/>
              </w:rPr>
              <w:t>设备运行</w:t>
            </w:r>
          </w:p>
        </w:tc>
        <w:tc>
          <w:tcPr>
            <w:tcW w:w="1290" w:type="dxa"/>
            <w:tcBorders>
              <w:tl2br w:val="nil"/>
              <w:tr2bl w:val="nil"/>
            </w:tcBorders>
            <w:noWrap w:val="0"/>
            <w:vAlign w:val="center"/>
          </w:tcPr>
          <w:p w14:paraId="72B893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噪声</w:t>
            </w:r>
          </w:p>
        </w:tc>
        <w:tc>
          <w:tcPr>
            <w:tcW w:w="1000" w:type="dxa"/>
            <w:tcBorders>
              <w:tl2br w:val="nil"/>
              <w:tr2bl w:val="nil"/>
            </w:tcBorders>
            <w:noWrap w:val="0"/>
            <w:vAlign w:val="center"/>
          </w:tcPr>
          <w:p w14:paraId="4C1AD1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连续</w:t>
            </w:r>
          </w:p>
        </w:tc>
        <w:tc>
          <w:tcPr>
            <w:tcW w:w="4244" w:type="dxa"/>
            <w:tcBorders>
              <w:tl2br w:val="nil"/>
              <w:tr2bl w:val="nil"/>
            </w:tcBorders>
            <w:noWrap w:val="0"/>
            <w:vAlign w:val="center"/>
          </w:tcPr>
          <w:p w14:paraId="73EEE6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kern w:val="21"/>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选取低噪声设备，采取减振、隔声</w:t>
            </w:r>
            <w:r>
              <w:rPr>
                <w:rFonts w:hint="eastAsia" w:ascii="Times New Roman" w:hAnsi="Times New Roman" w:eastAsia="宋体" w:cs="Times New Roman"/>
                <w:color w:val="auto"/>
                <w:spacing w:val="0"/>
                <w:sz w:val="21"/>
                <w:szCs w:val="21"/>
                <w:highlight w:val="none"/>
                <w:lang w:val="en-US" w:eastAsia="zh-CN"/>
              </w:rPr>
              <w:t>等</w:t>
            </w:r>
          </w:p>
        </w:tc>
      </w:tr>
      <w:tr w14:paraId="58F033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dxa"/>
            <w:vMerge w:val="restart"/>
            <w:tcBorders>
              <w:tl2br w:val="nil"/>
              <w:tr2bl w:val="nil"/>
            </w:tcBorders>
            <w:noWrap w:val="0"/>
            <w:vAlign w:val="center"/>
          </w:tcPr>
          <w:p w14:paraId="2FA7DC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rPr>
              <w:t>固体废物</w:t>
            </w:r>
          </w:p>
        </w:tc>
        <w:tc>
          <w:tcPr>
            <w:tcW w:w="1070" w:type="dxa"/>
            <w:tcBorders>
              <w:tl2br w:val="nil"/>
              <w:tr2bl w:val="nil"/>
            </w:tcBorders>
            <w:noWrap w:val="0"/>
            <w:vAlign w:val="center"/>
          </w:tcPr>
          <w:p w14:paraId="641BA8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bCs/>
                <w:color w:val="auto"/>
                <w:spacing w:val="0"/>
                <w:sz w:val="21"/>
                <w:szCs w:val="21"/>
                <w:highlight w:val="none"/>
                <w:lang w:val="en-US" w:eastAsia="zh-CN"/>
              </w:rPr>
              <w:t>员工</w:t>
            </w:r>
          </w:p>
        </w:tc>
        <w:tc>
          <w:tcPr>
            <w:tcW w:w="1290" w:type="dxa"/>
            <w:tcBorders>
              <w:tl2br w:val="nil"/>
              <w:tr2bl w:val="nil"/>
            </w:tcBorders>
            <w:noWrap w:val="0"/>
            <w:vAlign w:val="center"/>
          </w:tcPr>
          <w:p w14:paraId="7C145C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val="en-US" w:eastAsia="zh-CN"/>
              </w:rPr>
              <w:t>生活垃圾</w:t>
            </w:r>
          </w:p>
        </w:tc>
        <w:tc>
          <w:tcPr>
            <w:tcW w:w="1000" w:type="dxa"/>
            <w:vMerge w:val="restart"/>
            <w:tcBorders>
              <w:tl2br w:val="nil"/>
              <w:tr2bl w:val="nil"/>
            </w:tcBorders>
            <w:noWrap w:val="0"/>
            <w:vAlign w:val="center"/>
          </w:tcPr>
          <w:p w14:paraId="18DA52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c>
          <w:tcPr>
            <w:tcW w:w="4244" w:type="dxa"/>
            <w:tcBorders>
              <w:tl2br w:val="nil"/>
              <w:tr2bl w:val="nil"/>
            </w:tcBorders>
            <w:noWrap w:val="0"/>
            <w:vAlign w:val="center"/>
          </w:tcPr>
          <w:p w14:paraId="2C53613E">
            <w:pPr>
              <w:pStyle w:val="13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委托环卫部门统一处理</w:t>
            </w:r>
          </w:p>
        </w:tc>
      </w:tr>
      <w:tr w14:paraId="0863D79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dxa"/>
            <w:vMerge w:val="continue"/>
            <w:tcBorders>
              <w:tl2br w:val="nil"/>
              <w:tr2bl w:val="nil"/>
            </w:tcBorders>
            <w:noWrap w:val="0"/>
            <w:vAlign w:val="center"/>
          </w:tcPr>
          <w:p w14:paraId="35B8C1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21"/>
                <w:szCs w:val="21"/>
                <w:highlight w:val="none"/>
              </w:rPr>
            </w:pPr>
          </w:p>
        </w:tc>
        <w:tc>
          <w:tcPr>
            <w:tcW w:w="1070" w:type="dxa"/>
            <w:tcBorders>
              <w:tl2br w:val="nil"/>
              <w:tr2bl w:val="nil"/>
            </w:tcBorders>
            <w:noWrap w:val="0"/>
            <w:vAlign w:val="center"/>
          </w:tcPr>
          <w:p w14:paraId="390925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生产</w:t>
            </w:r>
          </w:p>
        </w:tc>
        <w:tc>
          <w:tcPr>
            <w:tcW w:w="1290" w:type="dxa"/>
            <w:tcBorders>
              <w:tl2br w:val="nil"/>
              <w:tr2bl w:val="nil"/>
            </w:tcBorders>
            <w:noWrap w:val="0"/>
            <w:vAlign w:val="center"/>
          </w:tcPr>
          <w:p w14:paraId="35CA41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contextualSpacing/>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脱水污泥</w:t>
            </w:r>
          </w:p>
        </w:tc>
        <w:tc>
          <w:tcPr>
            <w:tcW w:w="1000" w:type="dxa"/>
            <w:vMerge w:val="continue"/>
            <w:tcBorders>
              <w:tl2br w:val="nil"/>
              <w:tr2bl w:val="nil"/>
            </w:tcBorders>
            <w:noWrap w:val="0"/>
            <w:vAlign w:val="center"/>
          </w:tcPr>
          <w:p w14:paraId="756862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rPr>
            </w:pPr>
          </w:p>
        </w:tc>
        <w:tc>
          <w:tcPr>
            <w:tcW w:w="4244" w:type="dxa"/>
            <w:tcBorders>
              <w:tl2br w:val="nil"/>
              <w:tr2bl w:val="nil"/>
            </w:tcBorders>
            <w:noWrap w:val="0"/>
            <w:vAlign w:val="center"/>
          </w:tcPr>
          <w:p w14:paraId="29810FA5">
            <w:pPr>
              <w:pStyle w:val="13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s="Times New Roman"/>
                <w:color w:val="auto"/>
                <w:spacing w:val="0"/>
                <w:sz w:val="21"/>
                <w:szCs w:val="21"/>
                <w:highlight w:val="none"/>
                <w:lang w:val="en-US" w:eastAsia="zh-CN"/>
              </w:rPr>
            </w:pPr>
            <w:r>
              <w:rPr>
                <w:rFonts w:hint="eastAsia" w:cs="Times New Roman"/>
                <w:b w:val="0"/>
                <w:bCs w:val="0"/>
                <w:color w:val="auto"/>
                <w:spacing w:val="0"/>
                <w:w w:val="100"/>
                <w:sz w:val="21"/>
                <w:szCs w:val="21"/>
                <w:highlight w:val="none"/>
                <w:lang w:val="en-US" w:eastAsia="zh-CN"/>
              </w:rPr>
              <w:t>暂存污泥暂存库内，定期</w:t>
            </w:r>
            <w:r>
              <w:rPr>
                <w:rFonts w:hint="eastAsia" w:ascii="宋体" w:hAnsi="宋体" w:cs="宋体"/>
                <w:color w:val="auto"/>
                <w:sz w:val="21"/>
                <w:szCs w:val="21"/>
                <w:highlight w:val="none"/>
                <w:lang w:val="en-US" w:eastAsia="zh-CN"/>
              </w:rPr>
              <w:t>外运委托有资质单位处理</w:t>
            </w:r>
            <w:r>
              <w:rPr>
                <w:rFonts w:hint="eastAsia"/>
                <w:color w:val="auto"/>
                <w:sz w:val="21"/>
                <w:szCs w:val="21"/>
                <w:highlight w:val="none"/>
                <w:lang w:val="en-US" w:eastAsia="zh-CN"/>
              </w:rPr>
              <w:t>。</w:t>
            </w:r>
          </w:p>
        </w:tc>
      </w:tr>
    </w:tbl>
    <w:p w14:paraId="22E43E0D">
      <w:pPr>
        <w:spacing w:before="97" w:line="219" w:lineRule="auto"/>
        <w:outlineLvl w:val="1"/>
        <w:rPr>
          <w:rFonts w:ascii="宋体" w:hAnsi="宋体" w:eastAsia="宋体" w:cs="宋体"/>
          <w:color w:val="auto"/>
          <w:sz w:val="30"/>
          <w:szCs w:val="30"/>
        </w:rPr>
      </w:pPr>
      <w:r>
        <w:rPr>
          <w:rFonts w:ascii="Times New Roman" w:hAnsi="Times New Roman" w:eastAsia="Times New Roman" w:cs="Times New Roman"/>
          <w:b/>
          <w:bCs/>
          <w:color w:val="auto"/>
          <w:spacing w:val="-2"/>
          <w:sz w:val="30"/>
          <w:szCs w:val="30"/>
        </w:rPr>
        <w:t>2.</w:t>
      </w:r>
      <w:r>
        <w:rPr>
          <w:rFonts w:hint="eastAsia" w:ascii="Times New Roman" w:hAnsi="Times New Roman" w:eastAsia="宋体" w:cs="Times New Roman"/>
          <w:b/>
          <w:bCs/>
          <w:color w:val="auto"/>
          <w:spacing w:val="-2"/>
          <w:sz w:val="30"/>
          <w:szCs w:val="30"/>
          <w:lang w:val="en-US" w:eastAsia="zh-CN"/>
        </w:rPr>
        <w:t>4</w:t>
      </w:r>
      <w:r>
        <w:rPr>
          <w:rFonts w:ascii="Times New Roman" w:hAnsi="Times New Roman" w:eastAsia="Times New Roman" w:cs="Times New Roman"/>
          <w:b/>
          <w:bCs/>
          <w:color w:val="auto"/>
          <w:spacing w:val="-2"/>
          <w:sz w:val="30"/>
          <w:szCs w:val="30"/>
        </w:rPr>
        <w:t xml:space="preserve">  </w:t>
      </w:r>
      <w:r>
        <w:rPr>
          <w:rFonts w:ascii="宋体" w:hAnsi="宋体" w:eastAsia="宋体" w:cs="宋体"/>
          <w:b/>
          <w:bCs/>
          <w:color w:val="auto"/>
          <w:spacing w:val="-2"/>
          <w:sz w:val="30"/>
          <w:szCs w:val="30"/>
        </w:rPr>
        <w:t>废水污染源产排情况</w:t>
      </w:r>
    </w:p>
    <w:p w14:paraId="2A0C6636">
      <w:pPr>
        <w:keepNext w:val="0"/>
        <w:keepLines w:val="0"/>
        <w:pageBreakBefore w:val="0"/>
        <w:widowControl/>
        <w:kinsoku w:val="0"/>
        <w:wordWrap/>
        <w:overflowPunct/>
        <w:topLinePunct w:val="0"/>
        <w:autoSpaceDE w:val="0"/>
        <w:autoSpaceDN w:val="0"/>
        <w:bidi w:val="0"/>
        <w:adjustRightInd w:val="0"/>
        <w:snapToGrid w:val="0"/>
        <w:spacing w:line="360" w:lineRule="auto"/>
        <w:ind w:left="482"/>
        <w:textAlignment w:val="baseline"/>
        <w:rPr>
          <w:rFonts w:ascii="宋体" w:hAnsi="宋体" w:eastAsia="宋体" w:cs="宋体"/>
          <w:color w:val="auto"/>
          <w:spacing w:val="-1"/>
          <w:sz w:val="24"/>
          <w:szCs w:val="24"/>
        </w:rPr>
      </w:pPr>
      <w:r>
        <w:rPr>
          <w:rFonts w:ascii="宋体" w:hAnsi="宋体" w:eastAsia="宋体" w:cs="宋体"/>
          <w:color w:val="auto"/>
          <w:sz w:val="24"/>
          <w:szCs w:val="24"/>
        </w:rPr>
        <w:t>根据报告工程分析章节内容可知，本项目</w:t>
      </w:r>
      <w:r>
        <w:rPr>
          <w:rFonts w:hint="eastAsia" w:ascii="宋体" w:hAnsi="宋体" w:eastAsia="宋体" w:cs="宋体"/>
          <w:color w:val="auto"/>
          <w:sz w:val="24"/>
          <w:szCs w:val="24"/>
          <w:lang w:val="en-US" w:eastAsia="zh-CN"/>
        </w:rPr>
        <w:t>无新增生活污水，</w:t>
      </w:r>
      <w:r>
        <w:rPr>
          <w:rFonts w:ascii="宋体" w:hAnsi="宋体" w:eastAsia="宋体" w:cs="宋体"/>
          <w:color w:val="auto"/>
          <w:sz w:val="24"/>
          <w:szCs w:val="24"/>
        </w:rPr>
        <w:t>废水</w:t>
      </w:r>
      <w:r>
        <w:rPr>
          <w:rFonts w:ascii="宋体" w:hAnsi="宋体" w:eastAsia="宋体" w:cs="宋体"/>
          <w:color w:val="auto"/>
          <w:spacing w:val="-1"/>
          <w:sz w:val="24"/>
          <w:szCs w:val="24"/>
        </w:rPr>
        <w:t>污染物产排情况见下表。</w:t>
      </w:r>
    </w:p>
    <w:p w14:paraId="65CC0612">
      <w:pPr>
        <w:pStyle w:val="33"/>
        <w:ind w:left="0" w:leftChars="0" w:firstLine="0" w:firstLineChars="0"/>
        <w:jc w:val="center"/>
        <w:rPr>
          <w:rFonts w:hint="eastAsia" w:ascii="Times New Roman" w:hAnsi="Times New Roman" w:eastAsia="宋体" w:cs="Times New Roman"/>
          <w:b/>
          <w:bCs/>
          <w:snapToGrid w:val="0"/>
          <w:color w:val="auto"/>
          <w:spacing w:val="0"/>
          <w:kern w:val="0"/>
          <w:sz w:val="24"/>
          <w:szCs w:val="24"/>
          <w:highlight w:val="none"/>
          <w:lang w:val="en-US" w:eastAsia="zh-CN" w:bidi="ar-SA"/>
        </w:rPr>
      </w:pPr>
      <w:r>
        <w:rPr>
          <w:rFonts w:hint="eastAsia" w:ascii="Times New Roman" w:hAnsi="Times New Roman" w:eastAsia="宋体" w:cs="Times New Roman"/>
          <w:b/>
          <w:bCs/>
          <w:snapToGrid w:val="0"/>
          <w:color w:val="auto"/>
          <w:spacing w:val="0"/>
          <w:kern w:val="0"/>
          <w:sz w:val="24"/>
          <w:szCs w:val="24"/>
          <w:highlight w:val="none"/>
          <w:lang w:val="en-US" w:eastAsia="zh-CN" w:bidi="ar-SA"/>
        </w:rPr>
        <w:t>表2-3废水产排情况一览表</w:t>
      </w:r>
    </w:p>
    <w:tbl>
      <w:tblPr>
        <w:tblStyle w:val="35"/>
        <w:tblW w:w="4997"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607"/>
        <w:gridCol w:w="756"/>
        <w:gridCol w:w="457"/>
        <w:gridCol w:w="1237"/>
        <w:gridCol w:w="717"/>
        <w:gridCol w:w="719"/>
        <w:gridCol w:w="665"/>
        <w:gridCol w:w="613"/>
        <w:gridCol w:w="457"/>
        <w:gridCol w:w="1237"/>
        <w:gridCol w:w="698"/>
        <w:gridCol w:w="663"/>
      </w:tblGrid>
      <w:tr w14:paraId="5BC67EE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pct"/>
            <w:gridSpan w:val="2"/>
            <w:vMerge w:val="restart"/>
            <w:vAlign w:val="center"/>
          </w:tcPr>
          <w:p w14:paraId="6F42ED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排放源</w:t>
            </w:r>
          </w:p>
        </w:tc>
        <w:tc>
          <w:tcPr>
            <w:tcW w:w="407" w:type="pct"/>
            <w:vMerge w:val="restart"/>
            <w:vAlign w:val="center"/>
          </w:tcPr>
          <w:p w14:paraId="2C73F9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w:t>
            </w:r>
          </w:p>
        </w:tc>
        <w:tc>
          <w:tcPr>
            <w:tcW w:w="1685" w:type="pct"/>
            <w:gridSpan w:val="4"/>
            <w:vAlign w:val="center"/>
          </w:tcPr>
          <w:p w14:paraId="049D61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污染物产生</w:t>
            </w:r>
          </w:p>
        </w:tc>
        <w:tc>
          <w:tcPr>
            <w:tcW w:w="688" w:type="pct"/>
            <w:gridSpan w:val="2"/>
            <w:vAlign w:val="center"/>
          </w:tcPr>
          <w:p w14:paraId="16277A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治理措施</w:t>
            </w:r>
          </w:p>
        </w:tc>
        <w:tc>
          <w:tcPr>
            <w:tcW w:w="1645" w:type="pct"/>
            <w:gridSpan w:val="4"/>
            <w:vAlign w:val="center"/>
          </w:tcPr>
          <w:p w14:paraId="2CCCFF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污染物排放</w:t>
            </w:r>
          </w:p>
        </w:tc>
      </w:tr>
      <w:tr w14:paraId="4A7C8F8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3" w:type="pct"/>
            <w:gridSpan w:val="2"/>
            <w:vMerge w:val="continue"/>
            <w:vAlign w:val="center"/>
          </w:tcPr>
          <w:p w14:paraId="308CB3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407" w:type="pct"/>
            <w:vMerge w:val="continue"/>
            <w:vAlign w:val="center"/>
          </w:tcPr>
          <w:p w14:paraId="7D4BA1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246" w:type="pct"/>
            <w:vAlign w:val="center"/>
          </w:tcPr>
          <w:p w14:paraId="5FBD70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核算方法</w:t>
            </w:r>
          </w:p>
        </w:tc>
        <w:tc>
          <w:tcPr>
            <w:tcW w:w="666" w:type="pct"/>
            <w:vAlign w:val="center"/>
          </w:tcPr>
          <w:p w14:paraId="411322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废水量</w:t>
            </w:r>
            <w:r>
              <w:rPr>
                <w:rFonts w:hint="default" w:ascii="Times New Roman" w:hAnsi="Times New Roman" w:eastAsia="宋体" w:cs="Times New Roman"/>
                <w:color w:val="auto"/>
                <w:sz w:val="21"/>
                <w:szCs w:val="21"/>
                <w:highlight w:val="none"/>
                <w:lang w:val="en-US" w:eastAsia="zh-CN"/>
              </w:rPr>
              <w:t>t</w:t>
            </w:r>
            <w:r>
              <w:rPr>
                <w:rFonts w:hint="default" w:ascii="Times New Roman" w:hAnsi="Times New Roman" w:eastAsia="宋体" w:cs="Times New Roman"/>
                <w:color w:val="auto"/>
                <w:sz w:val="21"/>
                <w:szCs w:val="21"/>
                <w:highlight w:val="none"/>
              </w:rPr>
              <w:t>/a</w:t>
            </w:r>
          </w:p>
        </w:tc>
        <w:tc>
          <w:tcPr>
            <w:tcW w:w="386" w:type="pct"/>
            <w:vAlign w:val="center"/>
          </w:tcPr>
          <w:p w14:paraId="366112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产生</w:t>
            </w:r>
          </w:p>
          <w:p w14:paraId="4ABE82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浓度mg/L</w:t>
            </w:r>
          </w:p>
        </w:tc>
        <w:tc>
          <w:tcPr>
            <w:tcW w:w="387" w:type="pct"/>
            <w:vAlign w:val="center"/>
          </w:tcPr>
          <w:p w14:paraId="0EB3C9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产生量t/a</w:t>
            </w:r>
          </w:p>
        </w:tc>
        <w:tc>
          <w:tcPr>
            <w:tcW w:w="358" w:type="pct"/>
            <w:vAlign w:val="center"/>
          </w:tcPr>
          <w:p w14:paraId="5EA5BD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工艺</w:t>
            </w:r>
          </w:p>
        </w:tc>
        <w:tc>
          <w:tcPr>
            <w:tcW w:w="330" w:type="pct"/>
            <w:vAlign w:val="center"/>
          </w:tcPr>
          <w:p w14:paraId="297A90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效率</w:t>
            </w:r>
          </w:p>
          <w:p w14:paraId="0632A2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246" w:type="pct"/>
            <w:vAlign w:val="center"/>
          </w:tcPr>
          <w:p w14:paraId="4FCDBB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核算方法</w:t>
            </w:r>
          </w:p>
        </w:tc>
        <w:tc>
          <w:tcPr>
            <w:tcW w:w="666" w:type="pct"/>
            <w:vAlign w:val="center"/>
          </w:tcPr>
          <w:p w14:paraId="5A45A2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废水量</w:t>
            </w:r>
            <w:r>
              <w:rPr>
                <w:rFonts w:hint="default" w:ascii="Times New Roman" w:hAnsi="Times New Roman" w:eastAsia="宋体" w:cs="Times New Roman"/>
                <w:color w:val="auto"/>
                <w:sz w:val="21"/>
                <w:szCs w:val="21"/>
                <w:highlight w:val="none"/>
                <w:lang w:val="en-US" w:eastAsia="zh-CN"/>
              </w:rPr>
              <w:t>t</w:t>
            </w:r>
            <w:r>
              <w:rPr>
                <w:rFonts w:hint="default" w:ascii="Times New Roman" w:hAnsi="Times New Roman" w:eastAsia="宋体" w:cs="Times New Roman"/>
                <w:color w:val="auto"/>
                <w:sz w:val="21"/>
                <w:szCs w:val="21"/>
                <w:highlight w:val="none"/>
              </w:rPr>
              <w:t>/a</w:t>
            </w:r>
          </w:p>
        </w:tc>
        <w:tc>
          <w:tcPr>
            <w:tcW w:w="376" w:type="pct"/>
            <w:vAlign w:val="center"/>
          </w:tcPr>
          <w:p w14:paraId="7EAE83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排放浓度mg/L</w:t>
            </w:r>
          </w:p>
        </w:tc>
        <w:tc>
          <w:tcPr>
            <w:tcW w:w="355" w:type="pct"/>
            <w:vAlign w:val="center"/>
          </w:tcPr>
          <w:p w14:paraId="05EAD6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排放量t/a</w:t>
            </w:r>
          </w:p>
        </w:tc>
      </w:tr>
      <w:tr w14:paraId="52EDE19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6" w:type="pct"/>
            <w:vMerge w:val="restart"/>
            <w:vAlign w:val="center"/>
          </w:tcPr>
          <w:p w14:paraId="1D8D46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污泥处理车间</w:t>
            </w:r>
          </w:p>
        </w:tc>
        <w:tc>
          <w:tcPr>
            <w:tcW w:w="327" w:type="pct"/>
            <w:vMerge w:val="restart"/>
            <w:vAlign w:val="center"/>
          </w:tcPr>
          <w:p w14:paraId="4F82C4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排泥水上清液</w:t>
            </w:r>
          </w:p>
        </w:tc>
        <w:tc>
          <w:tcPr>
            <w:tcW w:w="407" w:type="pct"/>
            <w:vAlign w:val="center"/>
          </w:tcPr>
          <w:p w14:paraId="695CB4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bidi="ar"/>
              </w:rPr>
              <w:t>COD</w:t>
            </w:r>
          </w:p>
        </w:tc>
        <w:tc>
          <w:tcPr>
            <w:tcW w:w="246" w:type="pct"/>
            <w:vMerge w:val="restart"/>
            <w:vAlign w:val="center"/>
          </w:tcPr>
          <w:p w14:paraId="44FD4E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类比</w:t>
            </w:r>
            <w:r>
              <w:rPr>
                <w:rFonts w:hint="default" w:ascii="Times New Roman" w:hAnsi="Times New Roman" w:eastAsia="宋体" w:cs="Times New Roman"/>
                <w:color w:val="auto"/>
                <w:sz w:val="21"/>
                <w:szCs w:val="21"/>
                <w:highlight w:val="none"/>
                <w:lang w:eastAsia="zh-CN"/>
              </w:rPr>
              <w:t>法</w:t>
            </w:r>
          </w:p>
        </w:tc>
        <w:tc>
          <w:tcPr>
            <w:tcW w:w="666" w:type="pct"/>
            <w:vMerge w:val="restart"/>
            <w:vAlign w:val="center"/>
          </w:tcPr>
          <w:p w14:paraId="586D70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258578.775</w:t>
            </w:r>
          </w:p>
        </w:tc>
        <w:tc>
          <w:tcPr>
            <w:tcW w:w="386" w:type="pct"/>
            <w:vAlign w:val="center"/>
          </w:tcPr>
          <w:p w14:paraId="4CD977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45</w:t>
            </w:r>
          </w:p>
        </w:tc>
        <w:tc>
          <w:tcPr>
            <w:tcW w:w="387" w:type="pct"/>
            <w:vAlign w:val="center"/>
          </w:tcPr>
          <w:p w14:paraId="307CB3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shd w:val="clear" w:color="auto" w:fill="auto"/>
                <w:lang w:val="en-US"/>
              </w:rPr>
            </w:pPr>
            <w:r>
              <w:rPr>
                <w:rFonts w:hint="default" w:ascii="Times New Roman" w:hAnsi="Times New Roman" w:eastAsia="宋体" w:cs="Times New Roman"/>
                <w:color w:val="auto"/>
                <w:sz w:val="21"/>
                <w:szCs w:val="21"/>
                <w:highlight w:val="none"/>
                <w:lang w:val="en-US" w:eastAsia="zh-CN"/>
              </w:rPr>
              <w:t>11.64</w:t>
            </w:r>
          </w:p>
        </w:tc>
        <w:tc>
          <w:tcPr>
            <w:tcW w:w="358" w:type="pct"/>
            <w:vMerge w:val="restart"/>
            <w:vAlign w:val="center"/>
          </w:tcPr>
          <w:p w14:paraId="5B0BE6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絮凝、压滤</w:t>
            </w:r>
          </w:p>
        </w:tc>
        <w:tc>
          <w:tcPr>
            <w:tcW w:w="330" w:type="pct"/>
            <w:vAlign w:val="center"/>
          </w:tcPr>
          <w:p w14:paraId="57E0E5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60</w:t>
            </w:r>
          </w:p>
        </w:tc>
        <w:tc>
          <w:tcPr>
            <w:tcW w:w="246" w:type="pct"/>
            <w:vMerge w:val="restart"/>
            <w:vAlign w:val="center"/>
          </w:tcPr>
          <w:p w14:paraId="6C5BF0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物料衡算</w:t>
            </w:r>
            <w:r>
              <w:rPr>
                <w:rFonts w:hint="default" w:ascii="Times New Roman" w:hAnsi="Times New Roman" w:eastAsia="宋体" w:cs="Times New Roman"/>
                <w:color w:val="auto"/>
                <w:sz w:val="21"/>
                <w:szCs w:val="21"/>
                <w:highlight w:val="none"/>
                <w:lang w:eastAsia="zh-CN"/>
              </w:rPr>
              <w:t>法</w:t>
            </w:r>
          </w:p>
        </w:tc>
        <w:tc>
          <w:tcPr>
            <w:tcW w:w="666" w:type="pct"/>
            <w:vMerge w:val="restart"/>
            <w:shd w:val="clear" w:color="auto" w:fill="auto"/>
            <w:vAlign w:val="center"/>
          </w:tcPr>
          <w:p w14:paraId="29ED69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258578.775</w:t>
            </w:r>
          </w:p>
        </w:tc>
        <w:tc>
          <w:tcPr>
            <w:tcW w:w="376" w:type="pct"/>
            <w:vAlign w:val="center"/>
          </w:tcPr>
          <w:p w14:paraId="698EB5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18</w:t>
            </w:r>
          </w:p>
        </w:tc>
        <w:tc>
          <w:tcPr>
            <w:tcW w:w="355" w:type="pct"/>
            <w:vAlign w:val="center"/>
          </w:tcPr>
          <w:p w14:paraId="15D149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4.65</w:t>
            </w:r>
          </w:p>
        </w:tc>
      </w:tr>
      <w:tr w14:paraId="4B6D803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6" w:type="pct"/>
            <w:vMerge w:val="continue"/>
            <w:vAlign w:val="center"/>
          </w:tcPr>
          <w:p w14:paraId="38154E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327" w:type="pct"/>
            <w:vMerge w:val="continue"/>
            <w:vAlign w:val="center"/>
          </w:tcPr>
          <w:p w14:paraId="06BF98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407" w:type="pct"/>
            <w:vAlign w:val="center"/>
          </w:tcPr>
          <w:p w14:paraId="2CBAA4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color w:val="auto"/>
                <w:kern w:val="0"/>
                <w:sz w:val="21"/>
                <w:szCs w:val="21"/>
                <w:highlight w:val="none"/>
                <w:lang w:val="en-US" w:eastAsia="zh-CN"/>
              </w:rPr>
              <w:t>BOD</w:t>
            </w:r>
            <w:r>
              <w:rPr>
                <w:rFonts w:hint="default" w:ascii="Times New Roman" w:hAnsi="Times New Roman" w:eastAsia="宋体" w:cs="Times New Roman"/>
                <w:color w:val="auto"/>
                <w:kern w:val="0"/>
                <w:sz w:val="21"/>
                <w:szCs w:val="21"/>
                <w:highlight w:val="none"/>
                <w:vertAlign w:val="subscript"/>
                <w:lang w:val="en-US" w:eastAsia="zh-CN"/>
              </w:rPr>
              <w:t>5</w:t>
            </w:r>
          </w:p>
        </w:tc>
        <w:tc>
          <w:tcPr>
            <w:tcW w:w="246" w:type="pct"/>
            <w:vMerge w:val="continue"/>
            <w:vAlign w:val="center"/>
          </w:tcPr>
          <w:p w14:paraId="5D612C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666" w:type="pct"/>
            <w:vMerge w:val="continue"/>
            <w:vAlign w:val="center"/>
          </w:tcPr>
          <w:p w14:paraId="45C39A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rPr>
            </w:pPr>
          </w:p>
        </w:tc>
        <w:tc>
          <w:tcPr>
            <w:tcW w:w="386" w:type="pct"/>
            <w:vAlign w:val="center"/>
          </w:tcPr>
          <w:p w14:paraId="0ABA02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5.8</w:t>
            </w:r>
          </w:p>
        </w:tc>
        <w:tc>
          <w:tcPr>
            <w:tcW w:w="387" w:type="pct"/>
            <w:vAlign w:val="center"/>
          </w:tcPr>
          <w:p w14:paraId="25CD9A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358" w:type="pct"/>
            <w:vMerge w:val="continue"/>
            <w:vAlign w:val="center"/>
          </w:tcPr>
          <w:p w14:paraId="341447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30" w:type="pct"/>
            <w:vAlign w:val="center"/>
          </w:tcPr>
          <w:p w14:paraId="5EE3A1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40</w:t>
            </w:r>
          </w:p>
        </w:tc>
        <w:tc>
          <w:tcPr>
            <w:tcW w:w="246" w:type="pct"/>
            <w:vMerge w:val="continue"/>
            <w:vAlign w:val="center"/>
          </w:tcPr>
          <w:p w14:paraId="57F61E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666" w:type="pct"/>
            <w:vMerge w:val="continue"/>
            <w:vAlign w:val="center"/>
          </w:tcPr>
          <w:p w14:paraId="4D2899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rPr>
            </w:pPr>
          </w:p>
        </w:tc>
        <w:tc>
          <w:tcPr>
            <w:tcW w:w="376" w:type="pct"/>
            <w:vAlign w:val="center"/>
          </w:tcPr>
          <w:p w14:paraId="4701EE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3.5</w:t>
            </w:r>
          </w:p>
        </w:tc>
        <w:tc>
          <w:tcPr>
            <w:tcW w:w="355" w:type="pct"/>
            <w:vAlign w:val="center"/>
          </w:tcPr>
          <w:p w14:paraId="65DAC8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0.91</w:t>
            </w:r>
          </w:p>
        </w:tc>
      </w:tr>
      <w:tr w14:paraId="2CED804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6" w:type="pct"/>
            <w:vMerge w:val="continue"/>
            <w:vAlign w:val="center"/>
          </w:tcPr>
          <w:p w14:paraId="3FE57A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327" w:type="pct"/>
            <w:vMerge w:val="continue"/>
            <w:vAlign w:val="center"/>
          </w:tcPr>
          <w:p w14:paraId="3FD75A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407" w:type="pct"/>
            <w:vAlign w:val="center"/>
          </w:tcPr>
          <w:p w14:paraId="2674C8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color w:val="auto"/>
                <w:kern w:val="0"/>
                <w:sz w:val="21"/>
                <w:szCs w:val="21"/>
                <w:highlight w:val="none"/>
                <w:lang w:val="en-US" w:eastAsia="zh-CN"/>
              </w:rPr>
              <w:t>SS</w:t>
            </w:r>
          </w:p>
        </w:tc>
        <w:tc>
          <w:tcPr>
            <w:tcW w:w="246" w:type="pct"/>
            <w:vMerge w:val="continue"/>
            <w:vAlign w:val="center"/>
          </w:tcPr>
          <w:p w14:paraId="02825A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p>
        </w:tc>
        <w:tc>
          <w:tcPr>
            <w:tcW w:w="666" w:type="pct"/>
            <w:vMerge w:val="continue"/>
            <w:vAlign w:val="center"/>
          </w:tcPr>
          <w:p w14:paraId="166FD7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rPr>
            </w:pPr>
          </w:p>
        </w:tc>
        <w:tc>
          <w:tcPr>
            <w:tcW w:w="386" w:type="pct"/>
            <w:vAlign w:val="center"/>
          </w:tcPr>
          <w:p w14:paraId="786030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250</w:t>
            </w:r>
          </w:p>
        </w:tc>
        <w:tc>
          <w:tcPr>
            <w:tcW w:w="387" w:type="pct"/>
            <w:vAlign w:val="center"/>
          </w:tcPr>
          <w:p w14:paraId="6BCAC8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64.64</w:t>
            </w:r>
          </w:p>
        </w:tc>
        <w:tc>
          <w:tcPr>
            <w:tcW w:w="358" w:type="pct"/>
            <w:vMerge w:val="continue"/>
            <w:vAlign w:val="center"/>
          </w:tcPr>
          <w:p w14:paraId="27D905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30" w:type="pct"/>
            <w:vAlign w:val="center"/>
          </w:tcPr>
          <w:p w14:paraId="4C8B69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97.5</w:t>
            </w:r>
          </w:p>
        </w:tc>
        <w:tc>
          <w:tcPr>
            <w:tcW w:w="246" w:type="pct"/>
            <w:vMerge w:val="continue"/>
            <w:vAlign w:val="center"/>
          </w:tcPr>
          <w:p w14:paraId="47937B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666" w:type="pct"/>
            <w:vMerge w:val="continue"/>
            <w:vAlign w:val="center"/>
          </w:tcPr>
          <w:p w14:paraId="216E86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rPr>
            </w:pPr>
          </w:p>
        </w:tc>
        <w:tc>
          <w:tcPr>
            <w:tcW w:w="376" w:type="pct"/>
            <w:vAlign w:val="center"/>
          </w:tcPr>
          <w:p w14:paraId="15BFE9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6.25</w:t>
            </w:r>
          </w:p>
        </w:tc>
        <w:tc>
          <w:tcPr>
            <w:tcW w:w="355" w:type="pct"/>
            <w:vAlign w:val="center"/>
          </w:tcPr>
          <w:p w14:paraId="2433F0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1.62</w:t>
            </w:r>
          </w:p>
        </w:tc>
      </w:tr>
      <w:tr w14:paraId="3A362FC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6" w:type="pct"/>
            <w:vMerge w:val="continue"/>
            <w:vAlign w:val="center"/>
          </w:tcPr>
          <w:p w14:paraId="48134F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27" w:type="pct"/>
            <w:vMerge w:val="continue"/>
            <w:vAlign w:val="center"/>
          </w:tcPr>
          <w:p w14:paraId="4A93A2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407" w:type="pct"/>
            <w:vAlign w:val="center"/>
          </w:tcPr>
          <w:p w14:paraId="2086A9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氨氮</w:t>
            </w:r>
          </w:p>
        </w:tc>
        <w:tc>
          <w:tcPr>
            <w:tcW w:w="246" w:type="pct"/>
            <w:vMerge w:val="continue"/>
            <w:vAlign w:val="center"/>
          </w:tcPr>
          <w:p w14:paraId="17281C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666" w:type="pct"/>
            <w:vMerge w:val="continue"/>
            <w:vAlign w:val="center"/>
          </w:tcPr>
          <w:p w14:paraId="1D2FDD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86" w:type="pct"/>
            <w:vAlign w:val="center"/>
          </w:tcPr>
          <w:p w14:paraId="471E33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0.625</w:t>
            </w:r>
          </w:p>
        </w:tc>
        <w:tc>
          <w:tcPr>
            <w:tcW w:w="387" w:type="pct"/>
            <w:vAlign w:val="center"/>
          </w:tcPr>
          <w:p w14:paraId="375243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lang w:val="en-US" w:eastAsia="zh-CN"/>
              </w:rPr>
              <w:t>0.16</w:t>
            </w:r>
          </w:p>
        </w:tc>
        <w:tc>
          <w:tcPr>
            <w:tcW w:w="358" w:type="pct"/>
            <w:vMerge w:val="continue"/>
            <w:vAlign w:val="center"/>
          </w:tcPr>
          <w:p w14:paraId="40E161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330" w:type="pct"/>
            <w:vAlign w:val="center"/>
          </w:tcPr>
          <w:p w14:paraId="30E978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w:t>
            </w:r>
          </w:p>
        </w:tc>
        <w:tc>
          <w:tcPr>
            <w:tcW w:w="246" w:type="pct"/>
            <w:vMerge w:val="continue"/>
            <w:vAlign w:val="center"/>
          </w:tcPr>
          <w:p w14:paraId="40704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color w:val="auto"/>
                <w:sz w:val="21"/>
                <w:szCs w:val="21"/>
                <w:highlight w:val="none"/>
              </w:rPr>
            </w:pPr>
          </w:p>
        </w:tc>
        <w:tc>
          <w:tcPr>
            <w:tcW w:w="666" w:type="pct"/>
            <w:vMerge w:val="continue"/>
            <w:vAlign w:val="center"/>
          </w:tcPr>
          <w:p w14:paraId="4E7EA3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rPr>
            </w:pPr>
          </w:p>
        </w:tc>
        <w:tc>
          <w:tcPr>
            <w:tcW w:w="376" w:type="pct"/>
            <w:vAlign w:val="center"/>
          </w:tcPr>
          <w:p w14:paraId="11B81C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0.5</w:t>
            </w:r>
          </w:p>
        </w:tc>
        <w:tc>
          <w:tcPr>
            <w:tcW w:w="355" w:type="pct"/>
            <w:vAlign w:val="center"/>
          </w:tcPr>
          <w:p w14:paraId="252E39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0.13</w:t>
            </w:r>
          </w:p>
        </w:tc>
      </w:tr>
    </w:tbl>
    <w:p w14:paraId="2CD4CE1F">
      <w:pPr>
        <w:pStyle w:val="33"/>
        <w:rPr>
          <w:rFonts w:hint="default"/>
          <w:color w:val="auto"/>
          <w:lang w:val="en-US" w:eastAsia="zh-CN"/>
        </w:rPr>
        <w:sectPr>
          <w:headerReference r:id="rId7" w:type="default"/>
          <w:footerReference r:id="rId8" w:type="default"/>
          <w:pgSz w:w="11906" w:h="16839"/>
          <w:pgMar w:top="1417" w:right="1417" w:bottom="1417" w:left="1417"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31439B1C">
      <w:pPr>
        <w:spacing w:before="114" w:line="223" w:lineRule="auto"/>
        <w:jc w:val="center"/>
        <w:outlineLvl w:val="0"/>
        <w:rPr>
          <w:rFonts w:ascii="宋体" w:hAnsi="宋体" w:eastAsia="宋体" w:cs="宋体"/>
          <w:color w:val="auto"/>
          <w:sz w:val="35"/>
          <w:szCs w:val="35"/>
        </w:rPr>
      </w:pPr>
      <w:bookmarkStart w:id="55" w:name="bookmark27"/>
      <w:bookmarkEnd w:id="55"/>
      <w:bookmarkStart w:id="56" w:name="bookmark26"/>
      <w:bookmarkEnd w:id="56"/>
      <w:bookmarkStart w:id="57" w:name="bookmark28"/>
      <w:bookmarkEnd w:id="57"/>
      <w:r>
        <w:rPr>
          <w:rFonts w:ascii="Times New Roman" w:hAnsi="Times New Roman" w:eastAsia="Times New Roman" w:cs="Times New Roman"/>
          <w:b/>
          <w:bCs/>
          <w:color w:val="auto"/>
          <w:spacing w:val="6"/>
          <w:sz w:val="35"/>
          <w:szCs w:val="35"/>
        </w:rPr>
        <w:t xml:space="preserve">3  </w:t>
      </w:r>
      <w:r>
        <w:rPr>
          <w:rFonts w:ascii="宋体" w:hAnsi="宋体" w:eastAsia="宋体" w:cs="宋体"/>
          <w:b/>
          <w:bCs/>
          <w:color w:val="auto"/>
          <w:spacing w:val="6"/>
          <w:sz w:val="35"/>
          <w:szCs w:val="35"/>
        </w:rPr>
        <w:t>地表水环境现状调查与评价</w:t>
      </w:r>
    </w:p>
    <w:p w14:paraId="12E2B31E">
      <w:pPr>
        <w:spacing w:before="97" w:line="219" w:lineRule="auto"/>
        <w:outlineLvl w:val="1"/>
        <w:rPr>
          <w:rFonts w:ascii="宋体" w:hAnsi="宋体" w:eastAsia="宋体" w:cs="宋体"/>
          <w:color w:val="auto"/>
          <w:sz w:val="30"/>
          <w:szCs w:val="30"/>
        </w:rPr>
      </w:pPr>
      <w:bookmarkStart w:id="58" w:name="bookmark56"/>
      <w:bookmarkEnd w:id="58"/>
      <w:r>
        <w:rPr>
          <w:rFonts w:ascii="Times New Roman" w:hAnsi="Times New Roman" w:eastAsia="Times New Roman" w:cs="Times New Roman"/>
          <w:b/>
          <w:bCs/>
          <w:color w:val="auto"/>
          <w:spacing w:val="-6"/>
          <w:sz w:val="30"/>
          <w:szCs w:val="30"/>
        </w:rPr>
        <w:t>3.1</w:t>
      </w:r>
      <w:r>
        <w:rPr>
          <w:rFonts w:ascii="Times New Roman" w:hAnsi="Times New Roman" w:eastAsia="Times New Roman" w:cs="Times New Roman"/>
          <w:b/>
          <w:bCs/>
          <w:color w:val="auto"/>
          <w:spacing w:val="17"/>
          <w:sz w:val="30"/>
          <w:szCs w:val="30"/>
        </w:rPr>
        <w:t xml:space="preserve">  </w:t>
      </w:r>
      <w:r>
        <w:rPr>
          <w:rFonts w:ascii="宋体" w:hAnsi="宋体" w:eastAsia="宋体" w:cs="宋体"/>
          <w:b/>
          <w:bCs/>
          <w:color w:val="auto"/>
          <w:spacing w:val="-6"/>
          <w:sz w:val="30"/>
          <w:szCs w:val="30"/>
        </w:rPr>
        <w:t>区域水文概况</w:t>
      </w:r>
    </w:p>
    <w:p w14:paraId="22FBBB52">
      <w:pPr>
        <w:spacing w:before="215" w:line="357" w:lineRule="auto"/>
        <w:ind w:left="4" w:right="61" w:firstLine="48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穆棱河是乌苏里江左侧最大支流之一，是唯一一条经边界流入鸡西市区内，并贯通区域内的所属县（市）的河流。发源于老爷岭的窝集岭，流经穆棱、鸡西、鸡东、密山、虎林等市县，最终汇入乌苏里江。穆棱河全长834km，在鸡西境内长610km。穆棱河流经市内面积11488.7k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，占全市总面积近50%，穆棱河入境水量不仅是全市可利用的水资源的重 要部分，而且也是市内各县（市）可利用的主要水源。穆棱河由西向东呈蛇曲型流经鸡西市，平均流量均在78.1m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/s，最大流量310m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/s。年地表径流量14.36×108m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流域多年平均径流深140mm～170mm，年径流变差系数为0.5~0.6。年径流深的分布是上游大，中下游小，中下游的左岸大于右岸。河流径流量的来源，主要靠降水补给，故径流的年内分布特征基本上与降水量分布特征相似。河流径流量90%以上集中在4～10月，汛期6～9月的径流量达年径流量的70%。</w:t>
      </w:r>
    </w:p>
    <w:p w14:paraId="6519493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1"/>
        <w:rPr>
          <w:rFonts w:ascii="宋体" w:hAnsi="宋体" w:eastAsia="宋体" w:cs="宋体"/>
          <w:color w:val="auto"/>
          <w:sz w:val="30"/>
          <w:szCs w:val="30"/>
        </w:rPr>
      </w:pPr>
      <w:bookmarkStart w:id="59" w:name="bookmark29"/>
      <w:bookmarkEnd w:id="59"/>
      <w:r>
        <w:rPr>
          <w:rFonts w:ascii="Times New Roman" w:hAnsi="Times New Roman" w:eastAsia="Times New Roman" w:cs="Times New Roman"/>
          <w:b/>
          <w:bCs/>
          <w:color w:val="auto"/>
          <w:spacing w:val="-2"/>
          <w:sz w:val="30"/>
          <w:szCs w:val="30"/>
        </w:rPr>
        <w:t xml:space="preserve">3.2  </w:t>
      </w:r>
      <w:r>
        <w:rPr>
          <w:rFonts w:ascii="宋体" w:hAnsi="宋体" w:eastAsia="宋体" w:cs="宋体"/>
          <w:b/>
          <w:bCs/>
          <w:color w:val="auto"/>
          <w:spacing w:val="-2"/>
          <w:sz w:val="30"/>
          <w:szCs w:val="30"/>
        </w:rPr>
        <w:t>地表水环境质量现状</w:t>
      </w:r>
    </w:p>
    <w:p w14:paraId="1C74791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highlight w:val="none"/>
          <w:lang w:val="en-US" w:eastAsia="zh-CN"/>
        </w:rPr>
        <w:t>本项目</w:t>
      </w:r>
      <w:r>
        <w:rPr>
          <w:rFonts w:hint="eastAsia" w:cs="Times New Roman"/>
          <w:color w:val="auto"/>
          <w:sz w:val="24"/>
          <w:szCs w:val="24"/>
          <w:highlight w:val="none"/>
          <w:lang w:val="en-US" w:eastAsia="zh-CN"/>
        </w:rPr>
        <w:t>附近地表水体为穆棱河，</w:t>
      </w:r>
      <w:r>
        <w:rPr>
          <w:rFonts w:hint="eastAsia"/>
          <w:color w:val="auto"/>
          <w:sz w:val="24"/>
          <w:szCs w:val="24"/>
          <w:highlight w:val="none"/>
        </w:rPr>
        <w:t>根据</w:t>
      </w:r>
      <w:r>
        <w:rPr>
          <w:rFonts w:hint="default" w:ascii="Times New Roman" w:hAnsi="Times New Roman" w:cs="Times New Roman" w:eastAsiaTheme="minorEastAsia"/>
          <w:color w:val="auto"/>
          <w:sz w:val="24"/>
          <w:szCs w:val="24"/>
          <w:highlight w:val="none"/>
        </w:rPr>
        <w:t>《黑龙江省生态环境厅 黑龙江省财政厅关于 印发《黑龙江省水环境生态补偿办法》的通知》（黑环发〔2024〕22 号）</w:t>
      </w:r>
      <w:r>
        <w:rPr>
          <w:rFonts w:hint="eastAsia"/>
          <w:bCs/>
          <w:color w:val="auto"/>
          <w:sz w:val="24"/>
          <w:szCs w:val="24"/>
          <w:highlight w:val="none"/>
        </w:rPr>
        <w:t>，穆棱河</w:t>
      </w:r>
      <w:r>
        <w:rPr>
          <w:rFonts w:hint="eastAsia"/>
          <w:bCs/>
          <w:color w:val="auto"/>
          <w:sz w:val="24"/>
          <w:szCs w:val="24"/>
          <w:highlight w:val="none"/>
          <w:lang w:val="en-US" w:eastAsia="zh-CN"/>
        </w:rPr>
        <w:t>碱场桥、</w:t>
      </w:r>
      <w:r>
        <w:rPr>
          <w:rFonts w:hint="eastAsia"/>
          <w:bCs/>
          <w:color w:val="auto"/>
          <w:sz w:val="24"/>
          <w:szCs w:val="24"/>
          <w:highlight w:val="none"/>
        </w:rPr>
        <w:t>知一桥、穆棱河河口内断面</w:t>
      </w:r>
      <w:r>
        <w:rPr>
          <w:rFonts w:hint="eastAsia"/>
          <w:bCs/>
          <w:color w:val="auto"/>
          <w:sz w:val="24"/>
          <w:szCs w:val="24"/>
          <w:highlight w:val="none"/>
          <w:lang w:val="en-US" w:eastAsia="zh-CN"/>
        </w:rPr>
        <w:t>均</w:t>
      </w:r>
      <w:r>
        <w:rPr>
          <w:rFonts w:hint="eastAsia"/>
          <w:bCs/>
          <w:color w:val="auto"/>
          <w:sz w:val="24"/>
          <w:szCs w:val="24"/>
          <w:highlight w:val="none"/>
        </w:rPr>
        <w:t>达到</w:t>
      </w:r>
      <w:r>
        <w:rPr>
          <w:rFonts w:hint="eastAsia" w:ascii="宋体" w:hAnsi="宋体" w:cs="宋体"/>
          <w:bCs/>
          <w:color w:val="auto"/>
          <w:sz w:val="24"/>
          <w:szCs w:val="24"/>
          <w:highlight w:val="none"/>
        </w:rPr>
        <w:t>Ⅲ</w:t>
      </w:r>
      <w:r>
        <w:rPr>
          <w:rFonts w:hint="eastAsia"/>
          <w:bCs/>
          <w:color w:val="auto"/>
          <w:sz w:val="24"/>
          <w:szCs w:val="24"/>
          <w:highlight w:val="none"/>
        </w:rPr>
        <w:t>类水质类别标准</w:t>
      </w:r>
      <w:r>
        <w:rPr>
          <w:rFonts w:hint="default" w:ascii="Times New Roman" w:hAnsi="Times New Roman" w:eastAsia="宋体" w:cs="Times New Roman"/>
          <w:color w:val="auto"/>
          <w:sz w:val="24"/>
          <w:szCs w:val="24"/>
          <w:lang w:val="en-US" w:eastAsia="zh-CN"/>
        </w:rPr>
        <w:t>。</w:t>
      </w:r>
    </w:p>
    <w:p w14:paraId="77128E47">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360" w:lineRule="auto"/>
        <w:ind w:left="0" w:leftChars="0" w:right="0" w:rightChars="0" w:firstLine="482" w:firstLineChars="200"/>
        <w:jc w:val="left"/>
        <w:textAlignment w:val="baseline"/>
        <w:rPr>
          <w:rFonts w:hint="default" w:ascii="Times New Roman" w:hAnsi="Times New Roman" w:eastAsia="宋体" w:cs="Times New Roman"/>
          <w:color w:val="auto"/>
          <w:sz w:val="24"/>
          <w:szCs w:val="24"/>
          <w:lang w:val="en-US" w:eastAsia="zh-CN"/>
        </w:rPr>
      </w:pPr>
      <w:r>
        <w:rPr>
          <w:rFonts w:hint="eastAsia" w:ascii="宋体" w:hAnsi="宋体" w:eastAsia="宋体" w:cs="宋体"/>
          <w:b/>
          <w:bCs/>
          <w:snapToGrid w:val="0"/>
          <w:color w:val="auto"/>
          <w:kern w:val="0"/>
          <w:sz w:val="24"/>
          <w:szCs w:val="24"/>
          <w:lang w:val="en-US" w:eastAsia="zh-CN" w:bidi="ar"/>
        </w:rPr>
        <w:t>3.2.1区域污染源调查</w:t>
      </w:r>
    </w:p>
    <w:p w14:paraId="7DC5E856">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360" w:lineRule="auto"/>
        <w:ind w:right="0" w:rightChars="0" w:firstLine="480" w:firstLineChars="200"/>
        <w:jc w:val="left"/>
        <w:textAlignment w:val="baseline"/>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w:t>
      </w:r>
      <w:r>
        <w:rPr>
          <w:rFonts w:hint="default" w:ascii="Times New Roman" w:hAnsi="Times New Roman" w:eastAsia="宋体" w:cs="Times New Roman"/>
          <w:color w:val="auto"/>
          <w:sz w:val="24"/>
          <w:szCs w:val="24"/>
          <w:lang w:val="en-US" w:eastAsia="zh-CN"/>
        </w:rPr>
        <w:t>生态环境分区管控数据应用平台</w:t>
      </w:r>
      <w:r>
        <w:rPr>
          <w:rFonts w:hint="eastAsia" w:ascii="Times New Roman" w:hAnsi="Times New Roman" w:eastAsia="宋体" w:cs="Times New Roman"/>
          <w:color w:val="auto"/>
          <w:sz w:val="24"/>
          <w:szCs w:val="24"/>
          <w:lang w:val="en-US" w:eastAsia="zh-CN"/>
        </w:rPr>
        <w:t>本项目排污口下游评价范围内排污口情况见表3-1</w:t>
      </w:r>
    </w:p>
    <w:p w14:paraId="40206665">
      <w:pPr>
        <w:bidi w:val="0"/>
        <w:jc w:val="center"/>
        <w:rPr>
          <w:rFonts w:ascii="宋体" w:hAnsi="宋体" w:eastAsia="宋体" w:cs="宋体"/>
          <w:color w:val="auto"/>
          <w:spacing w:val="1"/>
          <w:sz w:val="24"/>
          <w:szCs w:val="24"/>
        </w:rPr>
      </w:pPr>
      <w:r>
        <w:rPr>
          <w:rFonts w:hint="default" w:ascii="Times New Roman" w:hAnsi="Times New Roman" w:eastAsia="宋体" w:cs="Times New Roman"/>
          <w:b/>
          <w:bCs/>
          <w:color w:val="auto"/>
          <w:sz w:val="24"/>
          <w:szCs w:val="24"/>
          <w:lang w:val="en-US" w:eastAsia="zh-CN"/>
        </w:rPr>
        <w:t>表</w:t>
      </w:r>
      <w:r>
        <w:rPr>
          <w:rFonts w:hint="eastAsia" w:ascii="Times New Roman" w:hAnsi="Times New Roman" w:eastAsia="宋体" w:cs="Times New Roman"/>
          <w:b/>
          <w:bCs/>
          <w:color w:val="auto"/>
          <w:sz w:val="24"/>
          <w:szCs w:val="24"/>
          <w:lang w:val="en-US" w:eastAsia="zh-CN"/>
        </w:rPr>
        <w:t>3-1</w:t>
      </w:r>
      <w:r>
        <w:rPr>
          <w:rFonts w:hint="default" w:ascii="Times New Roman" w:hAnsi="Times New Roman" w:eastAsia="宋体" w:cs="Times New Roman"/>
          <w:b/>
          <w:bCs/>
          <w:color w:val="auto"/>
          <w:sz w:val="24"/>
          <w:szCs w:val="24"/>
          <w:lang w:val="en-US" w:eastAsia="zh-CN"/>
        </w:rPr>
        <w:t>本项目穆棱河下游</w:t>
      </w:r>
      <w:r>
        <w:rPr>
          <w:rFonts w:hint="eastAsia" w:ascii="Times New Roman" w:hAnsi="Times New Roman" w:eastAsia="宋体" w:cs="Times New Roman"/>
          <w:b/>
          <w:bCs/>
          <w:color w:val="auto"/>
          <w:sz w:val="24"/>
          <w:szCs w:val="24"/>
          <w:lang w:val="en-US" w:eastAsia="zh-CN"/>
        </w:rPr>
        <w:t>排水口</w:t>
      </w:r>
      <w:r>
        <w:rPr>
          <w:rFonts w:hint="default" w:ascii="Times New Roman" w:hAnsi="Times New Roman" w:eastAsia="宋体" w:cs="Times New Roman"/>
          <w:b/>
          <w:bCs/>
          <w:color w:val="auto"/>
          <w:sz w:val="24"/>
          <w:szCs w:val="24"/>
          <w:lang w:val="en-US" w:eastAsia="zh-CN"/>
        </w:rPr>
        <w:t>计表</w:t>
      </w:r>
    </w:p>
    <w:tbl>
      <w:tblPr>
        <w:tblStyle w:val="3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8"/>
        <w:gridCol w:w="2938"/>
        <w:gridCol w:w="1913"/>
        <w:gridCol w:w="1322"/>
        <w:gridCol w:w="1156"/>
        <w:gridCol w:w="1411"/>
      </w:tblGrid>
      <w:tr w14:paraId="2F237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jc w:val="center"/>
        </w:trPr>
        <w:tc>
          <w:tcPr>
            <w:tcW w:w="548" w:type="dxa"/>
            <w:vMerge w:val="restart"/>
            <w:tcBorders>
              <w:top w:val="single" w:color="auto" w:sz="12" w:space="0"/>
              <w:left w:val="nil"/>
            </w:tcBorders>
            <w:vAlign w:val="center"/>
          </w:tcPr>
          <w:p w14:paraId="77618908">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i w:val="0"/>
                <w:iCs w:val="0"/>
                <w:color w:val="auto"/>
                <w:sz w:val="21"/>
                <w:szCs w:val="21"/>
                <w:vertAlign w:val="baseline"/>
                <w:lang w:val="en-US" w:eastAsia="zh-CN"/>
              </w:rPr>
            </w:pPr>
            <w:r>
              <w:rPr>
                <w:rFonts w:hint="default" w:ascii="Times New Roman" w:hAnsi="Times New Roman" w:eastAsia="宋体" w:cs="Times New Roman"/>
                <w:b/>
                <w:bCs/>
                <w:i w:val="0"/>
                <w:iCs w:val="0"/>
                <w:color w:val="auto"/>
                <w:sz w:val="21"/>
                <w:szCs w:val="21"/>
                <w:vertAlign w:val="baseline"/>
                <w:lang w:val="en-US" w:eastAsia="zh-CN"/>
              </w:rPr>
              <w:t>序号</w:t>
            </w:r>
          </w:p>
        </w:tc>
        <w:tc>
          <w:tcPr>
            <w:tcW w:w="2938" w:type="dxa"/>
            <w:vMerge w:val="restart"/>
            <w:tcBorders>
              <w:top w:val="single" w:color="auto" w:sz="12" w:space="0"/>
            </w:tcBorders>
            <w:vAlign w:val="center"/>
          </w:tcPr>
          <w:p w14:paraId="01A57785">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i w:val="0"/>
                <w:iCs w:val="0"/>
                <w:color w:val="auto"/>
                <w:sz w:val="21"/>
                <w:szCs w:val="21"/>
                <w:vertAlign w:val="baseline"/>
                <w:lang w:val="en-US" w:eastAsia="zh-CN"/>
              </w:rPr>
            </w:pPr>
            <w:r>
              <w:rPr>
                <w:rFonts w:hint="eastAsia" w:ascii="Times New Roman" w:hAnsi="Times New Roman" w:eastAsia="宋体" w:cs="Times New Roman"/>
                <w:b/>
                <w:bCs/>
                <w:i w:val="0"/>
                <w:iCs w:val="0"/>
                <w:color w:val="auto"/>
                <w:sz w:val="21"/>
                <w:szCs w:val="21"/>
                <w:vertAlign w:val="baseline"/>
                <w:lang w:val="en-US" w:eastAsia="zh-CN"/>
              </w:rPr>
              <w:t>排水口名称</w:t>
            </w:r>
          </w:p>
        </w:tc>
        <w:tc>
          <w:tcPr>
            <w:tcW w:w="4391" w:type="dxa"/>
            <w:gridSpan w:val="3"/>
            <w:tcBorders>
              <w:top w:val="single" w:color="auto" w:sz="12" w:space="0"/>
              <w:bottom w:val="single" w:color="auto" w:sz="4" w:space="0"/>
              <w:right w:val="nil"/>
            </w:tcBorders>
            <w:vAlign w:val="center"/>
          </w:tcPr>
          <w:p w14:paraId="36D0EDCB">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i w:val="0"/>
                <w:iCs w:val="0"/>
                <w:color w:val="auto"/>
                <w:sz w:val="21"/>
                <w:szCs w:val="21"/>
                <w:vertAlign w:val="baseline"/>
                <w:lang w:val="en-US" w:eastAsia="zh-CN"/>
              </w:rPr>
            </w:pPr>
            <w:r>
              <w:rPr>
                <w:rFonts w:hint="eastAsia" w:ascii="Times New Roman" w:hAnsi="Times New Roman" w:eastAsia="宋体" w:cs="Times New Roman"/>
                <w:b/>
                <w:bCs/>
                <w:i w:val="0"/>
                <w:iCs w:val="0"/>
                <w:color w:val="auto"/>
                <w:sz w:val="21"/>
                <w:szCs w:val="21"/>
                <w:vertAlign w:val="baseline"/>
                <w:lang w:val="en-US" w:eastAsia="zh-CN"/>
              </w:rPr>
              <w:t>现状入河量</w:t>
            </w:r>
          </w:p>
        </w:tc>
        <w:tc>
          <w:tcPr>
            <w:tcW w:w="1411" w:type="dxa"/>
            <w:vMerge w:val="restart"/>
            <w:tcBorders>
              <w:top w:val="single" w:color="auto" w:sz="12" w:space="0"/>
              <w:right w:val="nil"/>
            </w:tcBorders>
            <w:vAlign w:val="center"/>
          </w:tcPr>
          <w:p w14:paraId="4E6F83B8">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i w:val="0"/>
                <w:iCs w:val="0"/>
                <w:color w:val="auto"/>
                <w:sz w:val="21"/>
                <w:szCs w:val="21"/>
                <w:vertAlign w:val="baseline"/>
                <w:lang w:val="en-US" w:eastAsia="zh-CN"/>
              </w:rPr>
            </w:pPr>
            <w:r>
              <w:rPr>
                <w:rFonts w:hint="eastAsia" w:ascii="Times New Roman" w:hAnsi="Times New Roman" w:eastAsia="宋体" w:cs="Times New Roman"/>
                <w:b/>
                <w:bCs/>
                <w:i w:val="0"/>
                <w:iCs w:val="0"/>
                <w:color w:val="auto"/>
                <w:sz w:val="21"/>
                <w:szCs w:val="21"/>
                <w:vertAlign w:val="baseline"/>
                <w:lang w:val="en-US" w:eastAsia="zh-CN"/>
              </w:rPr>
              <w:t>数据来源</w:t>
            </w:r>
          </w:p>
        </w:tc>
      </w:tr>
      <w:tr w14:paraId="7A179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48" w:type="dxa"/>
            <w:vMerge w:val="continue"/>
            <w:tcBorders>
              <w:left w:val="nil"/>
            </w:tcBorders>
            <w:vAlign w:val="center"/>
          </w:tcPr>
          <w:p w14:paraId="2F912FD4">
            <w:pPr>
              <w:keepNext w:val="0"/>
              <w:keepLines w:val="0"/>
              <w:widowControl w:val="0"/>
              <w:suppressLineNumbers w:val="0"/>
              <w:bidi w:val="0"/>
              <w:spacing w:before="0" w:beforeAutospacing="0" w:after="0" w:afterAutospacing="0"/>
              <w:ind w:left="0" w:right="0"/>
              <w:jc w:val="center"/>
              <w:rPr>
                <w:rFonts w:hint="default"/>
                <w:color w:val="auto"/>
              </w:rPr>
            </w:pPr>
          </w:p>
        </w:tc>
        <w:tc>
          <w:tcPr>
            <w:tcW w:w="2938" w:type="dxa"/>
            <w:vMerge w:val="continue"/>
            <w:vAlign w:val="center"/>
          </w:tcPr>
          <w:p w14:paraId="22BA4142">
            <w:pPr>
              <w:keepNext w:val="0"/>
              <w:keepLines w:val="0"/>
              <w:widowControl w:val="0"/>
              <w:suppressLineNumbers w:val="0"/>
              <w:bidi w:val="0"/>
              <w:spacing w:before="0" w:beforeAutospacing="0" w:after="0" w:afterAutospacing="0"/>
              <w:ind w:left="0" w:right="0"/>
              <w:jc w:val="center"/>
              <w:rPr>
                <w:rFonts w:hint="default"/>
                <w:color w:val="auto"/>
              </w:rPr>
            </w:pPr>
          </w:p>
        </w:tc>
        <w:tc>
          <w:tcPr>
            <w:tcW w:w="1913" w:type="dxa"/>
            <w:tcBorders>
              <w:top w:val="single" w:color="auto" w:sz="4" w:space="0"/>
            </w:tcBorders>
            <w:vAlign w:val="center"/>
          </w:tcPr>
          <w:p w14:paraId="4ECE6605">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b/>
                <w:bCs/>
                <w:i w:val="0"/>
                <w:iCs w:val="0"/>
                <w:color w:val="auto"/>
                <w:sz w:val="21"/>
                <w:szCs w:val="21"/>
                <w:vertAlign w:val="baseline"/>
                <w:lang w:val="en-US" w:eastAsia="zh-CN"/>
              </w:rPr>
            </w:pPr>
            <w:r>
              <w:rPr>
                <w:rFonts w:hint="eastAsia" w:ascii="Times New Roman" w:hAnsi="Times New Roman" w:eastAsia="宋体" w:cs="Times New Roman"/>
                <w:b/>
                <w:bCs/>
                <w:i w:val="0"/>
                <w:iCs w:val="0"/>
                <w:color w:val="auto"/>
                <w:sz w:val="21"/>
                <w:szCs w:val="21"/>
                <w:vertAlign w:val="baseline"/>
                <w:lang w:val="en-US" w:eastAsia="zh-CN"/>
              </w:rPr>
              <w:t>废污水量</w:t>
            </w:r>
          </w:p>
          <w:p w14:paraId="2FFFC401">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i w:val="0"/>
                <w:iCs w:val="0"/>
                <w:color w:val="auto"/>
                <w:sz w:val="21"/>
                <w:szCs w:val="21"/>
                <w:vertAlign w:val="baseline"/>
                <w:lang w:val="en-US" w:eastAsia="zh-CN"/>
              </w:rPr>
            </w:pPr>
            <w:r>
              <w:rPr>
                <w:rFonts w:hint="eastAsia" w:ascii="Times New Roman" w:hAnsi="Times New Roman" w:eastAsia="宋体" w:cs="Times New Roman"/>
                <w:b/>
                <w:bCs/>
                <w:i w:val="0"/>
                <w:iCs w:val="0"/>
                <w:color w:val="auto"/>
                <w:sz w:val="21"/>
                <w:szCs w:val="21"/>
                <w:vertAlign w:val="baseline"/>
                <w:lang w:val="en-US" w:eastAsia="zh-CN"/>
              </w:rPr>
              <w:t>（万m</w:t>
            </w:r>
            <w:r>
              <w:rPr>
                <w:rFonts w:hint="eastAsia" w:ascii="Times New Roman" w:hAnsi="Times New Roman" w:eastAsia="宋体" w:cs="Times New Roman"/>
                <w:b/>
                <w:bCs/>
                <w:i w:val="0"/>
                <w:iCs w:val="0"/>
                <w:color w:val="auto"/>
                <w:sz w:val="21"/>
                <w:szCs w:val="21"/>
                <w:vertAlign w:val="superscript"/>
                <w:lang w:val="en-US" w:eastAsia="zh-CN"/>
              </w:rPr>
              <w:t>3</w:t>
            </w:r>
            <w:r>
              <w:rPr>
                <w:rFonts w:hint="eastAsia" w:ascii="Times New Roman" w:hAnsi="Times New Roman" w:eastAsia="宋体" w:cs="Times New Roman"/>
                <w:b/>
                <w:bCs/>
                <w:i w:val="0"/>
                <w:iCs w:val="0"/>
                <w:color w:val="auto"/>
                <w:sz w:val="21"/>
                <w:szCs w:val="21"/>
                <w:vertAlign w:val="baseline"/>
                <w:lang w:val="en-US" w:eastAsia="zh-CN"/>
              </w:rPr>
              <w:t>/a）</w:t>
            </w:r>
          </w:p>
        </w:tc>
        <w:tc>
          <w:tcPr>
            <w:tcW w:w="1322" w:type="dxa"/>
            <w:tcBorders>
              <w:top w:val="single" w:color="auto" w:sz="4" w:space="0"/>
            </w:tcBorders>
            <w:vAlign w:val="center"/>
          </w:tcPr>
          <w:p w14:paraId="5F77ECAB">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b/>
                <w:bCs/>
                <w:i w:val="0"/>
                <w:iCs w:val="0"/>
                <w:color w:val="auto"/>
                <w:sz w:val="21"/>
                <w:szCs w:val="21"/>
                <w:vertAlign w:val="baseline"/>
                <w:lang w:val="en-US" w:eastAsia="zh-CN"/>
              </w:rPr>
            </w:pPr>
            <w:r>
              <w:rPr>
                <w:rFonts w:hint="eastAsia" w:ascii="Times New Roman" w:hAnsi="Times New Roman" w:eastAsia="宋体" w:cs="Times New Roman"/>
                <w:b/>
                <w:bCs/>
                <w:i w:val="0"/>
                <w:iCs w:val="0"/>
                <w:color w:val="auto"/>
                <w:sz w:val="21"/>
                <w:szCs w:val="21"/>
                <w:vertAlign w:val="baseline"/>
                <w:lang w:val="en-US" w:eastAsia="zh-CN"/>
              </w:rPr>
              <w:t>COD</w:t>
            </w:r>
          </w:p>
          <w:p w14:paraId="247E0103">
            <w:pPr>
              <w:keepNext w:val="0"/>
              <w:keepLines w:val="0"/>
              <w:widowControl w:val="0"/>
              <w:suppressLineNumbers w:val="0"/>
              <w:bidi w:val="0"/>
              <w:spacing w:before="0" w:beforeAutospacing="0" w:after="0" w:afterAutospacing="0"/>
              <w:ind w:left="0" w:right="0"/>
              <w:jc w:val="center"/>
              <w:rPr>
                <w:rFonts w:hint="default"/>
                <w:color w:val="auto"/>
                <w:lang w:val="en-US" w:eastAsia="zh-CN"/>
              </w:rPr>
            </w:pPr>
            <w:r>
              <w:rPr>
                <w:rFonts w:hint="eastAsia" w:ascii="Times New Roman" w:hAnsi="Times New Roman" w:eastAsia="宋体" w:cs="Times New Roman"/>
                <w:b/>
                <w:bCs/>
                <w:i w:val="0"/>
                <w:iCs w:val="0"/>
                <w:color w:val="auto"/>
                <w:sz w:val="21"/>
                <w:szCs w:val="21"/>
                <w:vertAlign w:val="baseline"/>
                <w:lang w:val="en-US" w:eastAsia="zh-CN"/>
              </w:rPr>
              <w:t>（t/a）</w:t>
            </w:r>
          </w:p>
        </w:tc>
        <w:tc>
          <w:tcPr>
            <w:tcW w:w="1156" w:type="dxa"/>
            <w:tcBorders>
              <w:top w:val="single" w:color="auto" w:sz="4" w:space="0"/>
              <w:right w:val="nil"/>
            </w:tcBorders>
            <w:vAlign w:val="center"/>
          </w:tcPr>
          <w:p w14:paraId="516F8F51">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b/>
                <w:bCs/>
                <w:i w:val="0"/>
                <w:iCs w:val="0"/>
                <w:color w:val="auto"/>
                <w:sz w:val="21"/>
                <w:szCs w:val="21"/>
                <w:vertAlign w:val="baseline"/>
                <w:lang w:val="en-US" w:eastAsia="zh-CN"/>
              </w:rPr>
            </w:pPr>
            <w:r>
              <w:rPr>
                <w:rFonts w:hint="eastAsia" w:ascii="Times New Roman" w:hAnsi="Times New Roman" w:eastAsia="宋体" w:cs="Times New Roman"/>
                <w:b/>
                <w:bCs/>
                <w:i w:val="0"/>
                <w:iCs w:val="0"/>
                <w:color w:val="auto"/>
                <w:sz w:val="21"/>
                <w:szCs w:val="21"/>
                <w:vertAlign w:val="baseline"/>
                <w:lang w:val="en-US" w:eastAsia="zh-CN"/>
              </w:rPr>
              <w:t>氨氮</w:t>
            </w:r>
          </w:p>
          <w:p w14:paraId="0641598A">
            <w:pPr>
              <w:keepNext w:val="0"/>
              <w:keepLines w:val="0"/>
              <w:widowControl w:val="0"/>
              <w:suppressLineNumbers w:val="0"/>
              <w:bidi w:val="0"/>
              <w:spacing w:before="0" w:beforeAutospacing="0" w:after="0" w:afterAutospacing="0"/>
              <w:ind w:left="0" w:right="0"/>
              <w:jc w:val="center"/>
              <w:rPr>
                <w:rFonts w:hint="default"/>
                <w:color w:val="auto"/>
                <w:lang w:val="en-US" w:eastAsia="zh-CN"/>
              </w:rPr>
            </w:pPr>
            <w:r>
              <w:rPr>
                <w:rFonts w:hint="eastAsia" w:eastAsia="宋体" w:cs="Times New Roman"/>
                <w:b/>
                <w:bCs/>
                <w:i w:val="0"/>
                <w:iCs w:val="0"/>
                <w:color w:val="auto"/>
                <w:sz w:val="21"/>
                <w:szCs w:val="21"/>
                <w:vertAlign w:val="baseline"/>
                <w:lang w:val="en-US" w:eastAsia="zh-CN"/>
              </w:rPr>
              <w:t>（t/a）</w:t>
            </w:r>
          </w:p>
        </w:tc>
        <w:tc>
          <w:tcPr>
            <w:tcW w:w="1411" w:type="dxa"/>
            <w:vMerge w:val="continue"/>
            <w:tcBorders>
              <w:right w:val="nil"/>
            </w:tcBorders>
            <w:vAlign w:val="center"/>
          </w:tcPr>
          <w:p w14:paraId="0638237E">
            <w:pPr>
              <w:keepNext w:val="0"/>
              <w:keepLines w:val="0"/>
              <w:widowControl w:val="0"/>
              <w:suppressLineNumbers w:val="0"/>
              <w:bidi w:val="0"/>
              <w:spacing w:before="0" w:beforeAutospacing="0" w:after="0" w:afterAutospacing="0"/>
              <w:ind w:left="0" w:right="0"/>
              <w:jc w:val="center"/>
              <w:rPr>
                <w:rFonts w:hint="eastAsia" w:eastAsia="宋体" w:cs="Times New Roman"/>
                <w:b/>
                <w:bCs/>
                <w:i w:val="0"/>
                <w:iCs w:val="0"/>
                <w:color w:val="auto"/>
                <w:sz w:val="21"/>
                <w:szCs w:val="21"/>
                <w:vertAlign w:val="baseline"/>
                <w:lang w:val="en-US" w:eastAsia="zh-CN"/>
              </w:rPr>
            </w:pPr>
          </w:p>
        </w:tc>
      </w:tr>
      <w:tr w14:paraId="63F8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48" w:type="dxa"/>
            <w:tcBorders>
              <w:left w:val="nil"/>
            </w:tcBorders>
            <w:vAlign w:val="center"/>
          </w:tcPr>
          <w:p w14:paraId="5180BD72">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w:t>
            </w:r>
          </w:p>
        </w:tc>
        <w:tc>
          <w:tcPr>
            <w:tcW w:w="2938" w:type="dxa"/>
            <w:vAlign w:val="center"/>
          </w:tcPr>
          <w:p w14:paraId="77B42B8B">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黑龙江省鸡西市鸡冠区污水处理厂</w:t>
            </w:r>
          </w:p>
        </w:tc>
        <w:tc>
          <w:tcPr>
            <w:tcW w:w="1913" w:type="dxa"/>
            <w:vAlign w:val="center"/>
          </w:tcPr>
          <w:p w14:paraId="407C1E29">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5475</w:t>
            </w:r>
          </w:p>
        </w:tc>
        <w:tc>
          <w:tcPr>
            <w:tcW w:w="1322" w:type="dxa"/>
            <w:vAlign w:val="center"/>
          </w:tcPr>
          <w:p w14:paraId="0FEFDA17">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2737.5</w:t>
            </w:r>
          </w:p>
        </w:tc>
        <w:tc>
          <w:tcPr>
            <w:tcW w:w="1156" w:type="dxa"/>
            <w:tcBorders>
              <w:right w:val="nil"/>
            </w:tcBorders>
            <w:vAlign w:val="center"/>
          </w:tcPr>
          <w:p w14:paraId="0F12B555">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273.75</w:t>
            </w:r>
          </w:p>
        </w:tc>
        <w:tc>
          <w:tcPr>
            <w:tcW w:w="1411" w:type="dxa"/>
            <w:tcBorders>
              <w:right w:val="nil"/>
            </w:tcBorders>
            <w:vAlign w:val="center"/>
          </w:tcPr>
          <w:p w14:paraId="3D471A45">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环评报告</w:t>
            </w:r>
          </w:p>
        </w:tc>
      </w:tr>
      <w:tr w14:paraId="7E9C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548" w:type="dxa"/>
            <w:tcBorders>
              <w:left w:val="nil"/>
            </w:tcBorders>
            <w:vAlign w:val="center"/>
          </w:tcPr>
          <w:p w14:paraId="4EAC12D7">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2</w:t>
            </w:r>
          </w:p>
        </w:tc>
        <w:tc>
          <w:tcPr>
            <w:tcW w:w="2938" w:type="dxa"/>
            <w:vAlign w:val="center"/>
          </w:tcPr>
          <w:p w14:paraId="60242784">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鸡西市城子河区污水处理厂</w:t>
            </w:r>
          </w:p>
        </w:tc>
        <w:tc>
          <w:tcPr>
            <w:tcW w:w="1913" w:type="dxa"/>
            <w:vAlign w:val="center"/>
          </w:tcPr>
          <w:p w14:paraId="05300EA9">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500</w:t>
            </w:r>
          </w:p>
        </w:tc>
        <w:tc>
          <w:tcPr>
            <w:tcW w:w="1322" w:type="dxa"/>
            <w:vAlign w:val="center"/>
          </w:tcPr>
          <w:p w14:paraId="23E175A8">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250</w:t>
            </w:r>
          </w:p>
        </w:tc>
        <w:tc>
          <w:tcPr>
            <w:tcW w:w="1156" w:type="dxa"/>
            <w:tcBorders>
              <w:right w:val="nil"/>
            </w:tcBorders>
            <w:vAlign w:val="center"/>
          </w:tcPr>
          <w:p w14:paraId="004E7708">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40</w:t>
            </w:r>
          </w:p>
        </w:tc>
        <w:tc>
          <w:tcPr>
            <w:tcW w:w="1411" w:type="dxa"/>
            <w:tcBorders>
              <w:right w:val="nil"/>
            </w:tcBorders>
            <w:vAlign w:val="center"/>
          </w:tcPr>
          <w:p w14:paraId="70018A1F">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环评报告</w:t>
            </w:r>
          </w:p>
        </w:tc>
      </w:tr>
      <w:tr w14:paraId="6A21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548" w:type="dxa"/>
            <w:tcBorders>
              <w:left w:val="nil"/>
            </w:tcBorders>
            <w:shd w:val="clear" w:color="auto" w:fill="auto"/>
            <w:vAlign w:val="center"/>
          </w:tcPr>
          <w:p w14:paraId="7AE6BBAF">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3</w:t>
            </w:r>
          </w:p>
        </w:tc>
        <w:tc>
          <w:tcPr>
            <w:tcW w:w="2938" w:type="dxa"/>
            <w:shd w:val="clear" w:color="auto" w:fill="auto"/>
            <w:vAlign w:val="center"/>
          </w:tcPr>
          <w:p w14:paraId="2826F044">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鸡西市鸡东县东海煤矿混合入河排污口</w:t>
            </w:r>
          </w:p>
        </w:tc>
        <w:tc>
          <w:tcPr>
            <w:tcW w:w="1913" w:type="dxa"/>
            <w:shd w:val="clear" w:color="auto" w:fill="auto"/>
            <w:vAlign w:val="center"/>
          </w:tcPr>
          <w:p w14:paraId="439F84D7">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72</w:t>
            </w:r>
          </w:p>
        </w:tc>
        <w:tc>
          <w:tcPr>
            <w:tcW w:w="1322" w:type="dxa"/>
            <w:shd w:val="clear" w:color="auto" w:fill="auto"/>
            <w:vAlign w:val="center"/>
          </w:tcPr>
          <w:p w14:paraId="67E68EFC">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72</w:t>
            </w:r>
          </w:p>
        </w:tc>
        <w:tc>
          <w:tcPr>
            <w:tcW w:w="1156" w:type="dxa"/>
            <w:tcBorders>
              <w:right w:val="nil"/>
            </w:tcBorders>
            <w:shd w:val="clear" w:color="auto" w:fill="auto"/>
            <w:vAlign w:val="center"/>
          </w:tcPr>
          <w:p w14:paraId="0C9BF8B9">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10.8</w:t>
            </w:r>
          </w:p>
        </w:tc>
        <w:tc>
          <w:tcPr>
            <w:tcW w:w="1411" w:type="dxa"/>
            <w:tcBorders>
              <w:right w:val="nil"/>
            </w:tcBorders>
            <w:shd w:val="clear" w:color="auto" w:fill="auto"/>
            <w:vAlign w:val="center"/>
          </w:tcPr>
          <w:p w14:paraId="52114C85">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入河排污口论证报告</w:t>
            </w:r>
          </w:p>
        </w:tc>
      </w:tr>
      <w:tr w14:paraId="30405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548" w:type="dxa"/>
            <w:tcBorders>
              <w:left w:val="nil"/>
            </w:tcBorders>
            <w:shd w:val="clear" w:color="auto" w:fill="auto"/>
            <w:vAlign w:val="center"/>
          </w:tcPr>
          <w:p w14:paraId="2233C54B">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4</w:t>
            </w:r>
          </w:p>
        </w:tc>
        <w:tc>
          <w:tcPr>
            <w:tcW w:w="2938" w:type="dxa"/>
            <w:shd w:val="clear" w:color="auto" w:fill="auto"/>
            <w:vAlign w:val="center"/>
          </w:tcPr>
          <w:p w14:paraId="20FA3308">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鸡西市鸡东县污水处理厂混合入河排污口</w:t>
            </w:r>
          </w:p>
        </w:tc>
        <w:tc>
          <w:tcPr>
            <w:tcW w:w="1913" w:type="dxa"/>
            <w:shd w:val="clear" w:color="auto" w:fill="auto"/>
            <w:vAlign w:val="center"/>
          </w:tcPr>
          <w:p w14:paraId="749EC286">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1095</w:t>
            </w:r>
          </w:p>
        </w:tc>
        <w:tc>
          <w:tcPr>
            <w:tcW w:w="1322" w:type="dxa"/>
            <w:shd w:val="clear" w:color="auto" w:fill="auto"/>
            <w:vAlign w:val="center"/>
          </w:tcPr>
          <w:p w14:paraId="3E17DAE9">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547.5</w:t>
            </w:r>
          </w:p>
        </w:tc>
        <w:tc>
          <w:tcPr>
            <w:tcW w:w="1156" w:type="dxa"/>
            <w:tcBorders>
              <w:right w:val="nil"/>
            </w:tcBorders>
            <w:shd w:val="clear" w:color="auto" w:fill="auto"/>
            <w:vAlign w:val="center"/>
          </w:tcPr>
          <w:p w14:paraId="799C6D3E">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54.75</w:t>
            </w:r>
          </w:p>
        </w:tc>
        <w:tc>
          <w:tcPr>
            <w:tcW w:w="1411" w:type="dxa"/>
            <w:tcBorders>
              <w:right w:val="nil"/>
            </w:tcBorders>
            <w:shd w:val="clear" w:color="auto" w:fill="auto"/>
            <w:vAlign w:val="center"/>
          </w:tcPr>
          <w:p w14:paraId="33F9FDE1">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环评报告</w:t>
            </w:r>
          </w:p>
        </w:tc>
      </w:tr>
      <w:tr w14:paraId="56DC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548" w:type="dxa"/>
            <w:tcBorders>
              <w:left w:val="nil"/>
            </w:tcBorders>
            <w:shd w:val="clear" w:color="auto" w:fill="auto"/>
            <w:vAlign w:val="center"/>
          </w:tcPr>
          <w:p w14:paraId="23947092">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5</w:t>
            </w:r>
          </w:p>
        </w:tc>
        <w:tc>
          <w:tcPr>
            <w:tcW w:w="2938" w:type="dxa"/>
            <w:shd w:val="clear" w:color="auto" w:fill="auto"/>
            <w:vAlign w:val="center"/>
          </w:tcPr>
          <w:p w14:paraId="25885285">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牡丹江管局八五一〇农场场部污水处理厂混合入河排污口</w:t>
            </w:r>
          </w:p>
        </w:tc>
        <w:tc>
          <w:tcPr>
            <w:tcW w:w="1913" w:type="dxa"/>
            <w:shd w:val="clear" w:color="auto" w:fill="auto"/>
            <w:vAlign w:val="center"/>
          </w:tcPr>
          <w:p w14:paraId="711490DE">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31.03</w:t>
            </w:r>
          </w:p>
        </w:tc>
        <w:tc>
          <w:tcPr>
            <w:tcW w:w="1322" w:type="dxa"/>
            <w:shd w:val="clear" w:color="auto" w:fill="auto"/>
            <w:vAlign w:val="center"/>
          </w:tcPr>
          <w:p w14:paraId="14E56981">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18.62</w:t>
            </w:r>
          </w:p>
        </w:tc>
        <w:tc>
          <w:tcPr>
            <w:tcW w:w="1156" w:type="dxa"/>
            <w:tcBorders>
              <w:right w:val="nil"/>
            </w:tcBorders>
            <w:shd w:val="clear" w:color="auto" w:fill="auto"/>
            <w:vAlign w:val="center"/>
          </w:tcPr>
          <w:p w14:paraId="06EAED35">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2.48</w:t>
            </w:r>
          </w:p>
        </w:tc>
        <w:tc>
          <w:tcPr>
            <w:tcW w:w="1411" w:type="dxa"/>
            <w:tcBorders>
              <w:right w:val="nil"/>
            </w:tcBorders>
            <w:shd w:val="clear" w:color="auto" w:fill="auto"/>
            <w:vAlign w:val="center"/>
          </w:tcPr>
          <w:p w14:paraId="5ED75975">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环评报告</w:t>
            </w:r>
          </w:p>
        </w:tc>
      </w:tr>
      <w:tr w14:paraId="41E7E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548" w:type="dxa"/>
            <w:tcBorders>
              <w:left w:val="nil"/>
            </w:tcBorders>
            <w:shd w:val="clear" w:color="auto" w:fill="auto"/>
            <w:vAlign w:val="center"/>
          </w:tcPr>
          <w:p w14:paraId="2E1C6C2E">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6</w:t>
            </w:r>
          </w:p>
        </w:tc>
        <w:tc>
          <w:tcPr>
            <w:tcW w:w="2938" w:type="dxa"/>
            <w:shd w:val="clear" w:color="auto" w:fill="auto"/>
            <w:vAlign w:val="center"/>
          </w:tcPr>
          <w:p w14:paraId="6CF85545">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和越磨科有限公司入河排污口</w:t>
            </w:r>
          </w:p>
        </w:tc>
        <w:tc>
          <w:tcPr>
            <w:tcW w:w="1913" w:type="dxa"/>
            <w:shd w:val="clear" w:color="auto" w:fill="auto"/>
            <w:vAlign w:val="center"/>
          </w:tcPr>
          <w:p w14:paraId="44E77307">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0.292</w:t>
            </w:r>
          </w:p>
        </w:tc>
        <w:tc>
          <w:tcPr>
            <w:tcW w:w="1322" w:type="dxa"/>
            <w:shd w:val="clear" w:color="auto" w:fill="auto"/>
            <w:vAlign w:val="center"/>
          </w:tcPr>
          <w:p w14:paraId="206E50CC">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0.438</w:t>
            </w:r>
          </w:p>
        </w:tc>
        <w:tc>
          <w:tcPr>
            <w:tcW w:w="1156" w:type="dxa"/>
            <w:tcBorders>
              <w:right w:val="nil"/>
            </w:tcBorders>
            <w:shd w:val="clear" w:color="auto" w:fill="auto"/>
            <w:vAlign w:val="center"/>
          </w:tcPr>
          <w:p w14:paraId="16DB8EF1">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0.0438</w:t>
            </w:r>
          </w:p>
        </w:tc>
        <w:tc>
          <w:tcPr>
            <w:tcW w:w="1411" w:type="dxa"/>
            <w:tcBorders>
              <w:right w:val="nil"/>
            </w:tcBorders>
            <w:shd w:val="clear" w:color="auto" w:fill="auto"/>
            <w:vAlign w:val="center"/>
          </w:tcPr>
          <w:p w14:paraId="40751D71">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环评报告</w:t>
            </w:r>
          </w:p>
        </w:tc>
      </w:tr>
      <w:tr w14:paraId="044C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548" w:type="dxa"/>
            <w:tcBorders>
              <w:left w:val="nil"/>
            </w:tcBorders>
            <w:shd w:val="clear" w:color="auto" w:fill="auto"/>
            <w:vAlign w:val="center"/>
          </w:tcPr>
          <w:p w14:paraId="38A3D679">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7</w:t>
            </w:r>
          </w:p>
        </w:tc>
        <w:tc>
          <w:tcPr>
            <w:tcW w:w="2938" w:type="dxa"/>
            <w:shd w:val="clear" w:color="auto" w:fill="auto"/>
            <w:vAlign w:val="center"/>
          </w:tcPr>
          <w:p w14:paraId="54851CD7">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鸡西市荣华矿混合入河排污口</w:t>
            </w:r>
          </w:p>
        </w:tc>
        <w:tc>
          <w:tcPr>
            <w:tcW w:w="1913" w:type="dxa"/>
            <w:shd w:val="clear" w:color="auto" w:fill="auto"/>
            <w:vAlign w:val="center"/>
          </w:tcPr>
          <w:p w14:paraId="0E4AD803">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20.221</w:t>
            </w:r>
          </w:p>
        </w:tc>
        <w:tc>
          <w:tcPr>
            <w:tcW w:w="1322" w:type="dxa"/>
            <w:shd w:val="clear" w:color="auto" w:fill="auto"/>
            <w:vAlign w:val="center"/>
          </w:tcPr>
          <w:p w14:paraId="4DD24844">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12.88</w:t>
            </w:r>
          </w:p>
        </w:tc>
        <w:tc>
          <w:tcPr>
            <w:tcW w:w="1156" w:type="dxa"/>
            <w:tcBorders>
              <w:right w:val="nil"/>
            </w:tcBorders>
            <w:shd w:val="clear" w:color="auto" w:fill="auto"/>
            <w:vAlign w:val="center"/>
          </w:tcPr>
          <w:p w14:paraId="172CCE8D">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3.03</w:t>
            </w:r>
          </w:p>
        </w:tc>
        <w:tc>
          <w:tcPr>
            <w:tcW w:w="1411" w:type="dxa"/>
            <w:tcBorders>
              <w:right w:val="nil"/>
            </w:tcBorders>
            <w:shd w:val="clear" w:color="auto" w:fill="auto"/>
            <w:vAlign w:val="center"/>
          </w:tcPr>
          <w:p w14:paraId="3DE0C927">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入河排污口论证报告</w:t>
            </w:r>
          </w:p>
        </w:tc>
      </w:tr>
      <w:tr w14:paraId="199C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548" w:type="dxa"/>
            <w:tcBorders>
              <w:left w:val="nil"/>
            </w:tcBorders>
            <w:shd w:val="clear" w:color="auto" w:fill="auto"/>
            <w:vAlign w:val="center"/>
          </w:tcPr>
          <w:p w14:paraId="0C98F343">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8</w:t>
            </w:r>
          </w:p>
        </w:tc>
        <w:tc>
          <w:tcPr>
            <w:tcW w:w="2938" w:type="dxa"/>
            <w:shd w:val="clear" w:color="auto" w:fill="auto"/>
            <w:vAlign w:val="center"/>
          </w:tcPr>
          <w:p w14:paraId="6F60009A">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鸡东煤电化循环经济示范基地化工产业园入河排污口</w:t>
            </w:r>
          </w:p>
        </w:tc>
        <w:tc>
          <w:tcPr>
            <w:tcW w:w="1913" w:type="dxa"/>
            <w:shd w:val="clear" w:color="auto" w:fill="auto"/>
            <w:vAlign w:val="center"/>
          </w:tcPr>
          <w:p w14:paraId="38122305">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383.25</w:t>
            </w:r>
          </w:p>
        </w:tc>
        <w:tc>
          <w:tcPr>
            <w:tcW w:w="1322" w:type="dxa"/>
            <w:shd w:val="clear" w:color="auto" w:fill="auto"/>
            <w:vAlign w:val="center"/>
          </w:tcPr>
          <w:p w14:paraId="4728EDDA">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191.625</w:t>
            </w:r>
          </w:p>
        </w:tc>
        <w:tc>
          <w:tcPr>
            <w:tcW w:w="1156" w:type="dxa"/>
            <w:tcBorders>
              <w:right w:val="nil"/>
            </w:tcBorders>
            <w:shd w:val="clear" w:color="auto" w:fill="auto"/>
            <w:vAlign w:val="center"/>
          </w:tcPr>
          <w:p w14:paraId="568E056A">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19.1625</w:t>
            </w:r>
          </w:p>
        </w:tc>
        <w:tc>
          <w:tcPr>
            <w:tcW w:w="1411" w:type="dxa"/>
            <w:tcBorders>
              <w:right w:val="nil"/>
            </w:tcBorders>
            <w:shd w:val="clear" w:color="auto" w:fill="auto"/>
            <w:vAlign w:val="center"/>
          </w:tcPr>
          <w:p w14:paraId="5E53104C">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环评报告</w:t>
            </w:r>
          </w:p>
        </w:tc>
      </w:tr>
      <w:tr w14:paraId="21205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548" w:type="dxa"/>
            <w:tcBorders>
              <w:left w:val="nil"/>
            </w:tcBorders>
            <w:shd w:val="clear" w:color="auto" w:fill="auto"/>
            <w:vAlign w:val="center"/>
          </w:tcPr>
          <w:p w14:paraId="0D7BFEEB">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9</w:t>
            </w:r>
          </w:p>
        </w:tc>
        <w:tc>
          <w:tcPr>
            <w:tcW w:w="2938" w:type="dxa"/>
            <w:shd w:val="clear" w:color="auto" w:fill="auto"/>
            <w:vAlign w:val="center"/>
          </w:tcPr>
          <w:p w14:paraId="3F65B20D">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鸡西龙江环保治水有限公司（一期和二期工程）</w:t>
            </w:r>
          </w:p>
        </w:tc>
        <w:tc>
          <w:tcPr>
            <w:tcW w:w="1913" w:type="dxa"/>
            <w:shd w:val="clear" w:color="auto" w:fill="auto"/>
            <w:vAlign w:val="center"/>
          </w:tcPr>
          <w:p w14:paraId="22BFA496">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3650</w:t>
            </w:r>
          </w:p>
        </w:tc>
        <w:tc>
          <w:tcPr>
            <w:tcW w:w="1322" w:type="dxa"/>
            <w:shd w:val="clear" w:color="auto" w:fill="auto"/>
            <w:vAlign w:val="center"/>
          </w:tcPr>
          <w:p w14:paraId="7D89066B">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1825</w:t>
            </w:r>
          </w:p>
        </w:tc>
        <w:tc>
          <w:tcPr>
            <w:tcW w:w="1156" w:type="dxa"/>
            <w:tcBorders>
              <w:right w:val="nil"/>
            </w:tcBorders>
            <w:shd w:val="clear" w:color="auto" w:fill="auto"/>
            <w:vAlign w:val="center"/>
          </w:tcPr>
          <w:p w14:paraId="1297F4C8">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182.5</w:t>
            </w:r>
          </w:p>
        </w:tc>
        <w:tc>
          <w:tcPr>
            <w:tcW w:w="1411" w:type="dxa"/>
            <w:tcBorders>
              <w:right w:val="nil"/>
            </w:tcBorders>
            <w:shd w:val="clear" w:color="auto" w:fill="auto"/>
            <w:vAlign w:val="center"/>
          </w:tcPr>
          <w:p w14:paraId="63A45633">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环评报告</w:t>
            </w:r>
          </w:p>
        </w:tc>
      </w:tr>
      <w:tr w14:paraId="108B4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548" w:type="dxa"/>
            <w:tcBorders>
              <w:left w:val="nil"/>
            </w:tcBorders>
            <w:shd w:val="clear" w:color="auto" w:fill="auto"/>
            <w:vAlign w:val="center"/>
          </w:tcPr>
          <w:p w14:paraId="31C9370A">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10</w:t>
            </w:r>
          </w:p>
        </w:tc>
        <w:tc>
          <w:tcPr>
            <w:tcW w:w="2938" w:type="dxa"/>
            <w:shd w:val="clear" w:color="auto" w:fill="auto"/>
            <w:vAlign w:val="center"/>
          </w:tcPr>
          <w:p w14:paraId="7E38B36B">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鸡西市洁净污水处理有限公司</w:t>
            </w:r>
          </w:p>
        </w:tc>
        <w:tc>
          <w:tcPr>
            <w:tcW w:w="1913" w:type="dxa"/>
            <w:shd w:val="clear" w:color="auto" w:fill="auto"/>
            <w:vAlign w:val="center"/>
          </w:tcPr>
          <w:p w14:paraId="2D256832">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730</w:t>
            </w:r>
          </w:p>
        </w:tc>
        <w:tc>
          <w:tcPr>
            <w:tcW w:w="1322" w:type="dxa"/>
            <w:shd w:val="clear" w:color="auto" w:fill="auto"/>
            <w:vAlign w:val="center"/>
          </w:tcPr>
          <w:p w14:paraId="368F48CC">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365</w:t>
            </w:r>
          </w:p>
        </w:tc>
        <w:tc>
          <w:tcPr>
            <w:tcW w:w="1156" w:type="dxa"/>
            <w:tcBorders>
              <w:right w:val="nil"/>
            </w:tcBorders>
            <w:shd w:val="clear" w:color="auto" w:fill="auto"/>
            <w:vAlign w:val="center"/>
          </w:tcPr>
          <w:p w14:paraId="46CEE583">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49.28</w:t>
            </w:r>
          </w:p>
        </w:tc>
        <w:tc>
          <w:tcPr>
            <w:tcW w:w="1411" w:type="dxa"/>
            <w:tcBorders>
              <w:right w:val="nil"/>
            </w:tcBorders>
            <w:shd w:val="clear" w:color="auto" w:fill="auto"/>
            <w:vAlign w:val="center"/>
          </w:tcPr>
          <w:p w14:paraId="7BAE69E6">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环评报告</w:t>
            </w:r>
          </w:p>
        </w:tc>
      </w:tr>
      <w:tr w14:paraId="5C4B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548" w:type="dxa"/>
            <w:tcBorders>
              <w:left w:val="nil"/>
            </w:tcBorders>
            <w:shd w:val="clear" w:color="auto" w:fill="auto"/>
            <w:vAlign w:val="center"/>
          </w:tcPr>
          <w:p w14:paraId="4C0B486E">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11</w:t>
            </w:r>
          </w:p>
        </w:tc>
        <w:tc>
          <w:tcPr>
            <w:tcW w:w="2938" w:type="dxa"/>
            <w:shd w:val="clear" w:color="auto" w:fill="auto"/>
            <w:vAlign w:val="center"/>
          </w:tcPr>
          <w:p w14:paraId="1CA5C9CA">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黑龙江密山经济开发区污水处理厂入河排污口</w:t>
            </w:r>
          </w:p>
        </w:tc>
        <w:tc>
          <w:tcPr>
            <w:tcW w:w="1913" w:type="dxa"/>
            <w:shd w:val="clear" w:color="auto" w:fill="auto"/>
            <w:vAlign w:val="center"/>
          </w:tcPr>
          <w:p w14:paraId="266F7FA4">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365</w:t>
            </w:r>
          </w:p>
        </w:tc>
        <w:tc>
          <w:tcPr>
            <w:tcW w:w="1322" w:type="dxa"/>
            <w:shd w:val="clear" w:color="auto" w:fill="auto"/>
            <w:vAlign w:val="center"/>
          </w:tcPr>
          <w:p w14:paraId="251D53FA">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214.6</w:t>
            </w:r>
          </w:p>
        </w:tc>
        <w:tc>
          <w:tcPr>
            <w:tcW w:w="1156" w:type="dxa"/>
            <w:tcBorders>
              <w:right w:val="nil"/>
            </w:tcBorders>
            <w:shd w:val="clear" w:color="auto" w:fill="auto"/>
            <w:vAlign w:val="center"/>
          </w:tcPr>
          <w:p w14:paraId="114F7C9C">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28.6</w:t>
            </w:r>
          </w:p>
        </w:tc>
        <w:tc>
          <w:tcPr>
            <w:tcW w:w="1411" w:type="dxa"/>
            <w:tcBorders>
              <w:right w:val="nil"/>
            </w:tcBorders>
            <w:shd w:val="clear" w:color="auto" w:fill="auto"/>
            <w:vAlign w:val="center"/>
          </w:tcPr>
          <w:p w14:paraId="236175F2">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环评报告</w:t>
            </w:r>
          </w:p>
        </w:tc>
      </w:tr>
      <w:tr w14:paraId="7EB3E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548" w:type="dxa"/>
            <w:tcBorders>
              <w:left w:val="nil"/>
            </w:tcBorders>
            <w:shd w:val="clear" w:color="auto" w:fill="auto"/>
            <w:vAlign w:val="center"/>
          </w:tcPr>
          <w:p w14:paraId="7FFA9F8C">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snapToGrid w:val="0"/>
                <w:color w:val="auto"/>
                <w:kern w:val="0"/>
                <w:sz w:val="21"/>
                <w:szCs w:val="21"/>
                <w:vertAlign w:val="baseline"/>
                <w:lang w:val="en-US" w:eastAsia="zh-CN" w:bidi="ar-SA"/>
              </w:rPr>
              <w:t>12</w:t>
            </w:r>
          </w:p>
        </w:tc>
        <w:tc>
          <w:tcPr>
            <w:tcW w:w="2938" w:type="dxa"/>
            <w:shd w:val="clear" w:color="auto" w:fill="auto"/>
            <w:vAlign w:val="center"/>
          </w:tcPr>
          <w:p w14:paraId="5D83379D">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密山市环城污水处理厂入河排污口</w:t>
            </w:r>
          </w:p>
        </w:tc>
        <w:tc>
          <w:tcPr>
            <w:tcW w:w="1913" w:type="dxa"/>
            <w:shd w:val="clear" w:color="auto" w:fill="auto"/>
            <w:vAlign w:val="center"/>
          </w:tcPr>
          <w:p w14:paraId="645B9F6F">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912.5</w:t>
            </w:r>
          </w:p>
        </w:tc>
        <w:tc>
          <w:tcPr>
            <w:tcW w:w="1322" w:type="dxa"/>
            <w:shd w:val="clear" w:color="auto" w:fill="auto"/>
            <w:vAlign w:val="center"/>
          </w:tcPr>
          <w:p w14:paraId="2A58104C">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456.25</w:t>
            </w:r>
          </w:p>
        </w:tc>
        <w:tc>
          <w:tcPr>
            <w:tcW w:w="1156" w:type="dxa"/>
            <w:tcBorders>
              <w:right w:val="nil"/>
            </w:tcBorders>
            <w:shd w:val="clear" w:color="auto" w:fill="auto"/>
            <w:vAlign w:val="center"/>
          </w:tcPr>
          <w:p w14:paraId="084B5A1C">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45.63</w:t>
            </w:r>
          </w:p>
        </w:tc>
        <w:tc>
          <w:tcPr>
            <w:tcW w:w="1411" w:type="dxa"/>
            <w:tcBorders>
              <w:right w:val="nil"/>
            </w:tcBorders>
            <w:shd w:val="clear" w:color="auto" w:fill="auto"/>
            <w:vAlign w:val="center"/>
          </w:tcPr>
          <w:p w14:paraId="3D12ADA5">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环评报告</w:t>
            </w:r>
          </w:p>
        </w:tc>
      </w:tr>
    </w:tbl>
    <w:p w14:paraId="12760391">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line="360" w:lineRule="auto"/>
        <w:ind w:leftChars="200" w:right="0" w:rightChars="0"/>
        <w:jc w:val="left"/>
        <w:textAlignment w:val="baseline"/>
        <w:rPr>
          <w:rFonts w:hint="default" w:ascii="宋体" w:hAnsi="宋体" w:eastAsia="宋体" w:cs="宋体"/>
          <w:b/>
          <w:bCs/>
          <w:snapToGrid w:val="0"/>
          <w:color w:val="auto"/>
          <w:kern w:val="0"/>
          <w:sz w:val="24"/>
          <w:szCs w:val="24"/>
          <w:lang w:val="en-US" w:eastAsia="zh-CN" w:bidi="ar"/>
        </w:rPr>
      </w:pPr>
      <w:r>
        <w:rPr>
          <w:rFonts w:hint="eastAsia" w:ascii="宋体" w:hAnsi="宋体" w:eastAsia="宋体" w:cs="宋体"/>
          <w:b/>
          <w:bCs/>
          <w:snapToGrid w:val="0"/>
          <w:color w:val="auto"/>
          <w:kern w:val="0"/>
          <w:sz w:val="24"/>
          <w:szCs w:val="24"/>
          <w:lang w:val="en-US" w:eastAsia="zh-CN" w:bidi="ar"/>
        </w:rPr>
        <w:t>3.2.2知一桥国控断面近3年水环境质量现状</w:t>
      </w:r>
    </w:p>
    <w:p w14:paraId="58DD699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fldChar w:fldCharType="begin"/>
      </w:r>
      <w:r>
        <w:rPr>
          <w:rFonts w:hint="default" w:ascii="Times New Roman" w:hAnsi="Times New Roman" w:eastAsia="宋体" w:cs="Times New Roman"/>
          <w:color w:val="auto"/>
          <w:sz w:val="24"/>
          <w:szCs w:val="24"/>
          <w:highlight w:val="none"/>
          <w:lang w:val="en-US" w:eastAsia="zh-CN"/>
        </w:rPr>
        <w:instrText xml:space="preserve"> = 1 \* GB2 \* MERGEFORMAT </w:instrText>
      </w:r>
      <w:r>
        <w:rPr>
          <w:rFonts w:hint="default" w:ascii="Times New Roman" w:hAnsi="Times New Roman" w:eastAsia="宋体" w:cs="Times New Roman"/>
          <w:color w:val="auto"/>
          <w:sz w:val="24"/>
          <w:szCs w:val="24"/>
          <w:highlight w:val="none"/>
          <w:lang w:val="en-US" w:eastAsia="zh-CN"/>
        </w:rPr>
        <w:fldChar w:fldCharType="separate"/>
      </w:r>
      <w:r>
        <w:rPr>
          <w:rFonts w:hint="default" w:ascii="Times New Roman" w:hAnsi="Times New Roman" w:eastAsia="宋体" w:cs="Times New Roman"/>
          <w:color w:val="auto"/>
          <w:sz w:val="24"/>
          <w:szCs w:val="24"/>
          <w:highlight w:val="none"/>
          <w:lang w:val="en-US" w:eastAsia="zh-CN"/>
        </w:rPr>
        <w:t>⑴</w:t>
      </w:r>
      <w:r>
        <w:rPr>
          <w:rFonts w:hint="default" w:ascii="Times New Roman" w:hAnsi="Times New Roman" w:eastAsia="宋体" w:cs="Times New Roman"/>
          <w:color w:val="auto"/>
          <w:sz w:val="24"/>
          <w:szCs w:val="24"/>
          <w:highlight w:val="none"/>
          <w:lang w:val="en-US" w:eastAsia="zh-CN"/>
        </w:rPr>
        <w:fldChar w:fldCharType="end"/>
      </w:r>
      <w:r>
        <w:rPr>
          <w:rFonts w:hint="eastAsia" w:ascii="Times New Roman" w:hAnsi="Times New Roman" w:eastAsia="宋体" w:cs="Times New Roman"/>
          <w:color w:val="auto"/>
          <w:sz w:val="24"/>
          <w:szCs w:val="24"/>
          <w:highlight w:val="none"/>
          <w:lang w:val="en-US" w:eastAsia="zh-CN"/>
        </w:rPr>
        <w:t>2022年水环境质量现状</w:t>
      </w:r>
    </w:p>
    <w:p w14:paraId="50473B5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知一桥国控断面2022年水环境质量引用国家地表水水质自动监测实时数据发布系统中的知一桥国控断面数据的全年平均值。见表3-2。</w:t>
      </w:r>
    </w:p>
    <w:p w14:paraId="4730248D">
      <w:pPr>
        <w:bidi w:val="0"/>
        <w:jc w:val="center"/>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表3-2    2022年知一桥国控断面水环境质量现状</w:t>
      </w:r>
    </w:p>
    <w:tbl>
      <w:tblPr>
        <w:tblStyle w:val="35"/>
        <w:tblW w:w="5000" w:type="pct"/>
        <w:jc w:val="center"/>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454"/>
        <w:gridCol w:w="2878"/>
      </w:tblGrid>
      <w:tr w14:paraId="23F8064E">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12" w:space="0"/>
              <w:left w:val="nil"/>
              <w:bottom w:val="single" w:color="auto" w:sz="4" w:space="0"/>
              <w:right w:val="single" w:color="auto" w:sz="4" w:space="0"/>
            </w:tcBorders>
            <w:shd w:val="clear" w:color="auto" w:fill="auto"/>
            <w:tcMar>
              <w:top w:w="60" w:type="dxa"/>
              <w:left w:w="130" w:type="dxa"/>
              <w:bottom w:w="60" w:type="dxa"/>
              <w:right w:w="130" w:type="dxa"/>
            </w:tcMar>
            <w:vAlign w:val="center"/>
          </w:tcPr>
          <w:p w14:paraId="579A497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eastAsia"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水温(℃)</w:t>
            </w:r>
          </w:p>
        </w:tc>
        <w:tc>
          <w:tcPr>
            <w:tcW w:w="0" w:type="auto"/>
            <w:tcBorders>
              <w:top w:val="single" w:color="auto" w:sz="12" w:space="0"/>
              <w:left w:val="single" w:color="auto" w:sz="4" w:space="0"/>
              <w:bottom w:val="single" w:color="auto" w:sz="4" w:space="0"/>
              <w:right w:val="nil"/>
            </w:tcBorders>
            <w:shd w:val="clear" w:color="auto" w:fill="auto"/>
            <w:tcMar>
              <w:top w:w="60" w:type="dxa"/>
              <w:left w:w="130" w:type="dxa"/>
              <w:bottom w:w="60" w:type="dxa"/>
              <w:right w:w="130" w:type="dxa"/>
            </w:tcMar>
            <w:vAlign w:val="center"/>
          </w:tcPr>
          <w:p w14:paraId="4F4F528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10.767</w:t>
            </w:r>
          </w:p>
        </w:tc>
      </w:tr>
      <w:tr w14:paraId="667FB4A0">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0" w:type="auto"/>
            <w:tcBorders>
              <w:top w:val="single" w:color="auto" w:sz="4" w:space="0"/>
              <w:left w:val="nil"/>
              <w:bottom w:val="single" w:color="auto" w:sz="4" w:space="0"/>
              <w:right w:val="single" w:color="auto" w:sz="4" w:space="0"/>
            </w:tcBorders>
            <w:shd w:val="clear" w:color="auto" w:fill="auto"/>
            <w:tcMar>
              <w:top w:w="60" w:type="dxa"/>
              <w:left w:w="130" w:type="dxa"/>
              <w:bottom w:w="60" w:type="dxa"/>
              <w:right w:w="130" w:type="dxa"/>
            </w:tcMar>
            <w:vAlign w:val="center"/>
          </w:tcPr>
          <w:p w14:paraId="6B050DF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pH</w:t>
            </w:r>
          </w:p>
        </w:tc>
        <w:tc>
          <w:tcPr>
            <w:tcW w:w="0" w:type="auto"/>
            <w:tcBorders>
              <w:top w:val="single" w:color="auto" w:sz="4" w:space="0"/>
              <w:left w:val="single" w:color="auto" w:sz="4" w:space="0"/>
              <w:bottom w:val="single" w:color="auto" w:sz="4" w:space="0"/>
              <w:right w:val="nil"/>
            </w:tcBorders>
            <w:shd w:val="clear" w:color="auto" w:fill="auto"/>
            <w:tcMar>
              <w:top w:w="60" w:type="dxa"/>
              <w:left w:w="130" w:type="dxa"/>
              <w:bottom w:w="60" w:type="dxa"/>
              <w:right w:w="130" w:type="dxa"/>
            </w:tcMar>
            <w:vAlign w:val="center"/>
          </w:tcPr>
          <w:p w14:paraId="6FEBBC9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7.250</w:t>
            </w:r>
          </w:p>
        </w:tc>
      </w:tr>
      <w:tr w14:paraId="772FCD4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left w:val="nil"/>
              <w:bottom w:val="single" w:color="auto" w:sz="4" w:space="0"/>
              <w:right w:val="single" w:color="auto" w:sz="4" w:space="0"/>
            </w:tcBorders>
            <w:shd w:val="clear" w:color="auto" w:fill="auto"/>
            <w:tcMar>
              <w:top w:w="60" w:type="dxa"/>
              <w:left w:w="130" w:type="dxa"/>
              <w:bottom w:w="60" w:type="dxa"/>
              <w:right w:w="130" w:type="dxa"/>
            </w:tcMar>
            <w:vAlign w:val="center"/>
          </w:tcPr>
          <w:p w14:paraId="78B4F5F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溶解氧(mg/L)</w:t>
            </w:r>
          </w:p>
        </w:tc>
        <w:tc>
          <w:tcPr>
            <w:tcW w:w="0" w:type="auto"/>
            <w:tcBorders>
              <w:top w:val="single" w:color="auto" w:sz="4" w:space="0"/>
              <w:left w:val="single" w:color="auto" w:sz="4" w:space="0"/>
              <w:bottom w:val="single" w:color="auto" w:sz="4" w:space="0"/>
              <w:right w:val="nil"/>
            </w:tcBorders>
            <w:shd w:val="clear" w:color="auto" w:fill="auto"/>
            <w:tcMar>
              <w:top w:w="60" w:type="dxa"/>
              <w:left w:w="130" w:type="dxa"/>
              <w:bottom w:w="60" w:type="dxa"/>
              <w:right w:w="130" w:type="dxa"/>
            </w:tcMar>
            <w:vAlign w:val="center"/>
          </w:tcPr>
          <w:p w14:paraId="12081788">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11.537</w:t>
            </w:r>
          </w:p>
        </w:tc>
      </w:tr>
      <w:tr w14:paraId="2EF1B42F">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0" w:type="auto"/>
            <w:tcBorders>
              <w:top w:val="single" w:color="auto" w:sz="4" w:space="0"/>
              <w:left w:val="nil"/>
              <w:bottom w:val="single" w:color="auto" w:sz="4" w:space="0"/>
              <w:right w:val="single" w:color="auto" w:sz="4" w:space="0"/>
            </w:tcBorders>
            <w:shd w:val="clear" w:color="auto" w:fill="auto"/>
            <w:tcMar>
              <w:top w:w="60" w:type="dxa"/>
              <w:left w:w="130" w:type="dxa"/>
              <w:bottom w:w="60" w:type="dxa"/>
              <w:right w:w="130" w:type="dxa"/>
            </w:tcMar>
            <w:vAlign w:val="center"/>
          </w:tcPr>
          <w:p w14:paraId="1914EC9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电导率(μS/cm)</w:t>
            </w:r>
          </w:p>
        </w:tc>
        <w:tc>
          <w:tcPr>
            <w:tcW w:w="0" w:type="auto"/>
            <w:tcBorders>
              <w:top w:val="single" w:color="auto" w:sz="4" w:space="0"/>
              <w:left w:val="single" w:color="auto" w:sz="4" w:space="0"/>
              <w:bottom w:val="single" w:color="auto" w:sz="4" w:space="0"/>
              <w:right w:val="nil"/>
            </w:tcBorders>
            <w:shd w:val="clear" w:color="auto" w:fill="auto"/>
            <w:tcMar>
              <w:top w:w="60" w:type="dxa"/>
              <w:left w:w="130" w:type="dxa"/>
              <w:bottom w:w="60" w:type="dxa"/>
              <w:right w:w="130" w:type="dxa"/>
            </w:tcMar>
            <w:vAlign w:val="center"/>
          </w:tcPr>
          <w:p w14:paraId="188E5BB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284.300</w:t>
            </w:r>
          </w:p>
        </w:tc>
      </w:tr>
      <w:tr w14:paraId="3F385F14">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0" w:type="auto"/>
            <w:tcBorders>
              <w:top w:val="single" w:color="auto" w:sz="4" w:space="0"/>
              <w:left w:val="nil"/>
              <w:bottom w:val="single" w:color="auto" w:sz="4" w:space="0"/>
              <w:right w:val="single" w:color="auto" w:sz="4" w:space="0"/>
            </w:tcBorders>
            <w:shd w:val="clear" w:color="auto" w:fill="auto"/>
            <w:tcMar>
              <w:top w:w="60" w:type="dxa"/>
              <w:left w:w="130" w:type="dxa"/>
              <w:bottom w:w="60" w:type="dxa"/>
              <w:right w:w="130" w:type="dxa"/>
            </w:tcMar>
            <w:vAlign w:val="center"/>
          </w:tcPr>
          <w:p w14:paraId="4118EF9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浊度(NTU)</w:t>
            </w:r>
          </w:p>
        </w:tc>
        <w:tc>
          <w:tcPr>
            <w:tcW w:w="0" w:type="auto"/>
            <w:tcBorders>
              <w:top w:val="single" w:color="auto" w:sz="4" w:space="0"/>
              <w:left w:val="single" w:color="auto" w:sz="4" w:space="0"/>
              <w:bottom w:val="single" w:color="auto" w:sz="4" w:space="0"/>
              <w:right w:val="nil"/>
            </w:tcBorders>
            <w:shd w:val="clear" w:color="auto" w:fill="auto"/>
            <w:tcMar>
              <w:top w:w="60" w:type="dxa"/>
              <w:left w:w="130" w:type="dxa"/>
              <w:bottom w:w="60" w:type="dxa"/>
              <w:right w:w="130" w:type="dxa"/>
            </w:tcMar>
            <w:vAlign w:val="center"/>
          </w:tcPr>
          <w:p w14:paraId="0DD3B41D">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55.867</w:t>
            </w:r>
          </w:p>
        </w:tc>
      </w:tr>
      <w:tr w14:paraId="52C12CB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0" w:type="auto"/>
            <w:tcBorders>
              <w:top w:val="single" w:color="auto" w:sz="4" w:space="0"/>
              <w:left w:val="nil"/>
              <w:bottom w:val="single" w:color="auto" w:sz="4" w:space="0"/>
              <w:right w:val="single" w:color="auto" w:sz="4" w:space="0"/>
            </w:tcBorders>
            <w:shd w:val="clear" w:color="auto" w:fill="auto"/>
            <w:tcMar>
              <w:top w:w="60" w:type="dxa"/>
              <w:left w:w="130" w:type="dxa"/>
              <w:bottom w:w="60" w:type="dxa"/>
              <w:right w:w="130" w:type="dxa"/>
            </w:tcMar>
            <w:vAlign w:val="center"/>
          </w:tcPr>
          <w:p w14:paraId="351BEE05">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高锰酸盐指数(mg/L)</w:t>
            </w:r>
          </w:p>
        </w:tc>
        <w:tc>
          <w:tcPr>
            <w:tcW w:w="0" w:type="auto"/>
            <w:tcBorders>
              <w:top w:val="single" w:color="auto" w:sz="4" w:space="0"/>
              <w:left w:val="single" w:color="auto" w:sz="4" w:space="0"/>
              <w:bottom w:val="single" w:color="auto" w:sz="4" w:space="0"/>
              <w:right w:val="nil"/>
            </w:tcBorders>
            <w:shd w:val="clear" w:color="auto" w:fill="auto"/>
            <w:tcMar>
              <w:top w:w="60" w:type="dxa"/>
              <w:left w:w="130" w:type="dxa"/>
              <w:bottom w:w="60" w:type="dxa"/>
              <w:right w:w="130" w:type="dxa"/>
            </w:tcMar>
            <w:vAlign w:val="center"/>
          </w:tcPr>
          <w:p w14:paraId="3779EBC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4.877</w:t>
            </w:r>
          </w:p>
        </w:tc>
      </w:tr>
      <w:tr w14:paraId="755F77F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left w:val="nil"/>
              <w:bottom w:val="single" w:color="auto" w:sz="4" w:space="0"/>
              <w:right w:val="single" w:color="auto" w:sz="4" w:space="0"/>
            </w:tcBorders>
            <w:shd w:val="clear" w:color="auto" w:fill="auto"/>
            <w:tcMar>
              <w:top w:w="60" w:type="dxa"/>
              <w:left w:w="130" w:type="dxa"/>
              <w:bottom w:w="60" w:type="dxa"/>
              <w:right w:w="130" w:type="dxa"/>
            </w:tcMar>
            <w:vAlign w:val="center"/>
          </w:tcPr>
          <w:p w14:paraId="1B7887E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氨氮(mg/L)</w:t>
            </w:r>
          </w:p>
        </w:tc>
        <w:tc>
          <w:tcPr>
            <w:tcW w:w="0" w:type="auto"/>
            <w:tcBorders>
              <w:top w:val="single" w:color="auto" w:sz="4" w:space="0"/>
              <w:left w:val="single" w:color="auto" w:sz="4" w:space="0"/>
              <w:bottom w:val="single" w:color="auto" w:sz="4" w:space="0"/>
              <w:right w:val="nil"/>
            </w:tcBorders>
            <w:shd w:val="clear" w:color="auto" w:fill="auto"/>
            <w:tcMar>
              <w:top w:w="60" w:type="dxa"/>
              <w:left w:w="130" w:type="dxa"/>
              <w:bottom w:w="60" w:type="dxa"/>
              <w:right w:w="130" w:type="dxa"/>
            </w:tcMar>
            <w:vAlign w:val="center"/>
          </w:tcPr>
          <w:p w14:paraId="48B2CC3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0.334</w:t>
            </w:r>
          </w:p>
        </w:tc>
      </w:tr>
      <w:tr w14:paraId="18549D6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0" w:type="auto"/>
            <w:tcBorders>
              <w:top w:val="single" w:color="auto" w:sz="4" w:space="0"/>
              <w:left w:val="nil"/>
              <w:bottom w:val="single" w:color="auto" w:sz="4" w:space="0"/>
              <w:right w:val="single" w:color="auto" w:sz="4" w:space="0"/>
            </w:tcBorders>
            <w:shd w:val="clear" w:color="auto" w:fill="auto"/>
            <w:tcMar>
              <w:top w:w="60" w:type="dxa"/>
              <w:left w:w="130" w:type="dxa"/>
              <w:bottom w:w="60" w:type="dxa"/>
              <w:right w:w="130" w:type="dxa"/>
            </w:tcMar>
            <w:vAlign w:val="center"/>
          </w:tcPr>
          <w:p w14:paraId="710707F9">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总磷(mg/L)</w:t>
            </w:r>
          </w:p>
        </w:tc>
        <w:tc>
          <w:tcPr>
            <w:tcW w:w="0" w:type="auto"/>
            <w:tcBorders>
              <w:top w:val="single" w:color="auto" w:sz="4" w:space="0"/>
              <w:left w:val="single" w:color="auto" w:sz="4" w:space="0"/>
              <w:bottom w:val="single" w:color="auto" w:sz="4" w:space="0"/>
              <w:right w:val="nil"/>
            </w:tcBorders>
            <w:shd w:val="clear" w:color="auto" w:fill="auto"/>
            <w:tcMar>
              <w:top w:w="60" w:type="dxa"/>
              <w:left w:w="130" w:type="dxa"/>
              <w:bottom w:w="60" w:type="dxa"/>
              <w:right w:w="130" w:type="dxa"/>
            </w:tcMar>
            <w:vAlign w:val="center"/>
          </w:tcPr>
          <w:p w14:paraId="4C8FED7B">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0.077</w:t>
            </w:r>
          </w:p>
        </w:tc>
      </w:tr>
      <w:tr w14:paraId="06906895">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0" w:type="auto"/>
            <w:tcBorders>
              <w:top w:val="single" w:color="auto" w:sz="4" w:space="0"/>
              <w:left w:val="nil"/>
              <w:bottom w:val="single" w:color="auto" w:sz="12" w:space="0"/>
              <w:right w:val="single" w:color="auto" w:sz="4" w:space="0"/>
            </w:tcBorders>
            <w:shd w:val="clear" w:color="auto" w:fill="auto"/>
            <w:tcMar>
              <w:top w:w="60" w:type="dxa"/>
              <w:left w:w="130" w:type="dxa"/>
              <w:bottom w:w="60" w:type="dxa"/>
              <w:right w:w="130" w:type="dxa"/>
            </w:tcMar>
            <w:vAlign w:val="center"/>
          </w:tcPr>
          <w:p w14:paraId="08EE78FF">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总氮(mg/L)</w:t>
            </w:r>
          </w:p>
        </w:tc>
        <w:tc>
          <w:tcPr>
            <w:tcW w:w="0" w:type="auto"/>
            <w:tcBorders>
              <w:top w:val="single" w:color="auto" w:sz="4" w:space="0"/>
              <w:left w:val="single" w:color="auto" w:sz="4" w:space="0"/>
              <w:bottom w:val="single" w:color="auto" w:sz="12" w:space="0"/>
              <w:right w:val="nil"/>
            </w:tcBorders>
            <w:shd w:val="clear" w:color="auto" w:fill="auto"/>
            <w:tcMar>
              <w:top w:w="60" w:type="dxa"/>
              <w:left w:w="130" w:type="dxa"/>
              <w:bottom w:w="60" w:type="dxa"/>
              <w:right w:w="130" w:type="dxa"/>
            </w:tcMar>
            <w:vAlign w:val="center"/>
          </w:tcPr>
          <w:p w14:paraId="3585E6C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3.290</w:t>
            </w:r>
          </w:p>
        </w:tc>
      </w:tr>
    </w:tbl>
    <w:p w14:paraId="001B078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fldChar w:fldCharType="begin"/>
      </w:r>
      <w:r>
        <w:rPr>
          <w:rFonts w:hint="default" w:ascii="Times New Roman" w:hAnsi="Times New Roman" w:eastAsia="宋体" w:cs="Times New Roman"/>
          <w:color w:val="auto"/>
          <w:sz w:val="24"/>
          <w:szCs w:val="24"/>
          <w:highlight w:val="none"/>
          <w:lang w:val="en-US" w:eastAsia="zh-CN"/>
        </w:rPr>
        <w:instrText xml:space="preserve"> = 2 \* GB2 \* MERGEFORMAT </w:instrText>
      </w:r>
      <w:r>
        <w:rPr>
          <w:rFonts w:hint="default" w:ascii="Times New Roman" w:hAnsi="Times New Roman" w:eastAsia="宋体" w:cs="Times New Roman"/>
          <w:color w:val="auto"/>
          <w:sz w:val="24"/>
          <w:szCs w:val="24"/>
          <w:highlight w:val="none"/>
          <w:lang w:val="en-US" w:eastAsia="zh-CN"/>
        </w:rPr>
        <w:fldChar w:fldCharType="separate"/>
      </w:r>
      <w:r>
        <w:rPr>
          <w:color w:val="auto"/>
        </w:rPr>
        <w:t>⑵</w:t>
      </w:r>
      <w:r>
        <w:rPr>
          <w:rFonts w:hint="default" w:ascii="Times New Roman" w:hAnsi="Times New Roman" w:eastAsia="宋体" w:cs="Times New Roman"/>
          <w:color w:val="auto"/>
          <w:sz w:val="24"/>
          <w:szCs w:val="24"/>
          <w:highlight w:val="none"/>
          <w:lang w:val="en-US" w:eastAsia="zh-CN"/>
        </w:rPr>
        <w:fldChar w:fldCharType="end"/>
      </w:r>
      <w:r>
        <w:rPr>
          <w:rFonts w:hint="eastAsia" w:ascii="Times New Roman" w:hAnsi="Times New Roman" w:eastAsia="宋体" w:cs="Times New Roman"/>
          <w:color w:val="auto"/>
          <w:sz w:val="24"/>
          <w:szCs w:val="24"/>
          <w:highlight w:val="none"/>
          <w:lang w:val="en-US" w:eastAsia="zh-CN"/>
        </w:rPr>
        <w:t>2023年水环境质量现状</w:t>
      </w:r>
    </w:p>
    <w:p w14:paraId="29B51047">
      <w:pPr>
        <w:bidi w:val="0"/>
        <w:jc w:val="center"/>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表3-3    2023年知一桥国控断面水环境质量现状</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6454"/>
        <w:gridCol w:w="2878"/>
      </w:tblGrid>
      <w:tr w14:paraId="4787E0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Borders>
              <w:tl2br w:val="nil"/>
              <w:tr2bl w:val="nil"/>
            </w:tcBorders>
            <w:shd w:val="clear" w:color="auto" w:fill="auto"/>
            <w:tcMar>
              <w:top w:w="60" w:type="dxa"/>
              <w:left w:w="130" w:type="dxa"/>
              <w:bottom w:w="60" w:type="dxa"/>
              <w:right w:w="130" w:type="dxa"/>
            </w:tcMar>
            <w:vAlign w:val="center"/>
          </w:tcPr>
          <w:p w14:paraId="40A5C84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水温(℃)</w:t>
            </w:r>
          </w:p>
        </w:tc>
        <w:tc>
          <w:tcPr>
            <w:tcW w:w="0" w:type="auto"/>
            <w:tcBorders>
              <w:tl2br w:val="nil"/>
              <w:tr2bl w:val="nil"/>
            </w:tcBorders>
            <w:shd w:val="clear" w:color="auto" w:fill="auto"/>
            <w:tcMar>
              <w:top w:w="60" w:type="dxa"/>
              <w:left w:w="130" w:type="dxa"/>
              <w:bottom w:w="60" w:type="dxa"/>
              <w:right w:w="130" w:type="dxa"/>
            </w:tcMar>
            <w:vAlign w:val="center"/>
          </w:tcPr>
          <w:p w14:paraId="7B1CB029">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10</w:t>
            </w:r>
            <w:r>
              <w:rPr>
                <w:rFonts w:hint="default" w:ascii="Times New Roman" w:hAnsi="Times New Roman" w:eastAsia="宋体" w:cs="Times New Roman"/>
                <w:color w:val="auto"/>
                <w:sz w:val="21"/>
                <w:szCs w:val="21"/>
                <w:vertAlign w:val="baseline"/>
                <w:lang w:val="en-US" w:eastAsia="zh-CN"/>
              </w:rPr>
              <w:t>.333</w:t>
            </w:r>
          </w:p>
        </w:tc>
      </w:tr>
      <w:tr w14:paraId="37CD86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0" w:type="auto"/>
            <w:tcBorders>
              <w:tl2br w:val="nil"/>
              <w:tr2bl w:val="nil"/>
            </w:tcBorders>
            <w:shd w:val="clear" w:color="auto" w:fill="auto"/>
            <w:tcMar>
              <w:top w:w="60" w:type="dxa"/>
              <w:left w:w="130" w:type="dxa"/>
              <w:bottom w:w="60" w:type="dxa"/>
              <w:right w:w="130" w:type="dxa"/>
            </w:tcMar>
            <w:vAlign w:val="center"/>
          </w:tcPr>
          <w:p w14:paraId="65A336AD">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pH</w:t>
            </w:r>
          </w:p>
        </w:tc>
        <w:tc>
          <w:tcPr>
            <w:tcW w:w="0" w:type="auto"/>
            <w:tcBorders>
              <w:tl2br w:val="nil"/>
              <w:tr2bl w:val="nil"/>
            </w:tcBorders>
            <w:shd w:val="clear" w:color="auto" w:fill="auto"/>
            <w:tcMar>
              <w:top w:w="60" w:type="dxa"/>
              <w:left w:w="130" w:type="dxa"/>
              <w:bottom w:w="60" w:type="dxa"/>
              <w:right w:w="130" w:type="dxa"/>
            </w:tcMar>
            <w:vAlign w:val="center"/>
          </w:tcPr>
          <w:p w14:paraId="2F270F78">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7.233</w:t>
            </w:r>
          </w:p>
        </w:tc>
      </w:tr>
      <w:tr w14:paraId="656C91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0" w:type="auto"/>
            <w:tcBorders>
              <w:tl2br w:val="nil"/>
              <w:tr2bl w:val="nil"/>
            </w:tcBorders>
            <w:shd w:val="clear" w:color="auto" w:fill="auto"/>
            <w:tcMar>
              <w:top w:w="60" w:type="dxa"/>
              <w:left w:w="130" w:type="dxa"/>
              <w:bottom w:w="60" w:type="dxa"/>
              <w:right w:w="130" w:type="dxa"/>
            </w:tcMar>
            <w:vAlign w:val="center"/>
          </w:tcPr>
          <w:p w14:paraId="7EA6A88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溶解氧(mg/L)</w:t>
            </w:r>
          </w:p>
        </w:tc>
        <w:tc>
          <w:tcPr>
            <w:tcW w:w="0" w:type="auto"/>
            <w:tcBorders>
              <w:tl2br w:val="nil"/>
              <w:tr2bl w:val="nil"/>
            </w:tcBorders>
            <w:shd w:val="clear" w:color="auto" w:fill="auto"/>
            <w:tcMar>
              <w:top w:w="60" w:type="dxa"/>
              <w:left w:w="130" w:type="dxa"/>
              <w:bottom w:w="60" w:type="dxa"/>
              <w:right w:w="130" w:type="dxa"/>
            </w:tcMar>
            <w:vAlign w:val="center"/>
          </w:tcPr>
          <w:p w14:paraId="740D01C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8.427</w:t>
            </w:r>
          </w:p>
        </w:tc>
      </w:tr>
      <w:tr w14:paraId="47F01B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0" w:type="auto"/>
            <w:tcBorders>
              <w:tl2br w:val="nil"/>
              <w:tr2bl w:val="nil"/>
            </w:tcBorders>
            <w:shd w:val="clear" w:color="auto" w:fill="auto"/>
            <w:tcMar>
              <w:top w:w="60" w:type="dxa"/>
              <w:left w:w="130" w:type="dxa"/>
              <w:bottom w:w="60" w:type="dxa"/>
              <w:right w:w="130" w:type="dxa"/>
            </w:tcMar>
            <w:vAlign w:val="center"/>
          </w:tcPr>
          <w:p w14:paraId="68F1EC29">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电导率(μS/cm)</w:t>
            </w:r>
          </w:p>
        </w:tc>
        <w:tc>
          <w:tcPr>
            <w:tcW w:w="0" w:type="auto"/>
            <w:tcBorders>
              <w:tl2br w:val="nil"/>
              <w:tr2bl w:val="nil"/>
            </w:tcBorders>
            <w:shd w:val="clear" w:color="auto" w:fill="auto"/>
            <w:tcMar>
              <w:top w:w="60" w:type="dxa"/>
              <w:left w:w="130" w:type="dxa"/>
              <w:bottom w:w="60" w:type="dxa"/>
              <w:right w:w="130" w:type="dxa"/>
            </w:tcMar>
            <w:vAlign w:val="center"/>
          </w:tcPr>
          <w:p w14:paraId="2946BFC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490.933</w:t>
            </w:r>
          </w:p>
        </w:tc>
      </w:tr>
      <w:tr w14:paraId="203BB5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0" w:type="auto"/>
            <w:tcBorders>
              <w:tl2br w:val="nil"/>
              <w:tr2bl w:val="nil"/>
            </w:tcBorders>
            <w:shd w:val="clear" w:color="auto" w:fill="auto"/>
            <w:tcMar>
              <w:top w:w="60" w:type="dxa"/>
              <w:left w:w="130" w:type="dxa"/>
              <w:bottom w:w="60" w:type="dxa"/>
              <w:right w:w="130" w:type="dxa"/>
            </w:tcMar>
            <w:vAlign w:val="center"/>
          </w:tcPr>
          <w:p w14:paraId="5CF62875">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浊度(NTU)</w:t>
            </w:r>
          </w:p>
        </w:tc>
        <w:tc>
          <w:tcPr>
            <w:tcW w:w="0" w:type="auto"/>
            <w:tcBorders>
              <w:tl2br w:val="nil"/>
              <w:tr2bl w:val="nil"/>
            </w:tcBorders>
            <w:shd w:val="clear" w:color="auto" w:fill="auto"/>
            <w:tcMar>
              <w:top w:w="60" w:type="dxa"/>
              <w:left w:w="130" w:type="dxa"/>
              <w:bottom w:w="60" w:type="dxa"/>
              <w:right w:w="130" w:type="dxa"/>
            </w:tcMar>
            <w:vAlign w:val="center"/>
          </w:tcPr>
          <w:p w14:paraId="27D15FB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64.733</w:t>
            </w:r>
          </w:p>
        </w:tc>
      </w:tr>
      <w:tr w14:paraId="4EA283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0" w:type="auto"/>
            <w:tcBorders>
              <w:tl2br w:val="nil"/>
              <w:tr2bl w:val="nil"/>
            </w:tcBorders>
            <w:shd w:val="clear" w:color="auto" w:fill="auto"/>
            <w:tcMar>
              <w:top w:w="60" w:type="dxa"/>
              <w:left w:w="130" w:type="dxa"/>
              <w:bottom w:w="60" w:type="dxa"/>
              <w:right w:w="130" w:type="dxa"/>
            </w:tcMar>
            <w:vAlign w:val="center"/>
          </w:tcPr>
          <w:p w14:paraId="63E257B8">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高锰酸盐指数(mg/L)</w:t>
            </w:r>
          </w:p>
        </w:tc>
        <w:tc>
          <w:tcPr>
            <w:tcW w:w="0" w:type="auto"/>
            <w:tcBorders>
              <w:tl2br w:val="nil"/>
              <w:tr2bl w:val="nil"/>
            </w:tcBorders>
            <w:shd w:val="clear" w:color="auto" w:fill="auto"/>
            <w:tcMar>
              <w:top w:w="60" w:type="dxa"/>
              <w:left w:w="130" w:type="dxa"/>
              <w:bottom w:w="60" w:type="dxa"/>
              <w:right w:w="130" w:type="dxa"/>
            </w:tcMar>
            <w:vAlign w:val="center"/>
          </w:tcPr>
          <w:p w14:paraId="782460E8">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5.387</w:t>
            </w:r>
          </w:p>
        </w:tc>
      </w:tr>
      <w:tr w14:paraId="121D71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0" w:type="auto"/>
            <w:tcBorders>
              <w:tl2br w:val="nil"/>
              <w:tr2bl w:val="nil"/>
            </w:tcBorders>
            <w:shd w:val="clear" w:color="auto" w:fill="auto"/>
            <w:tcMar>
              <w:top w:w="60" w:type="dxa"/>
              <w:left w:w="130" w:type="dxa"/>
              <w:bottom w:w="60" w:type="dxa"/>
              <w:right w:w="130" w:type="dxa"/>
            </w:tcMar>
            <w:vAlign w:val="center"/>
          </w:tcPr>
          <w:p w14:paraId="4B7B4C6D">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氨氮(mg/L)</w:t>
            </w:r>
          </w:p>
        </w:tc>
        <w:tc>
          <w:tcPr>
            <w:tcW w:w="0" w:type="auto"/>
            <w:tcBorders>
              <w:tl2br w:val="nil"/>
              <w:tr2bl w:val="nil"/>
            </w:tcBorders>
            <w:shd w:val="clear" w:color="auto" w:fill="auto"/>
            <w:tcMar>
              <w:top w:w="60" w:type="dxa"/>
              <w:left w:w="130" w:type="dxa"/>
              <w:bottom w:w="60" w:type="dxa"/>
              <w:right w:w="130" w:type="dxa"/>
            </w:tcMar>
            <w:vAlign w:val="center"/>
          </w:tcPr>
          <w:p w14:paraId="1AE0C183">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0.159</w:t>
            </w:r>
          </w:p>
        </w:tc>
      </w:tr>
      <w:tr w14:paraId="579D2B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0" w:type="auto"/>
            <w:tcBorders>
              <w:tl2br w:val="nil"/>
              <w:tr2bl w:val="nil"/>
            </w:tcBorders>
            <w:shd w:val="clear" w:color="auto" w:fill="auto"/>
            <w:tcMar>
              <w:top w:w="60" w:type="dxa"/>
              <w:left w:w="130" w:type="dxa"/>
              <w:bottom w:w="60" w:type="dxa"/>
              <w:right w:w="130" w:type="dxa"/>
            </w:tcMar>
            <w:vAlign w:val="center"/>
          </w:tcPr>
          <w:p w14:paraId="2E4058A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总磷(mg/L)</w:t>
            </w:r>
          </w:p>
        </w:tc>
        <w:tc>
          <w:tcPr>
            <w:tcW w:w="0" w:type="auto"/>
            <w:tcBorders>
              <w:tl2br w:val="nil"/>
              <w:tr2bl w:val="nil"/>
            </w:tcBorders>
            <w:shd w:val="clear" w:color="auto" w:fill="auto"/>
            <w:tcMar>
              <w:top w:w="60" w:type="dxa"/>
              <w:left w:w="130" w:type="dxa"/>
              <w:bottom w:w="60" w:type="dxa"/>
              <w:right w:w="130" w:type="dxa"/>
            </w:tcMar>
            <w:vAlign w:val="center"/>
          </w:tcPr>
          <w:p w14:paraId="004BD4B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0.258</w:t>
            </w:r>
          </w:p>
        </w:tc>
      </w:tr>
      <w:tr w14:paraId="6B36DE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0" w:type="auto"/>
            <w:tcBorders>
              <w:tl2br w:val="nil"/>
              <w:tr2bl w:val="nil"/>
            </w:tcBorders>
            <w:shd w:val="clear" w:color="auto" w:fill="auto"/>
            <w:tcMar>
              <w:top w:w="60" w:type="dxa"/>
              <w:left w:w="130" w:type="dxa"/>
              <w:bottom w:w="60" w:type="dxa"/>
              <w:right w:w="130" w:type="dxa"/>
            </w:tcMar>
            <w:vAlign w:val="center"/>
          </w:tcPr>
          <w:p w14:paraId="0D1AF0B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总氮(mg/L)</w:t>
            </w:r>
          </w:p>
        </w:tc>
        <w:tc>
          <w:tcPr>
            <w:tcW w:w="0" w:type="auto"/>
            <w:tcBorders>
              <w:tl2br w:val="nil"/>
              <w:tr2bl w:val="nil"/>
            </w:tcBorders>
            <w:shd w:val="clear" w:color="auto" w:fill="auto"/>
            <w:tcMar>
              <w:top w:w="60" w:type="dxa"/>
              <w:left w:w="130" w:type="dxa"/>
              <w:bottom w:w="60" w:type="dxa"/>
              <w:right w:w="130" w:type="dxa"/>
            </w:tcMar>
            <w:vAlign w:val="center"/>
          </w:tcPr>
          <w:p w14:paraId="561192BE">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3.913</w:t>
            </w:r>
          </w:p>
        </w:tc>
      </w:tr>
    </w:tbl>
    <w:p w14:paraId="26E0A1D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fldChar w:fldCharType="begin"/>
      </w:r>
      <w:r>
        <w:rPr>
          <w:rFonts w:hint="default" w:ascii="Times New Roman" w:hAnsi="Times New Roman" w:eastAsia="宋体" w:cs="Times New Roman"/>
          <w:color w:val="auto"/>
          <w:sz w:val="24"/>
          <w:szCs w:val="24"/>
          <w:highlight w:val="none"/>
          <w:lang w:val="en-US" w:eastAsia="zh-CN"/>
        </w:rPr>
        <w:instrText xml:space="preserve"> = 3 \* GB2 \* MERGEFORMAT </w:instrText>
      </w:r>
      <w:r>
        <w:rPr>
          <w:rFonts w:hint="default" w:ascii="Times New Roman" w:hAnsi="Times New Roman" w:eastAsia="宋体" w:cs="Times New Roman"/>
          <w:color w:val="auto"/>
          <w:sz w:val="24"/>
          <w:szCs w:val="24"/>
          <w:highlight w:val="none"/>
          <w:lang w:val="en-US" w:eastAsia="zh-CN"/>
        </w:rPr>
        <w:fldChar w:fldCharType="separate"/>
      </w:r>
      <w:r>
        <w:rPr>
          <w:color w:val="auto"/>
        </w:rPr>
        <w:t>⑶</w:t>
      </w:r>
      <w:r>
        <w:rPr>
          <w:rFonts w:hint="default" w:ascii="Times New Roman" w:hAnsi="Times New Roman" w:eastAsia="宋体" w:cs="Times New Roman"/>
          <w:color w:val="auto"/>
          <w:sz w:val="24"/>
          <w:szCs w:val="24"/>
          <w:highlight w:val="none"/>
          <w:lang w:val="en-US" w:eastAsia="zh-CN"/>
        </w:rPr>
        <w:fldChar w:fldCharType="end"/>
      </w:r>
      <w:r>
        <w:rPr>
          <w:rFonts w:hint="eastAsia" w:ascii="Times New Roman" w:hAnsi="Times New Roman" w:eastAsia="宋体" w:cs="Times New Roman"/>
          <w:color w:val="auto"/>
          <w:sz w:val="24"/>
          <w:szCs w:val="24"/>
          <w:highlight w:val="none"/>
          <w:lang w:val="en-US" w:eastAsia="zh-CN"/>
        </w:rPr>
        <w:t>2024年水环境质量现状</w:t>
      </w:r>
    </w:p>
    <w:p w14:paraId="6167A55F">
      <w:pPr>
        <w:bidi w:val="0"/>
        <w:jc w:val="center"/>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表3-4    2023年知一桥国控断面水环境质量现状</w:t>
      </w:r>
    </w:p>
    <w:tbl>
      <w:tblPr>
        <w:tblStyle w:val="35"/>
        <w:tblW w:w="5000" w:type="pct"/>
        <w:jc w:val="center"/>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454"/>
        <w:gridCol w:w="2878"/>
      </w:tblGrid>
      <w:tr w14:paraId="10C05EC8">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auto"/>
          <w:tblCellMar>
            <w:top w:w="15" w:type="dxa"/>
            <w:left w:w="15" w:type="dxa"/>
            <w:bottom w:w="15" w:type="dxa"/>
            <w:right w:w="15" w:type="dxa"/>
          </w:tblCellMar>
        </w:tblPrEx>
        <w:trPr>
          <w:tblHeader/>
          <w:jc w:val="center"/>
        </w:trPr>
        <w:tc>
          <w:tcPr>
            <w:tcW w:w="0" w:type="auto"/>
            <w:tcBorders>
              <w:top w:val="single" w:color="auto" w:sz="12" w:space="0"/>
              <w:left w:val="nil"/>
              <w:bottom w:val="single" w:color="auto" w:sz="4" w:space="0"/>
              <w:right w:val="single" w:color="auto" w:sz="4" w:space="0"/>
            </w:tcBorders>
            <w:shd w:val="clear" w:color="auto" w:fill="auto"/>
            <w:tcMar>
              <w:top w:w="60" w:type="dxa"/>
              <w:left w:w="130" w:type="dxa"/>
              <w:bottom w:w="60" w:type="dxa"/>
              <w:right w:w="130" w:type="dxa"/>
            </w:tcMar>
            <w:vAlign w:val="center"/>
          </w:tcPr>
          <w:p w14:paraId="38BFCD8D">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指标</w:t>
            </w:r>
          </w:p>
        </w:tc>
        <w:tc>
          <w:tcPr>
            <w:tcW w:w="0" w:type="auto"/>
            <w:tcBorders>
              <w:top w:val="single" w:color="auto" w:sz="12" w:space="0"/>
              <w:left w:val="single" w:color="auto" w:sz="4" w:space="0"/>
              <w:bottom w:val="single" w:color="auto" w:sz="4" w:space="0"/>
              <w:right w:val="nil"/>
            </w:tcBorders>
            <w:shd w:val="clear" w:color="auto" w:fill="auto"/>
            <w:tcMar>
              <w:top w:w="60" w:type="dxa"/>
              <w:left w:w="130" w:type="dxa"/>
              <w:bottom w:w="60" w:type="dxa"/>
              <w:right w:w="130" w:type="dxa"/>
            </w:tcMar>
            <w:vAlign w:val="center"/>
          </w:tcPr>
          <w:p w14:paraId="6A9B9C9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平均值</w:t>
            </w:r>
          </w:p>
        </w:tc>
      </w:tr>
      <w:tr w14:paraId="78DDF9F6">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0" w:type="auto"/>
            <w:tcBorders>
              <w:top w:val="single" w:color="auto" w:sz="4" w:space="0"/>
              <w:left w:val="nil"/>
              <w:bottom w:val="single" w:color="auto" w:sz="4" w:space="0"/>
              <w:right w:val="single" w:color="auto" w:sz="4" w:space="0"/>
            </w:tcBorders>
            <w:shd w:val="clear" w:color="auto" w:fill="auto"/>
            <w:tcMar>
              <w:top w:w="60" w:type="dxa"/>
              <w:left w:w="130" w:type="dxa"/>
              <w:bottom w:w="60" w:type="dxa"/>
              <w:right w:w="130" w:type="dxa"/>
            </w:tcMar>
            <w:vAlign w:val="center"/>
          </w:tcPr>
          <w:p w14:paraId="5D23F33D">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水温(℃)</w:t>
            </w:r>
          </w:p>
        </w:tc>
        <w:tc>
          <w:tcPr>
            <w:tcW w:w="0" w:type="auto"/>
            <w:tcBorders>
              <w:top w:val="single" w:color="auto" w:sz="4" w:space="0"/>
              <w:left w:val="single" w:color="auto" w:sz="4" w:space="0"/>
              <w:bottom w:val="single" w:color="auto" w:sz="4" w:space="0"/>
              <w:right w:val="nil"/>
            </w:tcBorders>
            <w:shd w:val="clear" w:color="auto" w:fill="auto"/>
            <w:tcMar>
              <w:top w:w="60" w:type="dxa"/>
              <w:left w:w="130" w:type="dxa"/>
              <w:bottom w:w="60" w:type="dxa"/>
              <w:right w:w="130" w:type="dxa"/>
            </w:tcMar>
            <w:vAlign w:val="center"/>
          </w:tcPr>
          <w:p w14:paraId="51BACD5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11</w:t>
            </w:r>
            <w:r>
              <w:rPr>
                <w:rFonts w:hint="default" w:ascii="Times New Roman" w:hAnsi="Times New Roman" w:eastAsia="宋体" w:cs="Times New Roman"/>
                <w:color w:val="auto"/>
                <w:sz w:val="21"/>
                <w:szCs w:val="21"/>
                <w:vertAlign w:val="baseline"/>
                <w:lang w:val="en-US" w:eastAsia="zh-CN"/>
              </w:rPr>
              <w:t>.900</w:t>
            </w:r>
          </w:p>
        </w:tc>
      </w:tr>
      <w:tr w14:paraId="310D7BF1">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0" w:type="auto"/>
            <w:tcBorders>
              <w:top w:val="single" w:color="auto" w:sz="4" w:space="0"/>
              <w:left w:val="nil"/>
              <w:bottom w:val="single" w:color="auto" w:sz="4" w:space="0"/>
              <w:right w:val="single" w:color="auto" w:sz="4" w:space="0"/>
            </w:tcBorders>
            <w:shd w:val="clear" w:color="auto" w:fill="auto"/>
            <w:tcMar>
              <w:top w:w="60" w:type="dxa"/>
              <w:left w:w="130" w:type="dxa"/>
              <w:bottom w:w="60" w:type="dxa"/>
              <w:right w:w="130" w:type="dxa"/>
            </w:tcMar>
            <w:vAlign w:val="center"/>
          </w:tcPr>
          <w:p w14:paraId="5952219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pH</w:t>
            </w:r>
          </w:p>
        </w:tc>
        <w:tc>
          <w:tcPr>
            <w:tcW w:w="0" w:type="auto"/>
            <w:tcBorders>
              <w:top w:val="single" w:color="auto" w:sz="4" w:space="0"/>
              <w:left w:val="single" w:color="auto" w:sz="4" w:space="0"/>
              <w:bottom w:val="single" w:color="auto" w:sz="4" w:space="0"/>
              <w:right w:val="nil"/>
            </w:tcBorders>
            <w:shd w:val="clear" w:color="auto" w:fill="auto"/>
            <w:tcMar>
              <w:top w:w="60" w:type="dxa"/>
              <w:left w:w="130" w:type="dxa"/>
              <w:bottom w:w="60" w:type="dxa"/>
              <w:right w:w="130" w:type="dxa"/>
            </w:tcMar>
            <w:vAlign w:val="center"/>
          </w:tcPr>
          <w:p w14:paraId="1FC8C88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7.720</w:t>
            </w:r>
          </w:p>
        </w:tc>
      </w:tr>
      <w:tr w14:paraId="28AFA110">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left w:val="nil"/>
              <w:bottom w:val="single" w:color="auto" w:sz="4" w:space="0"/>
              <w:right w:val="single" w:color="auto" w:sz="4" w:space="0"/>
            </w:tcBorders>
            <w:shd w:val="clear" w:color="auto" w:fill="auto"/>
            <w:tcMar>
              <w:top w:w="60" w:type="dxa"/>
              <w:left w:w="130" w:type="dxa"/>
              <w:bottom w:w="60" w:type="dxa"/>
              <w:right w:w="130" w:type="dxa"/>
            </w:tcMar>
            <w:vAlign w:val="center"/>
          </w:tcPr>
          <w:p w14:paraId="33A92AA9">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溶解氧(mg/L)</w:t>
            </w:r>
          </w:p>
        </w:tc>
        <w:tc>
          <w:tcPr>
            <w:tcW w:w="0" w:type="auto"/>
            <w:tcBorders>
              <w:top w:val="single" w:color="auto" w:sz="4" w:space="0"/>
              <w:left w:val="single" w:color="auto" w:sz="4" w:space="0"/>
              <w:bottom w:val="single" w:color="auto" w:sz="4" w:space="0"/>
              <w:right w:val="nil"/>
            </w:tcBorders>
            <w:shd w:val="clear" w:color="auto" w:fill="auto"/>
            <w:tcMar>
              <w:top w:w="60" w:type="dxa"/>
              <w:left w:w="130" w:type="dxa"/>
              <w:bottom w:w="60" w:type="dxa"/>
              <w:right w:w="130" w:type="dxa"/>
            </w:tcMar>
            <w:vAlign w:val="center"/>
          </w:tcPr>
          <w:p w14:paraId="054902B2">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10.355</w:t>
            </w:r>
          </w:p>
        </w:tc>
      </w:tr>
      <w:tr w14:paraId="649642D5">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0" w:type="auto"/>
            <w:tcBorders>
              <w:top w:val="single" w:color="auto" w:sz="4" w:space="0"/>
              <w:left w:val="nil"/>
              <w:bottom w:val="single" w:color="auto" w:sz="4" w:space="0"/>
              <w:right w:val="single" w:color="auto" w:sz="4" w:space="0"/>
            </w:tcBorders>
            <w:shd w:val="clear" w:color="auto" w:fill="auto"/>
            <w:tcMar>
              <w:top w:w="60" w:type="dxa"/>
              <w:left w:w="130" w:type="dxa"/>
              <w:bottom w:w="60" w:type="dxa"/>
              <w:right w:w="130" w:type="dxa"/>
            </w:tcMar>
            <w:vAlign w:val="center"/>
          </w:tcPr>
          <w:p w14:paraId="5895525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电导率(μS/cm)</w:t>
            </w:r>
          </w:p>
        </w:tc>
        <w:tc>
          <w:tcPr>
            <w:tcW w:w="0" w:type="auto"/>
            <w:tcBorders>
              <w:top w:val="single" w:color="auto" w:sz="4" w:space="0"/>
              <w:left w:val="single" w:color="auto" w:sz="4" w:space="0"/>
              <w:bottom w:val="single" w:color="auto" w:sz="4" w:space="0"/>
              <w:right w:val="nil"/>
            </w:tcBorders>
            <w:shd w:val="clear" w:color="auto" w:fill="auto"/>
            <w:tcMar>
              <w:top w:w="60" w:type="dxa"/>
              <w:left w:w="130" w:type="dxa"/>
              <w:bottom w:w="60" w:type="dxa"/>
              <w:right w:w="130" w:type="dxa"/>
            </w:tcMar>
            <w:vAlign w:val="center"/>
          </w:tcPr>
          <w:p w14:paraId="1640A7D5">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439.350</w:t>
            </w:r>
          </w:p>
        </w:tc>
      </w:tr>
      <w:tr w14:paraId="1FA3A14C">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0" w:type="auto"/>
            <w:tcBorders>
              <w:top w:val="single" w:color="auto" w:sz="4" w:space="0"/>
              <w:left w:val="nil"/>
              <w:bottom w:val="single" w:color="auto" w:sz="4" w:space="0"/>
              <w:right w:val="single" w:color="auto" w:sz="4" w:space="0"/>
            </w:tcBorders>
            <w:shd w:val="clear" w:color="auto" w:fill="auto"/>
            <w:tcMar>
              <w:top w:w="60" w:type="dxa"/>
              <w:left w:w="130" w:type="dxa"/>
              <w:bottom w:w="60" w:type="dxa"/>
              <w:right w:w="130" w:type="dxa"/>
            </w:tcMar>
            <w:vAlign w:val="center"/>
          </w:tcPr>
          <w:p w14:paraId="39625EE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浊度(NTU)</w:t>
            </w:r>
          </w:p>
        </w:tc>
        <w:tc>
          <w:tcPr>
            <w:tcW w:w="0" w:type="auto"/>
            <w:tcBorders>
              <w:top w:val="single" w:color="auto" w:sz="4" w:space="0"/>
              <w:left w:val="single" w:color="auto" w:sz="4" w:space="0"/>
              <w:bottom w:val="single" w:color="auto" w:sz="4" w:space="0"/>
              <w:right w:val="nil"/>
            </w:tcBorders>
            <w:shd w:val="clear" w:color="auto" w:fill="auto"/>
            <w:tcMar>
              <w:top w:w="60" w:type="dxa"/>
              <w:left w:w="130" w:type="dxa"/>
              <w:bottom w:w="60" w:type="dxa"/>
              <w:right w:w="130" w:type="dxa"/>
            </w:tcMar>
            <w:vAlign w:val="center"/>
          </w:tcPr>
          <w:p w14:paraId="3CB892F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107.200</w:t>
            </w:r>
          </w:p>
        </w:tc>
      </w:tr>
      <w:tr w14:paraId="49E1E770">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0" w:type="auto"/>
            <w:tcBorders>
              <w:top w:val="single" w:color="auto" w:sz="4" w:space="0"/>
              <w:left w:val="nil"/>
              <w:bottom w:val="single" w:color="auto" w:sz="4" w:space="0"/>
              <w:right w:val="single" w:color="auto" w:sz="4" w:space="0"/>
            </w:tcBorders>
            <w:shd w:val="clear" w:color="auto" w:fill="auto"/>
            <w:tcMar>
              <w:top w:w="60" w:type="dxa"/>
              <w:left w:w="130" w:type="dxa"/>
              <w:bottom w:w="60" w:type="dxa"/>
              <w:right w:w="130" w:type="dxa"/>
            </w:tcMar>
            <w:vAlign w:val="center"/>
          </w:tcPr>
          <w:p w14:paraId="520DC423">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高锰酸盐指数(mg/L)</w:t>
            </w:r>
          </w:p>
        </w:tc>
        <w:tc>
          <w:tcPr>
            <w:tcW w:w="0" w:type="auto"/>
            <w:tcBorders>
              <w:top w:val="single" w:color="auto" w:sz="4" w:space="0"/>
              <w:left w:val="single" w:color="auto" w:sz="4" w:space="0"/>
              <w:bottom w:val="single" w:color="auto" w:sz="4" w:space="0"/>
              <w:right w:val="nil"/>
            </w:tcBorders>
            <w:shd w:val="clear" w:color="auto" w:fill="auto"/>
            <w:tcMar>
              <w:top w:w="60" w:type="dxa"/>
              <w:left w:w="130" w:type="dxa"/>
              <w:bottom w:w="60" w:type="dxa"/>
              <w:right w:w="130" w:type="dxa"/>
            </w:tcMar>
            <w:vAlign w:val="center"/>
          </w:tcPr>
          <w:p w14:paraId="243E0BE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5.355</w:t>
            </w:r>
          </w:p>
        </w:tc>
      </w:tr>
      <w:tr w14:paraId="38BCF68B">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0" w:type="auto"/>
            <w:tcBorders>
              <w:top w:val="single" w:color="auto" w:sz="4" w:space="0"/>
              <w:left w:val="nil"/>
              <w:bottom w:val="single" w:color="auto" w:sz="4" w:space="0"/>
              <w:right w:val="single" w:color="auto" w:sz="4" w:space="0"/>
            </w:tcBorders>
            <w:shd w:val="clear" w:color="auto" w:fill="auto"/>
            <w:tcMar>
              <w:top w:w="60" w:type="dxa"/>
              <w:left w:w="130" w:type="dxa"/>
              <w:bottom w:w="60" w:type="dxa"/>
              <w:right w:w="130" w:type="dxa"/>
            </w:tcMar>
            <w:vAlign w:val="center"/>
          </w:tcPr>
          <w:p w14:paraId="6458229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氨氮(mg/L)</w:t>
            </w:r>
          </w:p>
        </w:tc>
        <w:tc>
          <w:tcPr>
            <w:tcW w:w="0" w:type="auto"/>
            <w:tcBorders>
              <w:top w:val="single" w:color="auto" w:sz="4" w:space="0"/>
              <w:left w:val="single" w:color="auto" w:sz="4" w:space="0"/>
              <w:bottom w:val="single" w:color="auto" w:sz="4" w:space="0"/>
              <w:right w:val="nil"/>
            </w:tcBorders>
            <w:shd w:val="clear" w:color="auto" w:fill="auto"/>
            <w:tcMar>
              <w:top w:w="60" w:type="dxa"/>
              <w:left w:w="130" w:type="dxa"/>
              <w:bottom w:w="60" w:type="dxa"/>
              <w:right w:w="130" w:type="dxa"/>
            </w:tcMar>
            <w:vAlign w:val="center"/>
          </w:tcPr>
          <w:p w14:paraId="57FE940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0.502</w:t>
            </w:r>
          </w:p>
        </w:tc>
      </w:tr>
      <w:tr w14:paraId="6EADE47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0" w:type="auto"/>
            <w:tcBorders>
              <w:top w:val="single" w:color="auto" w:sz="4" w:space="0"/>
              <w:left w:val="nil"/>
              <w:bottom w:val="single" w:color="auto" w:sz="4" w:space="0"/>
              <w:right w:val="single" w:color="auto" w:sz="4" w:space="0"/>
            </w:tcBorders>
            <w:shd w:val="clear" w:color="auto" w:fill="auto"/>
            <w:tcMar>
              <w:top w:w="60" w:type="dxa"/>
              <w:left w:w="130" w:type="dxa"/>
              <w:bottom w:w="60" w:type="dxa"/>
              <w:right w:w="130" w:type="dxa"/>
            </w:tcMar>
            <w:vAlign w:val="center"/>
          </w:tcPr>
          <w:p w14:paraId="12BCFB85">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总磷(mg/L)</w:t>
            </w:r>
          </w:p>
        </w:tc>
        <w:tc>
          <w:tcPr>
            <w:tcW w:w="0" w:type="auto"/>
            <w:tcBorders>
              <w:top w:val="single" w:color="auto" w:sz="4" w:space="0"/>
              <w:left w:val="single" w:color="auto" w:sz="4" w:space="0"/>
              <w:bottom w:val="single" w:color="auto" w:sz="4" w:space="0"/>
              <w:right w:val="nil"/>
            </w:tcBorders>
            <w:shd w:val="clear" w:color="auto" w:fill="auto"/>
            <w:tcMar>
              <w:top w:w="60" w:type="dxa"/>
              <w:left w:w="130" w:type="dxa"/>
              <w:bottom w:w="60" w:type="dxa"/>
              <w:right w:w="130" w:type="dxa"/>
            </w:tcMar>
            <w:vAlign w:val="center"/>
          </w:tcPr>
          <w:p w14:paraId="6DC38EE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0.186</w:t>
            </w:r>
          </w:p>
        </w:tc>
      </w:tr>
      <w:tr w14:paraId="0B84B88A">
        <w:tblPrEx>
          <w:tblBorders>
            <w:top w:val="none" w:color="auto" w:sz="0" w:space="0"/>
            <w:left w:val="single" w:color="auto" w:sz="2" w:space="0"/>
            <w:bottom w:val="none" w:color="auto" w:sz="0" w:space="0"/>
            <w:right w:val="single" w:color="auto" w:sz="2"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0" w:type="auto"/>
            <w:tcBorders>
              <w:top w:val="single" w:color="auto" w:sz="4" w:space="0"/>
              <w:left w:val="nil"/>
              <w:bottom w:val="single" w:color="auto" w:sz="12" w:space="0"/>
              <w:right w:val="single" w:color="auto" w:sz="4" w:space="0"/>
            </w:tcBorders>
            <w:shd w:val="clear" w:color="auto" w:fill="auto"/>
            <w:tcMar>
              <w:top w:w="60" w:type="dxa"/>
              <w:left w:w="130" w:type="dxa"/>
              <w:bottom w:w="60" w:type="dxa"/>
              <w:right w:w="130" w:type="dxa"/>
            </w:tcMar>
            <w:vAlign w:val="center"/>
          </w:tcPr>
          <w:p w14:paraId="0F78F35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总氮(mg/L)</w:t>
            </w:r>
          </w:p>
        </w:tc>
        <w:tc>
          <w:tcPr>
            <w:tcW w:w="0" w:type="auto"/>
            <w:tcBorders>
              <w:top w:val="single" w:color="auto" w:sz="4" w:space="0"/>
              <w:left w:val="single" w:color="auto" w:sz="4" w:space="0"/>
              <w:bottom w:val="single" w:color="auto" w:sz="12" w:space="0"/>
              <w:right w:val="nil"/>
            </w:tcBorders>
            <w:shd w:val="clear" w:color="auto" w:fill="auto"/>
            <w:tcMar>
              <w:top w:w="60" w:type="dxa"/>
              <w:left w:w="130" w:type="dxa"/>
              <w:bottom w:w="60" w:type="dxa"/>
              <w:right w:w="130" w:type="dxa"/>
            </w:tcMar>
            <w:vAlign w:val="center"/>
          </w:tcPr>
          <w:p w14:paraId="05AE0622">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2.565</w:t>
            </w:r>
          </w:p>
        </w:tc>
      </w:tr>
    </w:tbl>
    <w:p w14:paraId="333D6C3F">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482" w:firstLineChars="200"/>
        <w:jc w:val="both"/>
        <w:textAlignment w:val="baseline"/>
        <w:rPr>
          <w:rFonts w:hint="default"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3.2.3补充监测</w:t>
      </w:r>
    </w:p>
    <w:p w14:paraId="38C9A3F0">
      <w:pPr>
        <w:keepNext w:val="0"/>
        <w:keepLines w:val="0"/>
        <w:pageBreakBefore w:val="0"/>
        <w:widowControl/>
        <w:kinsoku w:val="0"/>
        <w:wordWrap/>
        <w:overflowPunct/>
        <w:topLinePunct w:val="0"/>
        <w:autoSpaceDE w:val="0"/>
        <w:autoSpaceDN w:val="0"/>
        <w:bidi w:val="0"/>
        <w:adjustRightInd w:val="0"/>
        <w:snapToGrid w:val="0"/>
        <w:spacing w:line="360" w:lineRule="auto"/>
        <w:ind w:left="4" w:right="0" w:firstLine="480"/>
        <w:jc w:val="both"/>
        <w:textAlignment w:val="baseline"/>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根据《黑龙江省水文图集》（2019年版），穆棱河汛期（丰水期）为6-9月，平水期4-5月、枯水期10月-次年3月。</w:t>
      </w:r>
    </w:p>
    <w:p w14:paraId="66DE96EB">
      <w:pPr>
        <w:keepNext w:val="0"/>
        <w:keepLines w:val="0"/>
        <w:pageBreakBefore w:val="0"/>
        <w:widowControl/>
        <w:numPr>
          <w:ilvl w:val="0"/>
          <w:numId w:val="7"/>
        </w:numPr>
        <w:kinsoku w:val="0"/>
        <w:wordWrap/>
        <w:overflowPunct/>
        <w:topLinePunct w:val="0"/>
        <w:autoSpaceDE w:val="0"/>
        <w:autoSpaceDN w:val="0"/>
        <w:bidi w:val="0"/>
        <w:adjustRightInd w:val="0"/>
        <w:snapToGrid w:val="0"/>
        <w:spacing w:line="360" w:lineRule="auto"/>
        <w:ind w:left="4" w:right="0" w:firstLine="480"/>
        <w:jc w:val="both"/>
        <w:textAlignment w:val="baseline"/>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丰水期</w:t>
      </w:r>
    </w:p>
    <w:p w14:paraId="197F940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地表水环境质量现状委托鸡西晟源环境检测有限公司</w:t>
      </w:r>
      <w:r>
        <w:rPr>
          <w:rFonts w:hint="eastAsia" w:ascii="Times New Roman" w:hAnsi="Times New Roman" w:eastAsia="宋体" w:cs="Times New Roman"/>
          <w:color w:val="auto"/>
          <w:sz w:val="24"/>
          <w:szCs w:val="24"/>
          <w:highlight w:val="none"/>
          <w:lang w:val="en-US" w:eastAsia="zh-CN"/>
        </w:rPr>
        <w:t>于</w:t>
      </w:r>
      <w:r>
        <w:rPr>
          <w:rFonts w:hint="default" w:ascii="Times New Roman" w:hAnsi="Times New Roman" w:eastAsia="宋体" w:cs="Times New Roman"/>
          <w:color w:val="auto"/>
          <w:sz w:val="24"/>
          <w:szCs w:val="24"/>
          <w:highlight w:val="none"/>
          <w:lang w:val="en-US" w:eastAsia="zh-CN"/>
        </w:rPr>
        <w:t>2025.8.27~2025.</w:t>
      </w:r>
      <w:r>
        <w:rPr>
          <w:rFonts w:hint="eastAsia" w:ascii="Times New Roman" w:hAnsi="Times New Roman" w:eastAsia="宋体" w:cs="Times New Roman"/>
          <w:color w:val="auto"/>
          <w:sz w:val="24"/>
          <w:szCs w:val="24"/>
          <w:highlight w:val="none"/>
          <w:lang w:val="en-US" w:eastAsia="zh-CN"/>
        </w:rPr>
        <w:t>8.29连续三天进行取样监测，监测时期为丰水期。</w:t>
      </w:r>
    </w:p>
    <w:p w14:paraId="535518C2">
      <w:pPr>
        <w:keepNext w:val="0"/>
        <w:keepLines w:val="0"/>
        <w:pageBreakBefore w:val="0"/>
        <w:widowControl/>
        <w:kinsoku w:val="0"/>
        <w:wordWrap/>
        <w:overflowPunct/>
        <w:topLinePunct w:val="0"/>
        <w:autoSpaceDE w:val="0"/>
        <w:autoSpaceDN w:val="0"/>
        <w:bidi w:val="0"/>
        <w:adjustRightInd w:val="0"/>
        <w:snapToGrid w:val="0"/>
        <w:spacing w:line="360" w:lineRule="auto"/>
        <w:ind w:left="4" w:right="0" w:firstLine="480"/>
        <w:jc w:val="both"/>
        <w:textAlignment w:val="baseline"/>
        <w:rPr>
          <w:rFonts w:hint="eastAsia" w:ascii="Times New Roman" w:hAnsi="Times New Roman" w:eastAsia="宋体" w:cs="Times New Roman"/>
          <w:color w:val="auto"/>
          <w:spacing w:val="-1"/>
          <w:sz w:val="24"/>
          <w:szCs w:val="24"/>
          <w:highlight w:val="none"/>
          <w:lang w:eastAsia="zh-CN"/>
        </w:rPr>
      </w:pPr>
      <w:r>
        <w:rPr>
          <w:rFonts w:hint="default" w:ascii="Times New Roman" w:hAnsi="Times New Roman" w:eastAsia="宋体" w:cs="Times New Roman"/>
          <w:color w:val="auto"/>
          <w:sz w:val="24"/>
          <w:szCs w:val="24"/>
          <w:highlight w:val="none"/>
        </w:rPr>
        <w:t>地表水环境质量现状委托</w:t>
      </w:r>
      <w:r>
        <w:rPr>
          <w:rFonts w:hint="default" w:ascii="Times New Roman" w:hAnsi="Times New Roman" w:eastAsia="宋体" w:cs="Times New Roman"/>
          <w:color w:val="auto"/>
          <w:sz w:val="24"/>
          <w:szCs w:val="24"/>
          <w:highlight w:val="none"/>
          <w:lang w:val="en-US" w:eastAsia="zh-CN"/>
        </w:rPr>
        <w:t>鸡西晟源环境检测有限公司</w:t>
      </w:r>
      <w:r>
        <w:rPr>
          <w:rFonts w:hint="default" w:ascii="Times New Roman" w:hAnsi="Times New Roman" w:eastAsia="宋体" w:cs="Times New Roman"/>
          <w:color w:val="auto"/>
          <w:sz w:val="24"/>
          <w:szCs w:val="24"/>
          <w:highlight w:val="none"/>
        </w:rPr>
        <w:t>对</w:t>
      </w:r>
      <w:r>
        <w:rPr>
          <w:rFonts w:hint="eastAsia" w:ascii="Times New Roman" w:hAnsi="Times New Roman" w:eastAsia="宋体" w:cs="Times New Roman"/>
          <w:color w:val="auto"/>
          <w:sz w:val="24"/>
          <w:szCs w:val="24"/>
          <w:highlight w:val="none"/>
          <w:lang w:val="en-US" w:eastAsia="zh-CN"/>
        </w:rPr>
        <w:t>排污口入红光沟处、入河排污口入红光沟</w:t>
      </w:r>
      <w:r>
        <w:rPr>
          <w:rFonts w:hint="eastAsia" w:ascii="Times New Roman" w:hAnsi="Times New Roman" w:eastAsia="宋体" w:cs="Times New Roman"/>
          <w:color w:val="auto"/>
          <w:sz w:val="24"/>
          <w:szCs w:val="24"/>
          <w:highlight w:val="none"/>
          <w:lang w:val="en-US" w:eastAsia="zh-CN"/>
        </w:rPr>
        <w:t>上游500m</w:t>
      </w:r>
      <w:r>
        <w:rPr>
          <w:rFonts w:hint="eastAsia" w:ascii="Times New Roman" w:hAnsi="Times New Roman" w:eastAsia="宋体" w:cs="Times New Roman"/>
          <w:color w:val="auto"/>
          <w:sz w:val="24"/>
          <w:szCs w:val="24"/>
          <w:highlight w:val="none"/>
          <w:lang w:val="en-US" w:eastAsia="zh-CN"/>
        </w:rPr>
        <w:t>、入河排污口入红光沟下游1000m、入穆棱河排污口处、入穆棱河</w:t>
      </w:r>
      <w:r>
        <w:rPr>
          <w:rFonts w:hint="default" w:ascii="Times New Roman" w:hAnsi="Times New Roman" w:eastAsia="宋体" w:cs="Times New Roman"/>
          <w:color w:val="auto"/>
          <w:sz w:val="24"/>
          <w:szCs w:val="24"/>
          <w:highlight w:val="none"/>
        </w:rPr>
        <w:t>上游</w:t>
      </w:r>
      <w:r>
        <w:rPr>
          <w:rFonts w:hint="default" w:ascii="Times New Roman" w:hAnsi="Times New Roman" w:eastAsia="Times New Roman" w:cs="Times New Roman"/>
          <w:color w:val="auto"/>
          <w:sz w:val="24"/>
          <w:szCs w:val="24"/>
          <w:highlight w:val="none"/>
        </w:rPr>
        <w:t>500</w:t>
      </w:r>
      <w:r>
        <w:rPr>
          <w:rFonts w:hint="default" w:ascii="Times New Roman" w:hAnsi="Times New Roman" w:eastAsia="Times New Roman" w:cs="Times New Roman"/>
          <w:color w:val="auto"/>
          <w:spacing w:val="-1"/>
          <w:sz w:val="24"/>
          <w:szCs w:val="24"/>
          <w:highlight w:val="none"/>
        </w:rPr>
        <w:t xml:space="preserve"> </w:t>
      </w:r>
      <w:r>
        <w:rPr>
          <w:rFonts w:hint="eastAsia" w:ascii="Times New Roman" w:hAnsi="Times New Roman" w:eastAsia="宋体" w:cs="Times New Roman"/>
          <w:color w:val="auto"/>
          <w:sz w:val="24"/>
          <w:szCs w:val="24"/>
          <w:highlight w:val="none"/>
          <w:lang w:val="en-US" w:eastAsia="zh-CN"/>
        </w:rPr>
        <w:t>m</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入穆棱河</w:t>
      </w:r>
      <w:r>
        <w:rPr>
          <w:rFonts w:hint="default" w:ascii="Times New Roman" w:hAnsi="Times New Roman" w:eastAsia="宋体" w:cs="Times New Roman"/>
          <w:color w:val="auto"/>
          <w:spacing w:val="-1"/>
          <w:sz w:val="24"/>
          <w:szCs w:val="24"/>
          <w:highlight w:val="none"/>
        </w:rPr>
        <w:t>下游</w:t>
      </w:r>
      <w:r>
        <w:rPr>
          <w:rFonts w:hint="default" w:ascii="Times New Roman" w:hAnsi="Times New Roman" w:eastAsia="Times New Roman" w:cs="Times New Roman"/>
          <w:color w:val="auto"/>
          <w:sz w:val="24"/>
          <w:szCs w:val="24"/>
          <w:highlight w:val="none"/>
          <w:lang w:val="en-US" w:eastAsia="zh-CN"/>
        </w:rPr>
        <w:t>2</w:t>
      </w:r>
      <w:r>
        <w:rPr>
          <w:rFonts w:hint="default" w:ascii="Times New Roman" w:hAnsi="Times New Roman" w:eastAsia="Times New Roman" w:cs="Times New Roman"/>
          <w:color w:val="auto"/>
          <w:sz w:val="24"/>
          <w:szCs w:val="24"/>
          <w:highlight w:val="none"/>
        </w:rPr>
        <w:t>000</w:t>
      </w:r>
      <w:r>
        <w:rPr>
          <w:rFonts w:hint="eastAsia" w:ascii="Times New Roman" w:hAnsi="Times New Roman" w:eastAsia="宋体" w:cs="Times New Roman"/>
          <w:color w:val="auto"/>
          <w:spacing w:val="-1"/>
          <w:sz w:val="24"/>
          <w:szCs w:val="24"/>
          <w:highlight w:val="none"/>
          <w:lang w:val="en-US" w:eastAsia="zh-CN"/>
        </w:rPr>
        <w:t>m</w:t>
      </w:r>
      <w:r>
        <w:rPr>
          <w:rFonts w:hint="default" w:ascii="Times New Roman" w:hAnsi="Times New Roman" w:eastAsia="宋体" w:cs="Times New Roman"/>
          <w:color w:val="auto"/>
          <w:spacing w:val="-1"/>
          <w:sz w:val="24"/>
          <w:szCs w:val="24"/>
          <w:highlight w:val="none"/>
        </w:rPr>
        <w:t>处水质现状进行了监测</w:t>
      </w:r>
      <w:r>
        <w:rPr>
          <w:rFonts w:hint="eastAsia" w:ascii="Times New Roman" w:hAnsi="Times New Roman" w:eastAsia="宋体" w:cs="Times New Roman"/>
          <w:color w:val="auto"/>
          <w:spacing w:val="-1"/>
          <w:sz w:val="24"/>
          <w:szCs w:val="24"/>
          <w:highlight w:val="none"/>
          <w:lang w:eastAsia="zh-CN"/>
        </w:rPr>
        <w:t>。</w:t>
      </w:r>
    </w:p>
    <w:p w14:paraId="1D631F70">
      <w:pPr>
        <w:keepNext w:val="0"/>
        <w:keepLines w:val="0"/>
        <w:pageBreakBefore w:val="0"/>
        <w:widowControl/>
        <w:kinsoku w:val="0"/>
        <w:wordWrap/>
        <w:overflowPunct/>
        <w:topLinePunct w:val="0"/>
        <w:autoSpaceDE w:val="0"/>
        <w:autoSpaceDN w:val="0"/>
        <w:bidi w:val="0"/>
        <w:adjustRightInd w:val="0"/>
        <w:snapToGrid w:val="0"/>
        <w:spacing w:line="360" w:lineRule="auto"/>
        <w:ind w:left="4" w:right="0" w:firstLine="48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监测结果如表</w:t>
      </w:r>
      <w:r>
        <w:rPr>
          <w:rFonts w:hint="default" w:ascii="Times New Roman" w:hAnsi="Times New Roman" w:eastAsia="宋体" w:cs="Times New Roman"/>
          <w:color w:val="auto"/>
          <w:spacing w:val="-48"/>
          <w:sz w:val="24"/>
          <w:szCs w:val="24"/>
          <w:highlight w:val="none"/>
        </w:rPr>
        <w:t xml:space="preserve"> </w:t>
      </w:r>
      <w:r>
        <w:rPr>
          <w:rFonts w:hint="default" w:ascii="Times New Roman" w:hAnsi="Times New Roman" w:eastAsia="Times New Roman" w:cs="Times New Roman"/>
          <w:color w:val="auto"/>
          <w:spacing w:val="-1"/>
          <w:sz w:val="24"/>
          <w:szCs w:val="24"/>
          <w:highlight w:val="none"/>
        </w:rPr>
        <w:t>3</w:t>
      </w:r>
      <w:r>
        <w:rPr>
          <w:rFonts w:hint="eastAsia" w:ascii="Times New Roman" w:hAnsi="Times New Roman" w:eastAsia="宋体" w:cs="Times New Roman"/>
          <w:color w:val="auto"/>
          <w:spacing w:val="-1"/>
          <w:sz w:val="24"/>
          <w:szCs w:val="24"/>
          <w:highlight w:val="none"/>
          <w:lang w:val="en-US" w:eastAsia="zh-CN"/>
        </w:rPr>
        <w:t>-5。</w:t>
      </w:r>
    </w:p>
    <w:p w14:paraId="0CB68C64">
      <w:pPr>
        <w:spacing w:before="137" w:line="212" w:lineRule="auto"/>
        <w:jc w:val="center"/>
        <w:rPr>
          <w:rFonts w:ascii="宋体" w:hAnsi="宋体" w:eastAsia="宋体" w:cs="宋体"/>
          <w:color w:val="auto"/>
          <w:sz w:val="24"/>
          <w:szCs w:val="24"/>
        </w:rPr>
      </w:pPr>
      <w:r>
        <w:rPr>
          <w:rFonts w:ascii="宋体" w:hAnsi="宋体" w:eastAsia="宋体" w:cs="宋体"/>
          <w:b/>
          <w:bCs/>
          <w:color w:val="auto"/>
          <w:spacing w:val="-1"/>
          <w:sz w:val="24"/>
          <w:szCs w:val="24"/>
        </w:rPr>
        <w:t>表</w:t>
      </w:r>
      <w:r>
        <w:rPr>
          <w:rFonts w:ascii="宋体" w:hAnsi="宋体" w:eastAsia="宋体" w:cs="宋体"/>
          <w:b/>
          <w:bCs/>
          <w:color w:val="auto"/>
          <w:spacing w:val="-38"/>
          <w:sz w:val="24"/>
          <w:szCs w:val="24"/>
        </w:rPr>
        <w:t xml:space="preserve"> </w:t>
      </w:r>
      <w:r>
        <w:rPr>
          <w:rFonts w:ascii="Times New Roman" w:hAnsi="Times New Roman" w:eastAsia="Times New Roman" w:cs="Times New Roman"/>
          <w:b/>
          <w:bCs/>
          <w:color w:val="auto"/>
          <w:spacing w:val="-1"/>
          <w:sz w:val="24"/>
          <w:szCs w:val="24"/>
        </w:rPr>
        <w:t>3</w:t>
      </w:r>
      <w:r>
        <w:rPr>
          <w:rFonts w:hint="eastAsia" w:ascii="Times New Roman" w:hAnsi="Times New Roman" w:eastAsia="宋体" w:cs="Times New Roman"/>
          <w:b/>
          <w:bCs/>
          <w:color w:val="auto"/>
          <w:spacing w:val="-1"/>
          <w:sz w:val="24"/>
          <w:szCs w:val="24"/>
          <w:lang w:val="en-US" w:eastAsia="zh-CN"/>
        </w:rPr>
        <w:t>-5</w:t>
      </w:r>
      <w:r>
        <w:rPr>
          <w:rFonts w:ascii="Times New Roman" w:hAnsi="Times New Roman" w:eastAsia="Times New Roman" w:cs="Times New Roman"/>
          <w:b/>
          <w:bCs/>
          <w:color w:val="auto"/>
          <w:spacing w:val="-1"/>
          <w:sz w:val="24"/>
          <w:szCs w:val="24"/>
        </w:rPr>
        <w:t xml:space="preserve">     </w:t>
      </w:r>
      <w:r>
        <w:rPr>
          <w:rFonts w:ascii="宋体" w:hAnsi="宋体" w:eastAsia="宋体" w:cs="宋体"/>
          <w:b/>
          <w:bCs/>
          <w:color w:val="auto"/>
          <w:spacing w:val="-1"/>
          <w:sz w:val="24"/>
          <w:szCs w:val="24"/>
        </w:rPr>
        <w:t>地表水</w:t>
      </w:r>
      <w:r>
        <w:rPr>
          <w:rFonts w:hint="eastAsia" w:ascii="宋体" w:hAnsi="宋体" w:eastAsia="宋体" w:cs="宋体"/>
          <w:b/>
          <w:bCs/>
          <w:color w:val="auto"/>
          <w:spacing w:val="-1"/>
          <w:sz w:val="24"/>
          <w:szCs w:val="24"/>
          <w:lang w:eastAsia="zh-CN"/>
        </w:rPr>
        <w:t>（</w:t>
      </w:r>
      <w:r>
        <w:rPr>
          <w:rFonts w:hint="eastAsia" w:ascii="宋体" w:hAnsi="宋体" w:eastAsia="宋体" w:cs="宋体"/>
          <w:b/>
          <w:bCs/>
          <w:color w:val="auto"/>
          <w:spacing w:val="-1"/>
          <w:sz w:val="24"/>
          <w:szCs w:val="24"/>
          <w:lang w:val="en-US" w:eastAsia="zh-CN"/>
        </w:rPr>
        <w:t>丰水期</w:t>
      </w:r>
      <w:r>
        <w:rPr>
          <w:rFonts w:hint="eastAsia" w:ascii="宋体" w:hAnsi="宋体" w:eastAsia="宋体" w:cs="宋体"/>
          <w:b/>
          <w:bCs/>
          <w:color w:val="auto"/>
          <w:spacing w:val="-1"/>
          <w:sz w:val="24"/>
          <w:szCs w:val="24"/>
          <w:lang w:eastAsia="zh-CN"/>
        </w:rPr>
        <w:t>）</w:t>
      </w:r>
      <w:r>
        <w:rPr>
          <w:rFonts w:ascii="宋体" w:hAnsi="宋体" w:eastAsia="宋体" w:cs="宋体"/>
          <w:b/>
          <w:bCs/>
          <w:color w:val="auto"/>
          <w:spacing w:val="-1"/>
          <w:sz w:val="24"/>
          <w:szCs w:val="24"/>
        </w:rPr>
        <w:t>水质监测结果统计一览表  （单位：</w:t>
      </w:r>
      <w:r>
        <w:rPr>
          <w:rFonts w:ascii="Times New Roman" w:hAnsi="Times New Roman" w:eastAsia="Times New Roman" w:cs="Times New Roman"/>
          <w:b/>
          <w:bCs/>
          <w:color w:val="auto"/>
          <w:spacing w:val="-1"/>
          <w:sz w:val="24"/>
          <w:szCs w:val="24"/>
        </w:rPr>
        <w:t>mg/L</w:t>
      </w:r>
      <w:r>
        <w:rPr>
          <w:rFonts w:ascii="宋体" w:hAnsi="宋体" w:eastAsia="宋体" w:cs="宋体"/>
          <w:b/>
          <w:bCs/>
          <w:color w:val="auto"/>
          <w:spacing w:val="-1"/>
          <w:sz w:val="24"/>
          <w:szCs w:val="24"/>
        </w:rPr>
        <w:t>）</w:t>
      </w:r>
    </w:p>
    <w:p w14:paraId="2543AA1A">
      <w:pPr>
        <w:spacing w:line="21" w:lineRule="exact"/>
        <w:rPr>
          <w:color w:val="auto"/>
        </w:rPr>
      </w:pP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78"/>
        <w:gridCol w:w="1504"/>
        <w:gridCol w:w="715"/>
        <w:gridCol w:w="1096"/>
        <w:gridCol w:w="1050"/>
        <w:gridCol w:w="1062"/>
        <w:gridCol w:w="1050"/>
        <w:gridCol w:w="1073"/>
        <w:gridCol w:w="1060"/>
      </w:tblGrid>
      <w:tr w14:paraId="7B6AE5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71" w:hRule="atLeast"/>
          <w:jc w:val="center"/>
        </w:trPr>
        <w:tc>
          <w:tcPr>
            <w:tcW w:w="364" w:type="pct"/>
            <w:vMerge w:val="restart"/>
            <w:noWrap w:val="0"/>
            <w:tcMar>
              <w:top w:w="0" w:type="dxa"/>
              <w:left w:w="108" w:type="dxa"/>
              <w:bottom w:w="0" w:type="dxa"/>
              <w:right w:w="108" w:type="dxa"/>
            </w:tcMar>
            <w:vAlign w:val="center"/>
          </w:tcPr>
          <w:p w14:paraId="693265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lang w:val="en-US" w:eastAsia="zh-CN"/>
              </w:rPr>
              <w:t>分析</w:t>
            </w:r>
            <w:r>
              <w:rPr>
                <w:rFonts w:hint="default" w:ascii="Times New Roman" w:hAnsi="Times New Roman" w:eastAsia="宋体" w:cs="Times New Roman"/>
                <w:color w:val="auto"/>
                <w:spacing w:val="0"/>
                <w:kern w:val="0"/>
                <w:sz w:val="21"/>
                <w:szCs w:val="21"/>
              </w:rPr>
              <w:t>日期</w:t>
            </w:r>
          </w:p>
        </w:tc>
        <w:tc>
          <w:tcPr>
            <w:tcW w:w="809" w:type="pct"/>
            <w:vMerge w:val="restart"/>
            <w:noWrap w:val="0"/>
            <w:tcMar>
              <w:top w:w="0" w:type="dxa"/>
              <w:left w:w="108" w:type="dxa"/>
              <w:bottom w:w="0" w:type="dxa"/>
              <w:right w:w="108" w:type="dxa"/>
            </w:tcMar>
            <w:vAlign w:val="center"/>
          </w:tcPr>
          <w:p w14:paraId="1DA6E5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检测项目</w:t>
            </w:r>
          </w:p>
        </w:tc>
        <w:tc>
          <w:tcPr>
            <w:tcW w:w="384" w:type="pct"/>
            <w:vMerge w:val="restart"/>
            <w:noWrap w:val="0"/>
            <w:vAlign w:val="center"/>
          </w:tcPr>
          <w:p w14:paraId="7FA375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单位</w:t>
            </w:r>
          </w:p>
        </w:tc>
        <w:tc>
          <w:tcPr>
            <w:tcW w:w="3440" w:type="pct"/>
            <w:gridSpan w:val="6"/>
            <w:noWrap w:val="0"/>
            <w:tcMar>
              <w:top w:w="0" w:type="dxa"/>
              <w:left w:w="108" w:type="dxa"/>
              <w:bottom w:w="0" w:type="dxa"/>
              <w:right w:w="108" w:type="dxa"/>
            </w:tcMar>
            <w:vAlign w:val="center"/>
          </w:tcPr>
          <w:p w14:paraId="272EF2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检测结果</w:t>
            </w:r>
          </w:p>
        </w:tc>
      </w:tr>
      <w:tr w14:paraId="4ECE94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62" w:hRule="atLeast"/>
          <w:jc w:val="center"/>
        </w:trPr>
        <w:tc>
          <w:tcPr>
            <w:tcW w:w="364" w:type="pct"/>
            <w:vMerge w:val="continue"/>
            <w:noWrap w:val="0"/>
            <w:tcMar>
              <w:top w:w="0" w:type="dxa"/>
              <w:left w:w="108" w:type="dxa"/>
              <w:bottom w:w="0" w:type="dxa"/>
              <w:right w:w="108" w:type="dxa"/>
            </w:tcMar>
            <w:vAlign w:val="center"/>
          </w:tcPr>
          <w:p w14:paraId="67555C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rPr>
            </w:pPr>
          </w:p>
        </w:tc>
        <w:tc>
          <w:tcPr>
            <w:tcW w:w="809" w:type="pct"/>
            <w:vMerge w:val="continue"/>
            <w:noWrap w:val="0"/>
            <w:tcMar>
              <w:top w:w="0" w:type="dxa"/>
              <w:left w:w="108" w:type="dxa"/>
              <w:bottom w:w="0" w:type="dxa"/>
              <w:right w:w="108" w:type="dxa"/>
            </w:tcMar>
            <w:vAlign w:val="center"/>
          </w:tcPr>
          <w:p w14:paraId="1412B9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rPr>
            </w:pPr>
          </w:p>
        </w:tc>
        <w:tc>
          <w:tcPr>
            <w:tcW w:w="384" w:type="pct"/>
            <w:vMerge w:val="continue"/>
            <w:noWrap w:val="0"/>
            <w:vAlign w:val="center"/>
          </w:tcPr>
          <w:p w14:paraId="14F5A9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rPr>
            </w:pPr>
          </w:p>
        </w:tc>
        <w:tc>
          <w:tcPr>
            <w:tcW w:w="590" w:type="pct"/>
            <w:noWrap w:val="0"/>
            <w:tcMar>
              <w:top w:w="0" w:type="dxa"/>
              <w:left w:w="108" w:type="dxa"/>
              <w:bottom w:w="0" w:type="dxa"/>
              <w:right w:w="108" w:type="dxa"/>
            </w:tcMar>
            <w:vAlign w:val="center"/>
          </w:tcPr>
          <w:p w14:paraId="7B7FF2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color w:val="auto"/>
                <w:spacing w:val="0"/>
                <w:sz w:val="21"/>
                <w:szCs w:val="21"/>
                <w:highlight w:val="none"/>
                <w:lang w:val="en-US" w:eastAsia="zh-CN"/>
              </w:rPr>
              <w:t>排污口入红光沟处</w:t>
            </w:r>
          </w:p>
        </w:tc>
        <w:tc>
          <w:tcPr>
            <w:tcW w:w="565" w:type="pct"/>
            <w:noWrap w:val="0"/>
            <w:tcMar>
              <w:top w:w="0" w:type="dxa"/>
              <w:left w:w="108" w:type="dxa"/>
              <w:bottom w:w="0" w:type="dxa"/>
              <w:right w:w="108" w:type="dxa"/>
            </w:tcMar>
            <w:vAlign w:val="center"/>
          </w:tcPr>
          <w:p w14:paraId="4DB86F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color w:val="auto"/>
                <w:spacing w:val="0"/>
                <w:sz w:val="21"/>
                <w:szCs w:val="21"/>
                <w:highlight w:val="none"/>
                <w:lang w:val="en-US" w:eastAsia="zh-CN"/>
              </w:rPr>
              <w:t>入河排污口入红光沟上游</w:t>
            </w:r>
            <w:r>
              <w:rPr>
                <w:rFonts w:hint="default" w:ascii="Times New Roman" w:hAnsi="Times New Roman" w:eastAsia="宋体" w:cs="Times New Roman"/>
                <w:color w:val="auto"/>
                <w:spacing w:val="0"/>
                <w:sz w:val="21"/>
                <w:szCs w:val="21"/>
                <w:highlight w:val="none"/>
                <w:lang w:val="en-US" w:eastAsia="zh-CN"/>
              </w:rPr>
              <w:t>5</w:t>
            </w:r>
            <w:r>
              <w:rPr>
                <w:rFonts w:hint="eastAsia" w:ascii="Times New Roman" w:hAnsi="Times New Roman" w:eastAsia="宋体" w:cs="Times New Roman"/>
                <w:color w:val="auto"/>
                <w:spacing w:val="0"/>
                <w:sz w:val="21"/>
                <w:szCs w:val="21"/>
                <w:highlight w:val="none"/>
                <w:lang w:val="en-US" w:eastAsia="zh-CN"/>
              </w:rPr>
              <w:t>0</w:t>
            </w:r>
            <w:r>
              <w:rPr>
                <w:rFonts w:hint="default" w:ascii="Times New Roman" w:hAnsi="Times New Roman" w:eastAsia="宋体" w:cs="Times New Roman"/>
                <w:color w:val="auto"/>
                <w:spacing w:val="0"/>
                <w:sz w:val="21"/>
                <w:szCs w:val="21"/>
                <w:highlight w:val="none"/>
                <w:lang w:val="en-US" w:eastAsia="zh-CN"/>
              </w:rPr>
              <w:t>0m</w:t>
            </w:r>
          </w:p>
        </w:tc>
        <w:tc>
          <w:tcPr>
            <w:tcW w:w="571" w:type="pct"/>
            <w:noWrap w:val="0"/>
            <w:tcMar>
              <w:top w:w="0" w:type="dxa"/>
              <w:left w:w="108" w:type="dxa"/>
              <w:bottom w:w="0" w:type="dxa"/>
              <w:right w:w="108" w:type="dxa"/>
            </w:tcMar>
            <w:vAlign w:val="center"/>
          </w:tcPr>
          <w:p w14:paraId="770FC6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color w:val="auto"/>
                <w:spacing w:val="0"/>
                <w:sz w:val="21"/>
                <w:szCs w:val="21"/>
                <w:highlight w:val="none"/>
                <w:lang w:val="en-US" w:eastAsia="zh-CN"/>
              </w:rPr>
              <w:t>入河排污口入红光沟下游1000m</w:t>
            </w:r>
          </w:p>
        </w:tc>
        <w:tc>
          <w:tcPr>
            <w:tcW w:w="565" w:type="pct"/>
            <w:noWrap w:val="0"/>
            <w:tcMar>
              <w:top w:w="0" w:type="dxa"/>
              <w:left w:w="108" w:type="dxa"/>
              <w:bottom w:w="0" w:type="dxa"/>
              <w:right w:w="108" w:type="dxa"/>
            </w:tcMar>
            <w:vAlign w:val="center"/>
          </w:tcPr>
          <w:p w14:paraId="3E25D8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highlight w:val="none"/>
                <w:lang w:val="en-US" w:eastAsia="zh-CN"/>
              </w:rPr>
              <w:t>入穆棱河排污口处</w:t>
            </w:r>
          </w:p>
        </w:tc>
        <w:tc>
          <w:tcPr>
            <w:tcW w:w="577" w:type="pct"/>
            <w:noWrap w:val="0"/>
            <w:tcMar>
              <w:top w:w="0" w:type="dxa"/>
              <w:left w:w="108" w:type="dxa"/>
              <w:bottom w:w="0" w:type="dxa"/>
              <w:right w:w="108" w:type="dxa"/>
            </w:tcMar>
            <w:vAlign w:val="center"/>
          </w:tcPr>
          <w:p w14:paraId="552551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highlight w:val="none"/>
                <w:lang w:val="en-US" w:eastAsia="zh-CN"/>
              </w:rPr>
              <w:t>入穆棱河</w:t>
            </w:r>
            <w:r>
              <w:rPr>
                <w:rFonts w:hint="default" w:ascii="Times New Roman" w:hAnsi="Times New Roman" w:eastAsia="宋体" w:cs="Times New Roman"/>
                <w:color w:val="auto"/>
                <w:spacing w:val="0"/>
                <w:sz w:val="21"/>
                <w:szCs w:val="21"/>
                <w:highlight w:val="none"/>
              </w:rPr>
              <w:t>上游500</w:t>
            </w:r>
            <w:r>
              <w:rPr>
                <w:rFonts w:hint="default" w:ascii="Times New Roman" w:hAnsi="Times New Roman" w:eastAsia="宋体" w:cs="Times New Roman"/>
                <w:color w:val="auto"/>
                <w:spacing w:val="0"/>
                <w:sz w:val="21"/>
                <w:szCs w:val="21"/>
                <w:highlight w:val="none"/>
                <w:lang w:val="en-US" w:eastAsia="zh-CN"/>
              </w:rPr>
              <w:t>m</w:t>
            </w:r>
          </w:p>
        </w:tc>
        <w:tc>
          <w:tcPr>
            <w:tcW w:w="570" w:type="pct"/>
            <w:noWrap w:val="0"/>
            <w:tcMar>
              <w:top w:w="0" w:type="dxa"/>
              <w:left w:w="108" w:type="dxa"/>
              <w:bottom w:w="0" w:type="dxa"/>
              <w:right w:w="108" w:type="dxa"/>
            </w:tcMar>
            <w:vAlign w:val="center"/>
          </w:tcPr>
          <w:p w14:paraId="08559E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highlight w:val="none"/>
                <w:lang w:val="en-US" w:eastAsia="zh-CN"/>
              </w:rPr>
              <w:t>入穆棱河</w:t>
            </w:r>
            <w:r>
              <w:rPr>
                <w:rFonts w:hint="default" w:ascii="Times New Roman" w:hAnsi="Times New Roman" w:eastAsia="宋体" w:cs="Times New Roman"/>
                <w:color w:val="auto"/>
                <w:spacing w:val="0"/>
                <w:sz w:val="21"/>
                <w:szCs w:val="21"/>
                <w:highlight w:val="none"/>
              </w:rPr>
              <w:t>下游</w:t>
            </w:r>
            <w:r>
              <w:rPr>
                <w:rFonts w:hint="default" w:ascii="Times New Roman" w:hAnsi="Times New Roman" w:eastAsia="宋体" w:cs="Times New Roman"/>
                <w:color w:val="auto"/>
                <w:spacing w:val="0"/>
                <w:sz w:val="21"/>
                <w:szCs w:val="21"/>
                <w:highlight w:val="none"/>
                <w:lang w:val="en-US" w:eastAsia="zh-CN"/>
              </w:rPr>
              <w:t>2</w:t>
            </w:r>
            <w:r>
              <w:rPr>
                <w:rFonts w:hint="default" w:ascii="Times New Roman" w:hAnsi="Times New Roman" w:eastAsia="宋体" w:cs="Times New Roman"/>
                <w:color w:val="auto"/>
                <w:spacing w:val="0"/>
                <w:sz w:val="21"/>
                <w:szCs w:val="21"/>
                <w:highlight w:val="none"/>
              </w:rPr>
              <w:t>000</w:t>
            </w:r>
            <w:r>
              <w:rPr>
                <w:rFonts w:hint="default" w:ascii="Times New Roman" w:hAnsi="Times New Roman" w:eastAsia="宋体" w:cs="Times New Roman"/>
                <w:color w:val="auto"/>
                <w:spacing w:val="0"/>
                <w:sz w:val="21"/>
                <w:szCs w:val="21"/>
                <w:highlight w:val="none"/>
                <w:lang w:val="en-US" w:eastAsia="zh-CN"/>
              </w:rPr>
              <w:t>m</w:t>
            </w:r>
          </w:p>
        </w:tc>
      </w:tr>
      <w:tr w14:paraId="3933B7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restart"/>
            <w:noWrap w:val="0"/>
            <w:tcMar>
              <w:top w:w="0" w:type="dxa"/>
              <w:left w:w="108" w:type="dxa"/>
              <w:bottom w:w="0" w:type="dxa"/>
              <w:right w:w="108" w:type="dxa"/>
            </w:tcMar>
            <w:vAlign w:val="center"/>
          </w:tcPr>
          <w:p w14:paraId="01140D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b w:val="0"/>
                <w:i w:val="0"/>
                <w:color w:val="auto"/>
                <w:spacing w:val="0"/>
                <w:kern w:val="0"/>
                <w:sz w:val="21"/>
                <w:szCs w:val="21"/>
                <w:lang w:val="en-US" w:eastAsia="zh-CN"/>
              </w:rPr>
              <w:t>2025</w:t>
            </w:r>
            <w:r>
              <w:rPr>
                <w:rFonts w:hint="default" w:ascii="Times New Roman" w:hAnsi="Times New Roman" w:eastAsia="宋体" w:cs="Times New Roman"/>
                <w:color w:val="auto"/>
                <w:spacing w:val="0"/>
                <w:kern w:val="0"/>
                <w:sz w:val="21"/>
                <w:szCs w:val="21"/>
                <w:lang w:val="en-US" w:eastAsia="zh-CN"/>
              </w:rPr>
              <w:t>.</w:t>
            </w:r>
            <w:r>
              <w:rPr>
                <w:rFonts w:hint="default" w:ascii="Times New Roman" w:hAnsi="Times New Roman" w:eastAsia="宋体" w:cs="Times New Roman"/>
                <w:b w:val="0"/>
                <w:i w:val="0"/>
                <w:color w:val="auto"/>
                <w:spacing w:val="0"/>
                <w:kern w:val="0"/>
                <w:sz w:val="21"/>
                <w:szCs w:val="21"/>
                <w:lang w:val="en-US" w:eastAsia="zh-CN"/>
              </w:rPr>
              <w:t>8</w:t>
            </w:r>
            <w:r>
              <w:rPr>
                <w:rFonts w:hint="default" w:ascii="Times New Roman" w:hAnsi="Times New Roman" w:eastAsia="宋体" w:cs="Times New Roman"/>
                <w:color w:val="auto"/>
                <w:spacing w:val="0"/>
                <w:kern w:val="0"/>
                <w:sz w:val="21"/>
                <w:szCs w:val="21"/>
                <w:lang w:val="en-US" w:eastAsia="zh-CN"/>
              </w:rPr>
              <w:t>.</w:t>
            </w:r>
            <w:r>
              <w:rPr>
                <w:rFonts w:hint="default" w:ascii="Times New Roman" w:hAnsi="Times New Roman" w:eastAsia="宋体" w:cs="Times New Roman"/>
                <w:b w:val="0"/>
                <w:i w:val="0"/>
                <w:color w:val="auto"/>
                <w:spacing w:val="0"/>
                <w:kern w:val="0"/>
                <w:sz w:val="21"/>
                <w:szCs w:val="21"/>
                <w:lang w:val="en-US" w:eastAsia="zh-CN"/>
              </w:rPr>
              <w:t>27</w:t>
            </w:r>
            <w:r>
              <w:rPr>
                <w:rFonts w:hint="default" w:ascii="Times New Roman" w:hAnsi="Times New Roman" w:eastAsia="宋体" w:cs="Times New Roman"/>
                <w:color w:val="auto"/>
                <w:spacing w:val="0"/>
                <w:kern w:val="0"/>
                <w:sz w:val="21"/>
                <w:szCs w:val="21"/>
                <w:lang w:val="en-US" w:eastAsia="zh-CN"/>
              </w:rPr>
              <w:t>~</w:t>
            </w:r>
            <w:r>
              <w:rPr>
                <w:rFonts w:hint="default" w:ascii="Times New Roman" w:hAnsi="Times New Roman" w:eastAsia="宋体" w:cs="Times New Roman"/>
                <w:b w:val="0"/>
                <w:i w:val="0"/>
                <w:color w:val="auto"/>
                <w:spacing w:val="0"/>
                <w:kern w:val="0"/>
                <w:sz w:val="21"/>
                <w:szCs w:val="21"/>
                <w:lang w:val="en-US" w:eastAsia="zh-CN"/>
              </w:rPr>
              <w:t>2025</w:t>
            </w:r>
            <w:r>
              <w:rPr>
                <w:rFonts w:hint="default" w:ascii="Times New Roman" w:hAnsi="Times New Roman" w:eastAsia="宋体" w:cs="Times New Roman"/>
                <w:color w:val="auto"/>
                <w:spacing w:val="0"/>
                <w:kern w:val="0"/>
                <w:sz w:val="21"/>
                <w:szCs w:val="21"/>
                <w:lang w:val="en-US" w:eastAsia="zh-CN"/>
              </w:rPr>
              <w:t>.</w:t>
            </w:r>
            <w:r>
              <w:rPr>
                <w:rFonts w:hint="default" w:ascii="Times New Roman" w:hAnsi="Times New Roman" w:eastAsia="宋体" w:cs="Times New Roman"/>
                <w:b w:val="0"/>
                <w:i w:val="0"/>
                <w:color w:val="auto"/>
                <w:spacing w:val="0"/>
                <w:kern w:val="0"/>
                <w:sz w:val="21"/>
                <w:szCs w:val="21"/>
                <w:lang w:val="en-US" w:eastAsia="zh-CN"/>
              </w:rPr>
              <w:t>9</w:t>
            </w:r>
            <w:r>
              <w:rPr>
                <w:rFonts w:hint="default" w:ascii="Times New Roman" w:hAnsi="Times New Roman" w:eastAsia="宋体" w:cs="Times New Roman"/>
                <w:color w:val="auto"/>
                <w:spacing w:val="0"/>
                <w:kern w:val="0"/>
                <w:sz w:val="21"/>
                <w:szCs w:val="21"/>
                <w:lang w:val="en-US" w:eastAsia="zh-CN"/>
              </w:rPr>
              <w:t>.01</w:t>
            </w:r>
          </w:p>
        </w:tc>
        <w:tc>
          <w:tcPr>
            <w:tcW w:w="809" w:type="pct"/>
            <w:noWrap w:val="0"/>
            <w:tcMar>
              <w:top w:w="0" w:type="dxa"/>
              <w:left w:w="108" w:type="dxa"/>
              <w:bottom w:w="0" w:type="dxa"/>
              <w:right w:w="108" w:type="dxa"/>
            </w:tcMar>
            <w:vAlign w:val="center"/>
          </w:tcPr>
          <w:p w14:paraId="5A2929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rPr>
            </w:pPr>
            <w:r>
              <w:rPr>
                <w:rFonts w:hint="eastAsia" w:cs="Times New Roman"/>
                <w:color w:val="auto"/>
                <w:spacing w:val="0"/>
                <w:kern w:val="0"/>
                <w:sz w:val="21"/>
                <w:szCs w:val="21"/>
                <w:lang w:val="en-US" w:eastAsia="zh-CN"/>
              </w:rPr>
              <w:t>水温</w:t>
            </w:r>
          </w:p>
        </w:tc>
        <w:tc>
          <w:tcPr>
            <w:tcW w:w="384" w:type="pct"/>
            <w:noWrap w:val="0"/>
            <w:vAlign w:val="center"/>
          </w:tcPr>
          <w:p w14:paraId="583DE0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kern w:val="0"/>
                <w:sz w:val="21"/>
                <w:szCs w:val="21"/>
                <w:lang w:val="en-US" w:eastAsia="zh-CN"/>
              </w:rPr>
              <w:t>℃</w:t>
            </w:r>
          </w:p>
        </w:tc>
        <w:tc>
          <w:tcPr>
            <w:tcW w:w="590" w:type="pct"/>
            <w:noWrap w:val="0"/>
            <w:tcMar>
              <w:top w:w="0" w:type="dxa"/>
              <w:left w:w="108" w:type="dxa"/>
              <w:bottom w:w="0" w:type="dxa"/>
              <w:right w:w="108" w:type="dxa"/>
            </w:tcMar>
            <w:vAlign w:val="center"/>
          </w:tcPr>
          <w:p w14:paraId="0BADD0A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i w:val="0"/>
                <w:color w:val="auto"/>
                <w:spacing w:val="0"/>
                <w:kern w:val="0"/>
                <w:sz w:val="21"/>
                <w:szCs w:val="21"/>
                <w:lang w:val="en-US" w:eastAsia="zh-CN"/>
              </w:rPr>
            </w:pPr>
            <w:r>
              <w:rPr>
                <w:rFonts w:hint="default" w:ascii="Times New Roman" w:hAnsi="Times New Roman" w:eastAsia="宋体" w:cs="Times New Roman"/>
                <w:color w:val="auto"/>
                <w:spacing w:val="0"/>
                <w:sz w:val="21"/>
                <w:szCs w:val="21"/>
              </w:rPr>
              <w:t>24.4</w:t>
            </w:r>
          </w:p>
        </w:tc>
        <w:tc>
          <w:tcPr>
            <w:tcW w:w="565" w:type="pct"/>
            <w:noWrap w:val="0"/>
            <w:tcMar>
              <w:top w:w="0" w:type="dxa"/>
              <w:left w:w="108" w:type="dxa"/>
              <w:bottom w:w="0" w:type="dxa"/>
              <w:right w:w="108" w:type="dxa"/>
            </w:tcMar>
            <w:vAlign w:val="center"/>
          </w:tcPr>
          <w:p w14:paraId="3521153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i w:val="0"/>
                <w:color w:val="auto"/>
                <w:spacing w:val="0"/>
                <w:kern w:val="0"/>
                <w:sz w:val="21"/>
                <w:szCs w:val="21"/>
                <w:lang w:val="en-US" w:eastAsia="zh-CN"/>
              </w:rPr>
            </w:pPr>
            <w:r>
              <w:rPr>
                <w:rFonts w:hint="default" w:ascii="Times New Roman" w:hAnsi="Times New Roman" w:eastAsia="宋体" w:cs="Times New Roman"/>
                <w:color w:val="auto"/>
                <w:spacing w:val="0"/>
                <w:sz w:val="21"/>
                <w:szCs w:val="21"/>
              </w:rPr>
              <w:t>24.2</w:t>
            </w:r>
          </w:p>
        </w:tc>
        <w:tc>
          <w:tcPr>
            <w:tcW w:w="571" w:type="pct"/>
            <w:noWrap w:val="0"/>
            <w:tcMar>
              <w:top w:w="0" w:type="dxa"/>
              <w:left w:w="108" w:type="dxa"/>
              <w:bottom w:w="0" w:type="dxa"/>
              <w:right w:w="108" w:type="dxa"/>
            </w:tcMar>
            <w:vAlign w:val="center"/>
          </w:tcPr>
          <w:p w14:paraId="3849E73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i w:val="0"/>
                <w:color w:val="auto"/>
                <w:spacing w:val="0"/>
                <w:kern w:val="0"/>
                <w:sz w:val="21"/>
                <w:szCs w:val="21"/>
                <w:lang w:val="en-US" w:eastAsia="zh-CN"/>
              </w:rPr>
            </w:pPr>
            <w:r>
              <w:rPr>
                <w:rFonts w:hint="default" w:ascii="Times New Roman" w:hAnsi="Times New Roman" w:eastAsia="宋体" w:cs="Times New Roman"/>
                <w:color w:val="auto"/>
                <w:spacing w:val="0"/>
                <w:sz w:val="21"/>
                <w:szCs w:val="21"/>
              </w:rPr>
              <w:t>24.6</w:t>
            </w:r>
          </w:p>
        </w:tc>
        <w:tc>
          <w:tcPr>
            <w:tcW w:w="565" w:type="pct"/>
            <w:noWrap w:val="0"/>
            <w:tcMar>
              <w:top w:w="0" w:type="dxa"/>
              <w:left w:w="108" w:type="dxa"/>
              <w:bottom w:w="0" w:type="dxa"/>
              <w:right w:w="108" w:type="dxa"/>
            </w:tcMar>
            <w:vAlign w:val="center"/>
          </w:tcPr>
          <w:p w14:paraId="17F0D79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28.8</w:t>
            </w:r>
          </w:p>
        </w:tc>
        <w:tc>
          <w:tcPr>
            <w:tcW w:w="577" w:type="pct"/>
            <w:noWrap w:val="0"/>
            <w:tcMar>
              <w:top w:w="0" w:type="dxa"/>
              <w:left w:w="108" w:type="dxa"/>
              <w:bottom w:w="0" w:type="dxa"/>
              <w:right w:w="108" w:type="dxa"/>
            </w:tcMar>
            <w:vAlign w:val="center"/>
          </w:tcPr>
          <w:p w14:paraId="0707960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28.6</w:t>
            </w:r>
          </w:p>
        </w:tc>
        <w:tc>
          <w:tcPr>
            <w:tcW w:w="570" w:type="pct"/>
            <w:noWrap w:val="0"/>
            <w:tcMar>
              <w:top w:w="0" w:type="dxa"/>
              <w:left w:w="108" w:type="dxa"/>
              <w:bottom w:w="0" w:type="dxa"/>
              <w:right w:w="108" w:type="dxa"/>
            </w:tcMar>
            <w:vAlign w:val="center"/>
          </w:tcPr>
          <w:p w14:paraId="4B71E8F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28.3</w:t>
            </w:r>
          </w:p>
        </w:tc>
      </w:tr>
      <w:tr w14:paraId="28C654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195959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lang w:val="en-US" w:eastAsia="zh-CN"/>
              </w:rPr>
            </w:pPr>
          </w:p>
        </w:tc>
        <w:tc>
          <w:tcPr>
            <w:tcW w:w="809" w:type="pct"/>
            <w:noWrap w:val="0"/>
            <w:tcMar>
              <w:top w:w="0" w:type="dxa"/>
              <w:left w:w="108" w:type="dxa"/>
              <w:bottom w:w="0" w:type="dxa"/>
              <w:right w:w="108" w:type="dxa"/>
            </w:tcMar>
            <w:vAlign w:val="center"/>
          </w:tcPr>
          <w:p w14:paraId="573F3D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1"/>
                <w:lang w:val="en-US" w:eastAsia="zh-CN" w:bidi="ar"/>
              </w:rPr>
              <w:t>pH值</w:t>
            </w:r>
          </w:p>
        </w:tc>
        <w:tc>
          <w:tcPr>
            <w:tcW w:w="384" w:type="pct"/>
            <w:noWrap w:val="0"/>
            <w:vAlign w:val="center"/>
          </w:tcPr>
          <w:p w14:paraId="67B534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
              </w:rPr>
              <w:t>无量纲</w:t>
            </w:r>
          </w:p>
        </w:tc>
        <w:tc>
          <w:tcPr>
            <w:tcW w:w="590" w:type="pct"/>
            <w:noWrap w:val="0"/>
            <w:tcMar>
              <w:top w:w="0" w:type="dxa"/>
              <w:left w:w="108" w:type="dxa"/>
              <w:bottom w:w="0" w:type="dxa"/>
              <w:right w:w="108" w:type="dxa"/>
            </w:tcMar>
            <w:vAlign w:val="center"/>
          </w:tcPr>
          <w:p w14:paraId="7C6E374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7.2</w:t>
            </w:r>
          </w:p>
        </w:tc>
        <w:tc>
          <w:tcPr>
            <w:tcW w:w="565" w:type="pct"/>
            <w:noWrap w:val="0"/>
            <w:tcMar>
              <w:top w:w="0" w:type="dxa"/>
              <w:left w:w="108" w:type="dxa"/>
              <w:bottom w:w="0" w:type="dxa"/>
              <w:right w:w="108" w:type="dxa"/>
            </w:tcMar>
            <w:vAlign w:val="center"/>
          </w:tcPr>
          <w:p w14:paraId="0E9C4E4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7.1</w:t>
            </w:r>
          </w:p>
        </w:tc>
        <w:tc>
          <w:tcPr>
            <w:tcW w:w="571" w:type="pct"/>
            <w:noWrap w:val="0"/>
            <w:tcMar>
              <w:top w:w="0" w:type="dxa"/>
              <w:left w:w="108" w:type="dxa"/>
              <w:bottom w:w="0" w:type="dxa"/>
              <w:right w:w="108" w:type="dxa"/>
            </w:tcMar>
            <w:vAlign w:val="center"/>
          </w:tcPr>
          <w:p w14:paraId="0D46C6D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7.1</w:t>
            </w:r>
          </w:p>
        </w:tc>
        <w:tc>
          <w:tcPr>
            <w:tcW w:w="565" w:type="pct"/>
            <w:noWrap w:val="0"/>
            <w:tcMar>
              <w:top w:w="0" w:type="dxa"/>
              <w:left w:w="108" w:type="dxa"/>
              <w:bottom w:w="0" w:type="dxa"/>
              <w:right w:w="108" w:type="dxa"/>
            </w:tcMar>
            <w:vAlign w:val="center"/>
          </w:tcPr>
          <w:p w14:paraId="71360A7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7.3</w:t>
            </w:r>
          </w:p>
        </w:tc>
        <w:tc>
          <w:tcPr>
            <w:tcW w:w="577" w:type="pct"/>
            <w:noWrap w:val="0"/>
            <w:tcMar>
              <w:top w:w="0" w:type="dxa"/>
              <w:left w:w="108" w:type="dxa"/>
              <w:bottom w:w="0" w:type="dxa"/>
              <w:right w:w="108" w:type="dxa"/>
            </w:tcMar>
            <w:vAlign w:val="center"/>
          </w:tcPr>
          <w:p w14:paraId="3DCB30A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7.4</w:t>
            </w:r>
          </w:p>
        </w:tc>
        <w:tc>
          <w:tcPr>
            <w:tcW w:w="570" w:type="pct"/>
            <w:noWrap w:val="0"/>
            <w:tcMar>
              <w:top w:w="0" w:type="dxa"/>
              <w:left w:w="108" w:type="dxa"/>
              <w:bottom w:w="0" w:type="dxa"/>
              <w:right w:w="108" w:type="dxa"/>
            </w:tcMar>
            <w:vAlign w:val="center"/>
          </w:tcPr>
          <w:p w14:paraId="2A8902F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7.4</w:t>
            </w:r>
          </w:p>
        </w:tc>
      </w:tr>
      <w:tr w14:paraId="18FE4B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3C100B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lang w:val="en-US" w:eastAsia="zh-CN"/>
              </w:rPr>
            </w:pPr>
          </w:p>
        </w:tc>
        <w:tc>
          <w:tcPr>
            <w:tcW w:w="809" w:type="pct"/>
            <w:noWrap w:val="0"/>
            <w:tcMar>
              <w:top w:w="0" w:type="dxa"/>
              <w:left w:w="108" w:type="dxa"/>
              <w:bottom w:w="0" w:type="dxa"/>
              <w:right w:w="108" w:type="dxa"/>
            </w:tcMar>
            <w:vAlign w:val="center"/>
          </w:tcPr>
          <w:p w14:paraId="489562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溶解氧</w:t>
            </w:r>
          </w:p>
        </w:tc>
        <w:tc>
          <w:tcPr>
            <w:tcW w:w="384" w:type="pct"/>
            <w:noWrap w:val="0"/>
            <w:vAlign w:val="center"/>
          </w:tcPr>
          <w:p w14:paraId="57E912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068E6DB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5.1</w:t>
            </w:r>
          </w:p>
        </w:tc>
        <w:tc>
          <w:tcPr>
            <w:tcW w:w="565" w:type="pct"/>
            <w:noWrap w:val="0"/>
            <w:tcMar>
              <w:top w:w="0" w:type="dxa"/>
              <w:left w:w="108" w:type="dxa"/>
              <w:bottom w:w="0" w:type="dxa"/>
              <w:right w:w="108" w:type="dxa"/>
            </w:tcMar>
            <w:vAlign w:val="center"/>
          </w:tcPr>
          <w:p w14:paraId="6CEDDAE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5.1</w:t>
            </w:r>
          </w:p>
        </w:tc>
        <w:tc>
          <w:tcPr>
            <w:tcW w:w="571" w:type="pct"/>
            <w:noWrap w:val="0"/>
            <w:tcMar>
              <w:top w:w="0" w:type="dxa"/>
              <w:left w:w="108" w:type="dxa"/>
              <w:bottom w:w="0" w:type="dxa"/>
              <w:right w:w="108" w:type="dxa"/>
            </w:tcMar>
            <w:vAlign w:val="center"/>
          </w:tcPr>
          <w:p w14:paraId="51591FB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5.2</w:t>
            </w:r>
          </w:p>
        </w:tc>
        <w:tc>
          <w:tcPr>
            <w:tcW w:w="565" w:type="pct"/>
            <w:noWrap w:val="0"/>
            <w:tcMar>
              <w:top w:w="0" w:type="dxa"/>
              <w:left w:w="108" w:type="dxa"/>
              <w:bottom w:w="0" w:type="dxa"/>
              <w:right w:w="108" w:type="dxa"/>
            </w:tcMar>
            <w:vAlign w:val="center"/>
          </w:tcPr>
          <w:p w14:paraId="2D81C19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5.3</w:t>
            </w:r>
          </w:p>
        </w:tc>
        <w:tc>
          <w:tcPr>
            <w:tcW w:w="577" w:type="pct"/>
            <w:noWrap w:val="0"/>
            <w:tcMar>
              <w:top w:w="0" w:type="dxa"/>
              <w:left w:w="108" w:type="dxa"/>
              <w:bottom w:w="0" w:type="dxa"/>
              <w:right w:w="108" w:type="dxa"/>
            </w:tcMar>
            <w:vAlign w:val="center"/>
          </w:tcPr>
          <w:p w14:paraId="4B55D9E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5.4</w:t>
            </w:r>
          </w:p>
        </w:tc>
        <w:tc>
          <w:tcPr>
            <w:tcW w:w="570" w:type="pct"/>
            <w:noWrap w:val="0"/>
            <w:tcMar>
              <w:top w:w="0" w:type="dxa"/>
              <w:left w:w="108" w:type="dxa"/>
              <w:bottom w:w="0" w:type="dxa"/>
              <w:right w:w="108" w:type="dxa"/>
            </w:tcMar>
            <w:vAlign w:val="center"/>
          </w:tcPr>
          <w:p w14:paraId="27DFE51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5.4</w:t>
            </w:r>
          </w:p>
        </w:tc>
      </w:tr>
      <w:tr w14:paraId="4E40E7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64" w:type="pct"/>
            <w:vMerge w:val="continue"/>
            <w:noWrap w:val="0"/>
            <w:tcMar>
              <w:top w:w="0" w:type="dxa"/>
              <w:left w:w="108" w:type="dxa"/>
              <w:bottom w:w="0" w:type="dxa"/>
              <w:right w:w="108" w:type="dxa"/>
            </w:tcMar>
            <w:vAlign w:val="center"/>
          </w:tcPr>
          <w:p w14:paraId="705728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74A2D2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高锰酸盐指数</w:t>
            </w:r>
          </w:p>
        </w:tc>
        <w:tc>
          <w:tcPr>
            <w:tcW w:w="384" w:type="pct"/>
            <w:noWrap w:val="0"/>
            <w:vAlign w:val="center"/>
          </w:tcPr>
          <w:p w14:paraId="580730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25CE0BF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3.5</w:t>
            </w:r>
          </w:p>
        </w:tc>
        <w:tc>
          <w:tcPr>
            <w:tcW w:w="565" w:type="pct"/>
            <w:noWrap w:val="0"/>
            <w:tcMar>
              <w:top w:w="0" w:type="dxa"/>
              <w:left w:w="108" w:type="dxa"/>
              <w:bottom w:w="0" w:type="dxa"/>
              <w:right w:w="108" w:type="dxa"/>
            </w:tcMar>
            <w:vAlign w:val="center"/>
          </w:tcPr>
          <w:p w14:paraId="155628D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3.2</w:t>
            </w:r>
          </w:p>
        </w:tc>
        <w:tc>
          <w:tcPr>
            <w:tcW w:w="571" w:type="pct"/>
            <w:noWrap w:val="0"/>
            <w:tcMar>
              <w:top w:w="0" w:type="dxa"/>
              <w:left w:w="108" w:type="dxa"/>
              <w:bottom w:w="0" w:type="dxa"/>
              <w:right w:w="108" w:type="dxa"/>
            </w:tcMar>
            <w:vAlign w:val="center"/>
          </w:tcPr>
          <w:p w14:paraId="2BB8248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3.1</w:t>
            </w:r>
          </w:p>
        </w:tc>
        <w:tc>
          <w:tcPr>
            <w:tcW w:w="565" w:type="pct"/>
            <w:noWrap w:val="0"/>
            <w:tcMar>
              <w:top w:w="0" w:type="dxa"/>
              <w:left w:w="108" w:type="dxa"/>
              <w:bottom w:w="0" w:type="dxa"/>
              <w:right w:w="108" w:type="dxa"/>
            </w:tcMar>
            <w:vAlign w:val="center"/>
          </w:tcPr>
          <w:p w14:paraId="617C57C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3.3</w:t>
            </w:r>
          </w:p>
        </w:tc>
        <w:tc>
          <w:tcPr>
            <w:tcW w:w="577" w:type="pct"/>
            <w:noWrap w:val="0"/>
            <w:tcMar>
              <w:top w:w="0" w:type="dxa"/>
              <w:left w:w="108" w:type="dxa"/>
              <w:bottom w:w="0" w:type="dxa"/>
              <w:right w:w="108" w:type="dxa"/>
            </w:tcMar>
            <w:vAlign w:val="center"/>
          </w:tcPr>
          <w:p w14:paraId="12844F5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3.2</w:t>
            </w:r>
          </w:p>
        </w:tc>
        <w:tc>
          <w:tcPr>
            <w:tcW w:w="570" w:type="pct"/>
            <w:noWrap w:val="0"/>
            <w:tcMar>
              <w:top w:w="0" w:type="dxa"/>
              <w:left w:w="108" w:type="dxa"/>
              <w:bottom w:w="0" w:type="dxa"/>
              <w:right w:w="108" w:type="dxa"/>
            </w:tcMar>
            <w:vAlign w:val="center"/>
          </w:tcPr>
          <w:p w14:paraId="7FFA027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3.4</w:t>
            </w:r>
          </w:p>
        </w:tc>
      </w:tr>
      <w:tr w14:paraId="5BE14F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64" w:type="pct"/>
            <w:vMerge w:val="continue"/>
            <w:noWrap w:val="0"/>
            <w:tcMar>
              <w:top w:w="0" w:type="dxa"/>
              <w:left w:w="108" w:type="dxa"/>
              <w:bottom w:w="0" w:type="dxa"/>
              <w:right w:w="108" w:type="dxa"/>
            </w:tcMar>
            <w:vAlign w:val="center"/>
          </w:tcPr>
          <w:p w14:paraId="145919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27462A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化学需氧量</w:t>
            </w:r>
          </w:p>
        </w:tc>
        <w:tc>
          <w:tcPr>
            <w:tcW w:w="384" w:type="pct"/>
            <w:noWrap w:val="0"/>
            <w:vAlign w:val="center"/>
          </w:tcPr>
          <w:p w14:paraId="599251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193823E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16</w:t>
            </w:r>
          </w:p>
        </w:tc>
        <w:tc>
          <w:tcPr>
            <w:tcW w:w="565" w:type="pct"/>
            <w:noWrap w:val="0"/>
            <w:tcMar>
              <w:top w:w="0" w:type="dxa"/>
              <w:left w:w="108" w:type="dxa"/>
              <w:bottom w:w="0" w:type="dxa"/>
              <w:right w:w="108" w:type="dxa"/>
            </w:tcMar>
            <w:vAlign w:val="center"/>
          </w:tcPr>
          <w:p w14:paraId="4C28FE9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15</w:t>
            </w:r>
          </w:p>
        </w:tc>
        <w:tc>
          <w:tcPr>
            <w:tcW w:w="571" w:type="pct"/>
            <w:noWrap w:val="0"/>
            <w:tcMar>
              <w:top w:w="0" w:type="dxa"/>
              <w:left w:w="108" w:type="dxa"/>
              <w:bottom w:w="0" w:type="dxa"/>
              <w:right w:w="108" w:type="dxa"/>
            </w:tcMar>
            <w:vAlign w:val="center"/>
          </w:tcPr>
          <w:p w14:paraId="5052010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14</w:t>
            </w:r>
          </w:p>
        </w:tc>
        <w:tc>
          <w:tcPr>
            <w:tcW w:w="565" w:type="pct"/>
            <w:noWrap w:val="0"/>
            <w:tcMar>
              <w:top w:w="0" w:type="dxa"/>
              <w:left w:w="108" w:type="dxa"/>
              <w:bottom w:w="0" w:type="dxa"/>
              <w:right w:w="108" w:type="dxa"/>
            </w:tcMar>
            <w:vAlign w:val="center"/>
          </w:tcPr>
          <w:p w14:paraId="7D3CE74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17</w:t>
            </w:r>
          </w:p>
        </w:tc>
        <w:tc>
          <w:tcPr>
            <w:tcW w:w="577" w:type="pct"/>
            <w:noWrap w:val="0"/>
            <w:tcMar>
              <w:top w:w="0" w:type="dxa"/>
              <w:left w:w="108" w:type="dxa"/>
              <w:bottom w:w="0" w:type="dxa"/>
              <w:right w:w="108" w:type="dxa"/>
            </w:tcMar>
            <w:vAlign w:val="center"/>
          </w:tcPr>
          <w:p w14:paraId="4DDDB2A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13</w:t>
            </w:r>
          </w:p>
        </w:tc>
        <w:tc>
          <w:tcPr>
            <w:tcW w:w="570" w:type="pct"/>
            <w:noWrap w:val="0"/>
            <w:tcMar>
              <w:top w:w="0" w:type="dxa"/>
              <w:left w:w="108" w:type="dxa"/>
              <w:bottom w:w="0" w:type="dxa"/>
              <w:right w:w="108" w:type="dxa"/>
            </w:tcMar>
            <w:vAlign w:val="center"/>
          </w:tcPr>
          <w:p w14:paraId="395870E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16</w:t>
            </w:r>
          </w:p>
        </w:tc>
      </w:tr>
      <w:tr w14:paraId="30EC4A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1D0596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292914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1"/>
                <w:lang w:val="en-US" w:eastAsia="zh-CN" w:bidi="ar"/>
              </w:rPr>
              <w:t>五日生化需氧量</w:t>
            </w:r>
          </w:p>
        </w:tc>
        <w:tc>
          <w:tcPr>
            <w:tcW w:w="384" w:type="pct"/>
            <w:noWrap w:val="0"/>
            <w:vAlign w:val="center"/>
          </w:tcPr>
          <w:p w14:paraId="1554A9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5EC0761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3.2</w:t>
            </w:r>
          </w:p>
        </w:tc>
        <w:tc>
          <w:tcPr>
            <w:tcW w:w="565" w:type="pct"/>
            <w:noWrap w:val="0"/>
            <w:tcMar>
              <w:top w:w="0" w:type="dxa"/>
              <w:left w:w="108" w:type="dxa"/>
              <w:bottom w:w="0" w:type="dxa"/>
              <w:right w:w="108" w:type="dxa"/>
            </w:tcMar>
            <w:vAlign w:val="center"/>
          </w:tcPr>
          <w:p w14:paraId="6B690D3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3.1</w:t>
            </w:r>
          </w:p>
        </w:tc>
        <w:tc>
          <w:tcPr>
            <w:tcW w:w="571" w:type="pct"/>
            <w:noWrap w:val="0"/>
            <w:tcMar>
              <w:top w:w="0" w:type="dxa"/>
              <w:left w:w="108" w:type="dxa"/>
              <w:bottom w:w="0" w:type="dxa"/>
              <w:right w:w="108" w:type="dxa"/>
            </w:tcMar>
            <w:vAlign w:val="center"/>
          </w:tcPr>
          <w:p w14:paraId="0DA4B4B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3.0</w:t>
            </w:r>
          </w:p>
        </w:tc>
        <w:tc>
          <w:tcPr>
            <w:tcW w:w="565" w:type="pct"/>
            <w:noWrap w:val="0"/>
            <w:tcMar>
              <w:top w:w="0" w:type="dxa"/>
              <w:left w:w="108" w:type="dxa"/>
              <w:bottom w:w="0" w:type="dxa"/>
              <w:right w:w="108" w:type="dxa"/>
            </w:tcMar>
            <w:vAlign w:val="center"/>
          </w:tcPr>
          <w:p w14:paraId="781A185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3.4</w:t>
            </w:r>
          </w:p>
        </w:tc>
        <w:tc>
          <w:tcPr>
            <w:tcW w:w="577" w:type="pct"/>
            <w:noWrap w:val="0"/>
            <w:tcMar>
              <w:top w:w="0" w:type="dxa"/>
              <w:left w:w="108" w:type="dxa"/>
              <w:bottom w:w="0" w:type="dxa"/>
              <w:right w:w="108" w:type="dxa"/>
            </w:tcMar>
            <w:vAlign w:val="center"/>
          </w:tcPr>
          <w:p w14:paraId="427496F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3.1</w:t>
            </w:r>
          </w:p>
        </w:tc>
        <w:tc>
          <w:tcPr>
            <w:tcW w:w="570" w:type="pct"/>
            <w:noWrap w:val="0"/>
            <w:tcMar>
              <w:top w:w="0" w:type="dxa"/>
              <w:left w:w="108" w:type="dxa"/>
              <w:bottom w:w="0" w:type="dxa"/>
              <w:right w:w="108" w:type="dxa"/>
            </w:tcMar>
            <w:vAlign w:val="center"/>
          </w:tcPr>
          <w:p w14:paraId="1229952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3.3</w:t>
            </w:r>
          </w:p>
        </w:tc>
      </w:tr>
      <w:tr w14:paraId="507447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67E36E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6A275E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氨氮</w:t>
            </w:r>
          </w:p>
        </w:tc>
        <w:tc>
          <w:tcPr>
            <w:tcW w:w="384" w:type="pct"/>
            <w:noWrap w:val="0"/>
            <w:vAlign w:val="center"/>
          </w:tcPr>
          <w:p w14:paraId="178D5C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2ED29E3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0.56</w:t>
            </w:r>
          </w:p>
        </w:tc>
        <w:tc>
          <w:tcPr>
            <w:tcW w:w="565" w:type="pct"/>
            <w:noWrap w:val="0"/>
            <w:tcMar>
              <w:top w:w="0" w:type="dxa"/>
              <w:left w:w="108" w:type="dxa"/>
              <w:bottom w:w="0" w:type="dxa"/>
              <w:right w:w="108" w:type="dxa"/>
            </w:tcMar>
            <w:vAlign w:val="center"/>
          </w:tcPr>
          <w:p w14:paraId="6DC3DE8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0.52</w:t>
            </w:r>
          </w:p>
        </w:tc>
        <w:tc>
          <w:tcPr>
            <w:tcW w:w="571" w:type="pct"/>
            <w:noWrap w:val="0"/>
            <w:tcMar>
              <w:top w:w="0" w:type="dxa"/>
              <w:left w:w="108" w:type="dxa"/>
              <w:bottom w:w="0" w:type="dxa"/>
              <w:right w:w="108" w:type="dxa"/>
            </w:tcMar>
            <w:vAlign w:val="center"/>
          </w:tcPr>
          <w:p w14:paraId="49FF595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0.54</w:t>
            </w:r>
          </w:p>
        </w:tc>
        <w:tc>
          <w:tcPr>
            <w:tcW w:w="565" w:type="pct"/>
            <w:noWrap w:val="0"/>
            <w:tcMar>
              <w:top w:w="0" w:type="dxa"/>
              <w:left w:w="108" w:type="dxa"/>
              <w:bottom w:w="0" w:type="dxa"/>
              <w:right w:w="108" w:type="dxa"/>
            </w:tcMar>
            <w:vAlign w:val="center"/>
          </w:tcPr>
          <w:p w14:paraId="5DF809E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0.55</w:t>
            </w:r>
          </w:p>
        </w:tc>
        <w:tc>
          <w:tcPr>
            <w:tcW w:w="577" w:type="pct"/>
            <w:noWrap w:val="0"/>
            <w:tcMar>
              <w:top w:w="0" w:type="dxa"/>
              <w:left w:w="108" w:type="dxa"/>
              <w:bottom w:w="0" w:type="dxa"/>
              <w:right w:w="108" w:type="dxa"/>
            </w:tcMar>
            <w:vAlign w:val="center"/>
          </w:tcPr>
          <w:p w14:paraId="4B3BD13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0.53</w:t>
            </w:r>
          </w:p>
        </w:tc>
        <w:tc>
          <w:tcPr>
            <w:tcW w:w="570" w:type="pct"/>
            <w:noWrap w:val="0"/>
            <w:tcMar>
              <w:top w:w="0" w:type="dxa"/>
              <w:left w:w="108" w:type="dxa"/>
              <w:bottom w:w="0" w:type="dxa"/>
              <w:right w:w="108" w:type="dxa"/>
            </w:tcMar>
            <w:vAlign w:val="center"/>
          </w:tcPr>
          <w:p w14:paraId="340B084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0.54</w:t>
            </w:r>
          </w:p>
        </w:tc>
      </w:tr>
      <w:tr w14:paraId="6D1C5E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5670CA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486057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总磷</w:t>
            </w:r>
          </w:p>
        </w:tc>
        <w:tc>
          <w:tcPr>
            <w:tcW w:w="384" w:type="pct"/>
            <w:noWrap w:val="0"/>
            <w:vAlign w:val="center"/>
          </w:tcPr>
          <w:p w14:paraId="031898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0874DC9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0.19</w:t>
            </w:r>
          </w:p>
        </w:tc>
        <w:tc>
          <w:tcPr>
            <w:tcW w:w="565" w:type="pct"/>
            <w:noWrap w:val="0"/>
            <w:tcMar>
              <w:top w:w="0" w:type="dxa"/>
              <w:left w:w="108" w:type="dxa"/>
              <w:bottom w:w="0" w:type="dxa"/>
              <w:right w:w="108" w:type="dxa"/>
            </w:tcMar>
            <w:vAlign w:val="center"/>
          </w:tcPr>
          <w:p w14:paraId="7CF8764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0.16</w:t>
            </w:r>
          </w:p>
        </w:tc>
        <w:tc>
          <w:tcPr>
            <w:tcW w:w="571" w:type="pct"/>
            <w:noWrap w:val="0"/>
            <w:tcMar>
              <w:top w:w="0" w:type="dxa"/>
              <w:left w:w="108" w:type="dxa"/>
              <w:bottom w:w="0" w:type="dxa"/>
              <w:right w:w="108" w:type="dxa"/>
            </w:tcMar>
            <w:vAlign w:val="center"/>
          </w:tcPr>
          <w:p w14:paraId="1F23013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0.17</w:t>
            </w:r>
          </w:p>
        </w:tc>
        <w:tc>
          <w:tcPr>
            <w:tcW w:w="565" w:type="pct"/>
            <w:noWrap w:val="0"/>
            <w:tcMar>
              <w:top w:w="0" w:type="dxa"/>
              <w:left w:w="108" w:type="dxa"/>
              <w:bottom w:w="0" w:type="dxa"/>
              <w:right w:w="108" w:type="dxa"/>
            </w:tcMar>
            <w:vAlign w:val="center"/>
          </w:tcPr>
          <w:p w14:paraId="41EC8C1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0.18</w:t>
            </w:r>
          </w:p>
        </w:tc>
        <w:tc>
          <w:tcPr>
            <w:tcW w:w="577" w:type="pct"/>
            <w:noWrap w:val="0"/>
            <w:tcMar>
              <w:top w:w="0" w:type="dxa"/>
              <w:left w:w="108" w:type="dxa"/>
              <w:bottom w:w="0" w:type="dxa"/>
              <w:right w:w="108" w:type="dxa"/>
            </w:tcMar>
            <w:vAlign w:val="center"/>
          </w:tcPr>
          <w:p w14:paraId="747A5E9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0.14</w:t>
            </w:r>
          </w:p>
        </w:tc>
        <w:tc>
          <w:tcPr>
            <w:tcW w:w="570" w:type="pct"/>
            <w:noWrap w:val="0"/>
            <w:tcMar>
              <w:top w:w="0" w:type="dxa"/>
              <w:left w:w="108" w:type="dxa"/>
              <w:bottom w:w="0" w:type="dxa"/>
              <w:right w:w="108" w:type="dxa"/>
            </w:tcMar>
            <w:vAlign w:val="center"/>
          </w:tcPr>
          <w:p w14:paraId="57FDF6C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0.15</w:t>
            </w:r>
          </w:p>
        </w:tc>
      </w:tr>
      <w:tr w14:paraId="7FFC74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1A83F8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38E15D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总氮</w:t>
            </w:r>
          </w:p>
        </w:tc>
        <w:tc>
          <w:tcPr>
            <w:tcW w:w="384" w:type="pct"/>
            <w:noWrap w:val="0"/>
            <w:vAlign w:val="center"/>
          </w:tcPr>
          <w:p w14:paraId="5921FA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11A6536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0.94</w:t>
            </w:r>
          </w:p>
        </w:tc>
        <w:tc>
          <w:tcPr>
            <w:tcW w:w="565" w:type="pct"/>
            <w:noWrap w:val="0"/>
            <w:tcMar>
              <w:top w:w="0" w:type="dxa"/>
              <w:left w:w="108" w:type="dxa"/>
              <w:bottom w:w="0" w:type="dxa"/>
              <w:right w:w="108" w:type="dxa"/>
            </w:tcMar>
            <w:vAlign w:val="center"/>
          </w:tcPr>
          <w:p w14:paraId="051E848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0.65</w:t>
            </w:r>
          </w:p>
        </w:tc>
        <w:tc>
          <w:tcPr>
            <w:tcW w:w="571" w:type="pct"/>
            <w:noWrap w:val="0"/>
            <w:tcMar>
              <w:top w:w="0" w:type="dxa"/>
              <w:left w:w="108" w:type="dxa"/>
              <w:bottom w:w="0" w:type="dxa"/>
              <w:right w:w="108" w:type="dxa"/>
            </w:tcMar>
            <w:vAlign w:val="center"/>
          </w:tcPr>
          <w:p w14:paraId="220BE35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0.80</w:t>
            </w:r>
          </w:p>
        </w:tc>
        <w:tc>
          <w:tcPr>
            <w:tcW w:w="565" w:type="pct"/>
            <w:noWrap w:val="0"/>
            <w:tcMar>
              <w:top w:w="0" w:type="dxa"/>
              <w:left w:w="108" w:type="dxa"/>
              <w:bottom w:w="0" w:type="dxa"/>
              <w:right w:w="108" w:type="dxa"/>
            </w:tcMar>
            <w:vAlign w:val="center"/>
          </w:tcPr>
          <w:p w14:paraId="67F7041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0.91</w:t>
            </w:r>
          </w:p>
        </w:tc>
        <w:tc>
          <w:tcPr>
            <w:tcW w:w="577" w:type="pct"/>
            <w:noWrap w:val="0"/>
            <w:tcMar>
              <w:top w:w="0" w:type="dxa"/>
              <w:left w:w="108" w:type="dxa"/>
              <w:bottom w:w="0" w:type="dxa"/>
              <w:right w:w="108" w:type="dxa"/>
            </w:tcMar>
            <w:vAlign w:val="center"/>
          </w:tcPr>
          <w:p w14:paraId="2B0D1BD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0.64</w:t>
            </w:r>
          </w:p>
        </w:tc>
        <w:tc>
          <w:tcPr>
            <w:tcW w:w="570" w:type="pct"/>
            <w:noWrap w:val="0"/>
            <w:tcMar>
              <w:top w:w="0" w:type="dxa"/>
              <w:left w:w="108" w:type="dxa"/>
              <w:bottom w:w="0" w:type="dxa"/>
              <w:right w:w="108" w:type="dxa"/>
            </w:tcMar>
            <w:vAlign w:val="center"/>
          </w:tcPr>
          <w:p w14:paraId="4AD1CEC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0.74</w:t>
            </w:r>
          </w:p>
        </w:tc>
      </w:tr>
      <w:tr w14:paraId="645E86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67FFC4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45212A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铜</w:t>
            </w:r>
          </w:p>
        </w:tc>
        <w:tc>
          <w:tcPr>
            <w:tcW w:w="384" w:type="pct"/>
            <w:noWrap w:val="0"/>
            <w:vAlign w:val="center"/>
          </w:tcPr>
          <w:p w14:paraId="21AE30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181276B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0.015</w:t>
            </w:r>
          </w:p>
        </w:tc>
        <w:tc>
          <w:tcPr>
            <w:tcW w:w="565" w:type="pct"/>
            <w:noWrap w:val="0"/>
            <w:tcMar>
              <w:top w:w="0" w:type="dxa"/>
              <w:left w:w="108" w:type="dxa"/>
              <w:bottom w:w="0" w:type="dxa"/>
              <w:right w:w="108" w:type="dxa"/>
            </w:tcMar>
            <w:vAlign w:val="center"/>
          </w:tcPr>
          <w:p w14:paraId="28A514B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0.016</w:t>
            </w:r>
          </w:p>
        </w:tc>
        <w:tc>
          <w:tcPr>
            <w:tcW w:w="571" w:type="pct"/>
            <w:noWrap w:val="0"/>
            <w:tcMar>
              <w:top w:w="0" w:type="dxa"/>
              <w:left w:w="108" w:type="dxa"/>
              <w:bottom w:w="0" w:type="dxa"/>
              <w:right w:w="108" w:type="dxa"/>
            </w:tcMar>
            <w:vAlign w:val="center"/>
          </w:tcPr>
          <w:p w14:paraId="289440D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0.019</w:t>
            </w:r>
          </w:p>
        </w:tc>
        <w:tc>
          <w:tcPr>
            <w:tcW w:w="565" w:type="pct"/>
            <w:noWrap w:val="0"/>
            <w:tcMar>
              <w:top w:w="0" w:type="dxa"/>
              <w:left w:w="108" w:type="dxa"/>
              <w:bottom w:w="0" w:type="dxa"/>
              <w:right w:w="108" w:type="dxa"/>
            </w:tcMar>
            <w:vAlign w:val="center"/>
          </w:tcPr>
          <w:p w14:paraId="30E25CF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0.022</w:t>
            </w:r>
          </w:p>
        </w:tc>
        <w:tc>
          <w:tcPr>
            <w:tcW w:w="577" w:type="pct"/>
            <w:noWrap w:val="0"/>
            <w:tcMar>
              <w:top w:w="0" w:type="dxa"/>
              <w:left w:w="108" w:type="dxa"/>
              <w:bottom w:w="0" w:type="dxa"/>
              <w:right w:w="108" w:type="dxa"/>
            </w:tcMar>
            <w:vAlign w:val="center"/>
          </w:tcPr>
          <w:p w14:paraId="534C659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0.017</w:t>
            </w:r>
          </w:p>
        </w:tc>
        <w:tc>
          <w:tcPr>
            <w:tcW w:w="570" w:type="pct"/>
            <w:noWrap w:val="0"/>
            <w:tcMar>
              <w:top w:w="0" w:type="dxa"/>
              <w:left w:w="108" w:type="dxa"/>
              <w:bottom w:w="0" w:type="dxa"/>
              <w:right w:w="108" w:type="dxa"/>
            </w:tcMar>
            <w:vAlign w:val="center"/>
          </w:tcPr>
          <w:p w14:paraId="5531B60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0.019</w:t>
            </w:r>
          </w:p>
        </w:tc>
      </w:tr>
      <w:tr w14:paraId="045336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78D3E1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4D546C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锌</w:t>
            </w:r>
          </w:p>
        </w:tc>
        <w:tc>
          <w:tcPr>
            <w:tcW w:w="384" w:type="pct"/>
            <w:noWrap w:val="0"/>
            <w:vAlign w:val="center"/>
          </w:tcPr>
          <w:p w14:paraId="2CB043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3A691E1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65" w:type="pct"/>
            <w:noWrap w:val="0"/>
            <w:tcMar>
              <w:top w:w="0" w:type="dxa"/>
              <w:left w:w="108" w:type="dxa"/>
              <w:bottom w:w="0" w:type="dxa"/>
              <w:right w:w="108" w:type="dxa"/>
            </w:tcMar>
            <w:vAlign w:val="center"/>
          </w:tcPr>
          <w:p w14:paraId="4BDE063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71" w:type="pct"/>
            <w:noWrap w:val="0"/>
            <w:tcMar>
              <w:top w:w="0" w:type="dxa"/>
              <w:left w:w="108" w:type="dxa"/>
              <w:bottom w:w="0" w:type="dxa"/>
              <w:right w:w="108" w:type="dxa"/>
            </w:tcMar>
            <w:vAlign w:val="center"/>
          </w:tcPr>
          <w:p w14:paraId="47B5050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65" w:type="pct"/>
            <w:noWrap w:val="0"/>
            <w:tcMar>
              <w:top w:w="0" w:type="dxa"/>
              <w:left w:w="108" w:type="dxa"/>
              <w:bottom w:w="0" w:type="dxa"/>
              <w:right w:w="108" w:type="dxa"/>
            </w:tcMar>
            <w:vAlign w:val="center"/>
          </w:tcPr>
          <w:p w14:paraId="7D037D0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77" w:type="pct"/>
            <w:noWrap w:val="0"/>
            <w:tcMar>
              <w:top w:w="0" w:type="dxa"/>
              <w:left w:w="108" w:type="dxa"/>
              <w:bottom w:w="0" w:type="dxa"/>
              <w:right w:w="108" w:type="dxa"/>
            </w:tcMar>
            <w:vAlign w:val="center"/>
          </w:tcPr>
          <w:p w14:paraId="254CB76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70" w:type="pct"/>
            <w:noWrap w:val="0"/>
            <w:tcMar>
              <w:top w:w="0" w:type="dxa"/>
              <w:left w:w="108" w:type="dxa"/>
              <w:bottom w:w="0" w:type="dxa"/>
              <w:right w:w="108" w:type="dxa"/>
            </w:tcMar>
            <w:vAlign w:val="center"/>
          </w:tcPr>
          <w:p w14:paraId="2ACCF39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r>
      <w:tr w14:paraId="35C9D2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749955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7F2AFB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氟化物</w:t>
            </w:r>
          </w:p>
        </w:tc>
        <w:tc>
          <w:tcPr>
            <w:tcW w:w="384" w:type="pct"/>
            <w:noWrap w:val="0"/>
            <w:vAlign w:val="center"/>
          </w:tcPr>
          <w:p w14:paraId="562EFD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2308C8A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0.47</w:t>
            </w:r>
          </w:p>
        </w:tc>
        <w:tc>
          <w:tcPr>
            <w:tcW w:w="565" w:type="pct"/>
            <w:noWrap w:val="0"/>
            <w:tcMar>
              <w:top w:w="0" w:type="dxa"/>
              <w:left w:w="108" w:type="dxa"/>
              <w:bottom w:w="0" w:type="dxa"/>
              <w:right w:w="108" w:type="dxa"/>
            </w:tcMar>
            <w:vAlign w:val="center"/>
          </w:tcPr>
          <w:p w14:paraId="212CEAB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0.42</w:t>
            </w:r>
          </w:p>
        </w:tc>
        <w:tc>
          <w:tcPr>
            <w:tcW w:w="571" w:type="pct"/>
            <w:noWrap w:val="0"/>
            <w:tcMar>
              <w:top w:w="0" w:type="dxa"/>
              <w:left w:w="108" w:type="dxa"/>
              <w:bottom w:w="0" w:type="dxa"/>
              <w:right w:w="108" w:type="dxa"/>
            </w:tcMar>
            <w:vAlign w:val="center"/>
          </w:tcPr>
          <w:p w14:paraId="769394A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0.44</w:t>
            </w:r>
          </w:p>
        </w:tc>
        <w:tc>
          <w:tcPr>
            <w:tcW w:w="565" w:type="pct"/>
            <w:noWrap w:val="0"/>
            <w:tcMar>
              <w:top w:w="0" w:type="dxa"/>
              <w:left w:w="108" w:type="dxa"/>
              <w:bottom w:w="0" w:type="dxa"/>
              <w:right w:w="108" w:type="dxa"/>
            </w:tcMar>
            <w:vAlign w:val="center"/>
          </w:tcPr>
          <w:p w14:paraId="68D10A9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0.45</w:t>
            </w:r>
          </w:p>
        </w:tc>
        <w:tc>
          <w:tcPr>
            <w:tcW w:w="577" w:type="pct"/>
            <w:noWrap w:val="0"/>
            <w:tcMar>
              <w:top w:w="0" w:type="dxa"/>
              <w:left w:w="108" w:type="dxa"/>
              <w:bottom w:w="0" w:type="dxa"/>
              <w:right w:w="108" w:type="dxa"/>
            </w:tcMar>
            <w:vAlign w:val="center"/>
          </w:tcPr>
          <w:p w14:paraId="32627BA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0.39</w:t>
            </w:r>
          </w:p>
        </w:tc>
        <w:tc>
          <w:tcPr>
            <w:tcW w:w="570" w:type="pct"/>
            <w:noWrap w:val="0"/>
            <w:tcMar>
              <w:top w:w="0" w:type="dxa"/>
              <w:left w:w="108" w:type="dxa"/>
              <w:bottom w:w="0" w:type="dxa"/>
              <w:right w:w="108" w:type="dxa"/>
            </w:tcMar>
            <w:vAlign w:val="center"/>
          </w:tcPr>
          <w:p w14:paraId="27AEDD7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0.40</w:t>
            </w:r>
          </w:p>
        </w:tc>
      </w:tr>
      <w:tr w14:paraId="4469A0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1CA405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095D52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硒</w:t>
            </w:r>
          </w:p>
        </w:tc>
        <w:tc>
          <w:tcPr>
            <w:tcW w:w="384" w:type="pct"/>
            <w:noWrap w:val="0"/>
            <w:vAlign w:val="center"/>
          </w:tcPr>
          <w:p w14:paraId="719BC0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2C17FA8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0.0004L</w:t>
            </w:r>
          </w:p>
        </w:tc>
        <w:tc>
          <w:tcPr>
            <w:tcW w:w="565" w:type="pct"/>
            <w:noWrap w:val="0"/>
            <w:tcMar>
              <w:top w:w="0" w:type="dxa"/>
              <w:left w:w="108" w:type="dxa"/>
              <w:bottom w:w="0" w:type="dxa"/>
              <w:right w:w="108" w:type="dxa"/>
            </w:tcMar>
            <w:vAlign w:val="center"/>
          </w:tcPr>
          <w:p w14:paraId="5CB4555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0.0004L</w:t>
            </w:r>
          </w:p>
        </w:tc>
        <w:tc>
          <w:tcPr>
            <w:tcW w:w="571" w:type="pct"/>
            <w:noWrap w:val="0"/>
            <w:tcMar>
              <w:top w:w="0" w:type="dxa"/>
              <w:left w:w="108" w:type="dxa"/>
              <w:bottom w:w="0" w:type="dxa"/>
              <w:right w:w="108" w:type="dxa"/>
            </w:tcMar>
            <w:vAlign w:val="center"/>
          </w:tcPr>
          <w:p w14:paraId="5761019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0.0004L</w:t>
            </w:r>
          </w:p>
        </w:tc>
        <w:tc>
          <w:tcPr>
            <w:tcW w:w="565" w:type="pct"/>
            <w:noWrap w:val="0"/>
            <w:tcMar>
              <w:top w:w="0" w:type="dxa"/>
              <w:left w:w="108" w:type="dxa"/>
              <w:bottom w:w="0" w:type="dxa"/>
              <w:right w:w="108" w:type="dxa"/>
            </w:tcMar>
            <w:vAlign w:val="center"/>
          </w:tcPr>
          <w:p w14:paraId="0A2918A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0.0004L</w:t>
            </w:r>
          </w:p>
        </w:tc>
        <w:tc>
          <w:tcPr>
            <w:tcW w:w="577" w:type="pct"/>
            <w:noWrap w:val="0"/>
            <w:tcMar>
              <w:top w:w="0" w:type="dxa"/>
              <w:left w:w="108" w:type="dxa"/>
              <w:bottom w:w="0" w:type="dxa"/>
              <w:right w:w="108" w:type="dxa"/>
            </w:tcMar>
            <w:vAlign w:val="center"/>
          </w:tcPr>
          <w:p w14:paraId="6720C08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0.0004L</w:t>
            </w:r>
          </w:p>
        </w:tc>
        <w:tc>
          <w:tcPr>
            <w:tcW w:w="570" w:type="pct"/>
            <w:noWrap w:val="0"/>
            <w:tcMar>
              <w:top w:w="0" w:type="dxa"/>
              <w:left w:w="108" w:type="dxa"/>
              <w:bottom w:w="0" w:type="dxa"/>
              <w:right w:w="108" w:type="dxa"/>
            </w:tcMar>
            <w:vAlign w:val="center"/>
          </w:tcPr>
          <w:p w14:paraId="45BBFD6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0.0004L</w:t>
            </w:r>
          </w:p>
        </w:tc>
      </w:tr>
      <w:tr w14:paraId="0EFE0B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3A2E7E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3D006C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砷</w:t>
            </w:r>
          </w:p>
        </w:tc>
        <w:tc>
          <w:tcPr>
            <w:tcW w:w="384" w:type="pct"/>
            <w:noWrap w:val="0"/>
            <w:vAlign w:val="center"/>
          </w:tcPr>
          <w:p w14:paraId="5A80CD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1F8EA3B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65" w:type="pct"/>
            <w:noWrap w:val="0"/>
            <w:tcMar>
              <w:top w:w="0" w:type="dxa"/>
              <w:left w:w="108" w:type="dxa"/>
              <w:bottom w:w="0" w:type="dxa"/>
              <w:right w:w="108" w:type="dxa"/>
            </w:tcMar>
            <w:vAlign w:val="center"/>
          </w:tcPr>
          <w:p w14:paraId="4040897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71" w:type="pct"/>
            <w:noWrap w:val="0"/>
            <w:tcMar>
              <w:top w:w="0" w:type="dxa"/>
              <w:left w:w="108" w:type="dxa"/>
              <w:bottom w:w="0" w:type="dxa"/>
              <w:right w:w="108" w:type="dxa"/>
            </w:tcMar>
            <w:vAlign w:val="center"/>
          </w:tcPr>
          <w:p w14:paraId="4776F8A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65" w:type="pct"/>
            <w:noWrap w:val="0"/>
            <w:tcMar>
              <w:top w:w="0" w:type="dxa"/>
              <w:left w:w="108" w:type="dxa"/>
              <w:bottom w:w="0" w:type="dxa"/>
              <w:right w:w="108" w:type="dxa"/>
            </w:tcMar>
            <w:vAlign w:val="center"/>
          </w:tcPr>
          <w:p w14:paraId="16BAFE9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77" w:type="pct"/>
            <w:noWrap w:val="0"/>
            <w:tcMar>
              <w:top w:w="0" w:type="dxa"/>
              <w:left w:w="108" w:type="dxa"/>
              <w:bottom w:w="0" w:type="dxa"/>
              <w:right w:w="108" w:type="dxa"/>
            </w:tcMar>
            <w:vAlign w:val="center"/>
          </w:tcPr>
          <w:p w14:paraId="4445824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70" w:type="pct"/>
            <w:noWrap w:val="0"/>
            <w:tcMar>
              <w:top w:w="0" w:type="dxa"/>
              <w:left w:w="108" w:type="dxa"/>
              <w:bottom w:w="0" w:type="dxa"/>
              <w:right w:w="108" w:type="dxa"/>
            </w:tcMar>
            <w:vAlign w:val="center"/>
          </w:tcPr>
          <w:p w14:paraId="78E985C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r>
      <w:tr w14:paraId="5032E2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65EFBA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2DE7FB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汞</w:t>
            </w:r>
          </w:p>
        </w:tc>
        <w:tc>
          <w:tcPr>
            <w:tcW w:w="384" w:type="pct"/>
            <w:noWrap w:val="0"/>
            <w:vAlign w:val="center"/>
          </w:tcPr>
          <w:p w14:paraId="27CA09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28ECDE2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0.00004L</w:t>
            </w:r>
          </w:p>
        </w:tc>
        <w:tc>
          <w:tcPr>
            <w:tcW w:w="565" w:type="pct"/>
            <w:noWrap w:val="0"/>
            <w:tcMar>
              <w:top w:w="0" w:type="dxa"/>
              <w:left w:w="108" w:type="dxa"/>
              <w:bottom w:w="0" w:type="dxa"/>
              <w:right w:w="108" w:type="dxa"/>
            </w:tcMar>
            <w:vAlign w:val="center"/>
          </w:tcPr>
          <w:p w14:paraId="7E88F8A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0.00004L</w:t>
            </w:r>
          </w:p>
        </w:tc>
        <w:tc>
          <w:tcPr>
            <w:tcW w:w="571" w:type="pct"/>
            <w:noWrap w:val="0"/>
            <w:tcMar>
              <w:top w:w="0" w:type="dxa"/>
              <w:left w:w="108" w:type="dxa"/>
              <w:bottom w:w="0" w:type="dxa"/>
              <w:right w:w="108" w:type="dxa"/>
            </w:tcMar>
            <w:vAlign w:val="center"/>
          </w:tcPr>
          <w:p w14:paraId="41B2A7A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0.00004L</w:t>
            </w:r>
          </w:p>
        </w:tc>
        <w:tc>
          <w:tcPr>
            <w:tcW w:w="565" w:type="pct"/>
            <w:noWrap w:val="0"/>
            <w:tcMar>
              <w:top w:w="0" w:type="dxa"/>
              <w:left w:w="108" w:type="dxa"/>
              <w:bottom w:w="0" w:type="dxa"/>
              <w:right w:w="108" w:type="dxa"/>
            </w:tcMar>
            <w:vAlign w:val="center"/>
          </w:tcPr>
          <w:p w14:paraId="5D56C62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0.00004L</w:t>
            </w:r>
          </w:p>
        </w:tc>
        <w:tc>
          <w:tcPr>
            <w:tcW w:w="577" w:type="pct"/>
            <w:noWrap w:val="0"/>
            <w:tcMar>
              <w:top w:w="0" w:type="dxa"/>
              <w:left w:w="108" w:type="dxa"/>
              <w:bottom w:w="0" w:type="dxa"/>
              <w:right w:w="108" w:type="dxa"/>
            </w:tcMar>
            <w:vAlign w:val="center"/>
          </w:tcPr>
          <w:p w14:paraId="746D482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0.00004L</w:t>
            </w:r>
          </w:p>
        </w:tc>
        <w:tc>
          <w:tcPr>
            <w:tcW w:w="570" w:type="pct"/>
            <w:noWrap w:val="0"/>
            <w:tcMar>
              <w:top w:w="0" w:type="dxa"/>
              <w:left w:w="108" w:type="dxa"/>
              <w:bottom w:w="0" w:type="dxa"/>
              <w:right w:w="108" w:type="dxa"/>
            </w:tcMar>
            <w:vAlign w:val="center"/>
          </w:tcPr>
          <w:p w14:paraId="6F4EE27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0.00004L</w:t>
            </w:r>
          </w:p>
        </w:tc>
      </w:tr>
      <w:tr w14:paraId="313766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140AE0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11A7FC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镉</w:t>
            </w:r>
          </w:p>
        </w:tc>
        <w:tc>
          <w:tcPr>
            <w:tcW w:w="384" w:type="pct"/>
            <w:noWrap w:val="0"/>
            <w:vAlign w:val="center"/>
          </w:tcPr>
          <w:p w14:paraId="5BF948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464483C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0.0019</w:t>
            </w:r>
          </w:p>
        </w:tc>
        <w:tc>
          <w:tcPr>
            <w:tcW w:w="565" w:type="pct"/>
            <w:noWrap w:val="0"/>
            <w:tcMar>
              <w:top w:w="0" w:type="dxa"/>
              <w:left w:w="108" w:type="dxa"/>
              <w:bottom w:w="0" w:type="dxa"/>
              <w:right w:w="108" w:type="dxa"/>
            </w:tcMar>
            <w:vAlign w:val="center"/>
          </w:tcPr>
          <w:p w14:paraId="1C5BF3D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0.0018</w:t>
            </w:r>
          </w:p>
        </w:tc>
        <w:tc>
          <w:tcPr>
            <w:tcW w:w="571" w:type="pct"/>
            <w:noWrap w:val="0"/>
            <w:tcMar>
              <w:top w:w="0" w:type="dxa"/>
              <w:left w:w="108" w:type="dxa"/>
              <w:bottom w:w="0" w:type="dxa"/>
              <w:right w:w="108" w:type="dxa"/>
            </w:tcMar>
            <w:vAlign w:val="center"/>
          </w:tcPr>
          <w:p w14:paraId="02E955A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0.0015</w:t>
            </w:r>
          </w:p>
        </w:tc>
        <w:tc>
          <w:tcPr>
            <w:tcW w:w="565" w:type="pct"/>
            <w:noWrap w:val="0"/>
            <w:tcMar>
              <w:top w:w="0" w:type="dxa"/>
              <w:left w:w="108" w:type="dxa"/>
              <w:bottom w:w="0" w:type="dxa"/>
              <w:right w:w="108" w:type="dxa"/>
            </w:tcMar>
            <w:vAlign w:val="center"/>
          </w:tcPr>
          <w:p w14:paraId="064E068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0.0022</w:t>
            </w:r>
          </w:p>
        </w:tc>
        <w:tc>
          <w:tcPr>
            <w:tcW w:w="577" w:type="pct"/>
            <w:noWrap w:val="0"/>
            <w:tcMar>
              <w:top w:w="0" w:type="dxa"/>
              <w:left w:w="108" w:type="dxa"/>
              <w:bottom w:w="0" w:type="dxa"/>
              <w:right w:w="108" w:type="dxa"/>
            </w:tcMar>
            <w:vAlign w:val="center"/>
          </w:tcPr>
          <w:p w14:paraId="7FA43B3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0.0022</w:t>
            </w:r>
          </w:p>
        </w:tc>
        <w:tc>
          <w:tcPr>
            <w:tcW w:w="570" w:type="pct"/>
            <w:noWrap w:val="0"/>
            <w:tcMar>
              <w:top w:w="0" w:type="dxa"/>
              <w:left w:w="108" w:type="dxa"/>
              <w:bottom w:w="0" w:type="dxa"/>
              <w:right w:w="108" w:type="dxa"/>
            </w:tcMar>
            <w:vAlign w:val="center"/>
          </w:tcPr>
          <w:p w14:paraId="646C07B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0.0019</w:t>
            </w:r>
          </w:p>
        </w:tc>
      </w:tr>
      <w:tr w14:paraId="20DBD3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26B525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51F5A9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六价铬</w:t>
            </w:r>
          </w:p>
        </w:tc>
        <w:tc>
          <w:tcPr>
            <w:tcW w:w="384" w:type="pct"/>
            <w:noWrap w:val="0"/>
            <w:vAlign w:val="center"/>
          </w:tcPr>
          <w:p w14:paraId="330986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543E811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0.008</w:t>
            </w:r>
          </w:p>
        </w:tc>
        <w:tc>
          <w:tcPr>
            <w:tcW w:w="565" w:type="pct"/>
            <w:noWrap w:val="0"/>
            <w:tcMar>
              <w:top w:w="0" w:type="dxa"/>
              <w:left w:w="108" w:type="dxa"/>
              <w:bottom w:w="0" w:type="dxa"/>
              <w:right w:w="108" w:type="dxa"/>
            </w:tcMar>
            <w:vAlign w:val="center"/>
          </w:tcPr>
          <w:p w14:paraId="2453EAC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0.006</w:t>
            </w:r>
          </w:p>
        </w:tc>
        <w:tc>
          <w:tcPr>
            <w:tcW w:w="571" w:type="pct"/>
            <w:noWrap w:val="0"/>
            <w:tcMar>
              <w:top w:w="0" w:type="dxa"/>
              <w:left w:w="108" w:type="dxa"/>
              <w:bottom w:w="0" w:type="dxa"/>
              <w:right w:w="108" w:type="dxa"/>
            </w:tcMar>
            <w:vAlign w:val="center"/>
          </w:tcPr>
          <w:p w14:paraId="66D7DDA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0.007</w:t>
            </w:r>
          </w:p>
        </w:tc>
        <w:tc>
          <w:tcPr>
            <w:tcW w:w="565" w:type="pct"/>
            <w:noWrap w:val="0"/>
            <w:tcMar>
              <w:top w:w="0" w:type="dxa"/>
              <w:left w:w="108" w:type="dxa"/>
              <w:bottom w:w="0" w:type="dxa"/>
              <w:right w:w="108" w:type="dxa"/>
            </w:tcMar>
            <w:vAlign w:val="center"/>
          </w:tcPr>
          <w:p w14:paraId="3A151F7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0.009</w:t>
            </w:r>
          </w:p>
        </w:tc>
        <w:tc>
          <w:tcPr>
            <w:tcW w:w="577" w:type="pct"/>
            <w:noWrap w:val="0"/>
            <w:tcMar>
              <w:top w:w="0" w:type="dxa"/>
              <w:left w:w="108" w:type="dxa"/>
              <w:bottom w:w="0" w:type="dxa"/>
              <w:right w:w="108" w:type="dxa"/>
            </w:tcMar>
            <w:vAlign w:val="center"/>
          </w:tcPr>
          <w:p w14:paraId="43CF8F9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0.004</w:t>
            </w:r>
          </w:p>
        </w:tc>
        <w:tc>
          <w:tcPr>
            <w:tcW w:w="570" w:type="pct"/>
            <w:noWrap w:val="0"/>
            <w:tcMar>
              <w:top w:w="0" w:type="dxa"/>
              <w:left w:w="108" w:type="dxa"/>
              <w:bottom w:w="0" w:type="dxa"/>
              <w:right w:w="108" w:type="dxa"/>
            </w:tcMar>
            <w:vAlign w:val="center"/>
          </w:tcPr>
          <w:p w14:paraId="31D4311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0.005</w:t>
            </w:r>
          </w:p>
        </w:tc>
      </w:tr>
      <w:tr w14:paraId="4E1FD7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683A5B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6097BB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铅</w:t>
            </w:r>
          </w:p>
        </w:tc>
        <w:tc>
          <w:tcPr>
            <w:tcW w:w="384" w:type="pct"/>
            <w:noWrap w:val="0"/>
            <w:vAlign w:val="center"/>
          </w:tcPr>
          <w:p w14:paraId="5FE28B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717F2D1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0.005</w:t>
            </w:r>
          </w:p>
        </w:tc>
        <w:tc>
          <w:tcPr>
            <w:tcW w:w="565" w:type="pct"/>
            <w:noWrap w:val="0"/>
            <w:tcMar>
              <w:top w:w="0" w:type="dxa"/>
              <w:left w:w="108" w:type="dxa"/>
              <w:bottom w:w="0" w:type="dxa"/>
              <w:right w:w="108" w:type="dxa"/>
            </w:tcMar>
            <w:vAlign w:val="center"/>
          </w:tcPr>
          <w:p w14:paraId="3AB6D1A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0.007</w:t>
            </w:r>
          </w:p>
        </w:tc>
        <w:tc>
          <w:tcPr>
            <w:tcW w:w="571" w:type="pct"/>
            <w:noWrap w:val="0"/>
            <w:tcMar>
              <w:top w:w="0" w:type="dxa"/>
              <w:left w:w="108" w:type="dxa"/>
              <w:bottom w:w="0" w:type="dxa"/>
              <w:right w:w="108" w:type="dxa"/>
            </w:tcMar>
            <w:vAlign w:val="center"/>
          </w:tcPr>
          <w:p w14:paraId="6735442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0.007</w:t>
            </w:r>
          </w:p>
        </w:tc>
        <w:tc>
          <w:tcPr>
            <w:tcW w:w="565" w:type="pct"/>
            <w:noWrap w:val="0"/>
            <w:tcMar>
              <w:top w:w="0" w:type="dxa"/>
              <w:left w:w="108" w:type="dxa"/>
              <w:bottom w:w="0" w:type="dxa"/>
              <w:right w:w="108" w:type="dxa"/>
            </w:tcMar>
            <w:vAlign w:val="center"/>
          </w:tcPr>
          <w:p w14:paraId="1913F93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0.007</w:t>
            </w:r>
          </w:p>
        </w:tc>
        <w:tc>
          <w:tcPr>
            <w:tcW w:w="577" w:type="pct"/>
            <w:noWrap w:val="0"/>
            <w:tcMar>
              <w:top w:w="0" w:type="dxa"/>
              <w:left w:w="108" w:type="dxa"/>
              <w:bottom w:w="0" w:type="dxa"/>
              <w:right w:w="108" w:type="dxa"/>
            </w:tcMar>
            <w:vAlign w:val="center"/>
          </w:tcPr>
          <w:p w14:paraId="7AF4FA9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0.009</w:t>
            </w:r>
          </w:p>
        </w:tc>
        <w:tc>
          <w:tcPr>
            <w:tcW w:w="570" w:type="pct"/>
            <w:noWrap w:val="0"/>
            <w:tcMar>
              <w:top w:w="0" w:type="dxa"/>
              <w:left w:w="108" w:type="dxa"/>
              <w:bottom w:w="0" w:type="dxa"/>
              <w:right w:w="108" w:type="dxa"/>
            </w:tcMar>
            <w:vAlign w:val="center"/>
          </w:tcPr>
          <w:p w14:paraId="18604E5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0.006</w:t>
            </w:r>
          </w:p>
        </w:tc>
      </w:tr>
      <w:tr w14:paraId="4A9844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06C90C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7519E9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氰化物</w:t>
            </w:r>
          </w:p>
        </w:tc>
        <w:tc>
          <w:tcPr>
            <w:tcW w:w="384" w:type="pct"/>
            <w:noWrap w:val="0"/>
            <w:vAlign w:val="center"/>
          </w:tcPr>
          <w:p w14:paraId="2C287C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618F1A9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0.001L</w:t>
            </w:r>
          </w:p>
        </w:tc>
        <w:tc>
          <w:tcPr>
            <w:tcW w:w="565" w:type="pct"/>
            <w:noWrap w:val="0"/>
            <w:tcMar>
              <w:top w:w="0" w:type="dxa"/>
              <w:left w:w="108" w:type="dxa"/>
              <w:bottom w:w="0" w:type="dxa"/>
              <w:right w:w="108" w:type="dxa"/>
            </w:tcMar>
            <w:vAlign w:val="center"/>
          </w:tcPr>
          <w:p w14:paraId="2CD5A1A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0.001L</w:t>
            </w:r>
          </w:p>
        </w:tc>
        <w:tc>
          <w:tcPr>
            <w:tcW w:w="571" w:type="pct"/>
            <w:noWrap w:val="0"/>
            <w:tcMar>
              <w:top w:w="0" w:type="dxa"/>
              <w:left w:w="108" w:type="dxa"/>
              <w:bottom w:w="0" w:type="dxa"/>
              <w:right w:w="108" w:type="dxa"/>
            </w:tcMar>
            <w:vAlign w:val="center"/>
          </w:tcPr>
          <w:p w14:paraId="3F698A3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0.001L</w:t>
            </w:r>
          </w:p>
        </w:tc>
        <w:tc>
          <w:tcPr>
            <w:tcW w:w="565" w:type="pct"/>
            <w:noWrap w:val="0"/>
            <w:tcMar>
              <w:top w:w="0" w:type="dxa"/>
              <w:left w:w="108" w:type="dxa"/>
              <w:bottom w:w="0" w:type="dxa"/>
              <w:right w:w="108" w:type="dxa"/>
            </w:tcMar>
            <w:vAlign w:val="center"/>
          </w:tcPr>
          <w:p w14:paraId="1410965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0.001L</w:t>
            </w:r>
          </w:p>
        </w:tc>
        <w:tc>
          <w:tcPr>
            <w:tcW w:w="577" w:type="pct"/>
            <w:noWrap w:val="0"/>
            <w:tcMar>
              <w:top w:w="0" w:type="dxa"/>
              <w:left w:w="108" w:type="dxa"/>
              <w:bottom w:w="0" w:type="dxa"/>
              <w:right w:w="108" w:type="dxa"/>
            </w:tcMar>
            <w:vAlign w:val="center"/>
          </w:tcPr>
          <w:p w14:paraId="2FFE3A0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0.001L</w:t>
            </w:r>
          </w:p>
        </w:tc>
        <w:tc>
          <w:tcPr>
            <w:tcW w:w="570" w:type="pct"/>
            <w:noWrap w:val="0"/>
            <w:tcMar>
              <w:top w:w="0" w:type="dxa"/>
              <w:left w:w="108" w:type="dxa"/>
              <w:bottom w:w="0" w:type="dxa"/>
              <w:right w:w="108" w:type="dxa"/>
            </w:tcMar>
            <w:vAlign w:val="center"/>
          </w:tcPr>
          <w:p w14:paraId="616DC3B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0.001L</w:t>
            </w:r>
          </w:p>
        </w:tc>
      </w:tr>
      <w:tr w14:paraId="2ECDC5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0A9973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0BA16A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挥发酚</w:t>
            </w:r>
          </w:p>
        </w:tc>
        <w:tc>
          <w:tcPr>
            <w:tcW w:w="384" w:type="pct"/>
            <w:noWrap w:val="0"/>
            <w:vAlign w:val="center"/>
          </w:tcPr>
          <w:p w14:paraId="132D72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0F38E68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65" w:type="pct"/>
            <w:noWrap w:val="0"/>
            <w:tcMar>
              <w:top w:w="0" w:type="dxa"/>
              <w:left w:w="108" w:type="dxa"/>
              <w:bottom w:w="0" w:type="dxa"/>
              <w:right w:w="108" w:type="dxa"/>
            </w:tcMar>
            <w:vAlign w:val="center"/>
          </w:tcPr>
          <w:p w14:paraId="13E3A29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71" w:type="pct"/>
            <w:noWrap w:val="0"/>
            <w:tcMar>
              <w:top w:w="0" w:type="dxa"/>
              <w:left w:w="108" w:type="dxa"/>
              <w:bottom w:w="0" w:type="dxa"/>
              <w:right w:w="108" w:type="dxa"/>
            </w:tcMar>
            <w:vAlign w:val="center"/>
          </w:tcPr>
          <w:p w14:paraId="39CBAB4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65" w:type="pct"/>
            <w:noWrap w:val="0"/>
            <w:tcMar>
              <w:top w:w="0" w:type="dxa"/>
              <w:left w:w="108" w:type="dxa"/>
              <w:bottom w:w="0" w:type="dxa"/>
              <w:right w:w="108" w:type="dxa"/>
            </w:tcMar>
            <w:vAlign w:val="center"/>
          </w:tcPr>
          <w:p w14:paraId="06C9C3D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77" w:type="pct"/>
            <w:noWrap w:val="0"/>
            <w:tcMar>
              <w:top w:w="0" w:type="dxa"/>
              <w:left w:w="108" w:type="dxa"/>
              <w:bottom w:w="0" w:type="dxa"/>
              <w:right w:w="108" w:type="dxa"/>
            </w:tcMar>
            <w:vAlign w:val="center"/>
          </w:tcPr>
          <w:p w14:paraId="0222168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70" w:type="pct"/>
            <w:noWrap w:val="0"/>
            <w:tcMar>
              <w:top w:w="0" w:type="dxa"/>
              <w:left w:w="108" w:type="dxa"/>
              <w:bottom w:w="0" w:type="dxa"/>
              <w:right w:w="108" w:type="dxa"/>
            </w:tcMar>
            <w:vAlign w:val="center"/>
          </w:tcPr>
          <w:p w14:paraId="416F7EB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r>
      <w:tr w14:paraId="00AC89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2380C8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04B059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石油类</w:t>
            </w:r>
          </w:p>
        </w:tc>
        <w:tc>
          <w:tcPr>
            <w:tcW w:w="384" w:type="pct"/>
            <w:noWrap w:val="0"/>
            <w:vAlign w:val="center"/>
          </w:tcPr>
          <w:p w14:paraId="40E245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3EDDC72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65" w:type="pct"/>
            <w:noWrap w:val="0"/>
            <w:tcMar>
              <w:top w:w="0" w:type="dxa"/>
              <w:left w:w="108" w:type="dxa"/>
              <w:bottom w:w="0" w:type="dxa"/>
              <w:right w:w="108" w:type="dxa"/>
            </w:tcMar>
            <w:vAlign w:val="center"/>
          </w:tcPr>
          <w:p w14:paraId="2F5199E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71" w:type="pct"/>
            <w:noWrap w:val="0"/>
            <w:tcMar>
              <w:top w:w="0" w:type="dxa"/>
              <w:left w:w="108" w:type="dxa"/>
              <w:bottom w:w="0" w:type="dxa"/>
              <w:right w:w="108" w:type="dxa"/>
            </w:tcMar>
            <w:vAlign w:val="center"/>
          </w:tcPr>
          <w:p w14:paraId="4DAB207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65" w:type="pct"/>
            <w:noWrap w:val="0"/>
            <w:tcMar>
              <w:top w:w="0" w:type="dxa"/>
              <w:left w:w="108" w:type="dxa"/>
              <w:bottom w:w="0" w:type="dxa"/>
              <w:right w:w="108" w:type="dxa"/>
            </w:tcMar>
            <w:vAlign w:val="center"/>
          </w:tcPr>
          <w:p w14:paraId="426CE61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77" w:type="pct"/>
            <w:noWrap w:val="0"/>
            <w:tcMar>
              <w:top w:w="0" w:type="dxa"/>
              <w:left w:w="108" w:type="dxa"/>
              <w:bottom w:w="0" w:type="dxa"/>
              <w:right w:w="108" w:type="dxa"/>
            </w:tcMar>
            <w:vAlign w:val="center"/>
          </w:tcPr>
          <w:p w14:paraId="3AA0FB8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70" w:type="pct"/>
            <w:noWrap w:val="0"/>
            <w:tcMar>
              <w:top w:w="0" w:type="dxa"/>
              <w:left w:w="108" w:type="dxa"/>
              <w:bottom w:w="0" w:type="dxa"/>
              <w:right w:w="108" w:type="dxa"/>
            </w:tcMar>
            <w:vAlign w:val="center"/>
          </w:tcPr>
          <w:p w14:paraId="322403C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r>
      <w:tr w14:paraId="387DDA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59379C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1B2B9D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阴离子表面活性剂</w:t>
            </w:r>
          </w:p>
        </w:tc>
        <w:tc>
          <w:tcPr>
            <w:tcW w:w="384" w:type="pct"/>
            <w:noWrap w:val="0"/>
            <w:vAlign w:val="center"/>
          </w:tcPr>
          <w:p w14:paraId="5B8F0C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12F130D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65" w:type="pct"/>
            <w:noWrap w:val="0"/>
            <w:tcMar>
              <w:top w:w="0" w:type="dxa"/>
              <w:left w:w="108" w:type="dxa"/>
              <w:bottom w:w="0" w:type="dxa"/>
              <w:right w:w="108" w:type="dxa"/>
            </w:tcMar>
            <w:vAlign w:val="center"/>
          </w:tcPr>
          <w:p w14:paraId="40321CB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71" w:type="pct"/>
            <w:noWrap w:val="0"/>
            <w:tcMar>
              <w:top w:w="0" w:type="dxa"/>
              <w:left w:w="108" w:type="dxa"/>
              <w:bottom w:w="0" w:type="dxa"/>
              <w:right w:w="108" w:type="dxa"/>
            </w:tcMar>
            <w:vAlign w:val="center"/>
          </w:tcPr>
          <w:p w14:paraId="6263178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65" w:type="pct"/>
            <w:noWrap w:val="0"/>
            <w:tcMar>
              <w:top w:w="0" w:type="dxa"/>
              <w:left w:w="108" w:type="dxa"/>
              <w:bottom w:w="0" w:type="dxa"/>
              <w:right w:w="108" w:type="dxa"/>
            </w:tcMar>
            <w:vAlign w:val="center"/>
          </w:tcPr>
          <w:p w14:paraId="79DE13C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77" w:type="pct"/>
            <w:noWrap w:val="0"/>
            <w:tcMar>
              <w:top w:w="0" w:type="dxa"/>
              <w:left w:w="108" w:type="dxa"/>
              <w:bottom w:w="0" w:type="dxa"/>
              <w:right w:w="108" w:type="dxa"/>
            </w:tcMar>
            <w:vAlign w:val="center"/>
          </w:tcPr>
          <w:p w14:paraId="2451CAD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70" w:type="pct"/>
            <w:noWrap w:val="0"/>
            <w:tcMar>
              <w:top w:w="0" w:type="dxa"/>
              <w:left w:w="108" w:type="dxa"/>
              <w:bottom w:w="0" w:type="dxa"/>
              <w:right w:w="108" w:type="dxa"/>
            </w:tcMar>
            <w:vAlign w:val="center"/>
          </w:tcPr>
          <w:p w14:paraId="234E0B6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r>
      <w:tr w14:paraId="588F2C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34ED05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6810F2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1"/>
                <w:lang w:val="en-US" w:eastAsia="zh-CN" w:bidi="ar-SA"/>
              </w:rPr>
              <w:t>硫化物</w:t>
            </w:r>
          </w:p>
        </w:tc>
        <w:tc>
          <w:tcPr>
            <w:tcW w:w="384" w:type="pct"/>
            <w:noWrap w:val="0"/>
            <w:vAlign w:val="center"/>
          </w:tcPr>
          <w:p w14:paraId="4F9087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4523A07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65" w:type="pct"/>
            <w:noWrap w:val="0"/>
            <w:tcMar>
              <w:top w:w="0" w:type="dxa"/>
              <w:left w:w="108" w:type="dxa"/>
              <w:bottom w:w="0" w:type="dxa"/>
              <w:right w:w="108" w:type="dxa"/>
            </w:tcMar>
            <w:vAlign w:val="center"/>
          </w:tcPr>
          <w:p w14:paraId="7B2BA08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71" w:type="pct"/>
            <w:noWrap w:val="0"/>
            <w:tcMar>
              <w:top w:w="0" w:type="dxa"/>
              <w:left w:w="108" w:type="dxa"/>
              <w:bottom w:w="0" w:type="dxa"/>
              <w:right w:w="108" w:type="dxa"/>
            </w:tcMar>
            <w:vAlign w:val="center"/>
          </w:tcPr>
          <w:p w14:paraId="4BE0C99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65" w:type="pct"/>
            <w:noWrap w:val="0"/>
            <w:tcMar>
              <w:top w:w="0" w:type="dxa"/>
              <w:left w:w="108" w:type="dxa"/>
              <w:bottom w:w="0" w:type="dxa"/>
              <w:right w:w="108" w:type="dxa"/>
            </w:tcMar>
            <w:vAlign w:val="center"/>
          </w:tcPr>
          <w:p w14:paraId="51D3844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rPr>
              <w:t>0.01L</w:t>
            </w:r>
          </w:p>
        </w:tc>
        <w:tc>
          <w:tcPr>
            <w:tcW w:w="577" w:type="pct"/>
            <w:noWrap w:val="0"/>
            <w:tcMar>
              <w:top w:w="0" w:type="dxa"/>
              <w:left w:w="108" w:type="dxa"/>
              <w:bottom w:w="0" w:type="dxa"/>
              <w:right w:w="108" w:type="dxa"/>
            </w:tcMar>
            <w:vAlign w:val="center"/>
          </w:tcPr>
          <w:p w14:paraId="78CF3BF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70" w:type="pct"/>
            <w:noWrap w:val="0"/>
            <w:tcMar>
              <w:top w:w="0" w:type="dxa"/>
              <w:left w:w="108" w:type="dxa"/>
              <w:bottom w:w="0" w:type="dxa"/>
              <w:right w:w="108" w:type="dxa"/>
            </w:tcMar>
            <w:vAlign w:val="center"/>
          </w:tcPr>
          <w:p w14:paraId="41B1B59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r>
      <w:tr w14:paraId="28B2FB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64" w:type="pct"/>
            <w:vMerge w:val="continue"/>
            <w:noWrap w:val="0"/>
            <w:tcMar>
              <w:top w:w="0" w:type="dxa"/>
              <w:left w:w="108" w:type="dxa"/>
              <w:bottom w:w="0" w:type="dxa"/>
              <w:right w:w="108" w:type="dxa"/>
            </w:tcMar>
            <w:vAlign w:val="center"/>
          </w:tcPr>
          <w:p w14:paraId="1A9239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722CA5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粪大肠菌群</w:t>
            </w:r>
          </w:p>
        </w:tc>
        <w:tc>
          <w:tcPr>
            <w:tcW w:w="384" w:type="pct"/>
            <w:noWrap w:val="0"/>
            <w:vAlign w:val="center"/>
          </w:tcPr>
          <w:p w14:paraId="4814A9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MPN/L</w:t>
            </w:r>
          </w:p>
        </w:tc>
        <w:tc>
          <w:tcPr>
            <w:tcW w:w="590" w:type="pct"/>
            <w:noWrap w:val="0"/>
            <w:tcMar>
              <w:top w:w="0" w:type="dxa"/>
              <w:left w:w="108" w:type="dxa"/>
              <w:bottom w:w="0" w:type="dxa"/>
              <w:right w:w="108" w:type="dxa"/>
            </w:tcMar>
            <w:vAlign w:val="center"/>
          </w:tcPr>
          <w:p w14:paraId="524FC8E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20L</w:t>
            </w:r>
          </w:p>
        </w:tc>
        <w:tc>
          <w:tcPr>
            <w:tcW w:w="565" w:type="pct"/>
            <w:noWrap w:val="0"/>
            <w:tcMar>
              <w:top w:w="0" w:type="dxa"/>
              <w:left w:w="108" w:type="dxa"/>
              <w:bottom w:w="0" w:type="dxa"/>
              <w:right w:w="108" w:type="dxa"/>
            </w:tcMar>
            <w:vAlign w:val="center"/>
          </w:tcPr>
          <w:p w14:paraId="3750100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20L</w:t>
            </w:r>
          </w:p>
        </w:tc>
        <w:tc>
          <w:tcPr>
            <w:tcW w:w="571" w:type="pct"/>
            <w:noWrap w:val="0"/>
            <w:tcMar>
              <w:top w:w="0" w:type="dxa"/>
              <w:left w:w="108" w:type="dxa"/>
              <w:bottom w:w="0" w:type="dxa"/>
              <w:right w:w="108" w:type="dxa"/>
            </w:tcMar>
            <w:vAlign w:val="center"/>
          </w:tcPr>
          <w:p w14:paraId="3E635D8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20L</w:t>
            </w:r>
          </w:p>
        </w:tc>
        <w:tc>
          <w:tcPr>
            <w:tcW w:w="565" w:type="pct"/>
            <w:noWrap w:val="0"/>
            <w:tcMar>
              <w:top w:w="0" w:type="dxa"/>
              <w:left w:w="108" w:type="dxa"/>
              <w:bottom w:w="0" w:type="dxa"/>
              <w:right w:w="108" w:type="dxa"/>
            </w:tcMar>
            <w:vAlign w:val="center"/>
          </w:tcPr>
          <w:p w14:paraId="3E3DE46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20L</w:t>
            </w:r>
          </w:p>
        </w:tc>
        <w:tc>
          <w:tcPr>
            <w:tcW w:w="577" w:type="pct"/>
            <w:noWrap w:val="0"/>
            <w:tcMar>
              <w:top w:w="0" w:type="dxa"/>
              <w:left w:w="108" w:type="dxa"/>
              <w:bottom w:w="0" w:type="dxa"/>
              <w:right w:w="108" w:type="dxa"/>
            </w:tcMar>
            <w:vAlign w:val="center"/>
          </w:tcPr>
          <w:p w14:paraId="4D54B68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20L</w:t>
            </w:r>
          </w:p>
        </w:tc>
        <w:tc>
          <w:tcPr>
            <w:tcW w:w="570" w:type="pct"/>
            <w:noWrap w:val="0"/>
            <w:tcMar>
              <w:top w:w="0" w:type="dxa"/>
              <w:left w:w="108" w:type="dxa"/>
              <w:bottom w:w="0" w:type="dxa"/>
              <w:right w:w="108" w:type="dxa"/>
            </w:tcMar>
            <w:vAlign w:val="center"/>
          </w:tcPr>
          <w:p w14:paraId="1E1EBE3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20L</w:t>
            </w:r>
          </w:p>
        </w:tc>
      </w:tr>
      <w:tr w14:paraId="22CB36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6776C6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1D40BB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悬浮物</w:t>
            </w:r>
          </w:p>
        </w:tc>
        <w:tc>
          <w:tcPr>
            <w:tcW w:w="384" w:type="pct"/>
            <w:noWrap w:val="0"/>
            <w:vAlign w:val="center"/>
          </w:tcPr>
          <w:p w14:paraId="640820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32D6EB2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20</w:t>
            </w:r>
          </w:p>
        </w:tc>
        <w:tc>
          <w:tcPr>
            <w:tcW w:w="565" w:type="pct"/>
            <w:noWrap w:val="0"/>
            <w:tcMar>
              <w:top w:w="0" w:type="dxa"/>
              <w:left w:w="108" w:type="dxa"/>
              <w:bottom w:w="0" w:type="dxa"/>
              <w:right w:w="108" w:type="dxa"/>
            </w:tcMar>
            <w:vAlign w:val="center"/>
          </w:tcPr>
          <w:p w14:paraId="2ED2309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17</w:t>
            </w:r>
          </w:p>
        </w:tc>
        <w:tc>
          <w:tcPr>
            <w:tcW w:w="571" w:type="pct"/>
            <w:noWrap w:val="0"/>
            <w:tcMar>
              <w:top w:w="0" w:type="dxa"/>
              <w:left w:w="108" w:type="dxa"/>
              <w:bottom w:w="0" w:type="dxa"/>
              <w:right w:w="108" w:type="dxa"/>
            </w:tcMar>
            <w:vAlign w:val="center"/>
          </w:tcPr>
          <w:p w14:paraId="697A2E9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18</w:t>
            </w:r>
          </w:p>
        </w:tc>
        <w:tc>
          <w:tcPr>
            <w:tcW w:w="565" w:type="pct"/>
            <w:noWrap w:val="0"/>
            <w:tcMar>
              <w:top w:w="0" w:type="dxa"/>
              <w:left w:w="108" w:type="dxa"/>
              <w:bottom w:w="0" w:type="dxa"/>
              <w:right w:w="108" w:type="dxa"/>
            </w:tcMar>
            <w:vAlign w:val="center"/>
          </w:tcPr>
          <w:p w14:paraId="7B0DF62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19</w:t>
            </w:r>
          </w:p>
        </w:tc>
        <w:tc>
          <w:tcPr>
            <w:tcW w:w="577" w:type="pct"/>
            <w:noWrap w:val="0"/>
            <w:tcMar>
              <w:top w:w="0" w:type="dxa"/>
              <w:left w:w="108" w:type="dxa"/>
              <w:bottom w:w="0" w:type="dxa"/>
              <w:right w:w="108" w:type="dxa"/>
            </w:tcMar>
            <w:vAlign w:val="center"/>
          </w:tcPr>
          <w:p w14:paraId="68F3563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14</w:t>
            </w:r>
          </w:p>
        </w:tc>
        <w:tc>
          <w:tcPr>
            <w:tcW w:w="570" w:type="pct"/>
            <w:noWrap w:val="0"/>
            <w:tcMar>
              <w:top w:w="0" w:type="dxa"/>
              <w:left w:w="108" w:type="dxa"/>
              <w:bottom w:w="0" w:type="dxa"/>
              <w:right w:w="108" w:type="dxa"/>
            </w:tcMar>
            <w:vAlign w:val="center"/>
          </w:tcPr>
          <w:p w14:paraId="1A9A47C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15</w:t>
            </w:r>
          </w:p>
        </w:tc>
      </w:tr>
      <w:tr w14:paraId="63E3B1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74E501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5B06D3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流量</w:t>
            </w:r>
          </w:p>
        </w:tc>
        <w:tc>
          <w:tcPr>
            <w:tcW w:w="384" w:type="pct"/>
            <w:noWrap w:val="0"/>
            <w:vAlign w:val="center"/>
          </w:tcPr>
          <w:p w14:paraId="265A28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m</w:t>
            </w:r>
            <w:r>
              <w:rPr>
                <w:rFonts w:hint="default" w:ascii="Times New Roman" w:hAnsi="Times New Roman" w:eastAsia="宋体" w:cs="Times New Roman"/>
                <w:b w:val="0"/>
                <w:i w:val="0"/>
                <w:color w:val="auto"/>
                <w:spacing w:val="0"/>
                <w:kern w:val="0"/>
                <w:sz w:val="21"/>
                <w:szCs w:val="21"/>
                <w:vertAlign w:val="superscript"/>
                <w:lang w:val="en-US" w:eastAsia="zh-CN"/>
              </w:rPr>
              <w:t>3</w:t>
            </w:r>
            <w:r>
              <w:rPr>
                <w:rFonts w:hint="default" w:ascii="Times New Roman" w:hAnsi="Times New Roman" w:eastAsia="宋体" w:cs="Times New Roman"/>
                <w:color w:val="auto"/>
                <w:spacing w:val="0"/>
                <w:kern w:val="0"/>
                <w:sz w:val="21"/>
                <w:szCs w:val="21"/>
                <w:lang w:val="en-US" w:eastAsia="zh-CN"/>
              </w:rPr>
              <w:t>/h</w:t>
            </w:r>
          </w:p>
        </w:tc>
        <w:tc>
          <w:tcPr>
            <w:tcW w:w="590" w:type="pct"/>
            <w:noWrap w:val="0"/>
            <w:tcMar>
              <w:top w:w="0" w:type="dxa"/>
              <w:left w:w="108" w:type="dxa"/>
              <w:bottom w:w="0" w:type="dxa"/>
              <w:right w:w="108" w:type="dxa"/>
            </w:tcMar>
            <w:vAlign w:val="center"/>
          </w:tcPr>
          <w:p w14:paraId="0AE8D82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365</w:t>
            </w:r>
          </w:p>
        </w:tc>
        <w:tc>
          <w:tcPr>
            <w:tcW w:w="565" w:type="pct"/>
            <w:noWrap w:val="0"/>
            <w:tcMar>
              <w:top w:w="0" w:type="dxa"/>
              <w:left w:w="108" w:type="dxa"/>
              <w:bottom w:w="0" w:type="dxa"/>
              <w:right w:w="108" w:type="dxa"/>
            </w:tcMar>
            <w:vAlign w:val="center"/>
          </w:tcPr>
          <w:p w14:paraId="0879157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356</w:t>
            </w:r>
          </w:p>
        </w:tc>
        <w:tc>
          <w:tcPr>
            <w:tcW w:w="571" w:type="pct"/>
            <w:noWrap w:val="0"/>
            <w:tcMar>
              <w:top w:w="0" w:type="dxa"/>
              <w:left w:w="108" w:type="dxa"/>
              <w:bottom w:w="0" w:type="dxa"/>
              <w:right w:w="108" w:type="dxa"/>
            </w:tcMar>
            <w:vAlign w:val="center"/>
          </w:tcPr>
          <w:p w14:paraId="3AF8F5F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575</w:t>
            </w:r>
          </w:p>
        </w:tc>
        <w:tc>
          <w:tcPr>
            <w:tcW w:w="565" w:type="pct"/>
            <w:noWrap w:val="0"/>
            <w:tcMar>
              <w:top w:w="0" w:type="dxa"/>
              <w:left w:w="108" w:type="dxa"/>
              <w:bottom w:w="0" w:type="dxa"/>
              <w:right w:w="108" w:type="dxa"/>
            </w:tcMar>
            <w:vAlign w:val="center"/>
          </w:tcPr>
          <w:p w14:paraId="1AA0948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296438</w:t>
            </w:r>
          </w:p>
        </w:tc>
        <w:tc>
          <w:tcPr>
            <w:tcW w:w="577" w:type="pct"/>
            <w:noWrap w:val="0"/>
            <w:tcMar>
              <w:top w:w="0" w:type="dxa"/>
              <w:left w:w="108" w:type="dxa"/>
              <w:bottom w:w="0" w:type="dxa"/>
              <w:right w:w="108" w:type="dxa"/>
            </w:tcMar>
            <w:vAlign w:val="center"/>
          </w:tcPr>
          <w:p w14:paraId="5A7E901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479520</w:t>
            </w:r>
          </w:p>
        </w:tc>
        <w:tc>
          <w:tcPr>
            <w:tcW w:w="570" w:type="pct"/>
            <w:noWrap w:val="0"/>
            <w:tcMar>
              <w:top w:w="0" w:type="dxa"/>
              <w:left w:w="108" w:type="dxa"/>
              <w:bottom w:w="0" w:type="dxa"/>
              <w:right w:w="108" w:type="dxa"/>
            </w:tcMar>
            <w:vAlign w:val="center"/>
          </w:tcPr>
          <w:p w14:paraId="6C76495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518400</w:t>
            </w:r>
          </w:p>
        </w:tc>
      </w:tr>
      <w:tr w14:paraId="6B0FED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6ED220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2CCCC8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流速</w:t>
            </w:r>
          </w:p>
        </w:tc>
        <w:tc>
          <w:tcPr>
            <w:tcW w:w="384" w:type="pct"/>
            <w:noWrap w:val="0"/>
            <w:vAlign w:val="center"/>
          </w:tcPr>
          <w:p w14:paraId="012273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m/s</w:t>
            </w:r>
          </w:p>
        </w:tc>
        <w:tc>
          <w:tcPr>
            <w:tcW w:w="590" w:type="pct"/>
            <w:noWrap w:val="0"/>
            <w:tcMar>
              <w:top w:w="0" w:type="dxa"/>
              <w:left w:w="108" w:type="dxa"/>
              <w:bottom w:w="0" w:type="dxa"/>
              <w:right w:w="108" w:type="dxa"/>
            </w:tcMar>
            <w:vAlign w:val="center"/>
          </w:tcPr>
          <w:p w14:paraId="242EBDB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0.39</w:t>
            </w:r>
          </w:p>
        </w:tc>
        <w:tc>
          <w:tcPr>
            <w:tcW w:w="565" w:type="pct"/>
            <w:noWrap w:val="0"/>
            <w:tcMar>
              <w:top w:w="0" w:type="dxa"/>
              <w:left w:w="108" w:type="dxa"/>
              <w:bottom w:w="0" w:type="dxa"/>
              <w:right w:w="108" w:type="dxa"/>
            </w:tcMar>
            <w:vAlign w:val="center"/>
          </w:tcPr>
          <w:p w14:paraId="5F06F48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0.38</w:t>
            </w:r>
          </w:p>
        </w:tc>
        <w:tc>
          <w:tcPr>
            <w:tcW w:w="571" w:type="pct"/>
            <w:noWrap w:val="0"/>
            <w:tcMar>
              <w:top w:w="0" w:type="dxa"/>
              <w:left w:w="108" w:type="dxa"/>
              <w:bottom w:w="0" w:type="dxa"/>
              <w:right w:w="108" w:type="dxa"/>
            </w:tcMar>
            <w:vAlign w:val="center"/>
          </w:tcPr>
          <w:p w14:paraId="10B78DF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0.47</w:t>
            </w:r>
          </w:p>
        </w:tc>
        <w:tc>
          <w:tcPr>
            <w:tcW w:w="565" w:type="pct"/>
            <w:noWrap w:val="0"/>
            <w:tcMar>
              <w:top w:w="0" w:type="dxa"/>
              <w:left w:w="108" w:type="dxa"/>
              <w:bottom w:w="0" w:type="dxa"/>
              <w:right w:w="108" w:type="dxa"/>
            </w:tcMar>
            <w:vAlign w:val="center"/>
          </w:tcPr>
          <w:p w14:paraId="041CF86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0.94</w:t>
            </w:r>
          </w:p>
        </w:tc>
        <w:tc>
          <w:tcPr>
            <w:tcW w:w="577" w:type="pct"/>
            <w:noWrap w:val="0"/>
            <w:tcMar>
              <w:top w:w="0" w:type="dxa"/>
              <w:left w:w="108" w:type="dxa"/>
              <w:bottom w:w="0" w:type="dxa"/>
              <w:right w:w="108" w:type="dxa"/>
            </w:tcMar>
            <w:vAlign w:val="center"/>
          </w:tcPr>
          <w:p w14:paraId="6917E48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1.00</w:t>
            </w:r>
          </w:p>
        </w:tc>
        <w:tc>
          <w:tcPr>
            <w:tcW w:w="570" w:type="pct"/>
            <w:noWrap w:val="0"/>
            <w:tcMar>
              <w:top w:w="0" w:type="dxa"/>
              <w:left w:w="108" w:type="dxa"/>
              <w:bottom w:w="0" w:type="dxa"/>
              <w:right w:w="108" w:type="dxa"/>
            </w:tcMar>
            <w:vAlign w:val="center"/>
          </w:tcPr>
          <w:p w14:paraId="3602992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1.00</w:t>
            </w:r>
          </w:p>
        </w:tc>
      </w:tr>
      <w:tr w14:paraId="75740E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93" w:hRule="atLeast"/>
          <w:jc w:val="center"/>
        </w:trPr>
        <w:tc>
          <w:tcPr>
            <w:tcW w:w="364" w:type="pct"/>
            <w:vMerge w:val="restart"/>
            <w:noWrap w:val="0"/>
            <w:tcMar>
              <w:top w:w="0" w:type="dxa"/>
              <w:left w:w="108" w:type="dxa"/>
              <w:bottom w:w="0" w:type="dxa"/>
              <w:right w:w="108" w:type="dxa"/>
            </w:tcMar>
            <w:vAlign w:val="center"/>
          </w:tcPr>
          <w:p w14:paraId="04A0CB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b w:val="0"/>
                <w:i w:val="0"/>
                <w:color w:val="auto"/>
                <w:spacing w:val="0"/>
                <w:kern w:val="0"/>
                <w:sz w:val="21"/>
                <w:szCs w:val="21"/>
                <w:lang w:val="en-US" w:eastAsia="zh-CN"/>
              </w:rPr>
              <w:t>2025</w:t>
            </w:r>
            <w:r>
              <w:rPr>
                <w:rFonts w:hint="default" w:ascii="Times New Roman" w:hAnsi="Times New Roman" w:eastAsia="宋体" w:cs="Times New Roman"/>
                <w:color w:val="auto"/>
                <w:spacing w:val="0"/>
                <w:kern w:val="0"/>
                <w:sz w:val="21"/>
                <w:szCs w:val="21"/>
                <w:lang w:val="en-US" w:eastAsia="zh-CN"/>
              </w:rPr>
              <w:t>.8.28~</w:t>
            </w:r>
            <w:r>
              <w:rPr>
                <w:rFonts w:hint="default" w:ascii="Times New Roman" w:hAnsi="Times New Roman" w:eastAsia="宋体" w:cs="Times New Roman"/>
                <w:b w:val="0"/>
                <w:i w:val="0"/>
                <w:color w:val="auto"/>
                <w:spacing w:val="0"/>
                <w:kern w:val="0"/>
                <w:sz w:val="21"/>
                <w:szCs w:val="21"/>
                <w:lang w:val="en-US" w:eastAsia="zh-CN"/>
              </w:rPr>
              <w:t>2025</w:t>
            </w:r>
            <w:r>
              <w:rPr>
                <w:rFonts w:hint="default" w:ascii="Times New Roman" w:hAnsi="Times New Roman" w:eastAsia="宋体" w:cs="Times New Roman"/>
                <w:color w:val="auto"/>
                <w:spacing w:val="0"/>
                <w:kern w:val="0"/>
                <w:sz w:val="21"/>
                <w:szCs w:val="21"/>
                <w:lang w:val="en-US" w:eastAsia="zh-CN"/>
              </w:rPr>
              <w:t>.9</w:t>
            </w:r>
            <w:r>
              <w:rPr>
                <w:rFonts w:hint="default" w:ascii="Times New Roman" w:hAnsi="Times New Roman" w:eastAsia="宋体" w:cs="Times New Roman"/>
                <w:b w:val="0"/>
                <w:i w:val="0"/>
                <w:color w:val="auto"/>
                <w:spacing w:val="0"/>
                <w:kern w:val="0"/>
                <w:sz w:val="21"/>
                <w:szCs w:val="21"/>
                <w:lang w:val="en-US" w:eastAsia="zh-CN"/>
              </w:rPr>
              <w:t>.02</w:t>
            </w:r>
          </w:p>
        </w:tc>
        <w:tc>
          <w:tcPr>
            <w:tcW w:w="809" w:type="pct"/>
            <w:noWrap w:val="0"/>
            <w:tcMar>
              <w:top w:w="0" w:type="dxa"/>
              <w:left w:w="108" w:type="dxa"/>
              <w:bottom w:w="0" w:type="dxa"/>
              <w:right w:w="108" w:type="dxa"/>
            </w:tcMar>
            <w:vAlign w:val="center"/>
          </w:tcPr>
          <w:p w14:paraId="0BFBE4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cs="Times New Roman"/>
                <w:color w:val="auto"/>
                <w:spacing w:val="0"/>
                <w:sz w:val="21"/>
                <w:szCs w:val="21"/>
                <w:lang w:val="en-US" w:eastAsia="zh-CN"/>
              </w:rPr>
              <w:t>水温</w:t>
            </w:r>
          </w:p>
        </w:tc>
        <w:tc>
          <w:tcPr>
            <w:tcW w:w="384" w:type="pct"/>
            <w:noWrap w:val="0"/>
            <w:vAlign w:val="center"/>
          </w:tcPr>
          <w:p w14:paraId="21F4ED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kern w:val="0"/>
                <w:sz w:val="21"/>
                <w:szCs w:val="21"/>
                <w:lang w:val="en-US" w:eastAsia="zh-CN"/>
              </w:rPr>
              <w:t>℃</w:t>
            </w:r>
          </w:p>
        </w:tc>
        <w:tc>
          <w:tcPr>
            <w:tcW w:w="590" w:type="pct"/>
            <w:noWrap w:val="0"/>
            <w:tcMar>
              <w:top w:w="0" w:type="dxa"/>
              <w:left w:w="108" w:type="dxa"/>
              <w:bottom w:w="0" w:type="dxa"/>
              <w:right w:w="108" w:type="dxa"/>
            </w:tcMar>
            <w:vAlign w:val="center"/>
          </w:tcPr>
          <w:p w14:paraId="1952106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i w:val="0"/>
                <w:color w:val="auto"/>
                <w:spacing w:val="0"/>
                <w:kern w:val="0"/>
                <w:sz w:val="21"/>
                <w:szCs w:val="21"/>
                <w:lang w:val="en-US" w:eastAsia="zh-CN"/>
              </w:rPr>
            </w:pPr>
            <w:r>
              <w:rPr>
                <w:rFonts w:hint="default" w:ascii="Times New Roman" w:hAnsi="Times New Roman" w:eastAsia="宋体" w:cs="Times New Roman"/>
                <w:color w:val="auto"/>
                <w:spacing w:val="0"/>
                <w:sz w:val="21"/>
                <w:szCs w:val="21"/>
              </w:rPr>
              <w:t>23.8</w:t>
            </w:r>
          </w:p>
        </w:tc>
        <w:tc>
          <w:tcPr>
            <w:tcW w:w="565" w:type="pct"/>
            <w:noWrap w:val="0"/>
            <w:tcMar>
              <w:top w:w="0" w:type="dxa"/>
              <w:left w:w="108" w:type="dxa"/>
              <w:bottom w:w="0" w:type="dxa"/>
              <w:right w:w="108" w:type="dxa"/>
            </w:tcMar>
            <w:vAlign w:val="center"/>
          </w:tcPr>
          <w:p w14:paraId="7866180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i w:val="0"/>
                <w:color w:val="auto"/>
                <w:spacing w:val="0"/>
                <w:kern w:val="0"/>
                <w:sz w:val="21"/>
                <w:szCs w:val="21"/>
                <w:lang w:val="en-US" w:eastAsia="zh-CN"/>
              </w:rPr>
            </w:pPr>
            <w:r>
              <w:rPr>
                <w:rFonts w:hint="default" w:ascii="Times New Roman" w:hAnsi="Times New Roman" w:eastAsia="宋体" w:cs="Times New Roman"/>
                <w:color w:val="auto"/>
                <w:spacing w:val="0"/>
                <w:sz w:val="21"/>
                <w:szCs w:val="21"/>
              </w:rPr>
              <w:t>23.8</w:t>
            </w:r>
          </w:p>
        </w:tc>
        <w:tc>
          <w:tcPr>
            <w:tcW w:w="571" w:type="pct"/>
            <w:noWrap w:val="0"/>
            <w:tcMar>
              <w:top w:w="0" w:type="dxa"/>
              <w:left w:w="108" w:type="dxa"/>
              <w:bottom w:w="0" w:type="dxa"/>
              <w:right w:w="108" w:type="dxa"/>
            </w:tcMar>
            <w:vAlign w:val="center"/>
          </w:tcPr>
          <w:p w14:paraId="53E1D3D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i w:val="0"/>
                <w:color w:val="auto"/>
                <w:spacing w:val="0"/>
                <w:kern w:val="0"/>
                <w:sz w:val="21"/>
                <w:szCs w:val="21"/>
                <w:lang w:val="en-US" w:eastAsia="zh-CN"/>
              </w:rPr>
            </w:pPr>
            <w:r>
              <w:rPr>
                <w:rFonts w:hint="default" w:ascii="Times New Roman" w:hAnsi="Times New Roman" w:eastAsia="宋体" w:cs="Times New Roman"/>
                <w:color w:val="auto"/>
                <w:spacing w:val="0"/>
                <w:sz w:val="21"/>
                <w:szCs w:val="21"/>
              </w:rPr>
              <w:t>24.0</w:t>
            </w:r>
          </w:p>
        </w:tc>
        <w:tc>
          <w:tcPr>
            <w:tcW w:w="565" w:type="pct"/>
            <w:noWrap w:val="0"/>
            <w:tcMar>
              <w:top w:w="0" w:type="dxa"/>
              <w:left w:w="108" w:type="dxa"/>
              <w:bottom w:w="0" w:type="dxa"/>
              <w:right w:w="108" w:type="dxa"/>
            </w:tcMar>
            <w:vAlign w:val="center"/>
          </w:tcPr>
          <w:p w14:paraId="2257666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28.2</w:t>
            </w:r>
          </w:p>
        </w:tc>
        <w:tc>
          <w:tcPr>
            <w:tcW w:w="577" w:type="pct"/>
            <w:noWrap w:val="0"/>
            <w:tcMar>
              <w:top w:w="0" w:type="dxa"/>
              <w:left w:w="108" w:type="dxa"/>
              <w:bottom w:w="0" w:type="dxa"/>
              <w:right w:w="108" w:type="dxa"/>
            </w:tcMar>
            <w:vAlign w:val="center"/>
          </w:tcPr>
          <w:p w14:paraId="2B8DC95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28.4</w:t>
            </w:r>
          </w:p>
        </w:tc>
        <w:tc>
          <w:tcPr>
            <w:tcW w:w="570" w:type="pct"/>
            <w:noWrap w:val="0"/>
            <w:tcMar>
              <w:top w:w="0" w:type="dxa"/>
              <w:left w:w="108" w:type="dxa"/>
              <w:bottom w:w="0" w:type="dxa"/>
              <w:right w:w="108" w:type="dxa"/>
            </w:tcMar>
            <w:vAlign w:val="center"/>
          </w:tcPr>
          <w:p w14:paraId="0861937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28.4</w:t>
            </w:r>
          </w:p>
        </w:tc>
      </w:tr>
      <w:tr w14:paraId="2DE3E5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77F98C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lang w:val="en-US" w:eastAsia="zh-CN"/>
              </w:rPr>
            </w:pPr>
          </w:p>
        </w:tc>
        <w:tc>
          <w:tcPr>
            <w:tcW w:w="809" w:type="pct"/>
            <w:noWrap w:val="0"/>
            <w:tcMar>
              <w:top w:w="0" w:type="dxa"/>
              <w:left w:w="108" w:type="dxa"/>
              <w:bottom w:w="0" w:type="dxa"/>
              <w:right w:w="108" w:type="dxa"/>
            </w:tcMar>
            <w:vAlign w:val="center"/>
          </w:tcPr>
          <w:p w14:paraId="73466D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1"/>
                <w:lang w:val="en-US" w:eastAsia="zh-CN" w:bidi="ar"/>
              </w:rPr>
              <w:t>pH值</w:t>
            </w:r>
          </w:p>
        </w:tc>
        <w:tc>
          <w:tcPr>
            <w:tcW w:w="384" w:type="pct"/>
            <w:noWrap w:val="0"/>
            <w:vAlign w:val="center"/>
          </w:tcPr>
          <w:p w14:paraId="48A5D6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
              </w:rPr>
              <w:t>无量纲</w:t>
            </w:r>
          </w:p>
        </w:tc>
        <w:tc>
          <w:tcPr>
            <w:tcW w:w="590" w:type="pct"/>
            <w:noWrap w:val="0"/>
            <w:tcMar>
              <w:top w:w="0" w:type="dxa"/>
              <w:left w:w="108" w:type="dxa"/>
              <w:bottom w:w="0" w:type="dxa"/>
              <w:right w:w="108" w:type="dxa"/>
            </w:tcMar>
            <w:vAlign w:val="center"/>
          </w:tcPr>
          <w:p w14:paraId="28F42B9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7.2</w:t>
            </w:r>
          </w:p>
        </w:tc>
        <w:tc>
          <w:tcPr>
            <w:tcW w:w="565" w:type="pct"/>
            <w:noWrap w:val="0"/>
            <w:tcMar>
              <w:top w:w="0" w:type="dxa"/>
              <w:left w:w="108" w:type="dxa"/>
              <w:bottom w:w="0" w:type="dxa"/>
              <w:right w:w="108" w:type="dxa"/>
            </w:tcMar>
            <w:vAlign w:val="center"/>
          </w:tcPr>
          <w:p w14:paraId="44EFC0D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7.1</w:t>
            </w:r>
          </w:p>
        </w:tc>
        <w:tc>
          <w:tcPr>
            <w:tcW w:w="571" w:type="pct"/>
            <w:noWrap w:val="0"/>
            <w:tcMar>
              <w:top w:w="0" w:type="dxa"/>
              <w:left w:w="108" w:type="dxa"/>
              <w:bottom w:w="0" w:type="dxa"/>
              <w:right w:w="108" w:type="dxa"/>
            </w:tcMar>
            <w:vAlign w:val="center"/>
          </w:tcPr>
          <w:p w14:paraId="1D84A84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7.1</w:t>
            </w:r>
          </w:p>
        </w:tc>
        <w:tc>
          <w:tcPr>
            <w:tcW w:w="565" w:type="pct"/>
            <w:noWrap w:val="0"/>
            <w:tcMar>
              <w:top w:w="0" w:type="dxa"/>
              <w:left w:w="108" w:type="dxa"/>
              <w:bottom w:w="0" w:type="dxa"/>
              <w:right w:w="108" w:type="dxa"/>
            </w:tcMar>
            <w:vAlign w:val="center"/>
          </w:tcPr>
          <w:p w14:paraId="6DB41E0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7.3</w:t>
            </w:r>
          </w:p>
        </w:tc>
        <w:tc>
          <w:tcPr>
            <w:tcW w:w="577" w:type="pct"/>
            <w:noWrap w:val="0"/>
            <w:tcMar>
              <w:top w:w="0" w:type="dxa"/>
              <w:left w:w="108" w:type="dxa"/>
              <w:bottom w:w="0" w:type="dxa"/>
              <w:right w:w="108" w:type="dxa"/>
            </w:tcMar>
            <w:vAlign w:val="center"/>
          </w:tcPr>
          <w:p w14:paraId="3A45114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7.4</w:t>
            </w:r>
          </w:p>
        </w:tc>
        <w:tc>
          <w:tcPr>
            <w:tcW w:w="570" w:type="pct"/>
            <w:noWrap w:val="0"/>
            <w:tcMar>
              <w:top w:w="0" w:type="dxa"/>
              <w:left w:w="108" w:type="dxa"/>
              <w:bottom w:w="0" w:type="dxa"/>
              <w:right w:w="108" w:type="dxa"/>
            </w:tcMar>
            <w:vAlign w:val="center"/>
          </w:tcPr>
          <w:p w14:paraId="79F761A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7.3</w:t>
            </w:r>
          </w:p>
        </w:tc>
      </w:tr>
      <w:tr w14:paraId="6F5129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408CE9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lang w:val="en-US" w:eastAsia="zh-CN"/>
              </w:rPr>
            </w:pPr>
          </w:p>
        </w:tc>
        <w:tc>
          <w:tcPr>
            <w:tcW w:w="809" w:type="pct"/>
            <w:noWrap w:val="0"/>
            <w:tcMar>
              <w:top w:w="0" w:type="dxa"/>
              <w:left w:w="108" w:type="dxa"/>
              <w:bottom w:w="0" w:type="dxa"/>
              <w:right w:w="108" w:type="dxa"/>
            </w:tcMar>
            <w:vAlign w:val="center"/>
          </w:tcPr>
          <w:p w14:paraId="43EE2B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溶解氧</w:t>
            </w:r>
          </w:p>
        </w:tc>
        <w:tc>
          <w:tcPr>
            <w:tcW w:w="384" w:type="pct"/>
            <w:noWrap w:val="0"/>
            <w:vAlign w:val="center"/>
          </w:tcPr>
          <w:p w14:paraId="289767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64478C2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5.2</w:t>
            </w:r>
          </w:p>
        </w:tc>
        <w:tc>
          <w:tcPr>
            <w:tcW w:w="565" w:type="pct"/>
            <w:noWrap w:val="0"/>
            <w:tcMar>
              <w:top w:w="0" w:type="dxa"/>
              <w:left w:w="108" w:type="dxa"/>
              <w:bottom w:w="0" w:type="dxa"/>
              <w:right w:w="108" w:type="dxa"/>
            </w:tcMar>
            <w:vAlign w:val="center"/>
          </w:tcPr>
          <w:p w14:paraId="2A36F80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5.2</w:t>
            </w:r>
          </w:p>
        </w:tc>
        <w:tc>
          <w:tcPr>
            <w:tcW w:w="571" w:type="pct"/>
            <w:noWrap w:val="0"/>
            <w:tcMar>
              <w:top w:w="0" w:type="dxa"/>
              <w:left w:w="108" w:type="dxa"/>
              <w:bottom w:w="0" w:type="dxa"/>
              <w:right w:w="108" w:type="dxa"/>
            </w:tcMar>
            <w:vAlign w:val="center"/>
          </w:tcPr>
          <w:p w14:paraId="01AEA02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5.2</w:t>
            </w:r>
          </w:p>
        </w:tc>
        <w:tc>
          <w:tcPr>
            <w:tcW w:w="565" w:type="pct"/>
            <w:noWrap w:val="0"/>
            <w:tcMar>
              <w:top w:w="0" w:type="dxa"/>
              <w:left w:w="108" w:type="dxa"/>
              <w:bottom w:w="0" w:type="dxa"/>
              <w:right w:w="108" w:type="dxa"/>
            </w:tcMar>
            <w:vAlign w:val="center"/>
          </w:tcPr>
          <w:p w14:paraId="107B3CE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5.3</w:t>
            </w:r>
          </w:p>
        </w:tc>
        <w:tc>
          <w:tcPr>
            <w:tcW w:w="577" w:type="pct"/>
            <w:noWrap w:val="0"/>
            <w:tcMar>
              <w:top w:w="0" w:type="dxa"/>
              <w:left w:w="108" w:type="dxa"/>
              <w:bottom w:w="0" w:type="dxa"/>
              <w:right w:w="108" w:type="dxa"/>
            </w:tcMar>
            <w:vAlign w:val="center"/>
          </w:tcPr>
          <w:p w14:paraId="78F4D33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5.4</w:t>
            </w:r>
          </w:p>
        </w:tc>
        <w:tc>
          <w:tcPr>
            <w:tcW w:w="570" w:type="pct"/>
            <w:noWrap w:val="0"/>
            <w:tcMar>
              <w:top w:w="0" w:type="dxa"/>
              <w:left w:w="108" w:type="dxa"/>
              <w:bottom w:w="0" w:type="dxa"/>
              <w:right w:w="108" w:type="dxa"/>
            </w:tcMar>
            <w:vAlign w:val="center"/>
          </w:tcPr>
          <w:p w14:paraId="7468EAE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5.4</w:t>
            </w:r>
          </w:p>
        </w:tc>
      </w:tr>
      <w:tr w14:paraId="77CAE2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6884DC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106FC3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高锰酸盐指数</w:t>
            </w:r>
          </w:p>
        </w:tc>
        <w:tc>
          <w:tcPr>
            <w:tcW w:w="384" w:type="pct"/>
            <w:noWrap w:val="0"/>
            <w:vAlign w:val="center"/>
          </w:tcPr>
          <w:p w14:paraId="60B3C6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1D857DA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3.9</w:t>
            </w:r>
          </w:p>
        </w:tc>
        <w:tc>
          <w:tcPr>
            <w:tcW w:w="565" w:type="pct"/>
            <w:noWrap w:val="0"/>
            <w:tcMar>
              <w:top w:w="0" w:type="dxa"/>
              <w:left w:w="108" w:type="dxa"/>
              <w:bottom w:w="0" w:type="dxa"/>
              <w:right w:w="108" w:type="dxa"/>
            </w:tcMar>
            <w:vAlign w:val="center"/>
          </w:tcPr>
          <w:p w14:paraId="582C678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3.9</w:t>
            </w:r>
          </w:p>
        </w:tc>
        <w:tc>
          <w:tcPr>
            <w:tcW w:w="571" w:type="pct"/>
            <w:noWrap w:val="0"/>
            <w:tcMar>
              <w:top w:w="0" w:type="dxa"/>
              <w:left w:w="108" w:type="dxa"/>
              <w:bottom w:w="0" w:type="dxa"/>
              <w:right w:w="108" w:type="dxa"/>
            </w:tcMar>
            <w:vAlign w:val="center"/>
          </w:tcPr>
          <w:p w14:paraId="0E4D7EA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3.4</w:t>
            </w:r>
          </w:p>
        </w:tc>
        <w:tc>
          <w:tcPr>
            <w:tcW w:w="565" w:type="pct"/>
            <w:noWrap w:val="0"/>
            <w:tcMar>
              <w:top w:w="0" w:type="dxa"/>
              <w:left w:w="108" w:type="dxa"/>
              <w:bottom w:w="0" w:type="dxa"/>
              <w:right w:w="108" w:type="dxa"/>
            </w:tcMar>
            <w:vAlign w:val="center"/>
          </w:tcPr>
          <w:p w14:paraId="4ED8F76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3.5</w:t>
            </w:r>
          </w:p>
        </w:tc>
        <w:tc>
          <w:tcPr>
            <w:tcW w:w="577" w:type="pct"/>
            <w:noWrap w:val="0"/>
            <w:tcMar>
              <w:top w:w="0" w:type="dxa"/>
              <w:left w:w="108" w:type="dxa"/>
              <w:bottom w:w="0" w:type="dxa"/>
              <w:right w:w="108" w:type="dxa"/>
            </w:tcMar>
            <w:vAlign w:val="center"/>
          </w:tcPr>
          <w:p w14:paraId="761434E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3.6</w:t>
            </w:r>
          </w:p>
        </w:tc>
        <w:tc>
          <w:tcPr>
            <w:tcW w:w="570" w:type="pct"/>
            <w:noWrap w:val="0"/>
            <w:tcMar>
              <w:top w:w="0" w:type="dxa"/>
              <w:left w:w="108" w:type="dxa"/>
              <w:bottom w:w="0" w:type="dxa"/>
              <w:right w:w="108" w:type="dxa"/>
            </w:tcMar>
            <w:vAlign w:val="center"/>
          </w:tcPr>
          <w:p w14:paraId="54C34CE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3.3</w:t>
            </w:r>
          </w:p>
        </w:tc>
      </w:tr>
      <w:tr w14:paraId="5D5794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41A61C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4C9090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化学需氧量</w:t>
            </w:r>
          </w:p>
        </w:tc>
        <w:tc>
          <w:tcPr>
            <w:tcW w:w="384" w:type="pct"/>
            <w:noWrap w:val="0"/>
            <w:vAlign w:val="center"/>
          </w:tcPr>
          <w:p w14:paraId="08DB5D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174CE90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17</w:t>
            </w:r>
          </w:p>
        </w:tc>
        <w:tc>
          <w:tcPr>
            <w:tcW w:w="565" w:type="pct"/>
            <w:noWrap w:val="0"/>
            <w:tcMar>
              <w:top w:w="0" w:type="dxa"/>
              <w:left w:w="108" w:type="dxa"/>
              <w:bottom w:w="0" w:type="dxa"/>
              <w:right w:w="108" w:type="dxa"/>
            </w:tcMar>
            <w:vAlign w:val="center"/>
          </w:tcPr>
          <w:p w14:paraId="1DA1949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14</w:t>
            </w:r>
          </w:p>
        </w:tc>
        <w:tc>
          <w:tcPr>
            <w:tcW w:w="571" w:type="pct"/>
            <w:noWrap w:val="0"/>
            <w:tcMar>
              <w:top w:w="0" w:type="dxa"/>
              <w:left w:w="108" w:type="dxa"/>
              <w:bottom w:w="0" w:type="dxa"/>
              <w:right w:w="108" w:type="dxa"/>
            </w:tcMar>
            <w:vAlign w:val="center"/>
          </w:tcPr>
          <w:p w14:paraId="24CAF2C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15</w:t>
            </w:r>
          </w:p>
        </w:tc>
        <w:tc>
          <w:tcPr>
            <w:tcW w:w="565" w:type="pct"/>
            <w:noWrap w:val="0"/>
            <w:tcMar>
              <w:top w:w="0" w:type="dxa"/>
              <w:left w:w="108" w:type="dxa"/>
              <w:bottom w:w="0" w:type="dxa"/>
              <w:right w:w="108" w:type="dxa"/>
            </w:tcMar>
            <w:vAlign w:val="center"/>
          </w:tcPr>
          <w:p w14:paraId="23021DD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16</w:t>
            </w:r>
          </w:p>
        </w:tc>
        <w:tc>
          <w:tcPr>
            <w:tcW w:w="577" w:type="pct"/>
            <w:noWrap w:val="0"/>
            <w:tcMar>
              <w:top w:w="0" w:type="dxa"/>
              <w:left w:w="108" w:type="dxa"/>
              <w:bottom w:w="0" w:type="dxa"/>
              <w:right w:w="108" w:type="dxa"/>
            </w:tcMar>
            <w:vAlign w:val="center"/>
          </w:tcPr>
          <w:p w14:paraId="3CAE17E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13</w:t>
            </w:r>
          </w:p>
        </w:tc>
        <w:tc>
          <w:tcPr>
            <w:tcW w:w="570" w:type="pct"/>
            <w:noWrap w:val="0"/>
            <w:tcMar>
              <w:top w:w="0" w:type="dxa"/>
              <w:left w:w="108" w:type="dxa"/>
              <w:bottom w:w="0" w:type="dxa"/>
              <w:right w:w="108" w:type="dxa"/>
            </w:tcMar>
            <w:vAlign w:val="center"/>
          </w:tcPr>
          <w:p w14:paraId="0A5C5C2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15</w:t>
            </w:r>
          </w:p>
        </w:tc>
      </w:tr>
      <w:tr w14:paraId="62B282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0E0738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0127D7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1"/>
                <w:lang w:val="en-US" w:eastAsia="zh-CN" w:bidi="ar"/>
              </w:rPr>
              <w:t>五日生化需氧量</w:t>
            </w:r>
          </w:p>
        </w:tc>
        <w:tc>
          <w:tcPr>
            <w:tcW w:w="384" w:type="pct"/>
            <w:noWrap w:val="0"/>
            <w:vAlign w:val="center"/>
          </w:tcPr>
          <w:p w14:paraId="44164B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09EF610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3.3</w:t>
            </w:r>
          </w:p>
        </w:tc>
        <w:tc>
          <w:tcPr>
            <w:tcW w:w="565" w:type="pct"/>
            <w:noWrap w:val="0"/>
            <w:tcMar>
              <w:top w:w="0" w:type="dxa"/>
              <w:left w:w="108" w:type="dxa"/>
              <w:bottom w:w="0" w:type="dxa"/>
              <w:right w:w="108" w:type="dxa"/>
            </w:tcMar>
            <w:vAlign w:val="center"/>
          </w:tcPr>
          <w:p w14:paraId="1A6CD5F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3.2</w:t>
            </w:r>
          </w:p>
        </w:tc>
        <w:tc>
          <w:tcPr>
            <w:tcW w:w="571" w:type="pct"/>
            <w:noWrap w:val="0"/>
            <w:tcMar>
              <w:top w:w="0" w:type="dxa"/>
              <w:left w:w="108" w:type="dxa"/>
              <w:bottom w:w="0" w:type="dxa"/>
              <w:right w:w="108" w:type="dxa"/>
            </w:tcMar>
            <w:vAlign w:val="center"/>
          </w:tcPr>
          <w:p w14:paraId="0B63724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3.1</w:t>
            </w:r>
          </w:p>
        </w:tc>
        <w:tc>
          <w:tcPr>
            <w:tcW w:w="565" w:type="pct"/>
            <w:noWrap w:val="0"/>
            <w:tcMar>
              <w:top w:w="0" w:type="dxa"/>
              <w:left w:w="108" w:type="dxa"/>
              <w:bottom w:w="0" w:type="dxa"/>
              <w:right w:w="108" w:type="dxa"/>
            </w:tcMar>
            <w:vAlign w:val="center"/>
          </w:tcPr>
          <w:p w14:paraId="1D7ED6B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3.4</w:t>
            </w:r>
          </w:p>
        </w:tc>
        <w:tc>
          <w:tcPr>
            <w:tcW w:w="577" w:type="pct"/>
            <w:noWrap w:val="0"/>
            <w:tcMar>
              <w:top w:w="0" w:type="dxa"/>
              <w:left w:w="108" w:type="dxa"/>
              <w:bottom w:w="0" w:type="dxa"/>
              <w:right w:w="108" w:type="dxa"/>
            </w:tcMar>
            <w:vAlign w:val="center"/>
          </w:tcPr>
          <w:p w14:paraId="670D209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3.2</w:t>
            </w:r>
          </w:p>
        </w:tc>
        <w:tc>
          <w:tcPr>
            <w:tcW w:w="570" w:type="pct"/>
            <w:noWrap w:val="0"/>
            <w:tcMar>
              <w:top w:w="0" w:type="dxa"/>
              <w:left w:w="108" w:type="dxa"/>
              <w:bottom w:w="0" w:type="dxa"/>
              <w:right w:w="108" w:type="dxa"/>
            </w:tcMar>
            <w:vAlign w:val="center"/>
          </w:tcPr>
          <w:p w14:paraId="3685C97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3.1</w:t>
            </w:r>
          </w:p>
        </w:tc>
      </w:tr>
      <w:tr w14:paraId="13E954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6CE0E4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093FA8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氨氮</w:t>
            </w:r>
          </w:p>
        </w:tc>
        <w:tc>
          <w:tcPr>
            <w:tcW w:w="384" w:type="pct"/>
            <w:noWrap w:val="0"/>
            <w:vAlign w:val="center"/>
          </w:tcPr>
          <w:p w14:paraId="67D4F9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36247CA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0.59</w:t>
            </w:r>
          </w:p>
        </w:tc>
        <w:tc>
          <w:tcPr>
            <w:tcW w:w="565" w:type="pct"/>
            <w:noWrap w:val="0"/>
            <w:tcMar>
              <w:top w:w="0" w:type="dxa"/>
              <w:left w:w="108" w:type="dxa"/>
              <w:bottom w:w="0" w:type="dxa"/>
              <w:right w:w="108" w:type="dxa"/>
            </w:tcMar>
            <w:vAlign w:val="center"/>
          </w:tcPr>
          <w:p w14:paraId="42C0B65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0.55</w:t>
            </w:r>
          </w:p>
        </w:tc>
        <w:tc>
          <w:tcPr>
            <w:tcW w:w="571" w:type="pct"/>
            <w:noWrap w:val="0"/>
            <w:tcMar>
              <w:top w:w="0" w:type="dxa"/>
              <w:left w:w="108" w:type="dxa"/>
              <w:bottom w:w="0" w:type="dxa"/>
              <w:right w:w="108" w:type="dxa"/>
            </w:tcMar>
            <w:vAlign w:val="center"/>
          </w:tcPr>
          <w:p w14:paraId="36E92DC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0.56</w:t>
            </w:r>
          </w:p>
        </w:tc>
        <w:tc>
          <w:tcPr>
            <w:tcW w:w="565" w:type="pct"/>
            <w:noWrap w:val="0"/>
            <w:tcMar>
              <w:top w:w="0" w:type="dxa"/>
              <w:left w:w="108" w:type="dxa"/>
              <w:bottom w:w="0" w:type="dxa"/>
              <w:right w:w="108" w:type="dxa"/>
            </w:tcMar>
            <w:vAlign w:val="center"/>
          </w:tcPr>
          <w:p w14:paraId="33D13F1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0.58</w:t>
            </w:r>
          </w:p>
        </w:tc>
        <w:tc>
          <w:tcPr>
            <w:tcW w:w="577" w:type="pct"/>
            <w:noWrap w:val="0"/>
            <w:tcMar>
              <w:top w:w="0" w:type="dxa"/>
              <w:left w:w="108" w:type="dxa"/>
              <w:bottom w:w="0" w:type="dxa"/>
              <w:right w:w="108" w:type="dxa"/>
            </w:tcMar>
            <w:vAlign w:val="center"/>
          </w:tcPr>
          <w:p w14:paraId="32534C4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0.54</w:t>
            </w:r>
          </w:p>
        </w:tc>
        <w:tc>
          <w:tcPr>
            <w:tcW w:w="570" w:type="pct"/>
            <w:noWrap w:val="0"/>
            <w:tcMar>
              <w:top w:w="0" w:type="dxa"/>
              <w:left w:w="108" w:type="dxa"/>
              <w:bottom w:w="0" w:type="dxa"/>
              <w:right w:w="108" w:type="dxa"/>
            </w:tcMar>
            <w:vAlign w:val="center"/>
          </w:tcPr>
          <w:p w14:paraId="6990746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0.56</w:t>
            </w:r>
          </w:p>
        </w:tc>
      </w:tr>
      <w:tr w14:paraId="6C323E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42C1AB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4F3C10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总磷</w:t>
            </w:r>
          </w:p>
        </w:tc>
        <w:tc>
          <w:tcPr>
            <w:tcW w:w="384" w:type="pct"/>
            <w:noWrap w:val="0"/>
            <w:vAlign w:val="center"/>
          </w:tcPr>
          <w:p w14:paraId="35C514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32D6B3F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0.18</w:t>
            </w:r>
          </w:p>
        </w:tc>
        <w:tc>
          <w:tcPr>
            <w:tcW w:w="565" w:type="pct"/>
            <w:noWrap w:val="0"/>
            <w:tcMar>
              <w:top w:w="0" w:type="dxa"/>
              <w:left w:w="108" w:type="dxa"/>
              <w:bottom w:w="0" w:type="dxa"/>
              <w:right w:w="108" w:type="dxa"/>
            </w:tcMar>
            <w:vAlign w:val="center"/>
          </w:tcPr>
          <w:p w14:paraId="2239290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0.15</w:t>
            </w:r>
          </w:p>
        </w:tc>
        <w:tc>
          <w:tcPr>
            <w:tcW w:w="571" w:type="pct"/>
            <w:noWrap w:val="0"/>
            <w:tcMar>
              <w:top w:w="0" w:type="dxa"/>
              <w:left w:w="108" w:type="dxa"/>
              <w:bottom w:w="0" w:type="dxa"/>
              <w:right w:w="108" w:type="dxa"/>
            </w:tcMar>
            <w:vAlign w:val="center"/>
          </w:tcPr>
          <w:p w14:paraId="31FFC9F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0.16</w:t>
            </w:r>
          </w:p>
        </w:tc>
        <w:tc>
          <w:tcPr>
            <w:tcW w:w="565" w:type="pct"/>
            <w:noWrap w:val="0"/>
            <w:tcMar>
              <w:top w:w="0" w:type="dxa"/>
              <w:left w:w="108" w:type="dxa"/>
              <w:bottom w:w="0" w:type="dxa"/>
              <w:right w:w="108" w:type="dxa"/>
            </w:tcMar>
            <w:vAlign w:val="center"/>
          </w:tcPr>
          <w:p w14:paraId="3FDDA2F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0.17</w:t>
            </w:r>
          </w:p>
        </w:tc>
        <w:tc>
          <w:tcPr>
            <w:tcW w:w="577" w:type="pct"/>
            <w:noWrap w:val="0"/>
            <w:tcMar>
              <w:top w:w="0" w:type="dxa"/>
              <w:left w:w="108" w:type="dxa"/>
              <w:bottom w:w="0" w:type="dxa"/>
              <w:right w:w="108" w:type="dxa"/>
            </w:tcMar>
            <w:vAlign w:val="center"/>
          </w:tcPr>
          <w:p w14:paraId="3DB9F18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0.13</w:t>
            </w:r>
          </w:p>
        </w:tc>
        <w:tc>
          <w:tcPr>
            <w:tcW w:w="570" w:type="pct"/>
            <w:noWrap w:val="0"/>
            <w:tcMar>
              <w:top w:w="0" w:type="dxa"/>
              <w:left w:w="108" w:type="dxa"/>
              <w:bottom w:w="0" w:type="dxa"/>
              <w:right w:w="108" w:type="dxa"/>
            </w:tcMar>
            <w:vAlign w:val="center"/>
          </w:tcPr>
          <w:p w14:paraId="62E5628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0.14</w:t>
            </w:r>
          </w:p>
        </w:tc>
      </w:tr>
      <w:tr w14:paraId="0E0568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1858C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6C068F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总氮</w:t>
            </w:r>
          </w:p>
        </w:tc>
        <w:tc>
          <w:tcPr>
            <w:tcW w:w="384" w:type="pct"/>
            <w:noWrap w:val="0"/>
            <w:vAlign w:val="center"/>
          </w:tcPr>
          <w:p w14:paraId="05B870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3A273C2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0.92</w:t>
            </w:r>
          </w:p>
        </w:tc>
        <w:tc>
          <w:tcPr>
            <w:tcW w:w="565" w:type="pct"/>
            <w:noWrap w:val="0"/>
            <w:tcMar>
              <w:top w:w="0" w:type="dxa"/>
              <w:left w:w="108" w:type="dxa"/>
              <w:bottom w:w="0" w:type="dxa"/>
              <w:right w:w="108" w:type="dxa"/>
            </w:tcMar>
            <w:vAlign w:val="center"/>
          </w:tcPr>
          <w:p w14:paraId="6F60ECB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0.76</w:t>
            </w:r>
          </w:p>
        </w:tc>
        <w:tc>
          <w:tcPr>
            <w:tcW w:w="571" w:type="pct"/>
            <w:noWrap w:val="0"/>
            <w:tcMar>
              <w:top w:w="0" w:type="dxa"/>
              <w:left w:w="108" w:type="dxa"/>
              <w:bottom w:w="0" w:type="dxa"/>
              <w:right w:w="108" w:type="dxa"/>
            </w:tcMar>
            <w:vAlign w:val="center"/>
          </w:tcPr>
          <w:p w14:paraId="4993EEA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0.86</w:t>
            </w:r>
          </w:p>
        </w:tc>
        <w:tc>
          <w:tcPr>
            <w:tcW w:w="565" w:type="pct"/>
            <w:noWrap w:val="0"/>
            <w:tcMar>
              <w:top w:w="0" w:type="dxa"/>
              <w:left w:w="108" w:type="dxa"/>
              <w:bottom w:w="0" w:type="dxa"/>
              <w:right w:w="108" w:type="dxa"/>
            </w:tcMar>
            <w:vAlign w:val="center"/>
          </w:tcPr>
          <w:p w14:paraId="03B1E69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0.89</w:t>
            </w:r>
          </w:p>
        </w:tc>
        <w:tc>
          <w:tcPr>
            <w:tcW w:w="577" w:type="pct"/>
            <w:noWrap w:val="0"/>
            <w:tcMar>
              <w:top w:w="0" w:type="dxa"/>
              <w:left w:w="108" w:type="dxa"/>
              <w:bottom w:w="0" w:type="dxa"/>
              <w:right w:w="108" w:type="dxa"/>
            </w:tcMar>
            <w:vAlign w:val="center"/>
          </w:tcPr>
          <w:p w14:paraId="4BD0636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0.74</w:t>
            </w:r>
          </w:p>
        </w:tc>
        <w:tc>
          <w:tcPr>
            <w:tcW w:w="570" w:type="pct"/>
            <w:noWrap w:val="0"/>
            <w:tcMar>
              <w:top w:w="0" w:type="dxa"/>
              <w:left w:w="108" w:type="dxa"/>
              <w:bottom w:w="0" w:type="dxa"/>
              <w:right w:w="108" w:type="dxa"/>
            </w:tcMar>
            <w:vAlign w:val="center"/>
          </w:tcPr>
          <w:p w14:paraId="3D14338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0.84</w:t>
            </w:r>
          </w:p>
        </w:tc>
      </w:tr>
      <w:tr w14:paraId="160064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2142FE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5EFF5F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铜</w:t>
            </w:r>
          </w:p>
        </w:tc>
        <w:tc>
          <w:tcPr>
            <w:tcW w:w="384" w:type="pct"/>
            <w:noWrap w:val="0"/>
            <w:vAlign w:val="center"/>
          </w:tcPr>
          <w:p w14:paraId="20FBED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6E6B9C6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0.019</w:t>
            </w:r>
          </w:p>
        </w:tc>
        <w:tc>
          <w:tcPr>
            <w:tcW w:w="565" w:type="pct"/>
            <w:noWrap w:val="0"/>
            <w:tcMar>
              <w:top w:w="0" w:type="dxa"/>
              <w:left w:w="108" w:type="dxa"/>
              <w:bottom w:w="0" w:type="dxa"/>
              <w:right w:w="108" w:type="dxa"/>
            </w:tcMar>
            <w:vAlign w:val="center"/>
          </w:tcPr>
          <w:p w14:paraId="1B681D8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0.021</w:t>
            </w:r>
          </w:p>
        </w:tc>
        <w:tc>
          <w:tcPr>
            <w:tcW w:w="571" w:type="pct"/>
            <w:noWrap w:val="0"/>
            <w:tcMar>
              <w:top w:w="0" w:type="dxa"/>
              <w:left w:w="108" w:type="dxa"/>
              <w:bottom w:w="0" w:type="dxa"/>
              <w:right w:w="108" w:type="dxa"/>
            </w:tcMar>
            <w:vAlign w:val="center"/>
          </w:tcPr>
          <w:p w14:paraId="385B9AC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0.022</w:t>
            </w:r>
          </w:p>
        </w:tc>
        <w:tc>
          <w:tcPr>
            <w:tcW w:w="565" w:type="pct"/>
            <w:noWrap w:val="0"/>
            <w:tcMar>
              <w:top w:w="0" w:type="dxa"/>
              <w:left w:w="108" w:type="dxa"/>
              <w:bottom w:w="0" w:type="dxa"/>
              <w:right w:w="108" w:type="dxa"/>
            </w:tcMar>
            <w:vAlign w:val="center"/>
          </w:tcPr>
          <w:p w14:paraId="5061FD6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0.018</w:t>
            </w:r>
          </w:p>
        </w:tc>
        <w:tc>
          <w:tcPr>
            <w:tcW w:w="577" w:type="pct"/>
            <w:noWrap w:val="0"/>
            <w:tcMar>
              <w:top w:w="0" w:type="dxa"/>
              <w:left w:w="108" w:type="dxa"/>
              <w:bottom w:w="0" w:type="dxa"/>
              <w:right w:w="108" w:type="dxa"/>
            </w:tcMar>
            <w:vAlign w:val="center"/>
          </w:tcPr>
          <w:p w14:paraId="3C1F71D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0.020</w:t>
            </w:r>
          </w:p>
        </w:tc>
        <w:tc>
          <w:tcPr>
            <w:tcW w:w="570" w:type="pct"/>
            <w:noWrap w:val="0"/>
            <w:tcMar>
              <w:top w:w="0" w:type="dxa"/>
              <w:left w:w="108" w:type="dxa"/>
              <w:bottom w:w="0" w:type="dxa"/>
              <w:right w:w="108" w:type="dxa"/>
            </w:tcMar>
            <w:vAlign w:val="center"/>
          </w:tcPr>
          <w:p w14:paraId="44FDF8F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0.022</w:t>
            </w:r>
          </w:p>
        </w:tc>
      </w:tr>
      <w:tr w14:paraId="4BBFF6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4F808E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615F7B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锌</w:t>
            </w:r>
          </w:p>
        </w:tc>
        <w:tc>
          <w:tcPr>
            <w:tcW w:w="384" w:type="pct"/>
            <w:noWrap w:val="0"/>
            <w:vAlign w:val="center"/>
          </w:tcPr>
          <w:p w14:paraId="4435EE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0C5087B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65" w:type="pct"/>
            <w:noWrap w:val="0"/>
            <w:tcMar>
              <w:top w:w="0" w:type="dxa"/>
              <w:left w:w="108" w:type="dxa"/>
              <w:bottom w:w="0" w:type="dxa"/>
              <w:right w:w="108" w:type="dxa"/>
            </w:tcMar>
            <w:vAlign w:val="center"/>
          </w:tcPr>
          <w:p w14:paraId="0AE8DE0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71" w:type="pct"/>
            <w:noWrap w:val="0"/>
            <w:tcMar>
              <w:top w:w="0" w:type="dxa"/>
              <w:left w:w="108" w:type="dxa"/>
              <w:bottom w:w="0" w:type="dxa"/>
              <w:right w:w="108" w:type="dxa"/>
            </w:tcMar>
            <w:vAlign w:val="center"/>
          </w:tcPr>
          <w:p w14:paraId="348DFE0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65" w:type="pct"/>
            <w:noWrap w:val="0"/>
            <w:tcMar>
              <w:top w:w="0" w:type="dxa"/>
              <w:left w:w="108" w:type="dxa"/>
              <w:bottom w:w="0" w:type="dxa"/>
              <w:right w:w="108" w:type="dxa"/>
            </w:tcMar>
            <w:vAlign w:val="center"/>
          </w:tcPr>
          <w:p w14:paraId="6829D09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77" w:type="pct"/>
            <w:noWrap w:val="0"/>
            <w:tcMar>
              <w:top w:w="0" w:type="dxa"/>
              <w:left w:w="108" w:type="dxa"/>
              <w:bottom w:w="0" w:type="dxa"/>
              <w:right w:w="108" w:type="dxa"/>
            </w:tcMar>
            <w:vAlign w:val="center"/>
          </w:tcPr>
          <w:p w14:paraId="74FF27D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70" w:type="pct"/>
            <w:noWrap w:val="0"/>
            <w:tcMar>
              <w:top w:w="0" w:type="dxa"/>
              <w:left w:w="108" w:type="dxa"/>
              <w:bottom w:w="0" w:type="dxa"/>
              <w:right w:w="108" w:type="dxa"/>
            </w:tcMar>
            <w:vAlign w:val="center"/>
          </w:tcPr>
          <w:p w14:paraId="282D531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r>
      <w:tr w14:paraId="4CC1BE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033BC3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455769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氟化物</w:t>
            </w:r>
          </w:p>
        </w:tc>
        <w:tc>
          <w:tcPr>
            <w:tcW w:w="384" w:type="pct"/>
            <w:noWrap w:val="0"/>
            <w:vAlign w:val="center"/>
          </w:tcPr>
          <w:p w14:paraId="0DD26D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78738FE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0.49</w:t>
            </w:r>
          </w:p>
        </w:tc>
        <w:tc>
          <w:tcPr>
            <w:tcW w:w="565" w:type="pct"/>
            <w:noWrap w:val="0"/>
            <w:tcMar>
              <w:top w:w="0" w:type="dxa"/>
              <w:left w:w="108" w:type="dxa"/>
              <w:bottom w:w="0" w:type="dxa"/>
              <w:right w:w="108" w:type="dxa"/>
            </w:tcMar>
            <w:vAlign w:val="center"/>
          </w:tcPr>
          <w:p w14:paraId="23E88EF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0.44</w:t>
            </w:r>
          </w:p>
        </w:tc>
        <w:tc>
          <w:tcPr>
            <w:tcW w:w="571" w:type="pct"/>
            <w:noWrap w:val="0"/>
            <w:tcMar>
              <w:top w:w="0" w:type="dxa"/>
              <w:left w:w="108" w:type="dxa"/>
              <w:bottom w:w="0" w:type="dxa"/>
              <w:right w:w="108" w:type="dxa"/>
            </w:tcMar>
            <w:vAlign w:val="center"/>
          </w:tcPr>
          <w:p w14:paraId="4B292B2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0.45</w:t>
            </w:r>
          </w:p>
        </w:tc>
        <w:tc>
          <w:tcPr>
            <w:tcW w:w="565" w:type="pct"/>
            <w:noWrap w:val="0"/>
            <w:tcMar>
              <w:top w:w="0" w:type="dxa"/>
              <w:left w:w="108" w:type="dxa"/>
              <w:bottom w:w="0" w:type="dxa"/>
              <w:right w:w="108" w:type="dxa"/>
            </w:tcMar>
            <w:vAlign w:val="center"/>
          </w:tcPr>
          <w:p w14:paraId="6971363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0.47</w:t>
            </w:r>
          </w:p>
        </w:tc>
        <w:tc>
          <w:tcPr>
            <w:tcW w:w="577" w:type="pct"/>
            <w:noWrap w:val="0"/>
            <w:tcMar>
              <w:top w:w="0" w:type="dxa"/>
              <w:left w:w="108" w:type="dxa"/>
              <w:bottom w:w="0" w:type="dxa"/>
              <w:right w:w="108" w:type="dxa"/>
            </w:tcMar>
            <w:vAlign w:val="center"/>
          </w:tcPr>
          <w:p w14:paraId="76E8DFE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0.40</w:t>
            </w:r>
          </w:p>
        </w:tc>
        <w:tc>
          <w:tcPr>
            <w:tcW w:w="570" w:type="pct"/>
            <w:noWrap w:val="0"/>
            <w:tcMar>
              <w:top w:w="0" w:type="dxa"/>
              <w:left w:w="108" w:type="dxa"/>
              <w:bottom w:w="0" w:type="dxa"/>
              <w:right w:w="108" w:type="dxa"/>
            </w:tcMar>
            <w:vAlign w:val="center"/>
          </w:tcPr>
          <w:p w14:paraId="67DD2FB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0.42</w:t>
            </w:r>
          </w:p>
        </w:tc>
      </w:tr>
      <w:tr w14:paraId="7D39C5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5C1A0B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3BBFFE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硒</w:t>
            </w:r>
          </w:p>
        </w:tc>
        <w:tc>
          <w:tcPr>
            <w:tcW w:w="384" w:type="pct"/>
            <w:noWrap w:val="0"/>
            <w:vAlign w:val="center"/>
          </w:tcPr>
          <w:p w14:paraId="793048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3399F26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0.0004L</w:t>
            </w:r>
          </w:p>
        </w:tc>
        <w:tc>
          <w:tcPr>
            <w:tcW w:w="565" w:type="pct"/>
            <w:noWrap w:val="0"/>
            <w:tcMar>
              <w:top w:w="0" w:type="dxa"/>
              <w:left w:w="108" w:type="dxa"/>
              <w:bottom w:w="0" w:type="dxa"/>
              <w:right w:w="108" w:type="dxa"/>
            </w:tcMar>
            <w:vAlign w:val="center"/>
          </w:tcPr>
          <w:p w14:paraId="51A0E72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0.0004L</w:t>
            </w:r>
          </w:p>
        </w:tc>
        <w:tc>
          <w:tcPr>
            <w:tcW w:w="571" w:type="pct"/>
            <w:noWrap w:val="0"/>
            <w:tcMar>
              <w:top w:w="0" w:type="dxa"/>
              <w:left w:w="108" w:type="dxa"/>
              <w:bottom w:w="0" w:type="dxa"/>
              <w:right w:w="108" w:type="dxa"/>
            </w:tcMar>
            <w:vAlign w:val="center"/>
          </w:tcPr>
          <w:p w14:paraId="4DDBA27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0.0004L</w:t>
            </w:r>
          </w:p>
        </w:tc>
        <w:tc>
          <w:tcPr>
            <w:tcW w:w="565" w:type="pct"/>
            <w:noWrap w:val="0"/>
            <w:tcMar>
              <w:top w:w="0" w:type="dxa"/>
              <w:left w:w="108" w:type="dxa"/>
              <w:bottom w:w="0" w:type="dxa"/>
              <w:right w:w="108" w:type="dxa"/>
            </w:tcMar>
            <w:vAlign w:val="center"/>
          </w:tcPr>
          <w:p w14:paraId="6E0C03E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0.0004L</w:t>
            </w:r>
          </w:p>
        </w:tc>
        <w:tc>
          <w:tcPr>
            <w:tcW w:w="577" w:type="pct"/>
            <w:noWrap w:val="0"/>
            <w:tcMar>
              <w:top w:w="0" w:type="dxa"/>
              <w:left w:w="108" w:type="dxa"/>
              <w:bottom w:w="0" w:type="dxa"/>
              <w:right w:w="108" w:type="dxa"/>
            </w:tcMar>
            <w:vAlign w:val="center"/>
          </w:tcPr>
          <w:p w14:paraId="309AD06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0.0004L</w:t>
            </w:r>
          </w:p>
        </w:tc>
        <w:tc>
          <w:tcPr>
            <w:tcW w:w="570" w:type="pct"/>
            <w:noWrap w:val="0"/>
            <w:tcMar>
              <w:top w:w="0" w:type="dxa"/>
              <w:left w:w="108" w:type="dxa"/>
              <w:bottom w:w="0" w:type="dxa"/>
              <w:right w:w="108" w:type="dxa"/>
            </w:tcMar>
            <w:vAlign w:val="center"/>
          </w:tcPr>
          <w:p w14:paraId="34EBBEA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0.0004L</w:t>
            </w:r>
          </w:p>
        </w:tc>
      </w:tr>
      <w:tr w14:paraId="642659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24003A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711260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砷</w:t>
            </w:r>
          </w:p>
        </w:tc>
        <w:tc>
          <w:tcPr>
            <w:tcW w:w="384" w:type="pct"/>
            <w:noWrap w:val="0"/>
            <w:vAlign w:val="center"/>
          </w:tcPr>
          <w:p w14:paraId="1CD807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478052D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65" w:type="pct"/>
            <w:noWrap w:val="0"/>
            <w:tcMar>
              <w:top w:w="0" w:type="dxa"/>
              <w:left w:w="108" w:type="dxa"/>
              <w:bottom w:w="0" w:type="dxa"/>
              <w:right w:w="108" w:type="dxa"/>
            </w:tcMar>
            <w:vAlign w:val="center"/>
          </w:tcPr>
          <w:p w14:paraId="4A57A88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71" w:type="pct"/>
            <w:noWrap w:val="0"/>
            <w:tcMar>
              <w:top w:w="0" w:type="dxa"/>
              <w:left w:w="108" w:type="dxa"/>
              <w:bottom w:w="0" w:type="dxa"/>
              <w:right w:w="108" w:type="dxa"/>
            </w:tcMar>
            <w:vAlign w:val="center"/>
          </w:tcPr>
          <w:p w14:paraId="330978C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65" w:type="pct"/>
            <w:noWrap w:val="0"/>
            <w:tcMar>
              <w:top w:w="0" w:type="dxa"/>
              <w:left w:w="108" w:type="dxa"/>
              <w:bottom w:w="0" w:type="dxa"/>
              <w:right w:w="108" w:type="dxa"/>
            </w:tcMar>
            <w:vAlign w:val="center"/>
          </w:tcPr>
          <w:p w14:paraId="5157486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77" w:type="pct"/>
            <w:noWrap w:val="0"/>
            <w:tcMar>
              <w:top w:w="0" w:type="dxa"/>
              <w:left w:w="108" w:type="dxa"/>
              <w:bottom w:w="0" w:type="dxa"/>
              <w:right w:w="108" w:type="dxa"/>
            </w:tcMar>
            <w:vAlign w:val="center"/>
          </w:tcPr>
          <w:p w14:paraId="27D04CB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70" w:type="pct"/>
            <w:noWrap w:val="0"/>
            <w:tcMar>
              <w:top w:w="0" w:type="dxa"/>
              <w:left w:w="108" w:type="dxa"/>
              <w:bottom w:w="0" w:type="dxa"/>
              <w:right w:w="108" w:type="dxa"/>
            </w:tcMar>
            <w:vAlign w:val="center"/>
          </w:tcPr>
          <w:p w14:paraId="242F8C4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r>
      <w:tr w14:paraId="12D1F5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0AF071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770A45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汞</w:t>
            </w:r>
          </w:p>
        </w:tc>
        <w:tc>
          <w:tcPr>
            <w:tcW w:w="384" w:type="pct"/>
            <w:noWrap w:val="0"/>
            <w:vAlign w:val="center"/>
          </w:tcPr>
          <w:p w14:paraId="5269B2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1BD51C9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0.00004L</w:t>
            </w:r>
          </w:p>
        </w:tc>
        <w:tc>
          <w:tcPr>
            <w:tcW w:w="565" w:type="pct"/>
            <w:noWrap w:val="0"/>
            <w:tcMar>
              <w:top w:w="0" w:type="dxa"/>
              <w:left w:w="108" w:type="dxa"/>
              <w:bottom w:w="0" w:type="dxa"/>
              <w:right w:w="108" w:type="dxa"/>
            </w:tcMar>
            <w:vAlign w:val="center"/>
          </w:tcPr>
          <w:p w14:paraId="3869BBE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0.00004L</w:t>
            </w:r>
          </w:p>
        </w:tc>
        <w:tc>
          <w:tcPr>
            <w:tcW w:w="571" w:type="pct"/>
            <w:noWrap w:val="0"/>
            <w:tcMar>
              <w:top w:w="0" w:type="dxa"/>
              <w:left w:w="108" w:type="dxa"/>
              <w:bottom w:w="0" w:type="dxa"/>
              <w:right w:w="108" w:type="dxa"/>
            </w:tcMar>
            <w:vAlign w:val="center"/>
          </w:tcPr>
          <w:p w14:paraId="29F171E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0.00004L</w:t>
            </w:r>
          </w:p>
        </w:tc>
        <w:tc>
          <w:tcPr>
            <w:tcW w:w="565" w:type="pct"/>
            <w:noWrap w:val="0"/>
            <w:tcMar>
              <w:top w:w="0" w:type="dxa"/>
              <w:left w:w="108" w:type="dxa"/>
              <w:bottom w:w="0" w:type="dxa"/>
              <w:right w:w="108" w:type="dxa"/>
            </w:tcMar>
            <w:vAlign w:val="center"/>
          </w:tcPr>
          <w:p w14:paraId="11AE6F7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0.00004L</w:t>
            </w:r>
          </w:p>
        </w:tc>
        <w:tc>
          <w:tcPr>
            <w:tcW w:w="577" w:type="pct"/>
            <w:noWrap w:val="0"/>
            <w:tcMar>
              <w:top w:w="0" w:type="dxa"/>
              <w:left w:w="108" w:type="dxa"/>
              <w:bottom w:w="0" w:type="dxa"/>
              <w:right w:w="108" w:type="dxa"/>
            </w:tcMar>
            <w:vAlign w:val="center"/>
          </w:tcPr>
          <w:p w14:paraId="4874857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0.00004L</w:t>
            </w:r>
          </w:p>
        </w:tc>
        <w:tc>
          <w:tcPr>
            <w:tcW w:w="570" w:type="pct"/>
            <w:noWrap w:val="0"/>
            <w:tcMar>
              <w:top w:w="0" w:type="dxa"/>
              <w:left w:w="108" w:type="dxa"/>
              <w:bottom w:w="0" w:type="dxa"/>
              <w:right w:w="108" w:type="dxa"/>
            </w:tcMar>
            <w:vAlign w:val="center"/>
          </w:tcPr>
          <w:p w14:paraId="443244B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0.00004L</w:t>
            </w:r>
          </w:p>
        </w:tc>
      </w:tr>
      <w:tr w14:paraId="5E85A7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2C15C1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469498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镉</w:t>
            </w:r>
          </w:p>
        </w:tc>
        <w:tc>
          <w:tcPr>
            <w:tcW w:w="384" w:type="pct"/>
            <w:noWrap w:val="0"/>
            <w:vAlign w:val="center"/>
          </w:tcPr>
          <w:p w14:paraId="7A5087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5F356B0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0.0017</w:t>
            </w:r>
          </w:p>
        </w:tc>
        <w:tc>
          <w:tcPr>
            <w:tcW w:w="565" w:type="pct"/>
            <w:noWrap w:val="0"/>
            <w:tcMar>
              <w:top w:w="0" w:type="dxa"/>
              <w:left w:w="108" w:type="dxa"/>
              <w:bottom w:w="0" w:type="dxa"/>
              <w:right w:w="108" w:type="dxa"/>
            </w:tcMar>
            <w:vAlign w:val="center"/>
          </w:tcPr>
          <w:p w14:paraId="1E014F2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0.0029</w:t>
            </w:r>
          </w:p>
        </w:tc>
        <w:tc>
          <w:tcPr>
            <w:tcW w:w="571" w:type="pct"/>
            <w:noWrap w:val="0"/>
            <w:tcMar>
              <w:top w:w="0" w:type="dxa"/>
              <w:left w:w="108" w:type="dxa"/>
              <w:bottom w:w="0" w:type="dxa"/>
              <w:right w:w="108" w:type="dxa"/>
            </w:tcMar>
            <w:vAlign w:val="center"/>
          </w:tcPr>
          <w:p w14:paraId="436DD5F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0.0025</w:t>
            </w:r>
          </w:p>
        </w:tc>
        <w:tc>
          <w:tcPr>
            <w:tcW w:w="565" w:type="pct"/>
            <w:noWrap w:val="0"/>
            <w:tcMar>
              <w:top w:w="0" w:type="dxa"/>
              <w:left w:w="108" w:type="dxa"/>
              <w:bottom w:w="0" w:type="dxa"/>
              <w:right w:w="108" w:type="dxa"/>
            </w:tcMar>
            <w:vAlign w:val="center"/>
          </w:tcPr>
          <w:p w14:paraId="26E0B0B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0.0021</w:t>
            </w:r>
          </w:p>
        </w:tc>
        <w:tc>
          <w:tcPr>
            <w:tcW w:w="577" w:type="pct"/>
            <w:noWrap w:val="0"/>
            <w:tcMar>
              <w:top w:w="0" w:type="dxa"/>
              <w:left w:w="108" w:type="dxa"/>
              <w:bottom w:w="0" w:type="dxa"/>
              <w:right w:w="108" w:type="dxa"/>
            </w:tcMar>
            <w:vAlign w:val="center"/>
          </w:tcPr>
          <w:p w14:paraId="474863C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0.0020</w:t>
            </w:r>
          </w:p>
        </w:tc>
        <w:tc>
          <w:tcPr>
            <w:tcW w:w="570" w:type="pct"/>
            <w:noWrap w:val="0"/>
            <w:tcMar>
              <w:top w:w="0" w:type="dxa"/>
              <w:left w:w="108" w:type="dxa"/>
              <w:bottom w:w="0" w:type="dxa"/>
              <w:right w:w="108" w:type="dxa"/>
            </w:tcMar>
            <w:vAlign w:val="center"/>
          </w:tcPr>
          <w:p w14:paraId="6136D0F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0.0020</w:t>
            </w:r>
          </w:p>
        </w:tc>
      </w:tr>
      <w:tr w14:paraId="4830E1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3843B7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389204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六价铬</w:t>
            </w:r>
          </w:p>
        </w:tc>
        <w:tc>
          <w:tcPr>
            <w:tcW w:w="384" w:type="pct"/>
            <w:noWrap w:val="0"/>
            <w:vAlign w:val="center"/>
          </w:tcPr>
          <w:p w14:paraId="0F458F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4D4014E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0.010</w:t>
            </w:r>
          </w:p>
        </w:tc>
        <w:tc>
          <w:tcPr>
            <w:tcW w:w="565" w:type="pct"/>
            <w:noWrap w:val="0"/>
            <w:tcMar>
              <w:top w:w="0" w:type="dxa"/>
              <w:left w:w="108" w:type="dxa"/>
              <w:bottom w:w="0" w:type="dxa"/>
              <w:right w:w="108" w:type="dxa"/>
            </w:tcMar>
            <w:vAlign w:val="center"/>
          </w:tcPr>
          <w:p w14:paraId="219D931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0.006</w:t>
            </w:r>
          </w:p>
        </w:tc>
        <w:tc>
          <w:tcPr>
            <w:tcW w:w="571" w:type="pct"/>
            <w:noWrap w:val="0"/>
            <w:tcMar>
              <w:top w:w="0" w:type="dxa"/>
              <w:left w:w="108" w:type="dxa"/>
              <w:bottom w:w="0" w:type="dxa"/>
              <w:right w:w="108" w:type="dxa"/>
            </w:tcMar>
            <w:vAlign w:val="center"/>
          </w:tcPr>
          <w:p w14:paraId="3136E13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0.005</w:t>
            </w:r>
          </w:p>
        </w:tc>
        <w:tc>
          <w:tcPr>
            <w:tcW w:w="565" w:type="pct"/>
            <w:noWrap w:val="0"/>
            <w:tcMar>
              <w:top w:w="0" w:type="dxa"/>
              <w:left w:w="108" w:type="dxa"/>
              <w:bottom w:w="0" w:type="dxa"/>
              <w:right w:w="108" w:type="dxa"/>
            </w:tcMar>
            <w:vAlign w:val="center"/>
          </w:tcPr>
          <w:p w14:paraId="1B07157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0.011</w:t>
            </w:r>
          </w:p>
        </w:tc>
        <w:tc>
          <w:tcPr>
            <w:tcW w:w="577" w:type="pct"/>
            <w:noWrap w:val="0"/>
            <w:tcMar>
              <w:top w:w="0" w:type="dxa"/>
              <w:left w:w="108" w:type="dxa"/>
              <w:bottom w:w="0" w:type="dxa"/>
              <w:right w:w="108" w:type="dxa"/>
            </w:tcMar>
            <w:vAlign w:val="center"/>
          </w:tcPr>
          <w:p w14:paraId="754F698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0.004</w:t>
            </w:r>
          </w:p>
        </w:tc>
        <w:tc>
          <w:tcPr>
            <w:tcW w:w="570" w:type="pct"/>
            <w:noWrap w:val="0"/>
            <w:tcMar>
              <w:top w:w="0" w:type="dxa"/>
              <w:left w:w="108" w:type="dxa"/>
              <w:bottom w:w="0" w:type="dxa"/>
              <w:right w:w="108" w:type="dxa"/>
            </w:tcMar>
            <w:vAlign w:val="center"/>
          </w:tcPr>
          <w:p w14:paraId="1010705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0.007</w:t>
            </w:r>
          </w:p>
        </w:tc>
      </w:tr>
      <w:tr w14:paraId="1A32F4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2CA311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70BE4F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铅</w:t>
            </w:r>
          </w:p>
        </w:tc>
        <w:tc>
          <w:tcPr>
            <w:tcW w:w="384" w:type="pct"/>
            <w:noWrap w:val="0"/>
            <w:vAlign w:val="center"/>
          </w:tcPr>
          <w:p w14:paraId="366820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41EDA82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0.005</w:t>
            </w:r>
          </w:p>
        </w:tc>
        <w:tc>
          <w:tcPr>
            <w:tcW w:w="565" w:type="pct"/>
            <w:noWrap w:val="0"/>
            <w:tcMar>
              <w:top w:w="0" w:type="dxa"/>
              <w:left w:w="108" w:type="dxa"/>
              <w:bottom w:w="0" w:type="dxa"/>
              <w:right w:w="108" w:type="dxa"/>
            </w:tcMar>
            <w:vAlign w:val="center"/>
          </w:tcPr>
          <w:p w14:paraId="7EF5847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0.007</w:t>
            </w:r>
          </w:p>
        </w:tc>
        <w:tc>
          <w:tcPr>
            <w:tcW w:w="571" w:type="pct"/>
            <w:noWrap w:val="0"/>
            <w:tcMar>
              <w:top w:w="0" w:type="dxa"/>
              <w:left w:w="108" w:type="dxa"/>
              <w:bottom w:w="0" w:type="dxa"/>
              <w:right w:w="108" w:type="dxa"/>
            </w:tcMar>
            <w:vAlign w:val="center"/>
          </w:tcPr>
          <w:p w14:paraId="7B48E82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0.008</w:t>
            </w:r>
          </w:p>
        </w:tc>
        <w:tc>
          <w:tcPr>
            <w:tcW w:w="565" w:type="pct"/>
            <w:noWrap w:val="0"/>
            <w:tcMar>
              <w:top w:w="0" w:type="dxa"/>
              <w:left w:w="108" w:type="dxa"/>
              <w:bottom w:w="0" w:type="dxa"/>
              <w:right w:w="108" w:type="dxa"/>
            </w:tcMar>
            <w:vAlign w:val="center"/>
          </w:tcPr>
          <w:p w14:paraId="197764A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0.006</w:t>
            </w:r>
          </w:p>
        </w:tc>
        <w:tc>
          <w:tcPr>
            <w:tcW w:w="577" w:type="pct"/>
            <w:noWrap w:val="0"/>
            <w:tcMar>
              <w:top w:w="0" w:type="dxa"/>
              <w:left w:w="108" w:type="dxa"/>
              <w:bottom w:w="0" w:type="dxa"/>
              <w:right w:w="108" w:type="dxa"/>
            </w:tcMar>
            <w:vAlign w:val="center"/>
          </w:tcPr>
          <w:p w14:paraId="0630460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0.006</w:t>
            </w:r>
          </w:p>
        </w:tc>
        <w:tc>
          <w:tcPr>
            <w:tcW w:w="570" w:type="pct"/>
            <w:noWrap w:val="0"/>
            <w:tcMar>
              <w:top w:w="0" w:type="dxa"/>
              <w:left w:w="108" w:type="dxa"/>
              <w:bottom w:w="0" w:type="dxa"/>
              <w:right w:w="108" w:type="dxa"/>
            </w:tcMar>
            <w:vAlign w:val="center"/>
          </w:tcPr>
          <w:p w14:paraId="5CA6A54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0.008</w:t>
            </w:r>
          </w:p>
        </w:tc>
      </w:tr>
      <w:tr w14:paraId="2C4B8D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6766F9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145870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氰化物</w:t>
            </w:r>
          </w:p>
        </w:tc>
        <w:tc>
          <w:tcPr>
            <w:tcW w:w="384" w:type="pct"/>
            <w:noWrap w:val="0"/>
            <w:vAlign w:val="center"/>
          </w:tcPr>
          <w:p w14:paraId="04F477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1132B52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0.001L</w:t>
            </w:r>
          </w:p>
        </w:tc>
        <w:tc>
          <w:tcPr>
            <w:tcW w:w="565" w:type="pct"/>
            <w:noWrap w:val="0"/>
            <w:tcMar>
              <w:top w:w="0" w:type="dxa"/>
              <w:left w:w="108" w:type="dxa"/>
              <w:bottom w:w="0" w:type="dxa"/>
              <w:right w:w="108" w:type="dxa"/>
            </w:tcMar>
            <w:vAlign w:val="center"/>
          </w:tcPr>
          <w:p w14:paraId="43B524F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0.001L</w:t>
            </w:r>
          </w:p>
        </w:tc>
        <w:tc>
          <w:tcPr>
            <w:tcW w:w="571" w:type="pct"/>
            <w:noWrap w:val="0"/>
            <w:tcMar>
              <w:top w:w="0" w:type="dxa"/>
              <w:left w:w="108" w:type="dxa"/>
              <w:bottom w:w="0" w:type="dxa"/>
              <w:right w:w="108" w:type="dxa"/>
            </w:tcMar>
            <w:vAlign w:val="center"/>
          </w:tcPr>
          <w:p w14:paraId="0EC4437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0.001L</w:t>
            </w:r>
          </w:p>
        </w:tc>
        <w:tc>
          <w:tcPr>
            <w:tcW w:w="565" w:type="pct"/>
            <w:noWrap w:val="0"/>
            <w:tcMar>
              <w:top w:w="0" w:type="dxa"/>
              <w:left w:w="108" w:type="dxa"/>
              <w:bottom w:w="0" w:type="dxa"/>
              <w:right w:w="108" w:type="dxa"/>
            </w:tcMar>
            <w:vAlign w:val="center"/>
          </w:tcPr>
          <w:p w14:paraId="774FADE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0.001L</w:t>
            </w:r>
          </w:p>
        </w:tc>
        <w:tc>
          <w:tcPr>
            <w:tcW w:w="577" w:type="pct"/>
            <w:noWrap w:val="0"/>
            <w:tcMar>
              <w:top w:w="0" w:type="dxa"/>
              <w:left w:w="108" w:type="dxa"/>
              <w:bottom w:w="0" w:type="dxa"/>
              <w:right w:w="108" w:type="dxa"/>
            </w:tcMar>
            <w:vAlign w:val="center"/>
          </w:tcPr>
          <w:p w14:paraId="0F8EDFD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0.001L</w:t>
            </w:r>
          </w:p>
        </w:tc>
        <w:tc>
          <w:tcPr>
            <w:tcW w:w="570" w:type="pct"/>
            <w:noWrap w:val="0"/>
            <w:tcMar>
              <w:top w:w="0" w:type="dxa"/>
              <w:left w:w="108" w:type="dxa"/>
              <w:bottom w:w="0" w:type="dxa"/>
              <w:right w:w="108" w:type="dxa"/>
            </w:tcMar>
            <w:vAlign w:val="center"/>
          </w:tcPr>
          <w:p w14:paraId="6F25F53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0.001L</w:t>
            </w:r>
          </w:p>
        </w:tc>
      </w:tr>
      <w:tr w14:paraId="2974C6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6C7ABD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1141AE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挥发酚</w:t>
            </w:r>
          </w:p>
        </w:tc>
        <w:tc>
          <w:tcPr>
            <w:tcW w:w="384" w:type="pct"/>
            <w:noWrap w:val="0"/>
            <w:vAlign w:val="center"/>
          </w:tcPr>
          <w:p w14:paraId="0D68C7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03494C0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65" w:type="pct"/>
            <w:noWrap w:val="0"/>
            <w:tcMar>
              <w:top w:w="0" w:type="dxa"/>
              <w:left w:w="108" w:type="dxa"/>
              <w:bottom w:w="0" w:type="dxa"/>
              <w:right w:w="108" w:type="dxa"/>
            </w:tcMar>
            <w:vAlign w:val="center"/>
          </w:tcPr>
          <w:p w14:paraId="5E2A9DF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71" w:type="pct"/>
            <w:noWrap w:val="0"/>
            <w:tcMar>
              <w:top w:w="0" w:type="dxa"/>
              <w:left w:w="108" w:type="dxa"/>
              <w:bottom w:w="0" w:type="dxa"/>
              <w:right w:w="108" w:type="dxa"/>
            </w:tcMar>
            <w:vAlign w:val="center"/>
          </w:tcPr>
          <w:p w14:paraId="2EA6461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65" w:type="pct"/>
            <w:noWrap w:val="0"/>
            <w:tcMar>
              <w:top w:w="0" w:type="dxa"/>
              <w:left w:w="108" w:type="dxa"/>
              <w:bottom w:w="0" w:type="dxa"/>
              <w:right w:w="108" w:type="dxa"/>
            </w:tcMar>
            <w:vAlign w:val="center"/>
          </w:tcPr>
          <w:p w14:paraId="199AED6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77" w:type="pct"/>
            <w:noWrap w:val="0"/>
            <w:tcMar>
              <w:top w:w="0" w:type="dxa"/>
              <w:left w:w="108" w:type="dxa"/>
              <w:bottom w:w="0" w:type="dxa"/>
              <w:right w:w="108" w:type="dxa"/>
            </w:tcMar>
            <w:vAlign w:val="center"/>
          </w:tcPr>
          <w:p w14:paraId="3C5D516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70" w:type="pct"/>
            <w:noWrap w:val="0"/>
            <w:tcMar>
              <w:top w:w="0" w:type="dxa"/>
              <w:left w:w="108" w:type="dxa"/>
              <w:bottom w:w="0" w:type="dxa"/>
              <w:right w:w="108" w:type="dxa"/>
            </w:tcMar>
            <w:vAlign w:val="center"/>
          </w:tcPr>
          <w:p w14:paraId="511238C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r>
      <w:tr w14:paraId="038C8B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4D48C1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622716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石油类</w:t>
            </w:r>
          </w:p>
        </w:tc>
        <w:tc>
          <w:tcPr>
            <w:tcW w:w="384" w:type="pct"/>
            <w:noWrap w:val="0"/>
            <w:vAlign w:val="center"/>
          </w:tcPr>
          <w:p w14:paraId="76911F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3304DB1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65" w:type="pct"/>
            <w:noWrap w:val="0"/>
            <w:tcMar>
              <w:top w:w="0" w:type="dxa"/>
              <w:left w:w="108" w:type="dxa"/>
              <w:bottom w:w="0" w:type="dxa"/>
              <w:right w:w="108" w:type="dxa"/>
            </w:tcMar>
            <w:vAlign w:val="center"/>
          </w:tcPr>
          <w:p w14:paraId="594609B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71" w:type="pct"/>
            <w:noWrap w:val="0"/>
            <w:tcMar>
              <w:top w:w="0" w:type="dxa"/>
              <w:left w:w="108" w:type="dxa"/>
              <w:bottom w:w="0" w:type="dxa"/>
              <w:right w:w="108" w:type="dxa"/>
            </w:tcMar>
            <w:vAlign w:val="center"/>
          </w:tcPr>
          <w:p w14:paraId="39931D1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65" w:type="pct"/>
            <w:noWrap w:val="0"/>
            <w:tcMar>
              <w:top w:w="0" w:type="dxa"/>
              <w:left w:w="108" w:type="dxa"/>
              <w:bottom w:w="0" w:type="dxa"/>
              <w:right w:w="108" w:type="dxa"/>
            </w:tcMar>
            <w:vAlign w:val="center"/>
          </w:tcPr>
          <w:p w14:paraId="24509EF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77" w:type="pct"/>
            <w:noWrap w:val="0"/>
            <w:tcMar>
              <w:top w:w="0" w:type="dxa"/>
              <w:left w:w="108" w:type="dxa"/>
              <w:bottom w:w="0" w:type="dxa"/>
              <w:right w:w="108" w:type="dxa"/>
            </w:tcMar>
            <w:vAlign w:val="center"/>
          </w:tcPr>
          <w:p w14:paraId="19BF6F0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70" w:type="pct"/>
            <w:noWrap w:val="0"/>
            <w:tcMar>
              <w:top w:w="0" w:type="dxa"/>
              <w:left w:w="108" w:type="dxa"/>
              <w:bottom w:w="0" w:type="dxa"/>
              <w:right w:w="108" w:type="dxa"/>
            </w:tcMar>
            <w:vAlign w:val="center"/>
          </w:tcPr>
          <w:p w14:paraId="1759CAF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r>
      <w:tr w14:paraId="631E28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76475D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2282F0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阴离子表面活性剂</w:t>
            </w:r>
          </w:p>
        </w:tc>
        <w:tc>
          <w:tcPr>
            <w:tcW w:w="384" w:type="pct"/>
            <w:noWrap w:val="0"/>
            <w:vAlign w:val="center"/>
          </w:tcPr>
          <w:p w14:paraId="0C3DB1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5E19545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65" w:type="pct"/>
            <w:noWrap w:val="0"/>
            <w:tcMar>
              <w:top w:w="0" w:type="dxa"/>
              <w:left w:w="108" w:type="dxa"/>
              <w:bottom w:w="0" w:type="dxa"/>
              <w:right w:w="108" w:type="dxa"/>
            </w:tcMar>
            <w:vAlign w:val="center"/>
          </w:tcPr>
          <w:p w14:paraId="382EE6A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71" w:type="pct"/>
            <w:noWrap w:val="0"/>
            <w:tcMar>
              <w:top w:w="0" w:type="dxa"/>
              <w:left w:w="108" w:type="dxa"/>
              <w:bottom w:w="0" w:type="dxa"/>
              <w:right w:w="108" w:type="dxa"/>
            </w:tcMar>
            <w:vAlign w:val="center"/>
          </w:tcPr>
          <w:p w14:paraId="43C5058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65" w:type="pct"/>
            <w:noWrap w:val="0"/>
            <w:tcMar>
              <w:top w:w="0" w:type="dxa"/>
              <w:left w:w="108" w:type="dxa"/>
              <w:bottom w:w="0" w:type="dxa"/>
              <w:right w:w="108" w:type="dxa"/>
            </w:tcMar>
            <w:vAlign w:val="center"/>
          </w:tcPr>
          <w:p w14:paraId="2766EA0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77" w:type="pct"/>
            <w:noWrap w:val="0"/>
            <w:tcMar>
              <w:top w:w="0" w:type="dxa"/>
              <w:left w:w="108" w:type="dxa"/>
              <w:bottom w:w="0" w:type="dxa"/>
              <w:right w:w="108" w:type="dxa"/>
            </w:tcMar>
            <w:vAlign w:val="center"/>
          </w:tcPr>
          <w:p w14:paraId="45496AA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70" w:type="pct"/>
            <w:noWrap w:val="0"/>
            <w:tcMar>
              <w:top w:w="0" w:type="dxa"/>
              <w:left w:w="108" w:type="dxa"/>
              <w:bottom w:w="0" w:type="dxa"/>
              <w:right w:w="108" w:type="dxa"/>
            </w:tcMar>
            <w:vAlign w:val="center"/>
          </w:tcPr>
          <w:p w14:paraId="649101D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r>
      <w:tr w14:paraId="7A6022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6C7AD9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3A1A7B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1"/>
                <w:lang w:val="en-US" w:eastAsia="zh-CN" w:bidi="ar-SA"/>
              </w:rPr>
              <w:t>硫化物</w:t>
            </w:r>
          </w:p>
        </w:tc>
        <w:tc>
          <w:tcPr>
            <w:tcW w:w="384" w:type="pct"/>
            <w:noWrap w:val="0"/>
            <w:vAlign w:val="center"/>
          </w:tcPr>
          <w:p w14:paraId="65BF06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6B19FC9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65" w:type="pct"/>
            <w:noWrap w:val="0"/>
            <w:tcMar>
              <w:top w:w="0" w:type="dxa"/>
              <w:left w:w="108" w:type="dxa"/>
              <w:bottom w:w="0" w:type="dxa"/>
              <w:right w:w="108" w:type="dxa"/>
            </w:tcMar>
            <w:vAlign w:val="center"/>
          </w:tcPr>
          <w:p w14:paraId="3E81876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71" w:type="pct"/>
            <w:noWrap w:val="0"/>
            <w:tcMar>
              <w:top w:w="0" w:type="dxa"/>
              <w:left w:w="108" w:type="dxa"/>
              <w:bottom w:w="0" w:type="dxa"/>
              <w:right w:w="108" w:type="dxa"/>
            </w:tcMar>
            <w:vAlign w:val="center"/>
          </w:tcPr>
          <w:p w14:paraId="340A071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65" w:type="pct"/>
            <w:noWrap w:val="0"/>
            <w:tcMar>
              <w:top w:w="0" w:type="dxa"/>
              <w:left w:w="108" w:type="dxa"/>
              <w:bottom w:w="0" w:type="dxa"/>
              <w:right w:w="108" w:type="dxa"/>
            </w:tcMar>
            <w:vAlign w:val="center"/>
          </w:tcPr>
          <w:p w14:paraId="7123861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77" w:type="pct"/>
            <w:noWrap w:val="0"/>
            <w:tcMar>
              <w:top w:w="0" w:type="dxa"/>
              <w:left w:w="108" w:type="dxa"/>
              <w:bottom w:w="0" w:type="dxa"/>
              <w:right w:w="108" w:type="dxa"/>
            </w:tcMar>
            <w:vAlign w:val="center"/>
          </w:tcPr>
          <w:p w14:paraId="5F59CA4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70" w:type="pct"/>
            <w:noWrap w:val="0"/>
            <w:tcMar>
              <w:top w:w="0" w:type="dxa"/>
              <w:left w:w="108" w:type="dxa"/>
              <w:bottom w:w="0" w:type="dxa"/>
              <w:right w:w="108" w:type="dxa"/>
            </w:tcMar>
            <w:vAlign w:val="center"/>
          </w:tcPr>
          <w:p w14:paraId="1F63763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r>
      <w:tr w14:paraId="403E46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06B8EF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60247A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粪大肠菌群</w:t>
            </w:r>
          </w:p>
        </w:tc>
        <w:tc>
          <w:tcPr>
            <w:tcW w:w="384" w:type="pct"/>
            <w:noWrap w:val="0"/>
            <w:vAlign w:val="center"/>
          </w:tcPr>
          <w:p w14:paraId="2B6874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MPN/L</w:t>
            </w:r>
          </w:p>
        </w:tc>
        <w:tc>
          <w:tcPr>
            <w:tcW w:w="590" w:type="pct"/>
            <w:noWrap w:val="0"/>
            <w:tcMar>
              <w:top w:w="0" w:type="dxa"/>
              <w:left w:w="108" w:type="dxa"/>
              <w:bottom w:w="0" w:type="dxa"/>
              <w:right w:w="108" w:type="dxa"/>
            </w:tcMar>
            <w:vAlign w:val="center"/>
          </w:tcPr>
          <w:p w14:paraId="32FBDDB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20L</w:t>
            </w:r>
          </w:p>
        </w:tc>
        <w:tc>
          <w:tcPr>
            <w:tcW w:w="565" w:type="pct"/>
            <w:noWrap w:val="0"/>
            <w:tcMar>
              <w:top w:w="0" w:type="dxa"/>
              <w:left w:w="108" w:type="dxa"/>
              <w:bottom w:w="0" w:type="dxa"/>
              <w:right w:w="108" w:type="dxa"/>
            </w:tcMar>
            <w:vAlign w:val="center"/>
          </w:tcPr>
          <w:p w14:paraId="7CB9D83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20L</w:t>
            </w:r>
          </w:p>
        </w:tc>
        <w:tc>
          <w:tcPr>
            <w:tcW w:w="571" w:type="pct"/>
            <w:noWrap w:val="0"/>
            <w:tcMar>
              <w:top w:w="0" w:type="dxa"/>
              <w:left w:w="108" w:type="dxa"/>
              <w:bottom w:w="0" w:type="dxa"/>
              <w:right w:w="108" w:type="dxa"/>
            </w:tcMar>
            <w:vAlign w:val="center"/>
          </w:tcPr>
          <w:p w14:paraId="2CEB152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20L</w:t>
            </w:r>
          </w:p>
        </w:tc>
        <w:tc>
          <w:tcPr>
            <w:tcW w:w="565" w:type="pct"/>
            <w:noWrap w:val="0"/>
            <w:tcMar>
              <w:top w:w="0" w:type="dxa"/>
              <w:left w:w="108" w:type="dxa"/>
              <w:bottom w:w="0" w:type="dxa"/>
              <w:right w:w="108" w:type="dxa"/>
            </w:tcMar>
            <w:vAlign w:val="center"/>
          </w:tcPr>
          <w:p w14:paraId="41779A0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20L</w:t>
            </w:r>
          </w:p>
        </w:tc>
        <w:tc>
          <w:tcPr>
            <w:tcW w:w="577" w:type="pct"/>
            <w:noWrap w:val="0"/>
            <w:tcMar>
              <w:top w:w="0" w:type="dxa"/>
              <w:left w:w="108" w:type="dxa"/>
              <w:bottom w:w="0" w:type="dxa"/>
              <w:right w:w="108" w:type="dxa"/>
            </w:tcMar>
            <w:vAlign w:val="center"/>
          </w:tcPr>
          <w:p w14:paraId="70D2F98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20L</w:t>
            </w:r>
          </w:p>
        </w:tc>
        <w:tc>
          <w:tcPr>
            <w:tcW w:w="570" w:type="pct"/>
            <w:noWrap w:val="0"/>
            <w:tcMar>
              <w:top w:w="0" w:type="dxa"/>
              <w:left w:w="108" w:type="dxa"/>
              <w:bottom w:w="0" w:type="dxa"/>
              <w:right w:w="108" w:type="dxa"/>
            </w:tcMar>
            <w:vAlign w:val="center"/>
          </w:tcPr>
          <w:p w14:paraId="16431D3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20L</w:t>
            </w:r>
          </w:p>
        </w:tc>
      </w:tr>
      <w:tr w14:paraId="43B7B9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786841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66EBE5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悬浮物</w:t>
            </w:r>
          </w:p>
        </w:tc>
        <w:tc>
          <w:tcPr>
            <w:tcW w:w="384" w:type="pct"/>
            <w:noWrap w:val="0"/>
            <w:vAlign w:val="center"/>
          </w:tcPr>
          <w:p w14:paraId="1CAF74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4D106B0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21</w:t>
            </w:r>
          </w:p>
        </w:tc>
        <w:tc>
          <w:tcPr>
            <w:tcW w:w="565" w:type="pct"/>
            <w:noWrap w:val="0"/>
            <w:tcMar>
              <w:top w:w="0" w:type="dxa"/>
              <w:left w:w="108" w:type="dxa"/>
              <w:bottom w:w="0" w:type="dxa"/>
              <w:right w:w="108" w:type="dxa"/>
            </w:tcMar>
            <w:vAlign w:val="center"/>
          </w:tcPr>
          <w:p w14:paraId="6FDA0C6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18</w:t>
            </w:r>
          </w:p>
        </w:tc>
        <w:tc>
          <w:tcPr>
            <w:tcW w:w="571" w:type="pct"/>
            <w:noWrap w:val="0"/>
            <w:tcMar>
              <w:top w:w="0" w:type="dxa"/>
              <w:left w:w="108" w:type="dxa"/>
              <w:bottom w:w="0" w:type="dxa"/>
              <w:right w:w="108" w:type="dxa"/>
            </w:tcMar>
            <w:vAlign w:val="center"/>
          </w:tcPr>
          <w:p w14:paraId="3716611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19</w:t>
            </w:r>
          </w:p>
        </w:tc>
        <w:tc>
          <w:tcPr>
            <w:tcW w:w="565" w:type="pct"/>
            <w:noWrap w:val="0"/>
            <w:tcMar>
              <w:top w:w="0" w:type="dxa"/>
              <w:left w:w="108" w:type="dxa"/>
              <w:bottom w:w="0" w:type="dxa"/>
              <w:right w:w="108" w:type="dxa"/>
            </w:tcMar>
            <w:vAlign w:val="center"/>
          </w:tcPr>
          <w:p w14:paraId="5395DF3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20</w:t>
            </w:r>
          </w:p>
        </w:tc>
        <w:tc>
          <w:tcPr>
            <w:tcW w:w="577" w:type="pct"/>
            <w:noWrap w:val="0"/>
            <w:tcMar>
              <w:top w:w="0" w:type="dxa"/>
              <w:left w:w="108" w:type="dxa"/>
              <w:bottom w:w="0" w:type="dxa"/>
              <w:right w:w="108" w:type="dxa"/>
            </w:tcMar>
            <w:vAlign w:val="center"/>
          </w:tcPr>
          <w:p w14:paraId="23CB10E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16</w:t>
            </w:r>
          </w:p>
        </w:tc>
        <w:tc>
          <w:tcPr>
            <w:tcW w:w="570" w:type="pct"/>
            <w:noWrap w:val="0"/>
            <w:tcMar>
              <w:top w:w="0" w:type="dxa"/>
              <w:left w:w="108" w:type="dxa"/>
              <w:bottom w:w="0" w:type="dxa"/>
              <w:right w:w="108" w:type="dxa"/>
            </w:tcMar>
            <w:vAlign w:val="center"/>
          </w:tcPr>
          <w:p w14:paraId="654DCEA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17</w:t>
            </w:r>
          </w:p>
        </w:tc>
      </w:tr>
      <w:tr w14:paraId="7ACF21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43A0CC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10D49B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流量</w:t>
            </w:r>
          </w:p>
        </w:tc>
        <w:tc>
          <w:tcPr>
            <w:tcW w:w="384" w:type="pct"/>
            <w:noWrap w:val="0"/>
            <w:vAlign w:val="center"/>
          </w:tcPr>
          <w:p w14:paraId="2B7F8D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m</w:t>
            </w:r>
            <w:r>
              <w:rPr>
                <w:rFonts w:hint="default" w:ascii="Times New Roman" w:hAnsi="Times New Roman" w:eastAsia="宋体" w:cs="Times New Roman"/>
                <w:b w:val="0"/>
                <w:i w:val="0"/>
                <w:color w:val="auto"/>
                <w:spacing w:val="0"/>
                <w:kern w:val="0"/>
                <w:sz w:val="21"/>
                <w:szCs w:val="21"/>
                <w:vertAlign w:val="superscript"/>
                <w:lang w:val="en-US" w:eastAsia="zh-CN"/>
              </w:rPr>
              <w:t>3</w:t>
            </w:r>
            <w:r>
              <w:rPr>
                <w:rFonts w:hint="default" w:ascii="Times New Roman" w:hAnsi="Times New Roman" w:eastAsia="宋体" w:cs="Times New Roman"/>
                <w:color w:val="auto"/>
                <w:spacing w:val="0"/>
                <w:kern w:val="0"/>
                <w:sz w:val="21"/>
                <w:szCs w:val="21"/>
                <w:lang w:val="en-US" w:eastAsia="zh-CN"/>
              </w:rPr>
              <w:t>/h</w:t>
            </w:r>
          </w:p>
        </w:tc>
        <w:tc>
          <w:tcPr>
            <w:tcW w:w="590" w:type="pct"/>
            <w:noWrap w:val="0"/>
            <w:tcMar>
              <w:top w:w="0" w:type="dxa"/>
              <w:left w:w="108" w:type="dxa"/>
              <w:bottom w:w="0" w:type="dxa"/>
              <w:right w:w="108" w:type="dxa"/>
            </w:tcMar>
            <w:vAlign w:val="center"/>
          </w:tcPr>
          <w:p w14:paraId="09F38A2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365</w:t>
            </w:r>
          </w:p>
        </w:tc>
        <w:tc>
          <w:tcPr>
            <w:tcW w:w="565" w:type="pct"/>
            <w:noWrap w:val="0"/>
            <w:tcMar>
              <w:top w:w="0" w:type="dxa"/>
              <w:left w:w="108" w:type="dxa"/>
              <w:bottom w:w="0" w:type="dxa"/>
              <w:right w:w="108" w:type="dxa"/>
            </w:tcMar>
            <w:vAlign w:val="center"/>
          </w:tcPr>
          <w:p w14:paraId="25DE709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365</w:t>
            </w:r>
          </w:p>
        </w:tc>
        <w:tc>
          <w:tcPr>
            <w:tcW w:w="571" w:type="pct"/>
            <w:noWrap w:val="0"/>
            <w:tcMar>
              <w:top w:w="0" w:type="dxa"/>
              <w:left w:w="108" w:type="dxa"/>
              <w:bottom w:w="0" w:type="dxa"/>
              <w:right w:w="108" w:type="dxa"/>
            </w:tcMar>
            <w:vAlign w:val="center"/>
          </w:tcPr>
          <w:p w14:paraId="09470FC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588</w:t>
            </w:r>
          </w:p>
        </w:tc>
        <w:tc>
          <w:tcPr>
            <w:tcW w:w="565" w:type="pct"/>
            <w:noWrap w:val="0"/>
            <w:tcMar>
              <w:top w:w="0" w:type="dxa"/>
              <w:left w:w="108" w:type="dxa"/>
              <w:bottom w:w="0" w:type="dxa"/>
              <w:right w:w="108" w:type="dxa"/>
            </w:tcMar>
            <w:vAlign w:val="center"/>
          </w:tcPr>
          <w:p w14:paraId="3423485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315360</w:t>
            </w:r>
          </w:p>
        </w:tc>
        <w:tc>
          <w:tcPr>
            <w:tcW w:w="577" w:type="pct"/>
            <w:noWrap w:val="0"/>
            <w:tcMar>
              <w:top w:w="0" w:type="dxa"/>
              <w:left w:w="108" w:type="dxa"/>
              <w:bottom w:w="0" w:type="dxa"/>
              <w:right w:w="108" w:type="dxa"/>
            </w:tcMar>
            <w:vAlign w:val="center"/>
          </w:tcPr>
          <w:p w14:paraId="179C798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450749</w:t>
            </w:r>
          </w:p>
        </w:tc>
        <w:tc>
          <w:tcPr>
            <w:tcW w:w="570" w:type="pct"/>
            <w:noWrap w:val="0"/>
            <w:tcMar>
              <w:top w:w="0" w:type="dxa"/>
              <w:left w:w="108" w:type="dxa"/>
              <w:bottom w:w="0" w:type="dxa"/>
              <w:right w:w="108" w:type="dxa"/>
            </w:tcMar>
            <w:vAlign w:val="center"/>
          </w:tcPr>
          <w:p w14:paraId="5981ADB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518400</w:t>
            </w:r>
          </w:p>
        </w:tc>
      </w:tr>
      <w:tr w14:paraId="3AF01E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014BDF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1C3DB4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流速</w:t>
            </w:r>
          </w:p>
        </w:tc>
        <w:tc>
          <w:tcPr>
            <w:tcW w:w="384" w:type="pct"/>
            <w:noWrap w:val="0"/>
            <w:vAlign w:val="center"/>
          </w:tcPr>
          <w:p w14:paraId="3E69C5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m/s</w:t>
            </w:r>
          </w:p>
        </w:tc>
        <w:tc>
          <w:tcPr>
            <w:tcW w:w="590" w:type="pct"/>
            <w:noWrap w:val="0"/>
            <w:tcMar>
              <w:top w:w="0" w:type="dxa"/>
              <w:left w:w="108" w:type="dxa"/>
              <w:bottom w:w="0" w:type="dxa"/>
              <w:right w:w="108" w:type="dxa"/>
            </w:tcMar>
            <w:vAlign w:val="center"/>
          </w:tcPr>
          <w:p w14:paraId="488087C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0.39</w:t>
            </w:r>
          </w:p>
        </w:tc>
        <w:tc>
          <w:tcPr>
            <w:tcW w:w="565" w:type="pct"/>
            <w:noWrap w:val="0"/>
            <w:tcMar>
              <w:top w:w="0" w:type="dxa"/>
              <w:left w:w="108" w:type="dxa"/>
              <w:bottom w:w="0" w:type="dxa"/>
              <w:right w:w="108" w:type="dxa"/>
            </w:tcMar>
            <w:vAlign w:val="center"/>
          </w:tcPr>
          <w:p w14:paraId="76210FB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0.39</w:t>
            </w:r>
          </w:p>
        </w:tc>
        <w:tc>
          <w:tcPr>
            <w:tcW w:w="571" w:type="pct"/>
            <w:noWrap w:val="0"/>
            <w:tcMar>
              <w:top w:w="0" w:type="dxa"/>
              <w:left w:w="108" w:type="dxa"/>
              <w:bottom w:w="0" w:type="dxa"/>
              <w:right w:w="108" w:type="dxa"/>
            </w:tcMar>
            <w:vAlign w:val="center"/>
          </w:tcPr>
          <w:p w14:paraId="7F0A09C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0.48</w:t>
            </w:r>
          </w:p>
        </w:tc>
        <w:tc>
          <w:tcPr>
            <w:tcW w:w="565" w:type="pct"/>
            <w:noWrap w:val="0"/>
            <w:tcMar>
              <w:top w:w="0" w:type="dxa"/>
              <w:left w:w="108" w:type="dxa"/>
              <w:bottom w:w="0" w:type="dxa"/>
              <w:right w:w="108" w:type="dxa"/>
            </w:tcMar>
            <w:vAlign w:val="center"/>
          </w:tcPr>
          <w:p w14:paraId="4E2089C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1.00</w:t>
            </w:r>
          </w:p>
        </w:tc>
        <w:tc>
          <w:tcPr>
            <w:tcW w:w="577" w:type="pct"/>
            <w:noWrap w:val="0"/>
            <w:tcMar>
              <w:top w:w="0" w:type="dxa"/>
              <w:left w:w="108" w:type="dxa"/>
              <w:bottom w:w="0" w:type="dxa"/>
              <w:right w:w="108" w:type="dxa"/>
            </w:tcMar>
            <w:vAlign w:val="center"/>
          </w:tcPr>
          <w:p w14:paraId="29E86E8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0.94</w:t>
            </w:r>
          </w:p>
        </w:tc>
        <w:tc>
          <w:tcPr>
            <w:tcW w:w="570" w:type="pct"/>
            <w:noWrap w:val="0"/>
            <w:tcMar>
              <w:top w:w="0" w:type="dxa"/>
              <w:left w:w="108" w:type="dxa"/>
              <w:bottom w:w="0" w:type="dxa"/>
              <w:right w:w="108" w:type="dxa"/>
            </w:tcMar>
            <w:vAlign w:val="center"/>
          </w:tcPr>
          <w:p w14:paraId="7537353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1.00</w:t>
            </w:r>
          </w:p>
        </w:tc>
      </w:tr>
      <w:tr w14:paraId="78CC07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restart"/>
            <w:noWrap w:val="0"/>
            <w:tcMar>
              <w:top w:w="0" w:type="dxa"/>
              <w:left w:w="108" w:type="dxa"/>
              <w:bottom w:w="0" w:type="dxa"/>
              <w:right w:w="108" w:type="dxa"/>
            </w:tcMar>
            <w:vAlign w:val="center"/>
          </w:tcPr>
          <w:p w14:paraId="4F936F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b w:val="0"/>
                <w:i w:val="0"/>
                <w:color w:val="auto"/>
                <w:spacing w:val="0"/>
                <w:kern w:val="0"/>
                <w:sz w:val="21"/>
                <w:szCs w:val="21"/>
                <w:lang w:val="en-US" w:eastAsia="zh-CN"/>
              </w:rPr>
              <w:t>2025</w:t>
            </w:r>
            <w:r>
              <w:rPr>
                <w:rFonts w:hint="default" w:ascii="Times New Roman" w:hAnsi="Times New Roman" w:eastAsia="宋体" w:cs="Times New Roman"/>
                <w:color w:val="auto"/>
                <w:spacing w:val="0"/>
                <w:kern w:val="0"/>
                <w:sz w:val="21"/>
                <w:szCs w:val="21"/>
                <w:lang w:val="en-US" w:eastAsia="zh-CN"/>
              </w:rPr>
              <w:t>.8.29~</w:t>
            </w:r>
            <w:r>
              <w:rPr>
                <w:rFonts w:hint="default" w:ascii="Times New Roman" w:hAnsi="Times New Roman" w:eastAsia="宋体" w:cs="Times New Roman"/>
                <w:b w:val="0"/>
                <w:i w:val="0"/>
                <w:color w:val="auto"/>
                <w:spacing w:val="0"/>
                <w:kern w:val="0"/>
                <w:sz w:val="21"/>
                <w:szCs w:val="21"/>
                <w:lang w:val="en-US" w:eastAsia="zh-CN"/>
              </w:rPr>
              <w:t>2025</w:t>
            </w:r>
            <w:r>
              <w:rPr>
                <w:rFonts w:hint="default" w:ascii="Times New Roman" w:hAnsi="Times New Roman" w:eastAsia="宋体" w:cs="Times New Roman"/>
                <w:color w:val="auto"/>
                <w:spacing w:val="0"/>
                <w:kern w:val="0"/>
                <w:sz w:val="21"/>
                <w:szCs w:val="21"/>
                <w:lang w:val="en-US" w:eastAsia="zh-CN"/>
              </w:rPr>
              <w:t>.9.03</w:t>
            </w:r>
          </w:p>
          <w:p w14:paraId="7612F9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lang w:val="en-US" w:eastAsia="zh-CN"/>
              </w:rPr>
            </w:pPr>
          </w:p>
        </w:tc>
        <w:tc>
          <w:tcPr>
            <w:tcW w:w="809" w:type="pct"/>
            <w:noWrap w:val="0"/>
            <w:tcMar>
              <w:top w:w="0" w:type="dxa"/>
              <w:left w:w="108" w:type="dxa"/>
              <w:bottom w:w="0" w:type="dxa"/>
              <w:right w:w="108" w:type="dxa"/>
            </w:tcMar>
            <w:vAlign w:val="center"/>
          </w:tcPr>
          <w:p w14:paraId="2D506B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cs="Times New Roman"/>
                <w:color w:val="auto"/>
                <w:spacing w:val="0"/>
                <w:sz w:val="21"/>
                <w:szCs w:val="21"/>
                <w:lang w:val="en-US" w:eastAsia="zh-CN"/>
              </w:rPr>
              <w:t>水温</w:t>
            </w:r>
          </w:p>
        </w:tc>
        <w:tc>
          <w:tcPr>
            <w:tcW w:w="384" w:type="pct"/>
            <w:noWrap w:val="0"/>
            <w:vAlign w:val="center"/>
          </w:tcPr>
          <w:p w14:paraId="32FDA9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kern w:val="0"/>
                <w:sz w:val="21"/>
                <w:szCs w:val="21"/>
                <w:lang w:val="en-US" w:eastAsia="zh-CN"/>
              </w:rPr>
              <w:t>℃</w:t>
            </w:r>
          </w:p>
        </w:tc>
        <w:tc>
          <w:tcPr>
            <w:tcW w:w="590" w:type="pct"/>
            <w:noWrap w:val="0"/>
            <w:tcMar>
              <w:top w:w="0" w:type="dxa"/>
              <w:left w:w="108" w:type="dxa"/>
              <w:bottom w:w="0" w:type="dxa"/>
              <w:right w:w="108" w:type="dxa"/>
            </w:tcMar>
            <w:vAlign w:val="center"/>
          </w:tcPr>
          <w:p w14:paraId="4A6F497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24.0</w:t>
            </w:r>
          </w:p>
        </w:tc>
        <w:tc>
          <w:tcPr>
            <w:tcW w:w="565" w:type="pct"/>
            <w:noWrap w:val="0"/>
            <w:tcMar>
              <w:top w:w="0" w:type="dxa"/>
              <w:left w:w="108" w:type="dxa"/>
              <w:bottom w:w="0" w:type="dxa"/>
              <w:right w:w="108" w:type="dxa"/>
            </w:tcMar>
            <w:vAlign w:val="center"/>
          </w:tcPr>
          <w:p w14:paraId="65000D1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23.8</w:t>
            </w:r>
          </w:p>
        </w:tc>
        <w:tc>
          <w:tcPr>
            <w:tcW w:w="571" w:type="pct"/>
            <w:noWrap w:val="0"/>
            <w:tcMar>
              <w:top w:w="0" w:type="dxa"/>
              <w:left w:w="108" w:type="dxa"/>
              <w:bottom w:w="0" w:type="dxa"/>
              <w:right w:w="108" w:type="dxa"/>
            </w:tcMar>
            <w:vAlign w:val="center"/>
          </w:tcPr>
          <w:p w14:paraId="33A53BD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24.0</w:t>
            </w:r>
          </w:p>
        </w:tc>
        <w:tc>
          <w:tcPr>
            <w:tcW w:w="565" w:type="pct"/>
            <w:noWrap w:val="0"/>
            <w:tcMar>
              <w:top w:w="0" w:type="dxa"/>
              <w:left w:w="108" w:type="dxa"/>
              <w:bottom w:w="0" w:type="dxa"/>
              <w:right w:w="108" w:type="dxa"/>
            </w:tcMar>
            <w:vAlign w:val="center"/>
          </w:tcPr>
          <w:p w14:paraId="18C093D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28.3</w:t>
            </w:r>
          </w:p>
        </w:tc>
        <w:tc>
          <w:tcPr>
            <w:tcW w:w="577" w:type="pct"/>
            <w:noWrap w:val="0"/>
            <w:tcMar>
              <w:top w:w="0" w:type="dxa"/>
              <w:left w:w="108" w:type="dxa"/>
              <w:bottom w:w="0" w:type="dxa"/>
              <w:right w:w="108" w:type="dxa"/>
            </w:tcMar>
            <w:vAlign w:val="center"/>
          </w:tcPr>
          <w:p w14:paraId="4E8CC70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28.5</w:t>
            </w:r>
          </w:p>
        </w:tc>
        <w:tc>
          <w:tcPr>
            <w:tcW w:w="570" w:type="pct"/>
            <w:noWrap w:val="0"/>
            <w:tcMar>
              <w:top w:w="0" w:type="dxa"/>
              <w:left w:w="108" w:type="dxa"/>
              <w:bottom w:w="0" w:type="dxa"/>
              <w:right w:w="108" w:type="dxa"/>
            </w:tcMar>
            <w:vAlign w:val="center"/>
          </w:tcPr>
          <w:p w14:paraId="439844A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28.6</w:t>
            </w:r>
          </w:p>
        </w:tc>
      </w:tr>
      <w:tr w14:paraId="3C095C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5C21A8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lang w:val="en-US" w:eastAsia="zh-CN"/>
              </w:rPr>
            </w:pPr>
          </w:p>
        </w:tc>
        <w:tc>
          <w:tcPr>
            <w:tcW w:w="809" w:type="pct"/>
            <w:noWrap w:val="0"/>
            <w:tcMar>
              <w:top w:w="0" w:type="dxa"/>
              <w:left w:w="108" w:type="dxa"/>
              <w:bottom w:w="0" w:type="dxa"/>
              <w:right w:w="108" w:type="dxa"/>
            </w:tcMar>
            <w:vAlign w:val="center"/>
          </w:tcPr>
          <w:p w14:paraId="188010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1"/>
                <w:lang w:val="en-US" w:eastAsia="zh-CN" w:bidi="ar"/>
              </w:rPr>
              <w:t>pH值</w:t>
            </w:r>
          </w:p>
        </w:tc>
        <w:tc>
          <w:tcPr>
            <w:tcW w:w="384" w:type="pct"/>
            <w:noWrap w:val="0"/>
            <w:vAlign w:val="center"/>
          </w:tcPr>
          <w:p w14:paraId="52A955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
              </w:rPr>
              <w:t>无量纲</w:t>
            </w:r>
          </w:p>
        </w:tc>
        <w:tc>
          <w:tcPr>
            <w:tcW w:w="590" w:type="pct"/>
            <w:noWrap w:val="0"/>
            <w:tcMar>
              <w:top w:w="0" w:type="dxa"/>
              <w:left w:w="108" w:type="dxa"/>
              <w:bottom w:w="0" w:type="dxa"/>
              <w:right w:w="108" w:type="dxa"/>
            </w:tcMar>
            <w:vAlign w:val="center"/>
          </w:tcPr>
          <w:p w14:paraId="2ACE791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7.1</w:t>
            </w:r>
          </w:p>
        </w:tc>
        <w:tc>
          <w:tcPr>
            <w:tcW w:w="565" w:type="pct"/>
            <w:noWrap w:val="0"/>
            <w:tcMar>
              <w:top w:w="0" w:type="dxa"/>
              <w:left w:w="108" w:type="dxa"/>
              <w:bottom w:w="0" w:type="dxa"/>
              <w:right w:w="108" w:type="dxa"/>
            </w:tcMar>
            <w:vAlign w:val="center"/>
          </w:tcPr>
          <w:p w14:paraId="30D425B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7.1</w:t>
            </w:r>
          </w:p>
        </w:tc>
        <w:tc>
          <w:tcPr>
            <w:tcW w:w="571" w:type="pct"/>
            <w:noWrap w:val="0"/>
            <w:tcMar>
              <w:top w:w="0" w:type="dxa"/>
              <w:left w:w="108" w:type="dxa"/>
              <w:bottom w:w="0" w:type="dxa"/>
              <w:right w:w="108" w:type="dxa"/>
            </w:tcMar>
            <w:vAlign w:val="center"/>
          </w:tcPr>
          <w:p w14:paraId="3EB52FF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7.2</w:t>
            </w:r>
          </w:p>
        </w:tc>
        <w:tc>
          <w:tcPr>
            <w:tcW w:w="565" w:type="pct"/>
            <w:noWrap w:val="0"/>
            <w:tcMar>
              <w:top w:w="0" w:type="dxa"/>
              <w:left w:w="108" w:type="dxa"/>
              <w:bottom w:w="0" w:type="dxa"/>
              <w:right w:w="108" w:type="dxa"/>
            </w:tcMar>
            <w:vAlign w:val="center"/>
          </w:tcPr>
          <w:p w14:paraId="3B949D7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7.4</w:t>
            </w:r>
          </w:p>
        </w:tc>
        <w:tc>
          <w:tcPr>
            <w:tcW w:w="577" w:type="pct"/>
            <w:noWrap w:val="0"/>
            <w:tcMar>
              <w:top w:w="0" w:type="dxa"/>
              <w:left w:w="108" w:type="dxa"/>
              <w:bottom w:w="0" w:type="dxa"/>
              <w:right w:w="108" w:type="dxa"/>
            </w:tcMar>
            <w:vAlign w:val="center"/>
          </w:tcPr>
          <w:p w14:paraId="74DC2EB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7.3</w:t>
            </w:r>
          </w:p>
        </w:tc>
        <w:tc>
          <w:tcPr>
            <w:tcW w:w="570" w:type="pct"/>
            <w:noWrap w:val="0"/>
            <w:tcMar>
              <w:top w:w="0" w:type="dxa"/>
              <w:left w:w="108" w:type="dxa"/>
              <w:bottom w:w="0" w:type="dxa"/>
              <w:right w:w="108" w:type="dxa"/>
            </w:tcMar>
            <w:vAlign w:val="center"/>
          </w:tcPr>
          <w:p w14:paraId="7D9D1F1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7.3</w:t>
            </w:r>
          </w:p>
        </w:tc>
      </w:tr>
      <w:tr w14:paraId="63880A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386556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lang w:val="en-US" w:eastAsia="zh-CN"/>
              </w:rPr>
            </w:pPr>
          </w:p>
        </w:tc>
        <w:tc>
          <w:tcPr>
            <w:tcW w:w="809" w:type="pct"/>
            <w:noWrap w:val="0"/>
            <w:tcMar>
              <w:top w:w="0" w:type="dxa"/>
              <w:left w:w="108" w:type="dxa"/>
              <w:bottom w:w="0" w:type="dxa"/>
              <w:right w:w="108" w:type="dxa"/>
            </w:tcMar>
            <w:vAlign w:val="center"/>
          </w:tcPr>
          <w:p w14:paraId="39EB06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溶解氧</w:t>
            </w:r>
          </w:p>
        </w:tc>
        <w:tc>
          <w:tcPr>
            <w:tcW w:w="384" w:type="pct"/>
            <w:noWrap w:val="0"/>
            <w:vAlign w:val="center"/>
          </w:tcPr>
          <w:p w14:paraId="0A5ECF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442E0BD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5.1</w:t>
            </w:r>
          </w:p>
        </w:tc>
        <w:tc>
          <w:tcPr>
            <w:tcW w:w="565" w:type="pct"/>
            <w:noWrap w:val="0"/>
            <w:tcMar>
              <w:top w:w="0" w:type="dxa"/>
              <w:left w:w="108" w:type="dxa"/>
              <w:bottom w:w="0" w:type="dxa"/>
              <w:right w:w="108" w:type="dxa"/>
            </w:tcMar>
            <w:vAlign w:val="center"/>
          </w:tcPr>
          <w:p w14:paraId="49285FF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5.2</w:t>
            </w:r>
          </w:p>
        </w:tc>
        <w:tc>
          <w:tcPr>
            <w:tcW w:w="571" w:type="pct"/>
            <w:noWrap w:val="0"/>
            <w:tcMar>
              <w:top w:w="0" w:type="dxa"/>
              <w:left w:w="108" w:type="dxa"/>
              <w:bottom w:w="0" w:type="dxa"/>
              <w:right w:w="108" w:type="dxa"/>
            </w:tcMar>
            <w:vAlign w:val="center"/>
          </w:tcPr>
          <w:p w14:paraId="534B5B6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5.2</w:t>
            </w:r>
          </w:p>
        </w:tc>
        <w:tc>
          <w:tcPr>
            <w:tcW w:w="565" w:type="pct"/>
            <w:noWrap w:val="0"/>
            <w:tcMar>
              <w:top w:w="0" w:type="dxa"/>
              <w:left w:w="108" w:type="dxa"/>
              <w:bottom w:w="0" w:type="dxa"/>
              <w:right w:w="108" w:type="dxa"/>
            </w:tcMar>
            <w:vAlign w:val="center"/>
          </w:tcPr>
          <w:p w14:paraId="7269C54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5.4</w:t>
            </w:r>
          </w:p>
        </w:tc>
        <w:tc>
          <w:tcPr>
            <w:tcW w:w="577" w:type="pct"/>
            <w:noWrap w:val="0"/>
            <w:tcMar>
              <w:top w:w="0" w:type="dxa"/>
              <w:left w:w="108" w:type="dxa"/>
              <w:bottom w:w="0" w:type="dxa"/>
              <w:right w:w="108" w:type="dxa"/>
            </w:tcMar>
            <w:vAlign w:val="center"/>
          </w:tcPr>
          <w:p w14:paraId="7CD3B5C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5.4</w:t>
            </w:r>
          </w:p>
        </w:tc>
        <w:tc>
          <w:tcPr>
            <w:tcW w:w="570" w:type="pct"/>
            <w:noWrap w:val="0"/>
            <w:tcMar>
              <w:top w:w="0" w:type="dxa"/>
              <w:left w:w="108" w:type="dxa"/>
              <w:bottom w:w="0" w:type="dxa"/>
              <w:right w:w="108" w:type="dxa"/>
            </w:tcMar>
            <w:vAlign w:val="center"/>
          </w:tcPr>
          <w:p w14:paraId="51DD0F9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5.3</w:t>
            </w:r>
          </w:p>
        </w:tc>
      </w:tr>
      <w:tr w14:paraId="364F98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6B334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5C0EAC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高锰酸盐指数</w:t>
            </w:r>
          </w:p>
        </w:tc>
        <w:tc>
          <w:tcPr>
            <w:tcW w:w="384" w:type="pct"/>
            <w:noWrap w:val="0"/>
            <w:vAlign w:val="center"/>
          </w:tcPr>
          <w:p w14:paraId="5E7236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6F35D42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3.7</w:t>
            </w:r>
          </w:p>
        </w:tc>
        <w:tc>
          <w:tcPr>
            <w:tcW w:w="565" w:type="pct"/>
            <w:noWrap w:val="0"/>
            <w:tcMar>
              <w:top w:w="0" w:type="dxa"/>
              <w:left w:w="108" w:type="dxa"/>
              <w:bottom w:w="0" w:type="dxa"/>
              <w:right w:w="108" w:type="dxa"/>
            </w:tcMar>
            <w:vAlign w:val="center"/>
          </w:tcPr>
          <w:p w14:paraId="56FD056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3.4</w:t>
            </w:r>
          </w:p>
        </w:tc>
        <w:tc>
          <w:tcPr>
            <w:tcW w:w="571" w:type="pct"/>
            <w:noWrap w:val="0"/>
            <w:tcMar>
              <w:top w:w="0" w:type="dxa"/>
              <w:left w:w="108" w:type="dxa"/>
              <w:bottom w:w="0" w:type="dxa"/>
              <w:right w:w="108" w:type="dxa"/>
            </w:tcMar>
            <w:vAlign w:val="center"/>
          </w:tcPr>
          <w:p w14:paraId="655E0FA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3.6</w:t>
            </w:r>
          </w:p>
        </w:tc>
        <w:tc>
          <w:tcPr>
            <w:tcW w:w="565" w:type="pct"/>
            <w:noWrap w:val="0"/>
            <w:tcMar>
              <w:top w:w="0" w:type="dxa"/>
              <w:left w:w="108" w:type="dxa"/>
              <w:bottom w:w="0" w:type="dxa"/>
              <w:right w:w="108" w:type="dxa"/>
            </w:tcMar>
            <w:vAlign w:val="center"/>
          </w:tcPr>
          <w:p w14:paraId="4EA9908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3.5</w:t>
            </w:r>
          </w:p>
        </w:tc>
        <w:tc>
          <w:tcPr>
            <w:tcW w:w="577" w:type="pct"/>
            <w:noWrap w:val="0"/>
            <w:tcMar>
              <w:top w:w="0" w:type="dxa"/>
              <w:left w:w="108" w:type="dxa"/>
              <w:bottom w:w="0" w:type="dxa"/>
              <w:right w:w="108" w:type="dxa"/>
            </w:tcMar>
            <w:vAlign w:val="center"/>
          </w:tcPr>
          <w:p w14:paraId="3115FC9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3.3</w:t>
            </w:r>
          </w:p>
        </w:tc>
        <w:tc>
          <w:tcPr>
            <w:tcW w:w="570" w:type="pct"/>
            <w:noWrap w:val="0"/>
            <w:tcMar>
              <w:top w:w="0" w:type="dxa"/>
              <w:left w:w="108" w:type="dxa"/>
              <w:bottom w:w="0" w:type="dxa"/>
              <w:right w:w="108" w:type="dxa"/>
            </w:tcMar>
            <w:vAlign w:val="center"/>
          </w:tcPr>
          <w:p w14:paraId="20CAD07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3.2</w:t>
            </w:r>
          </w:p>
        </w:tc>
      </w:tr>
      <w:tr w14:paraId="5E9914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408E48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63B219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化学需氧量</w:t>
            </w:r>
          </w:p>
        </w:tc>
        <w:tc>
          <w:tcPr>
            <w:tcW w:w="384" w:type="pct"/>
            <w:noWrap w:val="0"/>
            <w:vAlign w:val="center"/>
          </w:tcPr>
          <w:p w14:paraId="092219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7445E96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17</w:t>
            </w:r>
          </w:p>
        </w:tc>
        <w:tc>
          <w:tcPr>
            <w:tcW w:w="565" w:type="pct"/>
            <w:noWrap w:val="0"/>
            <w:tcMar>
              <w:top w:w="0" w:type="dxa"/>
              <w:left w:w="108" w:type="dxa"/>
              <w:bottom w:w="0" w:type="dxa"/>
              <w:right w:w="108" w:type="dxa"/>
            </w:tcMar>
            <w:vAlign w:val="center"/>
          </w:tcPr>
          <w:p w14:paraId="5DAFA7D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14</w:t>
            </w:r>
          </w:p>
        </w:tc>
        <w:tc>
          <w:tcPr>
            <w:tcW w:w="571" w:type="pct"/>
            <w:noWrap w:val="0"/>
            <w:tcMar>
              <w:top w:w="0" w:type="dxa"/>
              <w:left w:w="108" w:type="dxa"/>
              <w:bottom w:w="0" w:type="dxa"/>
              <w:right w:w="108" w:type="dxa"/>
            </w:tcMar>
            <w:vAlign w:val="center"/>
          </w:tcPr>
          <w:p w14:paraId="0062B07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13</w:t>
            </w:r>
          </w:p>
        </w:tc>
        <w:tc>
          <w:tcPr>
            <w:tcW w:w="565" w:type="pct"/>
            <w:noWrap w:val="0"/>
            <w:tcMar>
              <w:top w:w="0" w:type="dxa"/>
              <w:left w:w="108" w:type="dxa"/>
              <w:bottom w:w="0" w:type="dxa"/>
              <w:right w:w="108" w:type="dxa"/>
            </w:tcMar>
            <w:vAlign w:val="center"/>
          </w:tcPr>
          <w:p w14:paraId="44E2821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16</w:t>
            </w:r>
          </w:p>
        </w:tc>
        <w:tc>
          <w:tcPr>
            <w:tcW w:w="577" w:type="pct"/>
            <w:noWrap w:val="0"/>
            <w:tcMar>
              <w:top w:w="0" w:type="dxa"/>
              <w:left w:w="108" w:type="dxa"/>
              <w:bottom w:w="0" w:type="dxa"/>
              <w:right w:w="108" w:type="dxa"/>
            </w:tcMar>
            <w:vAlign w:val="center"/>
          </w:tcPr>
          <w:p w14:paraId="72F28FD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12</w:t>
            </w:r>
          </w:p>
        </w:tc>
        <w:tc>
          <w:tcPr>
            <w:tcW w:w="570" w:type="pct"/>
            <w:noWrap w:val="0"/>
            <w:tcMar>
              <w:top w:w="0" w:type="dxa"/>
              <w:left w:w="108" w:type="dxa"/>
              <w:bottom w:w="0" w:type="dxa"/>
              <w:right w:w="108" w:type="dxa"/>
            </w:tcMar>
            <w:vAlign w:val="center"/>
          </w:tcPr>
          <w:p w14:paraId="06D32D6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15</w:t>
            </w:r>
          </w:p>
        </w:tc>
      </w:tr>
      <w:tr w14:paraId="5240C3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4A2F59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0CC1F1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1"/>
                <w:lang w:val="en-US" w:eastAsia="zh-CN" w:bidi="ar"/>
              </w:rPr>
              <w:t>五日生化需氧量</w:t>
            </w:r>
          </w:p>
        </w:tc>
        <w:tc>
          <w:tcPr>
            <w:tcW w:w="384" w:type="pct"/>
            <w:noWrap w:val="0"/>
            <w:vAlign w:val="center"/>
          </w:tcPr>
          <w:p w14:paraId="538BB3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4B39EDE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3.3</w:t>
            </w:r>
          </w:p>
        </w:tc>
        <w:tc>
          <w:tcPr>
            <w:tcW w:w="565" w:type="pct"/>
            <w:noWrap w:val="0"/>
            <w:tcMar>
              <w:top w:w="0" w:type="dxa"/>
              <w:left w:w="108" w:type="dxa"/>
              <w:bottom w:w="0" w:type="dxa"/>
              <w:right w:w="108" w:type="dxa"/>
            </w:tcMar>
            <w:vAlign w:val="center"/>
          </w:tcPr>
          <w:p w14:paraId="5135243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3.2</w:t>
            </w:r>
          </w:p>
        </w:tc>
        <w:tc>
          <w:tcPr>
            <w:tcW w:w="571" w:type="pct"/>
            <w:noWrap w:val="0"/>
            <w:tcMar>
              <w:top w:w="0" w:type="dxa"/>
              <w:left w:w="108" w:type="dxa"/>
              <w:bottom w:w="0" w:type="dxa"/>
              <w:right w:w="108" w:type="dxa"/>
            </w:tcMar>
            <w:vAlign w:val="center"/>
          </w:tcPr>
          <w:p w14:paraId="19C2E6F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3.1</w:t>
            </w:r>
          </w:p>
        </w:tc>
        <w:tc>
          <w:tcPr>
            <w:tcW w:w="565" w:type="pct"/>
            <w:noWrap w:val="0"/>
            <w:tcMar>
              <w:top w:w="0" w:type="dxa"/>
              <w:left w:w="108" w:type="dxa"/>
              <w:bottom w:w="0" w:type="dxa"/>
              <w:right w:w="108" w:type="dxa"/>
            </w:tcMar>
            <w:vAlign w:val="center"/>
          </w:tcPr>
          <w:p w14:paraId="46D084B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3.4</w:t>
            </w:r>
          </w:p>
        </w:tc>
        <w:tc>
          <w:tcPr>
            <w:tcW w:w="577" w:type="pct"/>
            <w:noWrap w:val="0"/>
            <w:tcMar>
              <w:top w:w="0" w:type="dxa"/>
              <w:left w:w="108" w:type="dxa"/>
              <w:bottom w:w="0" w:type="dxa"/>
              <w:right w:w="108" w:type="dxa"/>
            </w:tcMar>
            <w:vAlign w:val="center"/>
          </w:tcPr>
          <w:p w14:paraId="741A10B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3.3</w:t>
            </w:r>
          </w:p>
        </w:tc>
        <w:tc>
          <w:tcPr>
            <w:tcW w:w="570" w:type="pct"/>
            <w:noWrap w:val="0"/>
            <w:tcMar>
              <w:top w:w="0" w:type="dxa"/>
              <w:left w:w="108" w:type="dxa"/>
              <w:bottom w:w="0" w:type="dxa"/>
              <w:right w:w="108" w:type="dxa"/>
            </w:tcMar>
            <w:vAlign w:val="center"/>
          </w:tcPr>
          <w:p w14:paraId="45ADBE8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3.1</w:t>
            </w:r>
          </w:p>
        </w:tc>
      </w:tr>
      <w:tr w14:paraId="3D6756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731673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046C69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氨氮</w:t>
            </w:r>
          </w:p>
        </w:tc>
        <w:tc>
          <w:tcPr>
            <w:tcW w:w="384" w:type="pct"/>
            <w:noWrap w:val="0"/>
            <w:vAlign w:val="center"/>
          </w:tcPr>
          <w:p w14:paraId="42CA2F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70828D4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0.58</w:t>
            </w:r>
          </w:p>
        </w:tc>
        <w:tc>
          <w:tcPr>
            <w:tcW w:w="565" w:type="pct"/>
            <w:noWrap w:val="0"/>
            <w:tcMar>
              <w:top w:w="0" w:type="dxa"/>
              <w:left w:w="108" w:type="dxa"/>
              <w:bottom w:w="0" w:type="dxa"/>
              <w:right w:w="108" w:type="dxa"/>
            </w:tcMar>
            <w:vAlign w:val="center"/>
          </w:tcPr>
          <w:p w14:paraId="61D05C9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0.55</w:t>
            </w:r>
          </w:p>
        </w:tc>
        <w:tc>
          <w:tcPr>
            <w:tcW w:w="571" w:type="pct"/>
            <w:noWrap w:val="0"/>
            <w:tcMar>
              <w:top w:w="0" w:type="dxa"/>
              <w:left w:w="108" w:type="dxa"/>
              <w:bottom w:w="0" w:type="dxa"/>
              <w:right w:w="108" w:type="dxa"/>
            </w:tcMar>
            <w:vAlign w:val="center"/>
          </w:tcPr>
          <w:p w14:paraId="3C9C37B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0.56</w:t>
            </w:r>
          </w:p>
        </w:tc>
        <w:tc>
          <w:tcPr>
            <w:tcW w:w="565" w:type="pct"/>
            <w:noWrap w:val="0"/>
            <w:tcMar>
              <w:top w:w="0" w:type="dxa"/>
              <w:left w:w="108" w:type="dxa"/>
              <w:bottom w:w="0" w:type="dxa"/>
              <w:right w:w="108" w:type="dxa"/>
            </w:tcMar>
            <w:vAlign w:val="center"/>
          </w:tcPr>
          <w:p w14:paraId="2279317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0.57</w:t>
            </w:r>
          </w:p>
        </w:tc>
        <w:tc>
          <w:tcPr>
            <w:tcW w:w="577" w:type="pct"/>
            <w:noWrap w:val="0"/>
            <w:tcMar>
              <w:top w:w="0" w:type="dxa"/>
              <w:left w:w="108" w:type="dxa"/>
              <w:bottom w:w="0" w:type="dxa"/>
              <w:right w:w="108" w:type="dxa"/>
            </w:tcMar>
            <w:vAlign w:val="center"/>
          </w:tcPr>
          <w:p w14:paraId="1890492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0.54</w:t>
            </w:r>
          </w:p>
        </w:tc>
        <w:tc>
          <w:tcPr>
            <w:tcW w:w="570" w:type="pct"/>
            <w:noWrap w:val="0"/>
            <w:tcMar>
              <w:top w:w="0" w:type="dxa"/>
              <w:left w:w="108" w:type="dxa"/>
              <w:bottom w:w="0" w:type="dxa"/>
              <w:right w:w="108" w:type="dxa"/>
            </w:tcMar>
            <w:vAlign w:val="center"/>
          </w:tcPr>
          <w:p w14:paraId="77AA831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0.55</w:t>
            </w:r>
          </w:p>
        </w:tc>
      </w:tr>
      <w:tr w14:paraId="4557BC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4E9184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502FF9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总磷</w:t>
            </w:r>
          </w:p>
        </w:tc>
        <w:tc>
          <w:tcPr>
            <w:tcW w:w="384" w:type="pct"/>
            <w:noWrap w:val="0"/>
            <w:vAlign w:val="center"/>
          </w:tcPr>
          <w:p w14:paraId="369F2D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6B348F7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0.17</w:t>
            </w:r>
          </w:p>
        </w:tc>
        <w:tc>
          <w:tcPr>
            <w:tcW w:w="565" w:type="pct"/>
            <w:noWrap w:val="0"/>
            <w:tcMar>
              <w:top w:w="0" w:type="dxa"/>
              <w:left w:w="108" w:type="dxa"/>
              <w:bottom w:w="0" w:type="dxa"/>
              <w:right w:w="108" w:type="dxa"/>
            </w:tcMar>
            <w:vAlign w:val="center"/>
          </w:tcPr>
          <w:p w14:paraId="646D815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0.14</w:t>
            </w:r>
          </w:p>
        </w:tc>
        <w:tc>
          <w:tcPr>
            <w:tcW w:w="571" w:type="pct"/>
            <w:noWrap w:val="0"/>
            <w:tcMar>
              <w:top w:w="0" w:type="dxa"/>
              <w:left w:w="108" w:type="dxa"/>
              <w:bottom w:w="0" w:type="dxa"/>
              <w:right w:w="108" w:type="dxa"/>
            </w:tcMar>
            <w:vAlign w:val="center"/>
          </w:tcPr>
          <w:p w14:paraId="1434C9F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0.15</w:t>
            </w:r>
          </w:p>
        </w:tc>
        <w:tc>
          <w:tcPr>
            <w:tcW w:w="565" w:type="pct"/>
            <w:noWrap w:val="0"/>
            <w:tcMar>
              <w:top w:w="0" w:type="dxa"/>
              <w:left w:w="108" w:type="dxa"/>
              <w:bottom w:w="0" w:type="dxa"/>
              <w:right w:w="108" w:type="dxa"/>
            </w:tcMar>
            <w:vAlign w:val="center"/>
          </w:tcPr>
          <w:p w14:paraId="69F78C3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0.16</w:t>
            </w:r>
          </w:p>
        </w:tc>
        <w:tc>
          <w:tcPr>
            <w:tcW w:w="577" w:type="pct"/>
            <w:noWrap w:val="0"/>
            <w:tcMar>
              <w:top w:w="0" w:type="dxa"/>
              <w:left w:w="108" w:type="dxa"/>
              <w:bottom w:w="0" w:type="dxa"/>
              <w:right w:w="108" w:type="dxa"/>
            </w:tcMar>
            <w:vAlign w:val="center"/>
          </w:tcPr>
          <w:p w14:paraId="2FC36C4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0.12</w:t>
            </w:r>
          </w:p>
        </w:tc>
        <w:tc>
          <w:tcPr>
            <w:tcW w:w="570" w:type="pct"/>
            <w:noWrap w:val="0"/>
            <w:tcMar>
              <w:top w:w="0" w:type="dxa"/>
              <w:left w:w="108" w:type="dxa"/>
              <w:bottom w:w="0" w:type="dxa"/>
              <w:right w:w="108" w:type="dxa"/>
            </w:tcMar>
            <w:vAlign w:val="center"/>
          </w:tcPr>
          <w:p w14:paraId="5630B34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0.13</w:t>
            </w:r>
          </w:p>
        </w:tc>
      </w:tr>
      <w:tr w14:paraId="3989CC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114432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3DA2C0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总氮</w:t>
            </w:r>
          </w:p>
        </w:tc>
        <w:tc>
          <w:tcPr>
            <w:tcW w:w="384" w:type="pct"/>
            <w:noWrap w:val="0"/>
            <w:vAlign w:val="center"/>
          </w:tcPr>
          <w:p w14:paraId="16A9DF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71B50F8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0.93</w:t>
            </w:r>
          </w:p>
        </w:tc>
        <w:tc>
          <w:tcPr>
            <w:tcW w:w="565" w:type="pct"/>
            <w:noWrap w:val="0"/>
            <w:tcMar>
              <w:top w:w="0" w:type="dxa"/>
              <w:left w:w="108" w:type="dxa"/>
              <w:bottom w:w="0" w:type="dxa"/>
              <w:right w:w="108" w:type="dxa"/>
            </w:tcMar>
            <w:vAlign w:val="center"/>
          </w:tcPr>
          <w:p w14:paraId="7FA7BA6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0.74</w:t>
            </w:r>
          </w:p>
        </w:tc>
        <w:tc>
          <w:tcPr>
            <w:tcW w:w="571" w:type="pct"/>
            <w:noWrap w:val="0"/>
            <w:tcMar>
              <w:top w:w="0" w:type="dxa"/>
              <w:left w:w="108" w:type="dxa"/>
              <w:bottom w:w="0" w:type="dxa"/>
              <w:right w:w="108" w:type="dxa"/>
            </w:tcMar>
            <w:vAlign w:val="center"/>
          </w:tcPr>
          <w:p w14:paraId="47337F1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0.86</w:t>
            </w:r>
          </w:p>
        </w:tc>
        <w:tc>
          <w:tcPr>
            <w:tcW w:w="565" w:type="pct"/>
            <w:noWrap w:val="0"/>
            <w:tcMar>
              <w:top w:w="0" w:type="dxa"/>
              <w:left w:w="108" w:type="dxa"/>
              <w:bottom w:w="0" w:type="dxa"/>
              <w:right w:w="108" w:type="dxa"/>
            </w:tcMar>
            <w:vAlign w:val="center"/>
          </w:tcPr>
          <w:p w14:paraId="13D0B86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0.91</w:t>
            </w:r>
          </w:p>
        </w:tc>
        <w:tc>
          <w:tcPr>
            <w:tcW w:w="577" w:type="pct"/>
            <w:noWrap w:val="0"/>
            <w:tcMar>
              <w:top w:w="0" w:type="dxa"/>
              <w:left w:w="108" w:type="dxa"/>
              <w:bottom w:w="0" w:type="dxa"/>
              <w:right w:w="108" w:type="dxa"/>
            </w:tcMar>
            <w:vAlign w:val="center"/>
          </w:tcPr>
          <w:p w14:paraId="421FFF9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0.72</w:t>
            </w:r>
          </w:p>
        </w:tc>
        <w:tc>
          <w:tcPr>
            <w:tcW w:w="570" w:type="pct"/>
            <w:noWrap w:val="0"/>
            <w:tcMar>
              <w:top w:w="0" w:type="dxa"/>
              <w:left w:w="108" w:type="dxa"/>
              <w:bottom w:w="0" w:type="dxa"/>
              <w:right w:w="108" w:type="dxa"/>
            </w:tcMar>
            <w:vAlign w:val="center"/>
          </w:tcPr>
          <w:p w14:paraId="14FE8D6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0.78</w:t>
            </w:r>
          </w:p>
        </w:tc>
      </w:tr>
      <w:tr w14:paraId="6A7A74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05ADF4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7FD2C6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铜</w:t>
            </w:r>
          </w:p>
        </w:tc>
        <w:tc>
          <w:tcPr>
            <w:tcW w:w="384" w:type="pct"/>
            <w:noWrap w:val="0"/>
            <w:vAlign w:val="center"/>
          </w:tcPr>
          <w:p w14:paraId="4D5148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331AE9C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0.016</w:t>
            </w:r>
          </w:p>
        </w:tc>
        <w:tc>
          <w:tcPr>
            <w:tcW w:w="565" w:type="pct"/>
            <w:noWrap w:val="0"/>
            <w:tcMar>
              <w:top w:w="0" w:type="dxa"/>
              <w:left w:w="108" w:type="dxa"/>
              <w:bottom w:w="0" w:type="dxa"/>
              <w:right w:w="108" w:type="dxa"/>
            </w:tcMar>
            <w:vAlign w:val="center"/>
          </w:tcPr>
          <w:p w14:paraId="0092D32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0.018</w:t>
            </w:r>
          </w:p>
        </w:tc>
        <w:tc>
          <w:tcPr>
            <w:tcW w:w="571" w:type="pct"/>
            <w:noWrap w:val="0"/>
            <w:tcMar>
              <w:top w:w="0" w:type="dxa"/>
              <w:left w:w="108" w:type="dxa"/>
              <w:bottom w:w="0" w:type="dxa"/>
              <w:right w:w="108" w:type="dxa"/>
            </w:tcMar>
            <w:vAlign w:val="center"/>
          </w:tcPr>
          <w:p w14:paraId="6ADC39E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0.020</w:t>
            </w:r>
          </w:p>
        </w:tc>
        <w:tc>
          <w:tcPr>
            <w:tcW w:w="565" w:type="pct"/>
            <w:noWrap w:val="0"/>
            <w:tcMar>
              <w:top w:w="0" w:type="dxa"/>
              <w:left w:w="108" w:type="dxa"/>
              <w:bottom w:w="0" w:type="dxa"/>
              <w:right w:w="108" w:type="dxa"/>
            </w:tcMar>
            <w:vAlign w:val="center"/>
          </w:tcPr>
          <w:p w14:paraId="237CEB6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0.022</w:t>
            </w:r>
          </w:p>
        </w:tc>
        <w:tc>
          <w:tcPr>
            <w:tcW w:w="577" w:type="pct"/>
            <w:noWrap w:val="0"/>
            <w:tcMar>
              <w:top w:w="0" w:type="dxa"/>
              <w:left w:w="108" w:type="dxa"/>
              <w:bottom w:w="0" w:type="dxa"/>
              <w:right w:w="108" w:type="dxa"/>
            </w:tcMar>
            <w:vAlign w:val="center"/>
          </w:tcPr>
          <w:p w14:paraId="2B7045D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0.020</w:t>
            </w:r>
          </w:p>
        </w:tc>
        <w:tc>
          <w:tcPr>
            <w:tcW w:w="570" w:type="pct"/>
            <w:noWrap w:val="0"/>
            <w:tcMar>
              <w:top w:w="0" w:type="dxa"/>
              <w:left w:w="108" w:type="dxa"/>
              <w:bottom w:w="0" w:type="dxa"/>
              <w:right w:w="108" w:type="dxa"/>
            </w:tcMar>
            <w:vAlign w:val="center"/>
          </w:tcPr>
          <w:p w14:paraId="149EEEC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0.017</w:t>
            </w:r>
          </w:p>
        </w:tc>
      </w:tr>
      <w:tr w14:paraId="6CC6E3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285487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3F3724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锌</w:t>
            </w:r>
          </w:p>
        </w:tc>
        <w:tc>
          <w:tcPr>
            <w:tcW w:w="384" w:type="pct"/>
            <w:noWrap w:val="0"/>
            <w:vAlign w:val="center"/>
          </w:tcPr>
          <w:p w14:paraId="683F20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37E0D4E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65" w:type="pct"/>
            <w:noWrap w:val="0"/>
            <w:tcMar>
              <w:top w:w="0" w:type="dxa"/>
              <w:left w:w="108" w:type="dxa"/>
              <w:bottom w:w="0" w:type="dxa"/>
              <w:right w:w="108" w:type="dxa"/>
            </w:tcMar>
            <w:vAlign w:val="center"/>
          </w:tcPr>
          <w:p w14:paraId="2DBFA18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71" w:type="pct"/>
            <w:noWrap w:val="0"/>
            <w:tcMar>
              <w:top w:w="0" w:type="dxa"/>
              <w:left w:w="108" w:type="dxa"/>
              <w:bottom w:w="0" w:type="dxa"/>
              <w:right w:w="108" w:type="dxa"/>
            </w:tcMar>
            <w:vAlign w:val="center"/>
          </w:tcPr>
          <w:p w14:paraId="56F9AD0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65" w:type="pct"/>
            <w:noWrap w:val="0"/>
            <w:tcMar>
              <w:top w:w="0" w:type="dxa"/>
              <w:left w:w="108" w:type="dxa"/>
              <w:bottom w:w="0" w:type="dxa"/>
              <w:right w:w="108" w:type="dxa"/>
            </w:tcMar>
            <w:vAlign w:val="center"/>
          </w:tcPr>
          <w:p w14:paraId="2050895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77" w:type="pct"/>
            <w:noWrap w:val="0"/>
            <w:tcMar>
              <w:top w:w="0" w:type="dxa"/>
              <w:left w:w="108" w:type="dxa"/>
              <w:bottom w:w="0" w:type="dxa"/>
              <w:right w:w="108" w:type="dxa"/>
            </w:tcMar>
            <w:vAlign w:val="center"/>
          </w:tcPr>
          <w:p w14:paraId="2A145C0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70" w:type="pct"/>
            <w:noWrap w:val="0"/>
            <w:tcMar>
              <w:top w:w="0" w:type="dxa"/>
              <w:left w:w="108" w:type="dxa"/>
              <w:bottom w:w="0" w:type="dxa"/>
              <w:right w:w="108" w:type="dxa"/>
            </w:tcMar>
            <w:vAlign w:val="center"/>
          </w:tcPr>
          <w:p w14:paraId="33F232A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r>
      <w:tr w14:paraId="7B26E8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558603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70208E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氟化物</w:t>
            </w:r>
          </w:p>
        </w:tc>
        <w:tc>
          <w:tcPr>
            <w:tcW w:w="384" w:type="pct"/>
            <w:noWrap w:val="0"/>
            <w:vAlign w:val="center"/>
          </w:tcPr>
          <w:p w14:paraId="64D00E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17A6F27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0.51</w:t>
            </w:r>
          </w:p>
        </w:tc>
        <w:tc>
          <w:tcPr>
            <w:tcW w:w="565" w:type="pct"/>
            <w:noWrap w:val="0"/>
            <w:tcMar>
              <w:top w:w="0" w:type="dxa"/>
              <w:left w:w="108" w:type="dxa"/>
              <w:bottom w:w="0" w:type="dxa"/>
              <w:right w:w="108" w:type="dxa"/>
            </w:tcMar>
            <w:vAlign w:val="center"/>
          </w:tcPr>
          <w:p w14:paraId="74F09A2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0.44</w:t>
            </w:r>
          </w:p>
        </w:tc>
        <w:tc>
          <w:tcPr>
            <w:tcW w:w="571" w:type="pct"/>
            <w:noWrap w:val="0"/>
            <w:tcMar>
              <w:top w:w="0" w:type="dxa"/>
              <w:left w:w="108" w:type="dxa"/>
              <w:bottom w:w="0" w:type="dxa"/>
              <w:right w:w="108" w:type="dxa"/>
            </w:tcMar>
            <w:vAlign w:val="center"/>
          </w:tcPr>
          <w:p w14:paraId="49B33BA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0.45</w:t>
            </w:r>
          </w:p>
        </w:tc>
        <w:tc>
          <w:tcPr>
            <w:tcW w:w="565" w:type="pct"/>
            <w:noWrap w:val="0"/>
            <w:tcMar>
              <w:top w:w="0" w:type="dxa"/>
              <w:left w:w="108" w:type="dxa"/>
              <w:bottom w:w="0" w:type="dxa"/>
              <w:right w:w="108" w:type="dxa"/>
            </w:tcMar>
            <w:vAlign w:val="center"/>
          </w:tcPr>
          <w:p w14:paraId="764318F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0.49</w:t>
            </w:r>
          </w:p>
        </w:tc>
        <w:tc>
          <w:tcPr>
            <w:tcW w:w="577" w:type="pct"/>
            <w:noWrap w:val="0"/>
            <w:tcMar>
              <w:top w:w="0" w:type="dxa"/>
              <w:left w:w="108" w:type="dxa"/>
              <w:bottom w:w="0" w:type="dxa"/>
              <w:right w:w="108" w:type="dxa"/>
            </w:tcMar>
            <w:vAlign w:val="center"/>
          </w:tcPr>
          <w:p w14:paraId="1FCAA08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0.40</w:t>
            </w:r>
          </w:p>
        </w:tc>
        <w:tc>
          <w:tcPr>
            <w:tcW w:w="570" w:type="pct"/>
            <w:noWrap w:val="0"/>
            <w:tcMar>
              <w:top w:w="0" w:type="dxa"/>
              <w:left w:w="108" w:type="dxa"/>
              <w:bottom w:w="0" w:type="dxa"/>
              <w:right w:w="108" w:type="dxa"/>
            </w:tcMar>
            <w:vAlign w:val="center"/>
          </w:tcPr>
          <w:p w14:paraId="3674DCC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0.42</w:t>
            </w:r>
          </w:p>
        </w:tc>
      </w:tr>
      <w:tr w14:paraId="79E0E4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46FAC2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3E7F63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硒</w:t>
            </w:r>
          </w:p>
        </w:tc>
        <w:tc>
          <w:tcPr>
            <w:tcW w:w="384" w:type="pct"/>
            <w:noWrap w:val="0"/>
            <w:vAlign w:val="center"/>
          </w:tcPr>
          <w:p w14:paraId="4E1F56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01CAB8F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0.0004L</w:t>
            </w:r>
          </w:p>
        </w:tc>
        <w:tc>
          <w:tcPr>
            <w:tcW w:w="565" w:type="pct"/>
            <w:noWrap w:val="0"/>
            <w:tcMar>
              <w:top w:w="0" w:type="dxa"/>
              <w:left w:w="108" w:type="dxa"/>
              <w:bottom w:w="0" w:type="dxa"/>
              <w:right w:w="108" w:type="dxa"/>
            </w:tcMar>
            <w:vAlign w:val="center"/>
          </w:tcPr>
          <w:p w14:paraId="6D7308B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0.0004L</w:t>
            </w:r>
          </w:p>
        </w:tc>
        <w:tc>
          <w:tcPr>
            <w:tcW w:w="571" w:type="pct"/>
            <w:noWrap w:val="0"/>
            <w:tcMar>
              <w:top w:w="0" w:type="dxa"/>
              <w:left w:w="108" w:type="dxa"/>
              <w:bottom w:w="0" w:type="dxa"/>
              <w:right w:w="108" w:type="dxa"/>
            </w:tcMar>
            <w:vAlign w:val="center"/>
          </w:tcPr>
          <w:p w14:paraId="74A3EA1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0.0004L</w:t>
            </w:r>
          </w:p>
        </w:tc>
        <w:tc>
          <w:tcPr>
            <w:tcW w:w="565" w:type="pct"/>
            <w:noWrap w:val="0"/>
            <w:tcMar>
              <w:top w:w="0" w:type="dxa"/>
              <w:left w:w="108" w:type="dxa"/>
              <w:bottom w:w="0" w:type="dxa"/>
              <w:right w:w="108" w:type="dxa"/>
            </w:tcMar>
            <w:vAlign w:val="center"/>
          </w:tcPr>
          <w:p w14:paraId="019FEB7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0.0004L</w:t>
            </w:r>
          </w:p>
        </w:tc>
        <w:tc>
          <w:tcPr>
            <w:tcW w:w="577" w:type="pct"/>
            <w:noWrap w:val="0"/>
            <w:tcMar>
              <w:top w:w="0" w:type="dxa"/>
              <w:left w:w="108" w:type="dxa"/>
              <w:bottom w:w="0" w:type="dxa"/>
              <w:right w:w="108" w:type="dxa"/>
            </w:tcMar>
            <w:vAlign w:val="center"/>
          </w:tcPr>
          <w:p w14:paraId="6C09B5B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0.0004L</w:t>
            </w:r>
          </w:p>
        </w:tc>
        <w:tc>
          <w:tcPr>
            <w:tcW w:w="570" w:type="pct"/>
            <w:noWrap w:val="0"/>
            <w:tcMar>
              <w:top w:w="0" w:type="dxa"/>
              <w:left w:w="108" w:type="dxa"/>
              <w:bottom w:w="0" w:type="dxa"/>
              <w:right w:w="108" w:type="dxa"/>
            </w:tcMar>
            <w:vAlign w:val="center"/>
          </w:tcPr>
          <w:p w14:paraId="306DA54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0.0004L</w:t>
            </w:r>
          </w:p>
        </w:tc>
      </w:tr>
      <w:tr w14:paraId="508F38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11355F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590473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砷</w:t>
            </w:r>
          </w:p>
        </w:tc>
        <w:tc>
          <w:tcPr>
            <w:tcW w:w="384" w:type="pct"/>
            <w:noWrap w:val="0"/>
            <w:vAlign w:val="center"/>
          </w:tcPr>
          <w:p w14:paraId="5E91F2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2E12B4F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65" w:type="pct"/>
            <w:noWrap w:val="0"/>
            <w:tcMar>
              <w:top w:w="0" w:type="dxa"/>
              <w:left w:w="108" w:type="dxa"/>
              <w:bottom w:w="0" w:type="dxa"/>
              <w:right w:w="108" w:type="dxa"/>
            </w:tcMar>
            <w:vAlign w:val="center"/>
          </w:tcPr>
          <w:p w14:paraId="0ABE4D5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71" w:type="pct"/>
            <w:noWrap w:val="0"/>
            <w:tcMar>
              <w:top w:w="0" w:type="dxa"/>
              <w:left w:w="108" w:type="dxa"/>
              <w:bottom w:w="0" w:type="dxa"/>
              <w:right w:w="108" w:type="dxa"/>
            </w:tcMar>
            <w:vAlign w:val="center"/>
          </w:tcPr>
          <w:p w14:paraId="5F89F14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65" w:type="pct"/>
            <w:noWrap w:val="0"/>
            <w:tcMar>
              <w:top w:w="0" w:type="dxa"/>
              <w:left w:w="108" w:type="dxa"/>
              <w:bottom w:w="0" w:type="dxa"/>
              <w:right w:w="108" w:type="dxa"/>
            </w:tcMar>
            <w:vAlign w:val="center"/>
          </w:tcPr>
          <w:p w14:paraId="2DE46C4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77" w:type="pct"/>
            <w:noWrap w:val="0"/>
            <w:tcMar>
              <w:top w:w="0" w:type="dxa"/>
              <w:left w:w="108" w:type="dxa"/>
              <w:bottom w:w="0" w:type="dxa"/>
              <w:right w:w="108" w:type="dxa"/>
            </w:tcMar>
            <w:vAlign w:val="center"/>
          </w:tcPr>
          <w:p w14:paraId="4D5B878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70" w:type="pct"/>
            <w:noWrap w:val="0"/>
            <w:tcMar>
              <w:top w:w="0" w:type="dxa"/>
              <w:left w:w="108" w:type="dxa"/>
              <w:bottom w:w="0" w:type="dxa"/>
              <w:right w:w="108" w:type="dxa"/>
            </w:tcMar>
            <w:vAlign w:val="center"/>
          </w:tcPr>
          <w:p w14:paraId="6B9FABA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r>
      <w:tr w14:paraId="0FACDA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07DA96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4688DC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汞</w:t>
            </w:r>
          </w:p>
        </w:tc>
        <w:tc>
          <w:tcPr>
            <w:tcW w:w="384" w:type="pct"/>
            <w:noWrap w:val="0"/>
            <w:vAlign w:val="center"/>
          </w:tcPr>
          <w:p w14:paraId="726F69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24F5423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0.00004L</w:t>
            </w:r>
          </w:p>
        </w:tc>
        <w:tc>
          <w:tcPr>
            <w:tcW w:w="565" w:type="pct"/>
            <w:noWrap w:val="0"/>
            <w:tcMar>
              <w:top w:w="0" w:type="dxa"/>
              <w:left w:w="108" w:type="dxa"/>
              <w:bottom w:w="0" w:type="dxa"/>
              <w:right w:w="108" w:type="dxa"/>
            </w:tcMar>
            <w:vAlign w:val="center"/>
          </w:tcPr>
          <w:p w14:paraId="289037B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0.00004L</w:t>
            </w:r>
          </w:p>
        </w:tc>
        <w:tc>
          <w:tcPr>
            <w:tcW w:w="571" w:type="pct"/>
            <w:noWrap w:val="0"/>
            <w:tcMar>
              <w:top w:w="0" w:type="dxa"/>
              <w:left w:w="108" w:type="dxa"/>
              <w:bottom w:w="0" w:type="dxa"/>
              <w:right w:w="108" w:type="dxa"/>
            </w:tcMar>
            <w:vAlign w:val="center"/>
          </w:tcPr>
          <w:p w14:paraId="4E2600C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0.00004L</w:t>
            </w:r>
          </w:p>
        </w:tc>
        <w:tc>
          <w:tcPr>
            <w:tcW w:w="565" w:type="pct"/>
            <w:noWrap w:val="0"/>
            <w:tcMar>
              <w:top w:w="0" w:type="dxa"/>
              <w:left w:w="108" w:type="dxa"/>
              <w:bottom w:w="0" w:type="dxa"/>
              <w:right w:w="108" w:type="dxa"/>
            </w:tcMar>
            <w:vAlign w:val="center"/>
          </w:tcPr>
          <w:p w14:paraId="6DA6949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0.00004L</w:t>
            </w:r>
          </w:p>
        </w:tc>
        <w:tc>
          <w:tcPr>
            <w:tcW w:w="577" w:type="pct"/>
            <w:noWrap w:val="0"/>
            <w:tcMar>
              <w:top w:w="0" w:type="dxa"/>
              <w:left w:w="108" w:type="dxa"/>
              <w:bottom w:w="0" w:type="dxa"/>
              <w:right w:w="108" w:type="dxa"/>
            </w:tcMar>
            <w:vAlign w:val="center"/>
          </w:tcPr>
          <w:p w14:paraId="73BCC07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0.00004L</w:t>
            </w:r>
          </w:p>
        </w:tc>
        <w:tc>
          <w:tcPr>
            <w:tcW w:w="570" w:type="pct"/>
            <w:noWrap w:val="0"/>
            <w:tcMar>
              <w:top w:w="0" w:type="dxa"/>
              <w:left w:w="108" w:type="dxa"/>
              <w:bottom w:w="0" w:type="dxa"/>
              <w:right w:w="108" w:type="dxa"/>
            </w:tcMar>
            <w:vAlign w:val="center"/>
          </w:tcPr>
          <w:p w14:paraId="2348EE6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0.00004L</w:t>
            </w:r>
          </w:p>
        </w:tc>
      </w:tr>
      <w:tr w14:paraId="71F146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364" w:type="pct"/>
            <w:vMerge w:val="continue"/>
            <w:noWrap w:val="0"/>
            <w:tcMar>
              <w:top w:w="0" w:type="dxa"/>
              <w:left w:w="108" w:type="dxa"/>
              <w:bottom w:w="0" w:type="dxa"/>
              <w:right w:w="108" w:type="dxa"/>
            </w:tcMar>
            <w:vAlign w:val="center"/>
          </w:tcPr>
          <w:p w14:paraId="4946C3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56C684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镉</w:t>
            </w:r>
          </w:p>
        </w:tc>
        <w:tc>
          <w:tcPr>
            <w:tcW w:w="384" w:type="pct"/>
            <w:noWrap w:val="0"/>
            <w:vAlign w:val="center"/>
          </w:tcPr>
          <w:p w14:paraId="34D0E3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39BF900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0.0025</w:t>
            </w:r>
          </w:p>
        </w:tc>
        <w:tc>
          <w:tcPr>
            <w:tcW w:w="565" w:type="pct"/>
            <w:noWrap w:val="0"/>
            <w:tcMar>
              <w:top w:w="0" w:type="dxa"/>
              <w:left w:w="108" w:type="dxa"/>
              <w:bottom w:w="0" w:type="dxa"/>
              <w:right w:w="108" w:type="dxa"/>
            </w:tcMar>
            <w:vAlign w:val="center"/>
          </w:tcPr>
          <w:p w14:paraId="0A9A57B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0.0025</w:t>
            </w:r>
          </w:p>
        </w:tc>
        <w:tc>
          <w:tcPr>
            <w:tcW w:w="571" w:type="pct"/>
            <w:noWrap w:val="0"/>
            <w:tcMar>
              <w:top w:w="0" w:type="dxa"/>
              <w:left w:w="108" w:type="dxa"/>
              <w:bottom w:w="0" w:type="dxa"/>
              <w:right w:w="108" w:type="dxa"/>
            </w:tcMar>
            <w:vAlign w:val="center"/>
          </w:tcPr>
          <w:p w14:paraId="48ABB7D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0.0024</w:t>
            </w:r>
          </w:p>
        </w:tc>
        <w:tc>
          <w:tcPr>
            <w:tcW w:w="565" w:type="pct"/>
            <w:noWrap w:val="0"/>
            <w:tcMar>
              <w:top w:w="0" w:type="dxa"/>
              <w:left w:w="108" w:type="dxa"/>
              <w:bottom w:w="0" w:type="dxa"/>
              <w:right w:w="108" w:type="dxa"/>
            </w:tcMar>
            <w:vAlign w:val="center"/>
          </w:tcPr>
          <w:p w14:paraId="6C1D94C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0.0023</w:t>
            </w:r>
          </w:p>
        </w:tc>
        <w:tc>
          <w:tcPr>
            <w:tcW w:w="577" w:type="pct"/>
            <w:noWrap w:val="0"/>
            <w:tcMar>
              <w:top w:w="0" w:type="dxa"/>
              <w:left w:w="108" w:type="dxa"/>
              <w:bottom w:w="0" w:type="dxa"/>
              <w:right w:w="108" w:type="dxa"/>
            </w:tcMar>
            <w:vAlign w:val="center"/>
          </w:tcPr>
          <w:p w14:paraId="623718A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0.0015</w:t>
            </w:r>
          </w:p>
        </w:tc>
        <w:tc>
          <w:tcPr>
            <w:tcW w:w="570" w:type="pct"/>
            <w:noWrap w:val="0"/>
            <w:tcMar>
              <w:top w:w="0" w:type="dxa"/>
              <w:left w:w="108" w:type="dxa"/>
              <w:bottom w:w="0" w:type="dxa"/>
              <w:right w:w="108" w:type="dxa"/>
            </w:tcMar>
            <w:vAlign w:val="center"/>
          </w:tcPr>
          <w:p w14:paraId="1DF7996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0.0020</w:t>
            </w:r>
          </w:p>
        </w:tc>
      </w:tr>
      <w:tr w14:paraId="1A4300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1516C0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6A8956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六价铬</w:t>
            </w:r>
          </w:p>
        </w:tc>
        <w:tc>
          <w:tcPr>
            <w:tcW w:w="384" w:type="pct"/>
            <w:noWrap w:val="0"/>
            <w:vAlign w:val="center"/>
          </w:tcPr>
          <w:p w14:paraId="62CADA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3146BB0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0.010</w:t>
            </w:r>
          </w:p>
        </w:tc>
        <w:tc>
          <w:tcPr>
            <w:tcW w:w="565" w:type="pct"/>
            <w:noWrap w:val="0"/>
            <w:tcMar>
              <w:top w:w="0" w:type="dxa"/>
              <w:left w:w="108" w:type="dxa"/>
              <w:bottom w:w="0" w:type="dxa"/>
              <w:right w:w="108" w:type="dxa"/>
            </w:tcMar>
            <w:vAlign w:val="center"/>
          </w:tcPr>
          <w:p w14:paraId="2054194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0.005</w:t>
            </w:r>
          </w:p>
        </w:tc>
        <w:tc>
          <w:tcPr>
            <w:tcW w:w="571" w:type="pct"/>
            <w:noWrap w:val="0"/>
            <w:tcMar>
              <w:top w:w="0" w:type="dxa"/>
              <w:left w:w="108" w:type="dxa"/>
              <w:bottom w:w="0" w:type="dxa"/>
              <w:right w:w="108" w:type="dxa"/>
            </w:tcMar>
            <w:vAlign w:val="center"/>
          </w:tcPr>
          <w:p w14:paraId="6886670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0.007</w:t>
            </w:r>
          </w:p>
        </w:tc>
        <w:tc>
          <w:tcPr>
            <w:tcW w:w="565" w:type="pct"/>
            <w:noWrap w:val="0"/>
            <w:tcMar>
              <w:top w:w="0" w:type="dxa"/>
              <w:left w:w="108" w:type="dxa"/>
              <w:bottom w:w="0" w:type="dxa"/>
              <w:right w:w="108" w:type="dxa"/>
            </w:tcMar>
            <w:vAlign w:val="center"/>
          </w:tcPr>
          <w:p w14:paraId="1C3E9F0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0.010</w:t>
            </w:r>
          </w:p>
        </w:tc>
        <w:tc>
          <w:tcPr>
            <w:tcW w:w="577" w:type="pct"/>
            <w:noWrap w:val="0"/>
            <w:tcMar>
              <w:top w:w="0" w:type="dxa"/>
              <w:left w:w="108" w:type="dxa"/>
              <w:bottom w:w="0" w:type="dxa"/>
              <w:right w:w="108" w:type="dxa"/>
            </w:tcMar>
            <w:vAlign w:val="center"/>
          </w:tcPr>
          <w:p w14:paraId="17529AC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0.006</w:t>
            </w:r>
          </w:p>
        </w:tc>
        <w:tc>
          <w:tcPr>
            <w:tcW w:w="570" w:type="pct"/>
            <w:noWrap w:val="0"/>
            <w:tcMar>
              <w:top w:w="0" w:type="dxa"/>
              <w:left w:w="108" w:type="dxa"/>
              <w:bottom w:w="0" w:type="dxa"/>
              <w:right w:w="108" w:type="dxa"/>
            </w:tcMar>
            <w:vAlign w:val="center"/>
          </w:tcPr>
          <w:p w14:paraId="7A28224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0.008</w:t>
            </w:r>
          </w:p>
        </w:tc>
      </w:tr>
      <w:tr w14:paraId="5F9134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6AD38B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58E956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铅</w:t>
            </w:r>
          </w:p>
        </w:tc>
        <w:tc>
          <w:tcPr>
            <w:tcW w:w="384" w:type="pct"/>
            <w:noWrap w:val="0"/>
            <w:vAlign w:val="center"/>
          </w:tcPr>
          <w:p w14:paraId="399C6C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4A4A5C4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0.004</w:t>
            </w:r>
          </w:p>
        </w:tc>
        <w:tc>
          <w:tcPr>
            <w:tcW w:w="565" w:type="pct"/>
            <w:noWrap w:val="0"/>
            <w:tcMar>
              <w:top w:w="0" w:type="dxa"/>
              <w:left w:w="108" w:type="dxa"/>
              <w:bottom w:w="0" w:type="dxa"/>
              <w:right w:w="108" w:type="dxa"/>
            </w:tcMar>
            <w:vAlign w:val="center"/>
          </w:tcPr>
          <w:p w14:paraId="59F8AC8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0.006</w:t>
            </w:r>
          </w:p>
        </w:tc>
        <w:tc>
          <w:tcPr>
            <w:tcW w:w="571" w:type="pct"/>
            <w:noWrap w:val="0"/>
            <w:tcMar>
              <w:top w:w="0" w:type="dxa"/>
              <w:left w:w="108" w:type="dxa"/>
              <w:bottom w:w="0" w:type="dxa"/>
              <w:right w:w="108" w:type="dxa"/>
            </w:tcMar>
            <w:vAlign w:val="center"/>
          </w:tcPr>
          <w:p w14:paraId="011B231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0.004</w:t>
            </w:r>
          </w:p>
        </w:tc>
        <w:tc>
          <w:tcPr>
            <w:tcW w:w="565" w:type="pct"/>
            <w:noWrap w:val="0"/>
            <w:tcMar>
              <w:top w:w="0" w:type="dxa"/>
              <w:left w:w="108" w:type="dxa"/>
              <w:bottom w:w="0" w:type="dxa"/>
              <w:right w:w="108" w:type="dxa"/>
            </w:tcMar>
            <w:vAlign w:val="center"/>
          </w:tcPr>
          <w:p w14:paraId="2ACACEF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0.006</w:t>
            </w:r>
          </w:p>
        </w:tc>
        <w:tc>
          <w:tcPr>
            <w:tcW w:w="577" w:type="pct"/>
            <w:noWrap w:val="0"/>
            <w:tcMar>
              <w:top w:w="0" w:type="dxa"/>
              <w:left w:w="108" w:type="dxa"/>
              <w:bottom w:w="0" w:type="dxa"/>
              <w:right w:w="108" w:type="dxa"/>
            </w:tcMar>
            <w:vAlign w:val="center"/>
          </w:tcPr>
          <w:p w14:paraId="4057CE9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0.006</w:t>
            </w:r>
          </w:p>
        </w:tc>
        <w:tc>
          <w:tcPr>
            <w:tcW w:w="570" w:type="pct"/>
            <w:noWrap w:val="0"/>
            <w:tcMar>
              <w:top w:w="0" w:type="dxa"/>
              <w:left w:w="108" w:type="dxa"/>
              <w:bottom w:w="0" w:type="dxa"/>
              <w:right w:w="108" w:type="dxa"/>
            </w:tcMar>
            <w:vAlign w:val="center"/>
          </w:tcPr>
          <w:p w14:paraId="4354263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0.006</w:t>
            </w:r>
          </w:p>
        </w:tc>
      </w:tr>
      <w:tr w14:paraId="35FC86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006D41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1DFBE4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氰化物</w:t>
            </w:r>
          </w:p>
        </w:tc>
        <w:tc>
          <w:tcPr>
            <w:tcW w:w="384" w:type="pct"/>
            <w:noWrap w:val="0"/>
            <w:vAlign w:val="center"/>
          </w:tcPr>
          <w:p w14:paraId="1ACA3F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3A2EF7F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0.001L</w:t>
            </w:r>
          </w:p>
        </w:tc>
        <w:tc>
          <w:tcPr>
            <w:tcW w:w="565" w:type="pct"/>
            <w:noWrap w:val="0"/>
            <w:tcMar>
              <w:top w:w="0" w:type="dxa"/>
              <w:left w:w="108" w:type="dxa"/>
              <w:bottom w:w="0" w:type="dxa"/>
              <w:right w:w="108" w:type="dxa"/>
            </w:tcMar>
            <w:vAlign w:val="center"/>
          </w:tcPr>
          <w:p w14:paraId="68F31C1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0.001L</w:t>
            </w:r>
          </w:p>
        </w:tc>
        <w:tc>
          <w:tcPr>
            <w:tcW w:w="571" w:type="pct"/>
            <w:noWrap w:val="0"/>
            <w:tcMar>
              <w:top w:w="0" w:type="dxa"/>
              <w:left w:w="108" w:type="dxa"/>
              <w:bottom w:w="0" w:type="dxa"/>
              <w:right w:w="108" w:type="dxa"/>
            </w:tcMar>
            <w:vAlign w:val="center"/>
          </w:tcPr>
          <w:p w14:paraId="086586D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0.001L</w:t>
            </w:r>
          </w:p>
        </w:tc>
        <w:tc>
          <w:tcPr>
            <w:tcW w:w="565" w:type="pct"/>
            <w:noWrap w:val="0"/>
            <w:tcMar>
              <w:top w:w="0" w:type="dxa"/>
              <w:left w:w="108" w:type="dxa"/>
              <w:bottom w:w="0" w:type="dxa"/>
              <w:right w:w="108" w:type="dxa"/>
            </w:tcMar>
            <w:vAlign w:val="center"/>
          </w:tcPr>
          <w:p w14:paraId="1F74AB1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0.001L</w:t>
            </w:r>
          </w:p>
        </w:tc>
        <w:tc>
          <w:tcPr>
            <w:tcW w:w="577" w:type="pct"/>
            <w:noWrap w:val="0"/>
            <w:tcMar>
              <w:top w:w="0" w:type="dxa"/>
              <w:left w:w="108" w:type="dxa"/>
              <w:bottom w:w="0" w:type="dxa"/>
              <w:right w:w="108" w:type="dxa"/>
            </w:tcMar>
            <w:vAlign w:val="center"/>
          </w:tcPr>
          <w:p w14:paraId="61E7E53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0.001L</w:t>
            </w:r>
          </w:p>
        </w:tc>
        <w:tc>
          <w:tcPr>
            <w:tcW w:w="570" w:type="pct"/>
            <w:noWrap w:val="0"/>
            <w:tcMar>
              <w:top w:w="0" w:type="dxa"/>
              <w:left w:w="108" w:type="dxa"/>
              <w:bottom w:w="0" w:type="dxa"/>
              <w:right w:w="108" w:type="dxa"/>
            </w:tcMar>
            <w:vAlign w:val="center"/>
          </w:tcPr>
          <w:p w14:paraId="1110845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0.001L</w:t>
            </w:r>
          </w:p>
        </w:tc>
      </w:tr>
      <w:tr w14:paraId="16B8DF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207F32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434F7F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挥发酚</w:t>
            </w:r>
          </w:p>
        </w:tc>
        <w:tc>
          <w:tcPr>
            <w:tcW w:w="384" w:type="pct"/>
            <w:noWrap w:val="0"/>
            <w:vAlign w:val="center"/>
          </w:tcPr>
          <w:p w14:paraId="275FBE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6606352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65" w:type="pct"/>
            <w:noWrap w:val="0"/>
            <w:tcMar>
              <w:top w:w="0" w:type="dxa"/>
              <w:left w:w="108" w:type="dxa"/>
              <w:bottom w:w="0" w:type="dxa"/>
              <w:right w:w="108" w:type="dxa"/>
            </w:tcMar>
            <w:vAlign w:val="center"/>
          </w:tcPr>
          <w:p w14:paraId="5408C73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71" w:type="pct"/>
            <w:noWrap w:val="0"/>
            <w:tcMar>
              <w:top w:w="0" w:type="dxa"/>
              <w:left w:w="108" w:type="dxa"/>
              <w:bottom w:w="0" w:type="dxa"/>
              <w:right w:w="108" w:type="dxa"/>
            </w:tcMar>
            <w:vAlign w:val="center"/>
          </w:tcPr>
          <w:p w14:paraId="79C1E50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65" w:type="pct"/>
            <w:noWrap w:val="0"/>
            <w:tcMar>
              <w:top w:w="0" w:type="dxa"/>
              <w:left w:w="108" w:type="dxa"/>
              <w:bottom w:w="0" w:type="dxa"/>
              <w:right w:w="108" w:type="dxa"/>
            </w:tcMar>
            <w:vAlign w:val="center"/>
          </w:tcPr>
          <w:p w14:paraId="0312D9B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77" w:type="pct"/>
            <w:noWrap w:val="0"/>
            <w:tcMar>
              <w:top w:w="0" w:type="dxa"/>
              <w:left w:w="108" w:type="dxa"/>
              <w:bottom w:w="0" w:type="dxa"/>
              <w:right w:w="108" w:type="dxa"/>
            </w:tcMar>
            <w:vAlign w:val="center"/>
          </w:tcPr>
          <w:p w14:paraId="4FD28B7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c>
          <w:tcPr>
            <w:tcW w:w="570" w:type="pct"/>
            <w:noWrap w:val="0"/>
            <w:tcMar>
              <w:top w:w="0" w:type="dxa"/>
              <w:left w:w="108" w:type="dxa"/>
              <w:bottom w:w="0" w:type="dxa"/>
              <w:right w:w="108" w:type="dxa"/>
            </w:tcMar>
            <w:vAlign w:val="center"/>
          </w:tcPr>
          <w:p w14:paraId="44CC2BF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0.0003L</w:t>
            </w:r>
          </w:p>
        </w:tc>
      </w:tr>
      <w:tr w14:paraId="1ACE2F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6EEDF3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13E571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石油类</w:t>
            </w:r>
          </w:p>
        </w:tc>
        <w:tc>
          <w:tcPr>
            <w:tcW w:w="384" w:type="pct"/>
            <w:noWrap w:val="0"/>
            <w:vAlign w:val="center"/>
          </w:tcPr>
          <w:p w14:paraId="164DC3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2050E87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65" w:type="pct"/>
            <w:noWrap w:val="0"/>
            <w:tcMar>
              <w:top w:w="0" w:type="dxa"/>
              <w:left w:w="108" w:type="dxa"/>
              <w:bottom w:w="0" w:type="dxa"/>
              <w:right w:w="108" w:type="dxa"/>
            </w:tcMar>
            <w:vAlign w:val="center"/>
          </w:tcPr>
          <w:p w14:paraId="24F0C7A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71" w:type="pct"/>
            <w:noWrap w:val="0"/>
            <w:tcMar>
              <w:top w:w="0" w:type="dxa"/>
              <w:left w:w="108" w:type="dxa"/>
              <w:bottom w:w="0" w:type="dxa"/>
              <w:right w:w="108" w:type="dxa"/>
            </w:tcMar>
            <w:vAlign w:val="center"/>
          </w:tcPr>
          <w:p w14:paraId="46061A0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65" w:type="pct"/>
            <w:noWrap w:val="0"/>
            <w:tcMar>
              <w:top w:w="0" w:type="dxa"/>
              <w:left w:w="108" w:type="dxa"/>
              <w:bottom w:w="0" w:type="dxa"/>
              <w:right w:w="108" w:type="dxa"/>
            </w:tcMar>
            <w:vAlign w:val="center"/>
          </w:tcPr>
          <w:p w14:paraId="45281DF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77" w:type="pct"/>
            <w:noWrap w:val="0"/>
            <w:tcMar>
              <w:top w:w="0" w:type="dxa"/>
              <w:left w:w="108" w:type="dxa"/>
              <w:bottom w:w="0" w:type="dxa"/>
              <w:right w:w="108" w:type="dxa"/>
            </w:tcMar>
            <w:vAlign w:val="center"/>
          </w:tcPr>
          <w:p w14:paraId="6E1F21D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70" w:type="pct"/>
            <w:noWrap w:val="0"/>
            <w:tcMar>
              <w:top w:w="0" w:type="dxa"/>
              <w:left w:w="108" w:type="dxa"/>
              <w:bottom w:w="0" w:type="dxa"/>
              <w:right w:w="108" w:type="dxa"/>
            </w:tcMar>
            <w:vAlign w:val="center"/>
          </w:tcPr>
          <w:p w14:paraId="6995E65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r>
      <w:tr w14:paraId="633B20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746D51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6C064C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rPr>
              <w:t>阴离子表面活性剂</w:t>
            </w:r>
          </w:p>
        </w:tc>
        <w:tc>
          <w:tcPr>
            <w:tcW w:w="384" w:type="pct"/>
            <w:noWrap w:val="0"/>
            <w:vAlign w:val="center"/>
          </w:tcPr>
          <w:p w14:paraId="332C63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4ABF60F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65" w:type="pct"/>
            <w:noWrap w:val="0"/>
            <w:tcMar>
              <w:top w:w="0" w:type="dxa"/>
              <w:left w:w="108" w:type="dxa"/>
              <w:bottom w:w="0" w:type="dxa"/>
              <w:right w:w="108" w:type="dxa"/>
            </w:tcMar>
            <w:vAlign w:val="center"/>
          </w:tcPr>
          <w:p w14:paraId="1B29D34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71" w:type="pct"/>
            <w:noWrap w:val="0"/>
            <w:tcMar>
              <w:top w:w="0" w:type="dxa"/>
              <w:left w:w="108" w:type="dxa"/>
              <w:bottom w:w="0" w:type="dxa"/>
              <w:right w:w="108" w:type="dxa"/>
            </w:tcMar>
            <w:vAlign w:val="center"/>
          </w:tcPr>
          <w:p w14:paraId="61C1D3C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65" w:type="pct"/>
            <w:noWrap w:val="0"/>
            <w:tcMar>
              <w:top w:w="0" w:type="dxa"/>
              <w:left w:w="108" w:type="dxa"/>
              <w:bottom w:w="0" w:type="dxa"/>
              <w:right w:w="108" w:type="dxa"/>
            </w:tcMar>
            <w:vAlign w:val="center"/>
          </w:tcPr>
          <w:p w14:paraId="1AA9071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77" w:type="pct"/>
            <w:noWrap w:val="0"/>
            <w:tcMar>
              <w:top w:w="0" w:type="dxa"/>
              <w:left w:w="108" w:type="dxa"/>
              <w:bottom w:w="0" w:type="dxa"/>
              <w:right w:w="108" w:type="dxa"/>
            </w:tcMar>
            <w:vAlign w:val="center"/>
          </w:tcPr>
          <w:p w14:paraId="2F24DBC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c>
          <w:tcPr>
            <w:tcW w:w="570" w:type="pct"/>
            <w:noWrap w:val="0"/>
            <w:tcMar>
              <w:top w:w="0" w:type="dxa"/>
              <w:left w:w="108" w:type="dxa"/>
              <w:bottom w:w="0" w:type="dxa"/>
              <w:right w:w="108" w:type="dxa"/>
            </w:tcMar>
            <w:vAlign w:val="center"/>
          </w:tcPr>
          <w:p w14:paraId="262F790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0.05L</w:t>
            </w:r>
          </w:p>
        </w:tc>
      </w:tr>
      <w:tr w14:paraId="29A692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635B20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0AB639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kern w:val="2"/>
                <w:sz w:val="21"/>
                <w:szCs w:val="21"/>
                <w:lang w:val="en-US" w:eastAsia="zh-CN" w:bidi="ar-SA"/>
              </w:rPr>
              <w:t>硫化物</w:t>
            </w:r>
          </w:p>
        </w:tc>
        <w:tc>
          <w:tcPr>
            <w:tcW w:w="384" w:type="pct"/>
            <w:noWrap w:val="0"/>
            <w:vAlign w:val="center"/>
          </w:tcPr>
          <w:p w14:paraId="0370C1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1173C88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65" w:type="pct"/>
            <w:noWrap w:val="0"/>
            <w:tcMar>
              <w:top w:w="0" w:type="dxa"/>
              <w:left w:w="108" w:type="dxa"/>
              <w:bottom w:w="0" w:type="dxa"/>
              <w:right w:w="108" w:type="dxa"/>
            </w:tcMar>
            <w:vAlign w:val="center"/>
          </w:tcPr>
          <w:p w14:paraId="479A36E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71" w:type="pct"/>
            <w:noWrap w:val="0"/>
            <w:tcMar>
              <w:top w:w="0" w:type="dxa"/>
              <w:left w:w="108" w:type="dxa"/>
              <w:bottom w:w="0" w:type="dxa"/>
              <w:right w:w="108" w:type="dxa"/>
            </w:tcMar>
            <w:vAlign w:val="center"/>
          </w:tcPr>
          <w:p w14:paraId="3F190D1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65" w:type="pct"/>
            <w:noWrap w:val="0"/>
            <w:tcMar>
              <w:top w:w="0" w:type="dxa"/>
              <w:left w:w="108" w:type="dxa"/>
              <w:bottom w:w="0" w:type="dxa"/>
              <w:right w:w="108" w:type="dxa"/>
            </w:tcMar>
            <w:vAlign w:val="center"/>
          </w:tcPr>
          <w:p w14:paraId="7F2F338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77" w:type="pct"/>
            <w:noWrap w:val="0"/>
            <w:tcMar>
              <w:top w:w="0" w:type="dxa"/>
              <w:left w:w="108" w:type="dxa"/>
              <w:bottom w:w="0" w:type="dxa"/>
              <w:right w:w="108" w:type="dxa"/>
            </w:tcMar>
            <w:vAlign w:val="center"/>
          </w:tcPr>
          <w:p w14:paraId="35E5AD2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c>
          <w:tcPr>
            <w:tcW w:w="570" w:type="pct"/>
            <w:noWrap w:val="0"/>
            <w:tcMar>
              <w:top w:w="0" w:type="dxa"/>
              <w:left w:w="108" w:type="dxa"/>
              <w:bottom w:w="0" w:type="dxa"/>
              <w:right w:w="108" w:type="dxa"/>
            </w:tcMar>
            <w:vAlign w:val="center"/>
          </w:tcPr>
          <w:p w14:paraId="320C22F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0.01L</w:t>
            </w:r>
          </w:p>
        </w:tc>
      </w:tr>
      <w:tr w14:paraId="72E281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1BB28C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6AAC38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color w:val="auto"/>
                <w:spacing w:val="0"/>
                <w:sz w:val="21"/>
                <w:szCs w:val="21"/>
                <w:lang w:val="en-US" w:eastAsia="zh-CN"/>
              </w:rPr>
              <w:t>粪大肠菌群</w:t>
            </w:r>
          </w:p>
        </w:tc>
        <w:tc>
          <w:tcPr>
            <w:tcW w:w="384" w:type="pct"/>
            <w:noWrap w:val="0"/>
            <w:vAlign w:val="center"/>
          </w:tcPr>
          <w:p w14:paraId="1F3E29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MPN/L</w:t>
            </w:r>
          </w:p>
        </w:tc>
        <w:tc>
          <w:tcPr>
            <w:tcW w:w="590" w:type="pct"/>
            <w:noWrap w:val="0"/>
            <w:tcMar>
              <w:top w:w="0" w:type="dxa"/>
              <w:left w:w="108" w:type="dxa"/>
              <w:bottom w:w="0" w:type="dxa"/>
              <w:right w:w="108" w:type="dxa"/>
            </w:tcMar>
            <w:vAlign w:val="center"/>
          </w:tcPr>
          <w:p w14:paraId="0CF5EA4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20L</w:t>
            </w:r>
          </w:p>
        </w:tc>
        <w:tc>
          <w:tcPr>
            <w:tcW w:w="565" w:type="pct"/>
            <w:noWrap w:val="0"/>
            <w:tcMar>
              <w:top w:w="0" w:type="dxa"/>
              <w:left w:w="108" w:type="dxa"/>
              <w:bottom w:w="0" w:type="dxa"/>
              <w:right w:w="108" w:type="dxa"/>
            </w:tcMar>
            <w:vAlign w:val="center"/>
          </w:tcPr>
          <w:p w14:paraId="5B2A8E3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20L</w:t>
            </w:r>
          </w:p>
        </w:tc>
        <w:tc>
          <w:tcPr>
            <w:tcW w:w="571" w:type="pct"/>
            <w:noWrap w:val="0"/>
            <w:tcMar>
              <w:top w:w="0" w:type="dxa"/>
              <w:left w:w="108" w:type="dxa"/>
              <w:bottom w:w="0" w:type="dxa"/>
              <w:right w:w="108" w:type="dxa"/>
            </w:tcMar>
            <w:vAlign w:val="center"/>
          </w:tcPr>
          <w:p w14:paraId="3C1E3FC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20L</w:t>
            </w:r>
          </w:p>
        </w:tc>
        <w:tc>
          <w:tcPr>
            <w:tcW w:w="565" w:type="pct"/>
            <w:noWrap w:val="0"/>
            <w:tcMar>
              <w:top w:w="0" w:type="dxa"/>
              <w:left w:w="108" w:type="dxa"/>
              <w:bottom w:w="0" w:type="dxa"/>
              <w:right w:w="108" w:type="dxa"/>
            </w:tcMar>
            <w:vAlign w:val="center"/>
          </w:tcPr>
          <w:p w14:paraId="15D7803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20L</w:t>
            </w:r>
          </w:p>
        </w:tc>
        <w:tc>
          <w:tcPr>
            <w:tcW w:w="577" w:type="pct"/>
            <w:noWrap w:val="0"/>
            <w:tcMar>
              <w:top w:w="0" w:type="dxa"/>
              <w:left w:w="108" w:type="dxa"/>
              <w:bottom w:w="0" w:type="dxa"/>
              <w:right w:w="108" w:type="dxa"/>
            </w:tcMar>
            <w:vAlign w:val="center"/>
          </w:tcPr>
          <w:p w14:paraId="6D078FA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20L</w:t>
            </w:r>
          </w:p>
        </w:tc>
        <w:tc>
          <w:tcPr>
            <w:tcW w:w="570" w:type="pct"/>
            <w:noWrap w:val="0"/>
            <w:tcMar>
              <w:top w:w="0" w:type="dxa"/>
              <w:left w:w="108" w:type="dxa"/>
              <w:bottom w:w="0" w:type="dxa"/>
              <w:right w:w="108" w:type="dxa"/>
            </w:tcMar>
            <w:vAlign w:val="center"/>
          </w:tcPr>
          <w:p w14:paraId="5628FA5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20L</w:t>
            </w:r>
          </w:p>
        </w:tc>
      </w:tr>
      <w:tr w14:paraId="1B0540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5CD351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3151D8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悬浮物</w:t>
            </w:r>
          </w:p>
        </w:tc>
        <w:tc>
          <w:tcPr>
            <w:tcW w:w="384" w:type="pct"/>
            <w:noWrap w:val="0"/>
            <w:vAlign w:val="center"/>
          </w:tcPr>
          <w:p w14:paraId="261B7E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
              </w:rPr>
            </w:pPr>
            <w:r>
              <w:rPr>
                <w:rFonts w:hint="default" w:ascii="Times New Roman" w:hAnsi="Times New Roman" w:eastAsia="宋体" w:cs="Times New Roman"/>
                <w:color w:val="auto"/>
                <w:spacing w:val="0"/>
                <w:kern w:val="0"/>
                <w:sz w:val="21"/>
                <w:szCs w:val="21"/>
                <w:lang w:val="en-US" w:eastAsia="zh-CN" w:bidi="ar"/>
              </w:rPr>
              <w:t>mg/L</w:t>
            </w:r>
          </w:p>
        </w:tc>
        <w:tc>
          <w:tcPr>
            <w:tcW w:w="590" w:type="pct"/>
            <w:noWrap w:val="0"/>
            <w:tcMar>
              <w:top w:w="0" w:type="dxa"/>
              <w:left w:w="108" w:type="dxa"/>
              <w:bottom w:w="0" w:type="dxa"/>
              <w:right w:w="108" w:type="dxa"/>
            </w:tcMar>
            <w:vAlign w:val="center"/>
          </w:tcPr>
          <w:p w14:paraId="3384A68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20</w:t>
            </w:r>
          </w:p>
        </w:tc>
        <w:tc>
          <w:tcPr>
            <w:tcW w:w="565" w:type="pct"/>
            <w:noWrap w:val="0"/>
            <w:tcMar>
              <w:top w:w="0" w:type="dxa"/>
              <w:left w:w="108" w:type="dxa"/>
              <w:bottom w:w="0" w:type="dxa"/>
              <w:right w:w="108" w:type="dxa"/>
            </w:tcMar>
            <w:vAlign w:val="center"/>
          </w:tcPr>
          <w:p w14:paraId="680A0EC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15</w:t>
            </w:r>
          </w:p>
        </w:tc>
        <w:tc>
          <w:tcPr>
            <w:tcW w:w="571" w:type="pct"/>
            <w:noWrap w:val="0"/>
            <w:tcMar>
              <w:top w:w="0" w:type="dxa"/>
              <w:left w:w="108" w:type="dxa"/>
              <w:bottom w:w="0" w:type="dxa"/>
              <w:right w:w="108" w:type="dxa"/>
            </w:tcMar>
            <w:vAlign w:val="center"/>
          </w:tcPr>
          <w:p w14:paraId="48B11A1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16</w:t>
            </w:r>
          </w:p>
        </w:tc>
        <w:tc>
          <w:tcPr>
            <w:tcW w:w="565" w:type="pct"/>
            <w:noWrap w:val="0"/>
            <w:tcMar>
              <w:top w:w="0" w:type="dxa"/>
              <w:left w:w="108" w:type="dxa"/>
              <w:bottom w:w="0" w:type="dxa"/>
              <w:right w:w="108" w:type="dxa"/>
            </w:tcMar>
            <w:vAlign w:val="center"/>
          </w:tcPr>
          <w:p w14:paraId="084D790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18</w:t>
            </w:r>
          </w:p>
        </w:tc>
        <w:tc>
          <w:tcPr>
            <w:tcW w:w="577" w:type="pct"/>
            <w:noWrap w:val="0"/>
            <w:tcMar>
              <w:top w:w="0" w:type="dxa"/>
              <w:left w:w="108" w:type="dxa"/>
              <w:bottom w:w="0" w:type="dxa"/>
              <w:right w:w="108" w:type="dxa"/>
            </w:tcMar>
            <w:vAlign w:val="center"/>
          </w:tcPr>
          <w:p w14:paraId="5FB495F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13</w:t>
            </w:r>
          </w:p>
        </w:tc>
        <w:tc>
          <w:tcPr>
            <w:tcW w:w="570" w:type="pct"/>
            <w:noWrap w:val="0"/>
            <w:tcMar>
              <w:top w:w="0" w:type="dxa"/>
              <w:left w:w="108" w:type="dxa"/>
              <w:bottom w:w="0" w:type="dxa"/>
              <w:right w:w="108" w:type="dxa"/>
            </w:tcMar>
            <w:vAlign w:val="center"/>
          </w:tcPr>
          <w:p w14:paraId="61635E7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14</w:t>
            </w:r>
          </w:p>
        </w:tc>
      </w:tr>
      <w:tr w14:paraId="75FB05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7CE0E2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7364E4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流量</w:t>
            </w:r>
          </w:p>
        </w:tc>
        <w:tc>
          <w:tcPr>
            <w:tcW w:w="384" w:type="pct"/>
            <w:noWrap w:val="0"/>
            <w:vAlign w:val="center"/>
          </w:tcPr>
          <w:p w14:paraId="589E12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m</w:t>
            </w:r>
            <w:r>
              <w:rPr>
                <w:rFonts w:hint="default" w:ascii="Times New Roman" w:hAnsi="Times New Roman" w:eastAsia="宋体" w:cs="Times New Roman"/>
                <w:b w:val="0"/>
                <w:i w:val="0"/>
                <w:color w:val="auto"/>
                <w:spacing w:val="0"/>
                <w:kern w:val="0"/>
                <w:sz w:val="21"/>
                <w:szCs w:val="21"/>
                <w:vertAlign w:val="superscript"/>
                <w:lang w:val="en-US" w:eastAsia="zh-CN"/>
              </w:rPr>
              <w:t>3</w:t>
            </w:r>
            <w:r>
              <w:rPr>
                <w:rFonts w:hint="default" w:ascii="Times New Roman" w:hAnsi="Times New Roman" w:eastAsia="宋体" w:cs="Times New Roman"/>
                <w:color w:val="auto"/>
                <w:spacing w:val="0"/>
                <w:kern w:val="0"/>
                <w:sz w:val="21"/>
                <w:szCs w:val="21"/>
                <w:lang w:val="en-US" w:eastAsia="zh-CN"/>
              </w:rPr>
              <w:t>/h</w:t>
            </w:r>
          </w:p>
        </w:tc>
        <w:tc>
          <w:tcPr>
            <w:tcW w:w="590" w:type="pct"/>
            <w:noWrap w:val="0"/>
            <w:tcMar>
              <w:top w:w="0" w:type="dxa"/>
              <w:left w:w="108" w:type="dxa"/>
              <w:bottom w:w="0" w:type="dxa"/>
              <w:right w:w="108" w:type="dxa"/>
            </w:tcMar>
            <w:vAlign w:val="center"/>
          </w:tcPr>
          <w:p w14:paraId="31B8FB3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356</w:t>
            </w:r>
          </w:p>
        </w:tc>
        <w:tc>
          <w:tcPr>
            <w:tcW w:w="565" w:type="pct"/>
            <w:noWrap w:val="0"/>
            <w:tcMar>
              <w:top w:w="0" w:type="dxa"/>
              <w:left w:w="108" w:type="dxa"/>
              <w:bottom w:w="0" w:type="dxa"/>
              <w:right w:w="108" w:type="dxa"/>
            </w:tcMar>
            <w:vAlign w:val="center"/>
          </w:tcPr>
          <w:p w14:paraId="1D18675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356</w:t>
            </w:r>
          </w:p>
        </w:tc>
        <w:tc>
          <w:tcPr>
            <w:tcW w:w="571" w:type="pct"/>
            <w:noWrap w:val="0"/>
            <w:tcMar>
              <w:top w:w="0" w:type="dxa"/>
              <w:left w:w="108" w:type="dxa"/>
              <w:bottom w:w="0" w:type="dxa"/>
              <w:right w:w="108" w:type="dxa"/>
            </w:tcMar>
            <w:vAlign w:val="center"/>
          </w:tcPr>
          <w:p w14:paraId="5B94884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575</w:t>
            </w:r>
          </w:p>
        </w:tc>
        <w:tc>
          <w:tcPr>
            <w:tcW w:w="565" w:type="pct"/>
            <w:noWrap w:val="0"/>
            <w:tcMar>
              <w:top w:w="0" w:type="dxa"/>
              <w:left w:w="108" w:type="dxa"/>
              <w:bottom w:w="0" w:type="dxa"/>
              <w:right w:w="108" w:type="dxa"/>
            </w:tcMar>
            <w:vAlign w:val="center"/>
          </w:tcPr>
          <w:p w14:paraId="0FB37B1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296438</w:t>
            </w:r>
          </w:p>
        </w:tc>
        <w:tc>
          <w:tcPr>
            <w:tcW w:w="577" w:type="pct"/>
            <w:noWrap w:val="0"/>
            <w:tcMar>
              <w:top w:w="0" w:type="dxa"/>
              <w:left w:w="108" w:type="dxa"/>
              <w:bottom w:w="0" w:type="dxa"/>
              <w:right w:w="108" w:type="dxa"/>
            </w:tcMar>
            <w:vAlign w:val="center"/>
          </w:tcPr>
          <w:p w14:paraId="0EBFAFF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479520</w:t>
            </w:r>
          </w:p>
        </w:tc>
        <w:tc>
          <w:tcPr>
            <w:tcW w:w="570" w:type="pct"/>
            <w:noWrap w:val="0"/>
            <w:tcMar>
              <w:top w:w="0" w:type="dxa"/>
              <w:left w:w="108" w:type="dxa"/>
              <w:bottom w:w="0" w:type="dxa"/>
              <w:right w:w="108" w:type="dxa"/>
            </w:tcMar>
            <w:vAlign w:val="center"/>
          </w:tcPr>
          <w:p w14:paraId="4E896FA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518400</w:t>
            </w:r>
          </w:p>
        </w:tc>
      </w:tr>
      <w:tr w14:paraId="11866C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64" w:type="pct"/>
            <w:vMerge w:val="continue"/>
            <w:noWrap w:val="0"/>
            <w:tcMar>
              <w:top w:w="0" w:type="dxa"/>
              <w:left w:w="108" w:type="dxa"/>
              <w:bottom w:w="0" w:type="dxa"/>
              <w:right w:w="108" w:type="dxa"/>
            </w:tcMar>
            <w:vAlign w:val="center"/>
          </w:tcPr>
          <w:p w14:paraId="3DDBF3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rPr>
            </w:pPr>
          </w:p>
        </w:tc>
        <w:tc>
          <w:tcPr>
            <w:tcW w:w="809" w:type="pct"/>
            <w:noWrap w:val="0"/>
            <w:tcMar>
              <w:top w:w="0" w:type="dxa"/>
              <w:left w:w="108" w:type="dxa"/>
              <w:bottom w:w="0" w:type="dxa"/>
              <w:right w:w="108" w:type="dxa"/>
            </w:tcMar>
            <w:vAlign w:val="center"/>
          </w:tcPr>
          <w:p w14:paraId="28F349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流速</w:t>
            </w:r>
          </w:p>
        </w:tc>
        <w:tc>
          <w:tcPr>
            <w:tcW w:w="384" w:type="pct"/>
            <w:noWrap w:val="0"/>
            <w:vAlign w:val="center"/>
          </w:tcPr>
          <w:p w14:paraId="4A3235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m/s</w:t>
            </w:r>
          </w:p>
        </w:tc>
        <w:tc>
          <w:tcPr>
            <w:tcW w:w="590" w:type="pct"/>
            <w:noWrap w:val="0"/>
            <w:tcMar>
              <w:top w:w="0" w:type="dxa"/>
              <w:left w:w="108" w:type="dxa"/>
              <w:bottom w:w="0" w:type="dxa"/>
              <w:right w:w="108" w:type="dxa"/>
            </w:tcMar>
            <w:vAlign w:val="center"/>
          </w:tcPr>
          <w:p w14:paraId="573CB0D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0.38</w:t>
            </w:r>
          </w:p>
        </w:tc>
        <w:tc>
          <w:tcPr>
            <w:tcW w:w="565" w:type="pct"/>
            <w:noWrap w:val="0"/>
            <w:tcMar>
              <w:top w:w="0" w:type="dxa"/>
              <w:left w:w="108" w:type="dxa"/>
              <w:bottom w:w="0" w:type="dxa"/>
              <w:right w:w="108" w:type="dxa"/>
            </w:tcMar>
            <w:vAlign w:val="center"/>
          </w:tcPr>
          <w:p w14:paraId="2024A46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0.38</w:t>
            </w:r>
          </w:p>
        </w:tc>
        <w:tc>
          <w:tcPr>
            <w:tcW w:w="571" w:type="pct"/>
            <w:noWrap w:val="0"/>
            <w:tcMar>
              <w:top w:w="0" w:type="dxa"/>
              <w:left w:w="108" w:type="dxa"/>
              <w:bottom w:w="0" w:type="dxa"/>
              <w:right w:w="108" w:type="dxa"/>
            </w:tcMar>
            <w:vAlign w:val="center"/>
          </w:tcPr>
          <w:p w14:paraId="095A58C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sz w:val="21"/>
                <w:szCs w:val="21"/>
              </w:rPr>
              <w:t>0.47</w:t>
            </w:r>
          </w:p>
        </w:tc>
        <w:tc>
          <w:tcPr>
            <w:tcW w:w="565" w:type="pct"/>
            <w:noWrap w:val="0"/>
            <w:tcMar>
              <w:top w:w="0" w:type="dxa"/>
              <w:left w:w="108" w:type="dxa"/>
              <w:bottom w:w="0" w:type="dxa"/>
              <w:right w:w="108" w:type="dxa"/>
            </w:tcMar>
            <w:vAlign w:val="center"/>
          </w:tcPr>
          <w:p w14:paraId="19732D35">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0.94</w:t>
            </w:r>
          </w:p>
        </w:tc>
        <w:tc>
          <w:tcPr>
            <w:tcW w:w="577" w:type="pct"/>
            <w:noWrap w:val="0"/>
            <w:tcMar>
              <w:top w:w="0" w:type="dxa"/>
              <w:left w:w="108" w:type="dxa"/>
              <w:bottom w:w="0" w:type="dxa"/>
              <w:right w:w="108" w:type="dxa"/>
            </w:tcMar>
            <w:vAlign w:val="center"/>
          </w:tcPr>
          <w:p w14:paraId="13808F6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1.00</w:t>
            </w:r>
          </w:p>
        </w:tc>
        <w:tc>
          <w:tcPr>
            <w:tcW w:w="570" w:type="pct"/>
            <w:noWrap w:val="0"/>
            <w:tcMar>
              <w:top w:w="0" w:type="dxa"/>
              <w:left w:w="108" w:type="dxa"/>
              <w:bottom w:w="0" w:type="dxa"/>
              <w:right w:w="108" w:type="dxa"/>
            </w:tcMar>
            <w:vAlign w:val="center"/>
          </w:tcPr>
          <w:p w14:paraId="4DCDEDD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sz w:val="21"/>
                <w:szCs w:val="21"/>
              </w:rPr>
              <w:t>1.00</w:t>
            </w:r>
          </w:p>
        </w:tc>
      </w:tr>
    </w:tbl>
    <w:p w14:paraId="052DD12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2、枯水期</w:t>
      </w:r>
    </w:p>
    <w:p w14:paraId="18F9EAC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枯水期水质引用《鸡西市赢达源煤矿技术改造项目入河排污口设置论证报告》2025年10月9月~10月10日监测数据，监测点位于本项目排污口上游，监测点至本项目入河排污口河段无其他入河排污口，因此能反映穆棱河枯水期水质。</w:t>
      </w:r>
    </w:p>
    <w:p w14:paraId="618DEB90">
      <w:pPr>
        <w:spacing w:before="137" w:line="212" w:lineRule="auto"/>
        <w:jc w:val="center"/>
        <w:rPr>
          <w:rFonts w:ascii="宋体" w:hAnsi="宋体" w:eastAsia="宋体" w:cs="宋体"/>
          <w:b/>
          <w:bCs/>
          <w:color w:val="auto"/>
          <w:spacing w:val="-1"/>
          <w:sz w:val="24"/>
          <w:szCs w:val="24"/>
        </w:rPr>
      </w:pPr>
    </w:p>
    <w:p w14:paraId="02205B17">
      <w:pPr>
        <w:spacing w:before="137" w:line="212" w:lineRule="auto"/>
        <w:jc w:val="center"/>
        <w:rPr>
          <w:rFonts w:ascii="宋体" w:hAnsi="宋体" w:eastAsia="宋体" w:cs="宋体"/>
          <w:color w:val="auto"/>
          <w:sz w:val="24"/>
          <w:szCs w:val="24"/>
        </w:rPr>
      </w:pPr>
      <w:r>
        <w:rPr>
          <w:rFonts w:ascii="宋体" w:hAnsi="宋体" w:eastAsia="宋体" w:cs="宋体"/>
          <w:b/>
          <w:bCs/>
          <w:color w:val="auto"/>
          <w:spacing w:val="-1"/>
          <w:sz w:val="24"/>
          <w:szCs w:val="24"/>
        </w:rPr>
        <w:t>表</w:t>
      </w:r>
      <w:r>
        <w:rPr>
          <w:rFonts w:ascii="宋体" w:hAnsi="宋体" w:eastAsia="宋体" w:cs="宋体"/>
          <w:b/>
          <w:bCs/>
          <w:color w:val="auto"/>
          <w:spacing w:val="-38"/>
          <w:sz w:val="24"/>
          <w:szCs w:val="24"/>
        </w:rPr>
        <w:t xml:space="preserve"> </w:t>
      </w:r>
      <w:r>
        <w:rPr>
          <w:rFonts w:ascii="Times New Roman" w:hAnsi="Times New Roman" w:eastAsia="Times New Roman" w:cs="Times New Roman"/>
          <w:b/>
          <w:bCs/>
          <w:color w:val="auto"/>
          <w:spacing w:val="-1"/>
          <w:sz w:val="24"/>
          <w:szCs w:val="24"/>
        </w:rPr>
        <w:t>3</w:t>
      </w:r>
      <w:r>
        <w:rPr>
          <w:rFonts w:hint="eastAsia" w:ascii="Times New Roman" w:hAnsi="Times New Roman" w:eastAsia="宋体" w:cs="Times New Roman"/>
          <w:b/>
          <w:bCs/>
          <w:color w:val="auto"/>
          <w:spacing w:val="-1"/>
          <w:sz w:val="24"/>
          <w:szCs w:val="24"/>
          <w:lang w:val="en-US" w:eastAsia="zh-CN"/>
        </w:rPr>
        <w:t>-6</w:t>
      </w:r>
      <w:r>
        <w:rPr>
          <w:rFonts w:ascii="Times New Roman" w:hAnsi="Times New Roman" w:eastAsia="Times New Roman" w:cs="Times New Roman"/>
          <w:b/>
          <w:bCs/>
          <w:color w:val="auto"/>
          <w:spacing w:val="-1"/>
          <w:sz w:val="24"/>
          <w:szCs w:val="24"/>
        </w:rPr>
        <w:t xml:space="preserve">     </w:t>
      </w:r>
      <w:r>
        <w:rPr>
          <w:rFonts w:ascii="宋体" w:hAnsi="宋体" w:eastAsia="宋体" w:cs="宋体"/>
          <w:b/>
          <w:bCs/>
          <w:color w:val="auto"/>
          <w:spacing w:val="-1"/>
          <w:sz w:val="24"/>
          <w:szCs w:val="24"/>
        </w:rPr>
        <w:t>地表水</w:t>
      </w:r>
      <w:r>
        <w:rPr>
          <w:rFonts w:hint="eastAsia" w:ascii="宋体" w:hAnsi="宋体" w:eastAsia="宋体" w:cs="宋体"/>
          <w:b/>
          <w:bCs/>
          <w:color w:val="auto"/>
          <w:spacing w:val="-1"/>
          <w:sz w:val="24"/>
          <w:szCs w:val="24"/>
          <w:lang w:eastAsia="zh-CN"/>
        </w:rPr>
        <w:t>（</w:t>
      </w:r>
      <w:r>
        <w:rPr>
          <w:rFonts w:hint="eastAsia" w:ascii="宋体" w:hAnsi="宋体" w:eastAsia="宋体" w:cs="宋体"/>
          <w:b/>
          <w:bCs/>
          <w:color w:val="auto"/>
          <w:spacing w:val="-1"/>
          <w:sz w:val="24"/>
          <w:szCs w:val="24"/>
          <w:lang w:val="en-US" w:eastAsia="zh-CN"/>
        </w:rPr>
        <w:t>枯水期</w:t>
      </w:r>
      <w:r>
        <w:rPr>
          <w:rFonts w:hint="eastAsia" w:ascii="宋体" w:hAnsi="宋体" w:eastAsia="宋体" w:cs="宋体"/>
          <w:b/>
          <w:bCs/>
          <w:color w:val="auto"/>
          <w:spacing w:val="-1"/>
          <w:sz w:val="24"/>
          <w:szCs w:val="24"/>
          <w:lang w:eastAsia="zh-CN"/>
        </w:rPr>
        <w:t>）</w:t>
      </w:r>
      <w:r>
        <w:rPr>
          <w:rFonts w:ascii="宋体" w:hAnsi="宋体" w:eastAsia="宋体" w:cs="宋体"/>
          <w:b/>
          <w:bCs/>
          <w:color w:val="auto"/>
          <w:spacing w:val="-1"/>
          <w:sz w:val="24"/>
          <w:szCs w:val="24"/>
        </w:rPr>
        <w:t>水质监测结果统计一览表  （单位：</w:t>
      </w:r>
      <w:r>
        <w:rPr>
          <w:rFonts w:ascii="Times New Roman" w:hAnsi="Times New Roman" w:eastAsia="Times New Roman" w:cs="Times New Roman"/>
          <w:b/>
          <w:bCs/>
          <w:color w:val="auto"/>
          <w:spacing w:val="-1"/>
          <w:sz w:val="24"/>
          <w:szCs w:val="24"/>
        </w:rPr>
        <w:t>mg/L</w:t>
      </w:r>
      <w:r>
        <w:rPr>
          <w:rFonts w:ascii="宋体" w:hAnsi="宋体" w:eastAsia="宋体" w:cs="宋体"/>
          <w:b/>
          <w:bCs/>
          <w:color w:val="auto"/>
          <w:spacing w:val="-1"/>
          <w:sz w:val="24"/>
          <w:szCs w:val="24"/>
        </w:rPr>
        <w:t>）</w:t>
      </w:r>
    </w:p>
    <w:tbl>
      <w:tblPr>
        <w:tblStyle w:val="35"/>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84"/>
        <w:gridCol w:w="997"/>
        <w:gridCol w:w="1673"/>
        <w:gridCol w:w="1575"/>
        <w:gridCol w:w="1575"/>
        <w:gridCol w:w="1575"/>
      </w:tblGrid>
      <w:tr w14:paraId="1BBE34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ign w:val="center"/>
          </w:tcPr>
          <w:p w14:paraId="434FE4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监测项目</w:t>
            </w:r>
          </w:p>
        </w:tc>
        <w:tc>
          <w:tcPr>
            <w:tcW w:w="537" w:type="pct"/>
            <w:tcBorders>
              <w:tl2br w:val="nil"/>
              <w:tr2bl w:val="nil"/>
            </w:tcBorders>
            <w:noWrap/>
            <w:vAlign w:val="center"/>
          </w:tcPr>
          <w:p w14:paraId="13E35F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单位</w:t>
            </w:r>
          </w:p>
        </w:tc>
        <w:tc>
          <w:tcPr>
            <w:tcW w:w="901" w:type="pct"/>
            <w:tcBorders>
              <w:tl2br w:val="nil"/>
              <w:tr2bl w:val="nil"/>
            </w:tcBorders>
            <w:noWrap/>
            <w:vAlign w:val="center"/>
          </w:tcPr>
          <w:p w14:paraId="505C28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监测断面</w:t>
            </w:r>
          </w:p>
        </w:tc>
        <w:tc>
          <w:tcPr>
            <w:tcW w:w="848" w:type="pct"/>
            <w:tcBorders>
              <w:tl2br w:val="nil"/>
              <w:tr2bl w:val="nil"/>
            </w:tcBorders>
            <w:noWrap/>
            <w:vAlign w:val="center"/>
          </w:tcPr>
          <w:p w14:paraId="19244C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lang w:eastAsia="zh-CN"/>
              </w:rPr>
            </w:pPr>
            <w:r>
              <w:rPr>
                <w:rFonts w:hint="default" w:ascii="Times New Roman" w:hAnsi="Times New Roman" w:eastAsia="宋体" w:cs="Times New Roman"/>
                <w:bCs/>
                <w:color w:val="auto"/>
                <w:kern w:val="0"/>
                <w:sz w:val="21"/>
                <w:szCs w:val="21"/>
                <w:highlight w:val="none"/>
              </w:rPr>
              <w:t>监测</w:t>
            </w:r>
            <w:r>
              <w:rPr>
                <w:rFonts w:hint="default" w:ascii="Times New Roman" w:hAnsi="Times New Roman" w:eastAsia="宋体" w:cs="Times New Roman"/>
                <w:bCs/>
                <w:color w:val="auto"/>
                <w:kern w:val="0"/>
                <w:sz w:val="21"/>
                <w:szCs w:val="21"/>
                <w:highlight w:val="none"/>
                <w:lang w:val="en-US" w:eastAsia="zh-CN"/>
              </w:rPr>
              <w:t>结果</w:t>
            </w:r>
          </w:p>
        </w:tc>
        <w:tc>
          <w:tcPr>
            <w:tcW w:w="848" w:type="pct"/>
            <w:tcBorders>
              <w:tl2br w:val="nil"/>
              <w:tr2bl w:val="nil"/>
            </w:tcBorders>
            <w:noWrap/>
            <w:vAlign w:val="center"/>
          </w:tcPr>
          <w:p w14:paraId="34FCAB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限值</w:t>
            </w:r>
          </w:p>
        </w:tc>
        <w:tc>
          <w:tcPr>
            <w:tcW w:w="848" w:type="pct"/>
            <w:tcBorders>
              <w:tl2br w:val="nil"/>
              <w:tr2bl w:val="nil"/>
            </w:tcBorders>
            <w:noWrap/>
            <w:vAlign w:val="center"/>
          </w:tcPr>
          <w:p w14:paraId="7BC2A6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评价结果</w:t>
            </w:r>
          </w:p>
        </w:tc>
      </w:tr>
      <w:tr w14:paraId="22E330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416617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pH</w:t>
            </w:r>
          </w:p>
        </w:tc>
        <w:tc>
          <w:tcPr>
            <w:tcW w:w="537" w:type="pct"/>
            <w:tcBorders>
              <w:tl2br w:val="nil"/>
              <w:tr2bl w:val="nil"/>
            </w:tcBorders>
            <w:noWrap w:val="0"/>
            <w:vAlign w:val="center"/>
          </w:tcPr>
          <w:p w14:paraId="28B899A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无量纲</w:t>
            </w:r>
          </w:p>
        </w:tc>
        <w:tc>
          <w:tcPr>
            <w:tcW w:w="901" w:type="pct"/>
            <w:vMerge w:val="restart"/>
            <w:tcBorders>
              <w:tl2br w:val="nil"/>
              <w:tr2bl w:val="nil"/>
            </w:tcBorders>
            <w:noWrap w:val="0"/>
            <w:vAlign w:val="center"/>
          </w:tcPr>
          <w:p w14:paraId="2581FC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黄泥河汇入穆棱河汇入口上游500m</w:t>
            </w:r>
            <w:r>
              <w:rPr>
                <w:rFonts w:hint="default" w:ascii="Times New Roman" w:hAnsi="Times New Roman" w:eastAsia="宋体" w:cs="Times New Roman"/>
                <w:bCs/>
                <w:color w:val="auto"/>
                <w:kern w:val="0"/>
                <w:sz w:val="21"/>
                <w:szCs w:val="21"/>
                <w:highlight w:val="none"/>
                <w:lang w:val="en-US" w:eastAsia="zh-CN"/>
              </w:rPr>
              <w:t>（2025.06.06）</w:t>
            </w:r>
          </w:p>
        </w:tc>
        <w:tc>
          <w:tcPr>
            <w:tcW w:w="848" w:type="pct"/>
            <w:tcBorders>
              <w:tl2br w:val="nil"/>
              <w:tr2bl w:val="nil"/>
            </w:tcBorders>
            <w:noWrap w:val="0"/>
            <w:vAlign w:val="center"/>
          </w:tcPr>
          <w:p w14:paraId="0BCA130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7.0</w:t>
            </w:r>
          </w:p>
        </w:tc>
        <w:tc>
          <w:tcPr>
            <w:tcW w:w="848" w:type="pct"/>
            <w:tcBorders>
              <w:tl2br w:val="nil"/>
              <w:tr2bl w:val="nil"/>
            </w:tcBorders>
            <w:noWrap w:val="0"/>
            <w:vAlign w:val="center"/>
          </w:tcPr>
          <w:p w14:paraId="436D64E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6-9</w:t>
            </w:r>
          </w:p>
        </w:tc>
        <w:tc>
          <w:tcPr>
            <w:tcW w:w="848" w:type="pct"/>
            <w:tcBorders>
              <w:tl2br w:val="nil"/>
              <w:tr2bl w:val="nil"/>
            </w:tcBorders>
            <w:noWrap w:val="0"/>
            <w:vAlign w:val="center"/>
          </w:tcPr>
          <w:p w14:paraId="0056F7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w:t>
            </w:r>
          </w:p>
        </w:tc>
      </w:tr>
      <w:tr w14:paraId="473BC3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04A121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色度</w:t>
            </w:r>
          </w:p>
        </w:tc>
        <w:tc>
          <w:tcPr>
            <w:tcW w:w="537" w:type="pct"/>
            <w:tcBorders>
              <w:tl2br w:val="nil"/>
              <w:tr2bl w:val="nil"/>
            </w:tcBorders>
            <w:noWrap w:val="0"/>
            <w:vAlign w:val="center"/>
          </w:tcPr>
          <w:p w14:paraId="2F54725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度</w:t>
            </w:r>
          </w:p>
        </w:tc>
        <w:tc>
          <w:tcPr>
            <w:tcW w:w="901" w:type="pct"/>
            <w:vMerge w:val="continue"/>
            <w:tcBorders>
              <w:tl2br w:val="nil"/>
              <w:tr2bl w:val="nil"/>
            </w:tcBorders>
            <w:noWrap w:val="0"/>
            <w:vAlign w:val="center"/>
          </w:tcPr>
          <w:p w14:paraId="7A2EA3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58FDD3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848" w:type="pct"/>
            <w:tcBorders>
              <w:tl2br w:val="nil"/>
              <w:tr2bl w:val="nil"/>
            </w:tcBorders>
            <w:noWrap w:val="0"/>
            <w:vAlign w:val="center"/>
          </w:tcPr>
          <w:p w14:paraId="7BF527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eastAsia="zh-CN"/>
              </w:rPr>
              <w:t>—</w:t>
            </w:r>
          </w:p>
        </w:tc>
        <w:tc>
          <w:tcPr>
            <w:tcW w:w="848" w:type="pct"/>
            <w:tcBorders>
              <w:tl2br w:val="nil"/>
              <w:tr2bl w:val="nil"/>
            </w:tcBorders>
            <w:noWrap w:val="0"/>
            <w:vAlign w:val="center"/>
          </w:tcPr>
          <w:p w14:paraId="588ED4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r>
      <w:tr w14:paraId="265792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3FAD68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悬浮物</w:t>
            </w:r>
          </w:p>
        </w:tc>
        <w:tc>
          <w:tcPr>
            <w:tcW w:w="537" w:type="pct"/>
            <w:tcBorders>
              <w:tl2br w:val="nil"/>
              <w:tr2bl w:val="nil"/>
            </w:tcBorders>
            <w:noWrap w:val="0"/>
            <w:vAlign w:val="center"/>
          </w:tcPr>
          <w:p w14:paraId="2C66372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3612C0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0FF3F9C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105</w:t>
            </w:r>
          </w:p>
        </w:tc>
        <w:tc>
          <w:tcPr>
            <w:tcW w:w="848" w:type="pct"/>
            <w:tcBorders>
              <w:tl2br w:val="nil"/>
              <w:tr2bl w:val="nil"/>
            </w:tcBorders>
            <w:noWrap w:val="0"/>
            <w:vAlign w:val="center"/>
          </w:tcPr>
          <w:p w14:paraId="32E9B8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w:t>
            </w:r>
          </w:p>
        </w:tc>
        <w:tc>
          <w:tcPr>
            <w:tcW w:w="848" w:type="pct"/>
            <w:tcBorders>
              <w:tl2br w:val="nil"/>
              <w:tr2bl w:val="nil"/>
            </w:tcBorders>
            <w:noWrap w:val="0"/>
            <w:vAlign w:val="center"/>
          </w:tcPr>
          <w:p w14:paraId="7CC832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r>
      <w:tr w14:paraId="56C10E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6A95BF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氨氮</w:t>
            </w:r>
          </w:p>
        </w:tc>
        <w:tc>
          <w:tcPr>
            <w:tcW w:w="537" w:type="pct"/>
            <w:tcBorders>
              <w:tl2br w:val="nil"/>
              <w:tr2bl w:val="nil"/>
            </w:tcBorders>
            <w:noWrap w:val="0"/>
            <w:vAlign w:val="center"/>
          </w:tcPr>
          <w:p w14:paraId="7EEB1AD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4A3B88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7E0692A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0.348</w:t>
            </w:r>
          </w:p>
        </w:tc>
        <w:tc>
          <w:tcPr>
            <w:tcW w:w="848" w:type="pct"/>
            <w:tcBorders>
              <w:tl2br w:val="nil"/>
              <w:tr2bl w:val="nil"/>
            </w:tcBorders>
            <w:noWrap w:val="0"/>
            <w:vAlign w:val="center"/>
          </w:tcPr>
          <w:p w14:paraId="186237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1.0</w:t>
            </w:r>
          </w:p>
        </w:tc>
        <w:tc>
          <w:tcPr>
            <w:tcW w:w="848" w:type="pct"/>
            <w:tcBorders>
              <w:tl2br w:val="nil"/>
              <w:tr2bl w:val="nil"/>
            </w:tcBorders>
            <w:noWrap w:val="0"/>
            <w:vAlign w:val="center"/>
          </w:tcPr>
          <w:p w14:paraId="621051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0.3</w:t>
            </w:r>
            <w:r>
              <w:rPr>
                <w:rFonts w:hint="eastAsia" w:ascii="Times New Roman" w:hAnsi="Times New Roman" w:eastAsia="宋体" w:cs="Times New Roman"/>
                <w:i w:val="0"/>
                <w:iCs w:val="0"/>
                <w:color w:val="auto"/>
                <w:kern w:val="0"/>
                <w:sz w:val="21"/>
                <w:szCs w:val="21"/>
                <w:u w:val="none"/>
                <w:lang w:val="en-US" w:eastAsia="zh-CN" w:bidi="ar"/>
              </w:rPr>
              <w:t>5</w:t>
            </w:r>
          </w:p>
        </w:tc>
      </w:tr>
      <w:tr w14:paraId="02282E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450D30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总磷</w:t>
            </w:r>
          </w:p>
        </w:tc>
        <w:tc>
          <w:tcPr>
            <w:tcW w:w="537" w:type="pct"/>
            <w:tcBorders>
              <w:tl2br w:val="nil"/>
              <w:tr2bl w:val="nil"/>
            </w:tcBorders>
            <w:noWrap w:val="0"/>
            <w:vAlign w:val="center"/>
          </w:tcPr>
          <w:p w14:paraId="4CF03C6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170BEF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71EC63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0.15</w:t>
            </w:r>
          </w:p>
        </w:tc>
        <w:tc>
          <w:tcPr>
            <w:tcW w:w="848" w:type="pct"/>
            <w:tcBorders>
              <w:tl2br w:val="nil"/>
              <w:tr2bl w:val="nil"/>
            </w:tcBorders>
            <w:noWrap w:val="0"/>
            <w:vAlign w:val="center"/>
          </w:tcPr>
          <w:p w14:paraId="4B47AE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0.2</w:t>
            </w:r>
          </w:p>
        </w:tc>
        <w:tc>
          <w:tcPr>
            <w:tcW w:w="848" w:type="pct"/>
            <w:tcBorders>
              <w:tl2br w:val="nil"/>
              <w:tr2bl w:val="nil"/>
            </w:tcBorders>
            <w:noWrap w:val="0"/>
            <w:vAlign w:val="center"/>
          </w:tcPr>
          <w:p w14:paraId="78D55A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0.75</w:t>
            </w:r>
          </w:p>
        </w:tc>
      </w:tr>
      <w:tr w14:paraId="03747F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7A3790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五日生化需氧量</w:t>
            </w:r>
          </w:p>
        </w:tc>
        <w:tc>
          <w:tcPr>
            <w:tcW w:w="537" w:type="pct"/>
            <w:tcBorders>
              <w:tl2br w:val="nil"/>
              <w:tr2bl w:val="nil"/>
            </w:tcBorders>
            <w:noWrap w:val="0"/>
            <w:vAlign w:val="center"/>
          </w:tcPr>
          <w:p w14:paraId="4C24894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7653ADA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47B07E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3.1</w:t>
            </w:r>
          </w:p>
        </w:tc>
        <w:tc>
          <w:tcPr>
            <w:tcW w:w="848" w:type="pct"/>
            <w:tcBorders>
              <w:tl2br w:val="nil"/>
              <w:tr2bl w:val="nil"/>
            </w:tcBorders>
            <w:noWrap w:val="0"/>
            <w:vAlign w:val="center"/>
          </w:tcPr>
          <w:p w14:paraId="13AC8E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4</w:t>
            </w:r>
          </w:p>
        </w:tc>
        <w:tc>
          <w:tcPr>
            <w:tcW w:w="848" w:type="pct"/>
            <w:tcBorders>
              <w:tl2br w:val="nil"/>
              <w:tr2bl w:val="nil"/>
            </w:tcBorders>
            <w:noWrap w:val="0"/>
            <w:vAlign w:val="center"/>
          </w:tcPr>
          <w:p w14:paraId="7658F0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w:t>
            </w:r>
            <w:r>
              <w:rPr>
                <w:rFonts w:hint="eastAsia" w:ascii="Times New Roman" w:hAnsi="Times New Roman" w:eastAsia="宋体" w:cs="Times New Roman"/>
                <w:i w:val="0"/>
                <w:iCs w:val="0"/>
                <w:color w:val="auto"/>
                <w:kern w:val="0"/>
                <w:sz w:val="21"/>
                <w:szCs w:val="21"/>
                <w:u w:val="none"/>
                <w:lang w:val="en-US" w:eastAsia="zh-CN" w:bidi="ar"/>
              </w:rPr>
              <w:t>8</w:t>
            </w:r>
          </w:p>
        </w:tc>
      </w:tr>
      <w:tr w14:paraId="5F9649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6D5FC9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化学需氧量</w:t>
            </w:r>
          </w:p>
        </w:tc>
        <w:tc>
          <w:tcPr>
            <w:tcW w:w="537" w:type="pct"/>
            <w:tcBorders>
              <w:tl2br w:val="nil"/>
              <w:tr2bl w:val="nil"/>
            </w:tcBorders>
            <w:noWrap w:val="0"/>
            <w:vAlign w:val="center"/>
          </w:tcPr>
          <w:p w14:paraId="3917DC9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79F889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18666B2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13</w:t>
            </w:r>
          </w:p>
        </w:tc>
        <w:tc>
          <w:tcPr>
            <w:tcW w:w="848" w:type="pct"/>
            <w:tcBorders>
              <w:tl2br w:val="nil"/>
              <w:tr2bl w:val="nil"/>
            </w:tcBorders>
            <w:noWrap w:val="0"/>
            <w:vAlign w:val="center"/>
          </w:tcPr>
          <w:p w14:paraId="3314CCA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20</w:t>
            </w:r>
          </w:p>
        </w:tc>
        <w:tc>
          <w:tcPr>
            <w:tcW w:w="848" w:type="pct"/>
            <w:tcBorders>
              <w:tl2br w:val="nil"/>
              <w:tr2bl w:val="nil"/>
            </w:tcBorders>
            <w:noWrap w:val="0"/>
            <w:vAlign w:val="center"/>
          </w:tcPr>
          <w:p w14:paraId="6D069B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0.65</w:t>
            </w:r>
          </w:p>
        </w:tc>
      </w:tr>
      <w:tr w14:paraId="2B0E94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6EC9BC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石油类</w:t>
            </w:r>
          </w:p>
        </w:tc>
        <w:tc>
          <w:tcPr>
            <w:tcW w:w="537" w:type="pct"/>
            <w:tcBorders>
              <w:tl2br w:val="nil"/>
              <w:tr2bl w:val="nil"/>
            </w:tcBorders>
            <w:noWrap w:val="0"/>
            <w:vAlign w:val="center"/>
          </w:tcPr>
          <w:p w14:paraId="438C525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2683D8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08A85E3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0.01L</w:t>
            </w:r>
          </w:p>
        </w:tc>
        <w:tc>
          <w:tcPr>
            <w:tcW w:w="848" w:type="pct"/>
            <w:tcBorders>
              <w:tl2br w:val="nil"/>
              <w:tr2bl w:val="nil"/>
            </w:tcBorders>
            <w:noWrap w:val="0"/>
            <w:vAlign w:val="center"/>
          </w:tcPr>
          <w:p w14:paraId="753FA22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0.05</w:t>
            </w:r>
          </w:p>
        </w:tc>
        <w:tc>
          <w:tcPr>
            <w:tcW w:w="848" w:type="pct"/>
            <w:tcBorders>
              <w:tl2br w:val="nil"/>
              <w:tr2bl w:val="nil"/>
            </w:tcBorders>
            <w:noWrap w:val="0"/>
            <w:vAlign w:val="center"/>
          </w:tcPr>
          <w:p w14:paraId="7944AF4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0</w:t>
            </w:r>
          </w:p>
        </w:tc>
      </w:tr>
      <w:tr w14:paraId="0FACCC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7A4B53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阴离子表面活性剂</w:t>
            </w:r>
          </w:p>
        </w:tc>
        <w:tc>
          <w:tcPr>
            <w:tcW w:w="537" w:type="pct"/>
            <w:tcBorders>
              <w:tl2br w:val="nil"/>
              <w:tr2bl w:val="nil"/>
            </w:tcBorders>
            <w:noWrap w:val="0"/>
            <w:vAlign w:val="center"/>
          </w:tcPr>
          <w:p w14:paraId="5702452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34FFFB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6753AC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0.05L</w:t>
            </w:r>
          </w:p>
        </w:tc>
        <w:tc>
          <w:tcPr>
            <w:tcW w:w="848" w:type="pct"/>
            <w:tcBorders>
              <w:tl2br w:val="nil"/>
              <w:tr2bl w:val="nil"/>
            </w:tcBorders>
            <w:noWrap w:val="0"/>
            <w:vAlign w:val="center"/>
          </w:tcPr>
          <w:p w14:paraId="498F8E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0.2</w:t>
            </w:r>
          </w:p>
        </w:tc>
        <w:tc>
          <w:tcPr>
            <w:tcW w:w="848" w:type="pct"/>
            <w:tcBorders>
              <w:tl2br w:val="nil"/>
              <w:tr2bl w:val="nil"/>
            </w:tcBorders>
            <w:noWrap w:val="0"/>
            <w:vAlign w:val="center"/>
          </w:tcPr>
          <w:p w14:paraId="3EC317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3</w:t>
            </w:r>
          </w:p>
        </w:tc>
      </w:tr>
      <w:tr w14:paraId="3A3FD2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6D0093F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粪大肠菌群</w:t>
            </w:r>
          </w:p>
        </w:tc>
        <w:tc>
          <w:tcPr>
            <w:tcW w:w="537" w:type="pct"/>
            <w:tcBorders>
              <w:tl2br w:val="nil"/>
              <w:tr2bl w:val="nil"/>
            </w:tcBorders>
            <w:noWrap w:val="0"/>
            <w:vAlign w:val="center"/>
          </w:tcPr>
          <w:p w14:paraId="5516E71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6DEFE9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3F3A9A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1.7</w:t>
            </w:r>
            <w:r>
              <w:rPr>
                <w:rFonts w:hint="default" w:ascii="Times New Roman" w:hAnsi="Times New Roman" w:eastAsia="宋体" w:cs="Times New Roman"/>
                <w:color w:val="auto"/>
                <w:kern w:val="2"/>
                <w:sz w:val="21"/>
                <w:szCs w:val="21"/>
                <w:highlight w:val="none"/>
                <w:lang w:val="en-US" w:eastAsia="zh-CN" w:bidi="ar-SA"/>
              </w:rPr>
              <w:t>×10</w:t>
            </w:r>
            <w:r>
              <w:rPr>
                <w:rFonts w:hint="default" w:ascii="Times New Roman" w:hAnsi="Times New Roman" w:eastAsia="宋体" w:cs="Times New Roman"/>
                <w:color w:val="auto"/>
                <w:kern w:val="2"/>
                <w:sz w:val="21"/>
                <w:szCs w:val="21"/>
                <w:highlight w:val="none"/>
                <w:vertAlign w:val="superscript"/>
                <w:lang w:val="en-US" w:eastAsia="zh-CN" w:bidi="ar-SA"/>
              </w:rPr>
              <w:t>3</w:t>
            </w:r>
          </w:p>
        </w:tc>
        <w:tc>
          <w:tcPr>
            <w:tcW w:w="848" w:type="pct"/>
            <w:tcBorders>
              <w:tl2br w:val="nil"/>
              <w:tr2bl w:val="nil"/>
            </w:tcBorders>
            <w:noWrap w:val="0"/>
            <w:vAlign w:val="center"/>
          </w:tcPr>
          <w:p w14:paraId="0ACB763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10000</w:t>
            </w:r>
          </w:p>
        </w:tc>
        <w:tc>
          <w:tcPr>
            <w:tcW w:w="848" w:type="pct"/>
            <w:tcBorders>
              <w:tl2br w:val="nil"/>
              <w:tr2bl w:val="nil"/>
            </w:tcBorders>
            <w:noWrap w:val="0"/>
            <w:vAlign w:val="center"/>
          </w:tcPr>
          <w:p w14:paraId="3D991D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0.17</w:t>
            </w:r>
          </w:p>
        </w:tc>
      </w:tr>
      <w:tr w14:paraId="39AC80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4662D87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总铁</w:t>
            </w:r>
          </w:p>
        </w:tc>
        <w:tc>
          <w:tcPr>
            <w:tcW w:w="537" w:type="pct"/>
            <w:tcBorders>
              <w:tl2br w:val="nil"/>
              <w:tr2bl w:val="nil"/>
            </w:tcBorders>
            <w:noWrap w:val="0"/>
            <w:vAlign w:val="center"/>
          </w:tcPr>
          <w:p w14:paraId="09FA691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2CE4FD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2D1571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w:t>
            </w:r>
            <w:r>
              <w:rPr>
                <w:rFonts w:hint="eastAsia" w:ascii="Times New Roman" w:hAnsi="Times New Roman" w:eastAsia="宋体" w:cs="Times New Roman"/>
                <w:color w:val="auto"/>
                <w:sz w:val="21"/>
                <w:szCs w:val="21"/>
                <w:highlight w:val="none"/>
                <w:lang w:val="en-US" w:eastAsia="zh-CN"/>
              </w:rPr>
              <w:t>1</w:t>
            </w:r>
          </w:p>
        </w:tc>
        <w:tc>
          <w:tcPr>
            <w:tcW w:w="848" w:type="pct"/>
            <w:tcBorders>
              <w:tl2br w:val="nil"/>
              <w:tr2bl w:val="nil"/>
            </w:tcBorders>
            <w:noWrap w:val="0"/>
            <w:vAlign w:val="center"/>
          </w:tcPr>
          <w:p w14:paraId="302FC39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0.3</w:t>
            </w:r>
          </w:p>
        </w:tc>
        <w:tc>
          <w:tcPr>
            <w:tcW w:w="848" w:type="pct"/>
            <w:tcBorders>
              <w:tl2br w:val="nil"/>
              <w:tr2bl w:val="nil"/>
            </w:tcBorders>
            <w:noWrap w:val="0"/>
            <w:vAlign w:val="center"/>
          </w:tcPr>
          <w:p w14:paraId="2FEF64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w:t>
            </w:r>
            <w:r>
              <w:rPr>
                <w:rFonts w:hint="eastAsia" w:ascii="Times New Roman" w:hAnsi="Times New Roman" w:eastAsia="宋体" w:cs="Times New Roman"/>
                <w:i w:val="0"/>
                <w:iCs w:val="0"/>
                <w:color w:val="auto"/>
                <w:kern w:val="0"/>
                <w:sz w:val="21"/>
                <w:szCs w:val="21"/>
                <w:u w:val="none"/>
                <w:lang w:val="en-US" w:eastAsia="zh-CN" w:bidi="ar"/>
              </w:rPr>
              <w:t>0</w:t>
            </w:r>
          </w:p>
        </w:tc>
      </w:tr>
      <w:tr w14:paraId="1EE3C4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5688EE4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总锰</w:t>
            </w:r>
          </w:p>
        </w:tc>
        <w:tc>
          <w:tcPr>
            <w:tcW w:w="537" w:type="pct"/>
            <w:tcBorders>
              <w:tl2br w:val="nil"/>
              <w:tr2bl w:val="nil"/>
            </w:tcBorders>
            <w:noWrap w:val="0"/>
            <w:vAlign w:val="center"/>
          </w:tcPr>
          <w:p w14:paraId="3C49B14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71A09B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7F436E3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0.01L</w:t>
            </w:r>
          </w:p>
        </w:tc>
        <w:tc>
          <w:tcPr>
            <w:tcW w:w="848" w:type="pct"/>
            <w:tcBorders>
              <w:tl2br w:val="nil"/>
              <w:tr2bl w:val="nil"/>
            </w:tcBorders>
            <w:noWrap w:val="0"/>
            <w:vAlign w:val="center"/>
          </w:tcPr>
          <w:p w14:paraId="56595C6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0.1</w:t>
            </w:r>
          </w:p>
        </w:tc>
        <w:tc>
          <w:tcPr>
            <w:tcW w:w="848" w:type="pct"/>
            <w:tcBorders>
              <w:tl2br w:val="nil"/>
              <w:tr2bl w:val="nil"/>
            </w:tcBorders>
            <w:noWrap w:val="0"/>
            <w:vAlign w:val="center"/>
          </w:tcPr>
          <w:p w14:paraId="6BE6E4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0.05</w:t>
            </w:r>
          </w:p>
        </w:tc>
      </w:tr>
      <w:tr w14:paraId="03BBC8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045984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pH</w:t>
            </w:r>
          </w:p>
        </w:tc>
        <w:tc>
          <w:tcPr>
            <w:tcW w:w="537" w:type="pct"/>
            <w:tcBorders>
              <w:tl2br w:val="nil"/>
              <w:tr2bl w:val="nil"/>
            </w:tcBorders>
            <w:noWrap w:val="0"/>
            <w:vAlign w:val="center"/>
          </w:tcPr>
          <w:p w14:paraId="7CB54B4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无量纲</w:t>
            </w:r>
          </w:p>
        </w:tc>
        <w:tc>
          <w:tcPr>
            <w:tcW w:w="901" w:type="pct"/>
            <w:vMerge w:val="restart"/>
            <w:tcBorders>
              <w:tl2br w:val="nil"/>
              <w:tr2bl w:val="nil"/>
            </w:tcBorders>
            <w:noWrap w:val="0"/>
            <w:vAlign w:val="center"/>
          </w:tcPr>
          <w:p w14:paraId="1745EE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黄泥河汇入穆棱河汇入口上游500m</w:t>
            </w:r>
            <w:r>
              <w:rPr>
                <w:rFonts w:hint="default" w:ascii="Times New Roman" w:hAnsi="Times New Roman" w:eastAsia="宋体" w:cs="Times New Roman"/>
                <w:bCs/>
                <w:color w:val="auto"/>
                <w:kern w:val="0"/>
                <w:sz w:val="21"/>
                <w:szCs w:val="21"/>
                <w:highlight w:val="none"/>
                <w:lang w:val="en-US" w:eastAsia="zh-CN"/>
              </w:rPr>
              <w:t>（2025.06.07）</w:t>
            </w:r>
          </w:p>
        </w:tc>
        <w:tc>
          <w:tcPr>
            <w:tcW w:w="848" w:type="pct"/>
            <w:tcBorders>
              <w:tl2br w:val="nil"/>
              <w:tr2bl w:val="nil"/>
            </w:tcBorders>
            <w:noWrap w:val="0"/>
            <w:vAlign w:val="center"/>
          </w:tcPr>
          <w:p w14:paraId="0AAF09D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7.1</w:t>
            </w:r>
          </w:p>
        </w:tc>
        <w:tc>
          <w:tcPr>
            <w:tcW w:w="848" w:type="pct"/>
            <w:tcBorders>
              <w:tl2br w:val="nil"/>
              <w:tr2bl w:val="nil"/>
            </w:tcBorders>
            <w:noWrap w:val="0"/>
            <w:vAlign w:val="center"/>
          </w:tcPr>
          <w:p w14:paraId="311DFAC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6-9</w:t>
            </w:r>
          </w:p>
        </w:tc>
        <w:tc>
          <w:tcPr>
            <w:tcW w:w="848" w:type="pct"/>
            <w:tcBorders>
              <w:tl2br w:val="nil"/>
              <w:tr2bl w:val="nil"/>
            </w:tcBorders>
            <w:noWrap w:val="0"/>
            <w:vAlign w:val="center"/>
          </w:tcPr>
          <w:p w14:paraId="690CC5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0.05</w:t>
            </w:r>
          </w:p>
        </w:tc>
      </w:tr>
      <w:tr w14:paraId="4FBB33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454C66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色度</w:t>
            </w:r>
          </w:p>
        </w:tc>
        <w:tc>
          <w:tcPr>
            <w:tcW w:w="537" w:type="pct"/>
            <w:tcBorders>
              <w:tl2br w:val="nil"/>
              <w:tr2bl w:val="nil"/>
            </w:tcBorders>
            <w:noWrap w:val="0"/>
            <w:vAlign w:val="center"/>
          </w:tcPr>
          <w:p w14:paraId="0AB9C81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度</w:t>
            </w:r>
          </w:p>
        </w:tc>
        <w:tc>
          <w:tcPr>
            <w:tcW w:w="901" w:type="pct"/>
            <w:vMerge w:val="continue"/>
            <w:tcBorders>
              <w:tl2br w:val="nil"/>
              <w:tr2bl w:val="nil"/>
            </w:tcBorders>
            <w:noWrap w:val="0"/>
            <w:vAlign w:val="center"/>
          </w:tcPr>
          <w:p w14:paraId="4B7D98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007492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848" w:type="pct"/>
            <w:tcBorders>
              <w:tl2br w:val="nil"/>
              <w:tr2bl w:val="nil"/>
            </w:tcBorders>
            <w:noWrap w:val="0"/>
            <w:vAlign w:val="center"/>
          </w:tcPr>
          <w:p w14:paraId="55DECBA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eastAsia="zh-CN"/>
              </w:rPr>
              <w:t>—</w:t>
            </w:r>
          </w:p>
        </w:tc>
        <w:tc>
          <w:tcPr>
            <w:tcW w:w="848" w:type="pct"/>
            <w:tcBorders>
              <w:tl2br w:val="nil"/>
              <w:tr2bl w:val="nil"/>
            </w:tcBorders>
            <w:noWrap w:val="0"/>
            <w:vAlign w:val="center"/>
          </w:tcPr>
          <w:p w14:paraId="7985B38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r>
      <w:tr w14:paraId="7DBD6B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11AF46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悬浮物</w:t>
            </w:r>
          </w:p>
        </w:tc>
        <w:tc>
          <w:tcPr>
            <w:tcW w:w="537" w:type="pct"/>
            <w:tcBorders>
              <w:tl2br w:val="nil"/>
              <w:tr2bl w:val="nil"/>
            </w:tcBorders>
            <w:noWrap w:val="0"/>
            <w:vAlign w:val="center"/>
          </w:tcPr>
          <w:p w14:paraId="49CD519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752940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55B57A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98</w:t>
            </w:r>
          </w:p>
        </w:tc>
        <w:tc>
          <w:tcPr>
            <w:tcW w:w="848" w:type="pct"/>
            <w:tcBorders>
              <w:tl2br w:val="nil"/>
              <w:tr2bl w:val="nil"/>
            </w:tcBorders>
            <w:noWrap w:val="0"/>
            <w:vAlign w:val="center"/>
          </w:tcPr>
          <w:p w14:paraId="7743EE1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w:t>
            </w:r>
          </w:p>
        </w:tc>
        <w:tc>
          <w:tcPr>
            <w:tcW w:w="848" w:type="pct"/>
            <w:tcBorders>
              <w:tl2br w:val="nil"/>
              <w:tr2bl w:val="nil"/>
            </w:tcBorders>
            <w:noWrap w:val="0"/>
            <w:vAlign w:val="center"/>
          </w:tcPr>
          <w:p w14:paraId="17906A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r>
      <w:tr w14:paraId="7265C6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481DBA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氨氮</w:t>
            </w:r>
          </w:p>
        </w:tc>
        <w:tc>
          <w:tcPr>
            <w:tcW w:w="537" w:type="pct"/>
            <w:tcBorders>
              <w:tl2br w:val="nil"/>
              <w:tr2bl w:val="nil"/>
            </w:tcBorders>
            <w:noWrap w:val="0"/>
            <w:vAlign w:val="center"/>
          </w:tcPr>
          <w:p w14:paraId="115B1A5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0122C6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3BC2C69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0.235</w:t>
            </w:r>
          </w:p>
        </w:tc>
        <w:tc>
          <w:tcPr>
            <w:tcW w:w="848" w:type="pct"/>
            <w:tcBorders>
              <w:tl2br w:val="nil"/>
              <w:tr2bl w:val="nil"/>
            </w:tcBorders>
            <w:noWrap w:val="0"/>
            <w:vAlign w:val="center"/>
          </w:tcPr>
          <w:p w14:paraId="5F488E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1.0</w:t>
            </w:r>
          </w:p>
        </w:tc>
        <w:tc>
          <w:tcPr>
            <w:tcW w:w="848" w:type="pct"/>
            <w:tcBorders>
              <w:tl2br w:val="nil"/>
              <w:tr2bl w:val="nil"/>
            </w:tcBorders>
            <w:noWrap w:val="0"/>
            <w:vAlign w:val="center"/>
          </w:tcPr>
          <w:p w14:paraId="442155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w:t>
            </w:r>
            <w:r>
              <w:rPr>
                <w:rFonts w:hint="eastAsia" w:ascii="Times New Roman" w:hAnsi="Times New Roman" w:eastAsia="宋体" w:cs="Times New Roman"/>
                <w:i w:val="0"/>
                <w:iCs w:val="0"/>
                <w:color w:val="auto"/>
                <w:kern w:val="0"/>
                <w:sz w:val="21"/>
                <w:szCs w:val="21"/>
                <w:u w:val="none"/>
                <w:lang w:val="en-US" w:eastAsia="zh-CN" w:bidi="ar"/>
              </w:rPr>
              <w:t>4</w:t>
            </w:r>
          </w:p>
        </w:tc>
      </w:tr>
      <w:tr w14:paraId="68364B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154E82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总磷</w:t>
            </w:r>
          </w:p>
        </w:tc>
        <w:tc>
          <w:tcPr>
            <w:tcW w:w="537" w:type="pct"/>
            <w:tcBorders>
              <w:tl2br w:val="nil"/>
              <w:tr2bl w:val="nil"/>
            </w:tcBorders>
            <w:noWrap w:val="0"/>
            <w:vAlign w:val="center"/>
          </w:tcPr>
          <w:p w14:paraId="4B4DD07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5EAE48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2ED625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0.16</w:t>
            </w:r>
          </w:p>
        </w:tc>
        <w:tc>
          <w:tcPr>
            <w:tcW w:w="848" w:type="pct"/>
            <w:tcBorders>
              <w:tl2br w:val="nil"/>
              <w:tr2bl w:val="nil"/>
            </w:tcBorders>
            <w:noWrap w:val="0"/>
            <w:vAlign w:val="center"/>
          </w:tcPr>
          <w:p w14:paraId="147EB5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0.2</w:t>
            </w:r>
          </w:p>
        </w:tc>
        <w:tc>
          <w:tcPr>
            <w:tcW w:w="848" w:type="pct"/>
            <w:tcBorders>
              <w:tl2br w:val="nil"/>
              <w:tr2bl w:val="nil"/>
            </w:tcBorders>
            <w:noWrap w:val="0"/>
            <w:vAlign w:val="center"/>
          </w:tcPr>
          <w:p w14:paraId="3330BC0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w:t>
            </w:r>
            <w:r>
              <w:rPr>
                <w:rFonts w:hint="eastAsia" w:ascii="Times New Roman" w:hAnsi="Times New Roman" w:eastAsia="宋体" w:cs="Times New Roman"/>
                <w:i w:val="0"/>
                <w:iCs w:val="0"/>
                <w:color w:val="auto"/>
                <w:kern w:val="0"/>
                <w:sz w:val="21"/>
                <w:szCs w:val="21"/>
                <w:u w:val="none"/>
                <w:lang w:val="en-US" w:eastAsia="zh-CN" w:bidi="ar"/>
              </w:rPr>
              <w:t>0</w:t>
            </w:r>
          </w:p>
        </w:tc>
      </w:tr>
      <w:tr w14:paraId="0AD640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5CB8F9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五日生化需氧量</w:t>
            </w:r>
          </w:p>
        </w:tc>
        <w:tc>
          <w:tcPr>
            <w:tcW w:w="537" w:type="pct"/>
            <w:tcBorders>
              <w:tl2br w:val="nil"/>
              <w:tr2bl w:val="nil"/>
            </w:tcBorders>
            <w:noWrap w:val="0"/>
            <w:vAlign w:val="center"/>
          </w:tcPr>
          <w:p w14:paraId="12BD2AE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358639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778E39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3.0</w:t>
            </w:r>
          </w:p>
        </w:tc>
        <w:tc>
          <w:tcPr>
            <w:tcW w:w="848" w:type="pct"/>
            <w:tcBorders>
              <w:tl2br w:val="nil"/>
              <w:tr2bl w:val="nil"/>
            </w:tcBorders>
            <w:noWrap w:val="0"/>
            <w:vAlign w:val="center"/>
          </w:tcPr>
          <w:p w14:paraId="5D2590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4</w:t>
            </w:r>
          </w:p>
        </w:tc>
        <w:tc>
          <w:tcPr>
            <w:tcW w:w="848" w:type="pct"/>
            <w:tcBorders>
              <w:tl2br w:val="nil"/>
              <w:tr2bl w:val="nil"/>
            </w:tcBorders>
            <w:noWrap w:val="0"/>
            <w:vAlign w:val="center"/>
          </w:tcPr>
          <w:p w14:paraId="079B17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0.75</w:t>
            </w:r>
          </w:p>
        </w:tc>
      </w:tr>
      <w:tr w14:paraId="69BF2F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534B3E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化学需氧量</w:t>
            </w:r>
          </w:p>
        </w:tc>
        <w:tc>
          <w:tcPr>
            <w:tcW w:w="537" w:type="pct"/>
            <w:tcBorders>
              <w:tl2br w:val="nil"/>
              <w:tr2bl w:val="nil"/>
            </w:tcBorders>
            <w:noWrap w:val="0"/>
            <w:vAlign w:val="center"/>
          </w:tcPr>
          <w:p w14:paraId="329869D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500679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610BF5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15</w:t>
            </w:r>
          </w:p>
        </w:tc>
        <w:tc>
          <w:tcPr>
            <w:tcW w:w="848" w:type="pct"/>
            <w:tcBorders>
              <w:tl2br w:val="nil"/>
              <w:tr2bl w:val="nil"/>
            </w:tcBorders>
            <w:noWrap w:val="0"/>
            <w:vAlign w:val="center"/>
          </w:tcPr>
          <w:p w14:paraId="2BA824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20</w:t>
            </w:r>
          </w:p>
        </w:tc>
        <w:tc>
          <w:tcPr>
            <w:tcW w:w="848" w:type="pct"/>
            <w:tcBorders>
              <w:tl2br w:val="nil"/>
              <w:tr2bl w:val="nil"/>
            </w:tcBorders>
            <w:noWrap w:val="0"/>
            <w:vAlign w:val="center"/>
          </w:tcPr>
          <w:p w14:paraId="1E8EF34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0.75</w:t>
            </w:r>
          </w:p>
        </w:tc>
      </w:tr>
      <w:tr w14:paraId="650A57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3154F0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石油类</w:t>
            </w:r>
          </w:p>
        </w:tc>
        <w:tc>
          <w:tcPr>
            <w:tcW w:w="537" w:type="pct"/>
            <w:tcBorders>
              <w:tl2br w:val="nil"/>
              <w:tr2bl w:val="nil"/>
            </w:tcBorders>
            <w:noWrap w:val="0"/>
            <w:vAlign w:val="center"/>
          </w:tcPr>
          <w:p w14:paraId="3BAFF0C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018DB5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533340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0.01L</w:t>
            </w:r>
          </w:p>
        </w:tc>
        <w:tc>
          <w:tcPr>
            <w:tcW w:w="848" w:type="pct"/>
            <w:tcBorders>
              <w:tl2br w:val="nil"/>
              <w:tr2bl w:val="nil"/>
            </w:tcBorders>
            <w:noWrap w:val="0"/>
            <w:vAlign w:val="center"/>
          </w:tcPr>
          <w:p w14:paraId="40EBA37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0.05</w:t>
            </w:r>
          </w:p>
        </w:tc>
        <w:tc>
          <w:tcPr>
            <w:tcW w:w="848" w:type="pct"/>
            <w:tcBorders>
              <w:tl2br w:val="nil"/>
              <w:tr2bl w:val="nil"/>
            </w:tcBorders>
            <w:noWrap w:val="0"/>
            <w:vAlign w:val="center"/>
          </w:tcPr>
          <w:p w14:paraId="34D7F9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0</w:t>
            </w:r>
          </w:p>
        </w:tc>
      </w:tr>
      <w:tr w14:paraId="187923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1AF777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阴离子表面活性剂</w:t>
            </w:r>
          </w:p>
        </w:tc>
        <w:tc>
          <w:tcPr>
            <w:tcW w:w="537" w:type="pct"/>
            <w:tcBorders>
              <w:tl2br w:val="nil"/>
              <w:tr2bl w:val="nil"/>
            </w:tcBorders>
            <w:noWrap w:val="0"/>
            <w:vAlign w:val="center"/>
          </w:tcPr>
          <w:p w14:paraId="5DBA893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4E3F73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61A8AC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0.05L</w:t>
            </w:r>
          </w:p>
        </w:tc>
        <w:tc>
          <w:tcPr>
            <w:tcW w:w="848" w:type="pct"/>
            <w:tcBorders>
              <w:tl2br w:val="nil"/>
              <w:tr2bl w:val="nil"/>
            </w:tcBorders>
            <w:noWrap w:val="0"/>
            <w:vAlign w:val="center"/>
          </w:tcPr>
          <w:p w14:paraId="723E94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0.2</w:t>
            </w:r>
          </w:p>
        </w:tc>
        <w:tc>
          <w:tcPr>
            <w:tcW w:w="848" w:type="pct"/>
            <w:tcBorders>
              <w:tl2br w:val="nil"/>
              <w:tr2bl w:val="nil"/>
            </w:tcBorders>
            <w:noWrap w:val="0"/>
            <w:vAlign w:val="center"/>
          </w:tcPr>
          <w:p w14:paraId="63B360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3</w:t>
            </w:r>
          </w:p>
        </w:tc>
      </w:tr>
      <w:tr w14:paraId="085343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0F8D7F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粪大肠菌群</w:t>
            </w:r>
          </w:p>
        </w:tc>
        <w:tc>
          <w:tcPr>
            <w:tcW w:w="537" w:type="pct"/>
            <w:tcBorders>
              <w:tl2br w:val="nil"/>
              <w:tr2bl w:val="nil"/>
            </w:tcBorders>
            <w:noWrap w:val="0"/>
            <w:vAlign w:val="center"/>
          </w:tcPr>
          <w:p w14:paraId="2F4A187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6EC2E8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27B4B0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1.4</w:t>
            </w:r>
            <w:r>
              <w:rPr>
                <w:rFonts w:hint="default" w:ascii="Times New Roman" w:hAnsi="Times New Roman" w:eastAsia="宋体" w:cs="Times New Roman"/>
                <w:color w:val="auto"/>
                <w:kern w:val="2"/>
                <w:sz w:val="21"/>
                <w:szCs w:val="21"/>
                <w:highlight w:val="none"/>
                <w:lang w:val="en-US" w:eastAsia="zh-CN" w:bidi="ar-SA"/>
              </w:rPr>
              <w:t>×10</w:t>
            </w:r>
            <w:r>
              <w:rPr>
                <w:rFonts w:hint="default" w:ascii="Times New Roman" w:hAnsi="Times New Roman" w:eastAsia="宋体" w:cs="Times New Roman"/>
                <w:color w:val="auto"/>
                <w:kern w:val="2"/>
                <w:sz w:val="21"/>
                <w:szCs w:val="21"/>
                <w:highlight w:val="none"/>
                <w:vertAlign w:val="superscript"/>
                <w:lang w:val="en-US" w:eastAsia="zh-CN" w:bidi="ar-SA"/>
              </w:rPr>
              <w:t>3</w:t>
            </w:r>
          </w:p>
        </w:tc>
        <w:tc>
          <w:tcPr>
            <w:tcW w:w="848" w:type="pct"/>
            <w:tcBorders>
              <w:tl2br w:val="nil"/>
              <w:tr2bl w:val="nil"/>
            </w:tcBorders>
            <w:noWrap w:val="0"/>
            <w:vAlign w:val="center"/>
          </w:tcPr>
          <w:p w14:paraId="37B59BC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10000</w:t>
            </w:r>
          </w:p>
        </w:tc>
        <w:tc>
          <w:tcPr>
            <w:tcW w:w="848" w:type="pct"/>
            <w:tcBorders>
              <w:tl2br w:val="nil"/>
              <w:tr2bl w:val="nil"/>
            </w:tcBorders>
            <w:noWrap w:val="0"/>
            <w:vAlign w:val="center"/>
          </w:tcPr>
          <w:p w14:paraId="0BFE0B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0.14</w:t>
            </w:r>
          </w:p>
        </w:tc>
      </w:tr>
      <w:tr w14:paraId="35C44E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617E9BC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总铁</w:t>
            </w:r>
          </w:p>
        </w:tc>
        <w:tc>
          <w:tcPr>
            <w:tcW w:w="537" w:type="pct"/>
            <w:tcBorders>
              <w:tl2br w:val="nil"/>
              <w:tr2bl w:val="nil"/>
            </w:tcBorders>
            <w:noWrap w:val="0"/>
            <w:vAlign w:val="center"/>
          </w:tcPr>
          <w:p w14:paraId="4AB8AE0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2705EF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246540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w:t>
            </w:r>
            <w:r>
              <w:rPr>
                <w:rFonts w:hint="eastAsia" w:ascii="Times New Roman" w:hAnsi="Times New Roman" w:eastAsia="宋体" w:cs="Times New Roman"/>
                <w:color w:val="auto"/>
                <w:sz w:val="21"/>
                <w:szCs w:val="21"/>
                <w:highlight w:val="none"/>
                <w:lang w:val="en-US" w:eastAsia="zh-CN"/>
              </w:rPr>
              <w:t>6</w:t>
            </w:r>
          </w:p>
        </w:tc>
        <w:tc>
          <w:tcPr>
            <w:tcW w:w="848" w:type="pct"/>
            <w:tcBorders>
              <w:tl2br w:val="nil"/>
              <w:tr2bl w:val="nil"/>
            </w:tcBorders>
            <w:noWrap w:val="0"/>
            <w:vAlign w:val="center"/>
          </w:tcPr>
          <w:p w14:paraId="773F08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0.3</w:t>
            </w:r>
          </w:p>
        </w:tc>
        <w:tc>
          <w:tcPr>
            <w:tcW w:w="848" w:type="pct"/>
            <w:tcBorders>
              <w:tl2br w:val="nil"/>
              <w:tr2bl w:val="nil"/>
            </w:tcBorders>
            <w:noWrap w:val="0"/>
            <w:vAlign w:val="center"/>
          </w:tcPr>
          <w:p w14:paraId="20291D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0.87</w:t>
            </w:r>
          </w:p>
        </w:tc>
      </w:tr>
      <w:tr w14:paraId="3E92D6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29FE8B3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总锰</w:t>
            </w:r>
          </w:p>
        </w:tc>
        <w:tc>
          <w:tcPr>
            <w:tcW w:w="537" w:type="pct"/>
            <w:tcBorders>
              <w:tl2br w:val="nil"/>
              <w:tr2bl w:val="nil"/>
            </w:tcBorders>
            <w:noWrap w:val="0"/>
            <w:vAlign w:val="center"/>
          </w:tcPr>
          <w:p w14:paraId="0D2EC9B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4F4EF1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77A15E2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0.01L</w:t>
            </w:r>
          </w:p>
        </w:tc>
        <w:tc>
          <w:tcPr>
            <w:tcW w:w="848" w:type="pct"/>
            <w:tcBorders>
              <w:tl2br w:val="nil"/>
              <w:tr2bl w:val="nil"/>
            </w:tcBorders>
            <w:noWrap w:val="0"/>
            <w:vAlign w:val="center"/>
          </w:tcPr>
          <w:p w14:paraId="3558B9B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0.1</w:t>
            </w:r>
          </w:p>
        </w:tc>
        <w:tc>
          <w:tcPr>
            <w:tcW w:w="848" w:type="pct"/>
            <w:tcBorders>
              <w:tl2br w:val="nil"/>
              <w:tr2bl w:val="nil"/>
            </w:tcBorders>
            <w:noWrap w:val="0"/>
            <w:vAlign w:val="center"/>
          </w:tcPr>
          <w:p w14:paraId="4294AA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0.05</w:t>
            </w:r>
          </w:p>
        </w:tc>
      </w:tr>
      <w:tr w14:paraId="324F63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0548CC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pH</w:t>
            </w:r>
          </w:p>
        </w:tc>
        <w:tc>
          <w:tcPr>
            <w:tcW w:w="537" w:type="pct"/>
            <w:tcBorders>
              <w:tl2br w:val="nil"/>
              <w:tr2bl w:val="nil"/>
            </w:tcBorders>
            <w:noWrap w:val="0"/>
            <w:vAlign w:val="center"/>
          </w:tcPr>
          <w:p w14:paraId="5C3693A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无量纲</w:t>
            </w:r>
          </w:p>
        </w:tc>
        <w:tc>
          <w:tcPr>
            <w:tcW w:w="901" w:type="pct"/>
            <w:vMerge w:val="restart"/>
            <w:tcBorders>
              <w:tl2br w:val="nil"/>
              <w:tr2bl w:val="nil"/>
            </w:tcBorders>
            <w:noWrap w:val="0"/>
            <w:vAlign w:val="center"/>
          </w:tcPr>
          <w:p w14:paraId="580550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黄泥河汇入穆棱河汇入口上游500m</w:t>
            </w:r>
            <w:r>
              <w:rPr>
                <w:rFonts w:hint="default" w:ascii="Times New Roman" w:hAnsi="Times New Roman" w:eastAsia="宋体" w:cs="Times New Roman"/>
                <w:bCs/>
                <w:color w:val="auto"/>
                <w:kern w:val="0"/>
                <w:sz w:val="21"/>
                <w:szCs w:val="21"/>
                <w:highlight w:val="none"/>
                <w:lang w:val="en-US" w:eastAsia="zh-CN"/>
              </w:rPr>
              <w:t>（2025.06.08）</w:t>
            </w:r>
          </w:p>
        </w:tc>
        <w:tc>
          <w:tcPr>
            <w:tcW w:w="848" w:type="pct"/>
            <w:tcBorders>
              <w:tl2br w:val="nil"/>
              <w:tr2bl w:val="nil"/>
            </w:tcBorders>
            <w:noWrap w:val="0"/>
            <w:vAlign w:val="center"/>
          </w:tcPr>
          <w:p w14:paraId="46B86E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6.9</w:t>
            </w:r>
          </w:p>
        </w:tc>
        <w:tc>
          <w:tcPr>
            <w:tcW w:w="848" w:type="pct"/>
            <w:tcBorders>
              <w:tl2br w:val="nil"/>
              <w:tr2bl w:val="nil"/>
            </w:tcBorders>
            <w:noWrap w:val="0"/>
            <w:vAlign w:val="center"/>
          </w:tcPr>
          <w:p w14:paraId="6449C70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6-9</w:t>
            </w:r>
          </w:p>
        </w:tc>
        <w:tc>
          <w:tcPr>
            <w:tcW w:w="848" w:type="pct"/>
            <w:tcBorders>
              <w:tl2br w:val="nil"/>
              <w:tr2bl w:val="nil"/>
            </w:tcBorders>
            <w:noWrap w:val="0"/>
            <w:vAlign w:val="center"/>
          </w:tcPr>
          <w:p w14:paraId="2BA63D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0</w:t>
            </w:r>
          </w:p>
        </w:tc>
      </w:tr>
      <w:tr w14:paraId="7F4F49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774363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色度</w:t>
            </w:r>
          </w:p>
        </w:tc>
        <w:tc>
          <w:tcPr>
            <w:tcW w:w="537" w:type="pct"/>
            <w:tcBorders>
              <w:tl2br w:val="nil"/>
              <w:tr2bl w:val="nil"/>
            </w:tcBorders>
            <w:noWrap w:val="0"/>
            <w:vAlign w:val="center"/>
          </w:tcPr>
          <w:p w14:paraId="2C4B8DC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度</w:t>
            </w:r>
          </w:p>
        </w:tc>
        <w:tc>
          <w:tcPr>
            <w:tcW w:w="901" w:type="pct"/>
            <w:vMerge w:val="continue"/>
            <w:tcBorders>
              <w:tl2br w:val="nil"/>
              <w:tr2bl w:val="nil"/>
            </w:tcBorders>
            <w:noWrap w:val="0"/>
            <w:vAlign w:val="center"/>
          </w:tcPr>
          <w:p w14:paraId="587DEF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04CFDB0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30</w:t>
            </w:r>
          </w:p>
        </w:tc>
        <w:tc>
          <w:tcPr>
            <w:tcW w:w="848" w:type="pct"/>
            <w:tcBorders>
              <w:tl2br w:val="nil"/>
              <w:tr2bl w:val="nil"/>
            </w:tcBorders>
            <w:noWrap w:val="0"/>
            <w:vAlign w:val="center"/>
          </w:tcPr>
          <w:p w14:paraId="6B2E8D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eastAsia="zh-CN"/>
              </w:rPr>
              <w:t>—</w:t>
            </w:r>
          </w:p>
        </w:tc>
        <w:tc>
          <w:tcPr>
            <w:tcW w:w="848" w:type="pct"/>
            <w:tcBorders>
              <w:tl2br w:val="nil"/>
              <w:tr2bl w:val="nil"/>
            </w:tcBorders>
            <w:noWrap w:val="0"/>
            <w:vAlign w:val="center"/>
          </w:tcPr>
          <w:p w14:paraId="59E9B8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r>
      <w:tr w14:paraId="622A94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46FAF1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悬浮物</w:t>
            </w:r>
          </w:p>
        </w:tc>
        <w:tc>
          <w:tcPr>
            <w:tcW w:w="537" w:type="pct"/>
            <w:tcBorders>
              <w:tl2br w:val="nil"/>
              <w:tr2bl w:val="nil"/>
            </w:tcBorders>
            <w:noWrap w:val="0"/>
            <w:vAlign w:val="center"/>
          </w:tcPr>
          <w:p w14:paraId="64D8224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399D5D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59B392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100</w:t>
            </w:r>
          </w:p>
        </w:tc>
        <w:tc>
          <w:tcPr>
            <w:tcW w:w="848" w:type="pct"/>
            <w:tcBorders>
              <w:tl2br w:val="nil"/>
              <w:tr2bl w:val="nil"/>
            </w:tcBorders>
            <w:noWrap w:val="0"/>
            <w:vAlign w:val="center"/>
          </w:tcPr>
          <w:p w14:paraId="02B7E91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w:t>
            </w:r>
          </w:p>
        </w:tc>
        <w:tc>
          <w:tcPr>
            <w:tcW w:w="848" w:type="pct"/>
            <w:tcBorders>
              <w:tl2br w:val="nil"/>
              <w:tr2bl w:val="nil"/>
            </w:tcBorders>
            <w:noWrap w:val="0"/>
            <w:vAlign w:val="center"/>
          </w:tcPr>
          <w:p w14:paraId="6D6F21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r>
      <w:tr w14:paraId="7C4A19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79BDC8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氨氮</w:t>
            </w:r>
          </w:p>
        </w:tc>
        <w:tc>
          <w:tcPr>
            <w:tcW w:w="537" w:type="pct"/>
            <w:tcBorders>
              <w:tl2br w:val="nil"/>
              <w:tr2bl w:val="nil"/>
            </w:tcBorders>
            <w:noWrap w:val="0"/>
            <w:vAlign w:val="center"/>
          </w:tcPr>
          <w:p w14:paraId="3A3588B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1A9A6B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6B929B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0.213</w:t>
            </w:r>
          </w:p>
        </w:tc>
        <w:tc>
          <w:tcPr>
            <w:tcW w:w="848" w:type="pct"/>
            <w:tcBorders>
              <w:tl2br w:val="nil"/>
              <w:tr2bl w:val="nil"/>
            </w:tcBorders>
            <w:noWrap w:val="0"/>
            <w:vAlign w:val="center"/>
          </w:tcPr>
          <w:p w14:paraId="2F2608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1.0</w:t>
            </w:r>
          </w:p>
        </w:tc>
        <w:tc>
          <w:tcPr>
            <w:tcW w:w="848" w:type="pct"/>
            <w:tcBorders>
              <w:tl2br w:val="nil"/>
              <w:tr2bl w:val="nil"/>
            </w:tcBorders>
            <w:noWrap w:val="0"/>
            <w:vAlign w:val="center"/>
          </w:tcPr>
          <w:p w14:paraId="2BAA35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0.21</w:t>
            </w:r>
          </w:p>
        </w:tc>
      </w:tr>
      <w:tr w14:paraId="5A0197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10FCDCE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总磷</w:t>
            </w:r>
          </w:p>
        </w:tc>
        <w:tc>
          <w:tcPr>
            <w:tcW w:w="537" w:type="pct"/>
            <w:tcBorders>
              <w:tl2br w:val="nil"/>
              <w:tr2bl w:val="nil"/>
            </w:tcBorders>
            <w:noWrap w:val="0"/>
            <w:vAlign w:val="center"/>
          </w:tcPr>
          <w:p w14:paraId="73674A4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22031C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2D7B639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0.17</w:t>
            </w:r>
          </w:p>
        </w:tc>
        <w:tc>
          <w:tcPr>
            <w:tcW w:w="848" w:type="pct"/>
            <w:tcBorders>
              <w:tl2br w:val="nil"/>
              <w:tr2bl w:val="nil"/>
            </w:tcBorders>
            <w:noWrap w:val="0"/>
            <w:vAlign w:val="center"/>
          </w:tcPr>
          <w:p w14:paraId="5C6E3C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0.2</w:t>
            </w:r>
          </w:p>
        </w:tc>
        <w:tc>
          <w:tcPr>
            <w:tcW w:w="848" w:type="pct"/>
            <w:tcBorders>
              <w:tl2br w:val="nil"/>
              <w:tr2bl w:val="nil"/>
            </w:tcBorders>
            <w:noWrap w:val="0"/>
            <w:vAlign w:val="center"/>
          </w:tcPr>
          <w:p w14:paraId="3E80C8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0.85</w:t>
            </w:r>
          </w:p>
        </w:tc>
      </w:tr>
      <w:tr w14:paraId="282FB8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256CD3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五日生化需氧量</w:t>
            </w:r>
          </w:p>
        </w:tc>
        <w:tc>
          <w:tcPr>
            <w:tcW w:w="537" w:type="pct"/>
            <w:tcBorders>
              <w:tl2br w:val="nil"/>
              <w:tr2bl w:val="nil"/>
            </w:tcBorders>
            <w:noWrap w:val="0"/>
            <w:vAlign w:val="center"/>
          </w:tcPr>
          <w:p w14:paraId="6562E82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7D7410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515FDC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3.4</w:t>
            </w:r>
          </w:p>
        </w:tc>
        <w:tc>
          <w:tcPr>
            <w:tcW w:w="848" w:type="pct"/>
            <w:tcBorders>
              <w:tl2br w:val="nil"/>
              <w:tr2bl w:val="nil"/>
            </w:tcBorders>
            <w:noWrap w:val="0"/>
            <w:vAlign w:val="center"/>
          </w:tcPr>
          <w:p w14:paraId="0898ED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4</w:t>
            </w:r>
          </w:p>
        </w:tc>
        <w:tc>
          <w:tcPr>
            <w:tcW w:w="848" w:type="pct"/>
            <w:tcBorders>
              <w:tl2br w:val="nil"/>
              <w:tr2bl w:val="nil"/>
            </w:tcBorders>
            <w:noWrap w:val="0"/>
            <w:vAlign w:val="center"/>
          </w:tcPr>
          <w:p w14:paraId="3ED128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0.85</w:t>
            </w:r>
          </w:p>
        </w:tc>
      </w:tr>
      <w:tr w14:paraId="543A5F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29D4A2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化学需氧量</w:t>
            </w:r>
          </w:p>
        </w:tc>
        <w:tc>
          <w:tcPr>
            <w:tcW w:w="537" w:type="pct"/>
            <w:tcBorders>
              <w:tl2br w:val="nil"/>
              <w:tr2bl w:val="nil"/>
            </w:tcBorders>
            <w:noWrap w:val="0"/>
            <w:vAlign w:val="center"/>
          </w:tcPr>
          <w:p w14:paraId="134033E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385AE5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7C9784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17</w:t>
            </w:r>
          </w:p>
        </w:tc>
        <w:tc>
          <w:tcPr>
            <w:tcW w:w="848" w:type="pct"/>
            <w:tcBorders>
              <w:tl2br w:val="nil"/>
              <w:tr2bl w:val="nil"/>
            </w:tcBorders>
            <w:noWrap w:val="0"/>
            <w:vAlign w:val="center"/>
          </w:tcPr>
          <w:p w14:paraId="2FDADB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20</w:t>
            </w:r>
          </w:p>
        </w:tc>
        <w:tc>
          <w:tcPr>
            <w:tcW w:w="848" w:type="pct"/>
            <w:tcBorders>
              <w:tl2br w:val="nil"/>
              <w:tr2bl w:val="nil"/>
            </w:tcBorders>
            <w:noWrap w:val="0"/>
            <w:vAlign w:val="center"/>
          </w:tcPr>
          <w:p w14:paraId="52D976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0.85</w:t>
            </w:r>
          </w:p>
        </w:tc>
      </w:tr>
      <w:tr w14:paraId="67484A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31E6C6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石油类</w:t>
            </w:r>
          </w:p>
        </w:tc>
        <w:tc>
          <w:tcPr>
            <w:tcW w:w="537" w:type="pct"/>
            <w:tcBorders>
              <w:tl2br w:val="nil"/>
              <w:tr2bl w:val="nil"/>
            </w:tcBorders>
            <w:noWrap w:val="0"/>
            <w:vAlign w:val="center"/>
          </w:tcPr>
          <w:p w14:paraId="1B7FA01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7FD4CDD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2B42D3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0.01L</w:t>
            </w:r>
          </w:p>
        </w:tc>
        <w:tc>
          <w:tcPr>
            <w:tcW w:w="848" w:type="pct"/>
            <w:tcBorders>
              <w:tl2br w:val="nil"/>
              <w:tr2bl w:val="nil"/>
            </w:tcBorders>
            <w:noWrap w:val="0"/>
            <w:vAlign w:val="center"/>
          </w:tcPr>
          <w:p w14:paraId="7000B20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0.05</w:t>
            </w:r>
          </w:p>
        </w:tc>
        <w:tc>
          <w:tcPr>
            <w:tcW w:w="848" w:type="pct"/>
            <w:tcBorders>
              <w:tl2br w:val="nil"/>
              <w:tr2bl w:val="nil"/>
            </w:tcBorders>
            <w:noWrap w:val="0"/>
            <w:vAlign w:val="center"/>
          </w:tcPr>
          <w:p w14:paraId="41DD47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0</w:t>
            </w:r>
          </w:p>
        </w:tc>
      </w:tr>
      <w:tr w14:paraId="138ACE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5AD58E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阴离子表面活性剂</w:t>
            </w:r>
          </w:p>
        </w:tc>
        <w:tc>
          <w:tcPr>
            <w:tcW w:w="537" w:type="pct"/>
            <w:tcBorders>
              <w:tl2br w:val="nil"/>
              <w:tr2bl w:val="nil"/>
            </w:tcBorders>
            <w:noWrap w:val="0"/>
            <w:vAlign w:val="center"/>
          </w:tcPr>
          <w:p w14:paraId="1498636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46638B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77A0F8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0.05L</w:t>
            </w:r>
          </w:p>
        </w:tc>
        <w:tc>
          <w:tcPr>
            <w:tcW w:w="848" w:type="pct"/>
            <w:tcBorders>
              <w:tl2br w:val="nil"/>
              <w:tr2bl w:val="nil"/>
            </w:tcBorders>
            <w:noWrap w:val="0"/>
            <w:vAlign w:val="center"/>
          </w:tcPr>
          <w:p w14:paraId="292967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0.2</w:t>
            </w:r>
          </w:p>
        </w:tc>
        <w:tc>
          <w:tcPr>
            <w:tcW w:w="848" w:type="pct"/>
            <w:tcBorders>
              <w:tl2br w:val="nil"/>
              <w:tr2bl w:val="nil"/>
            </w:tcBorders>
            <w:noWrap w:val="0"/>
            <w:vAlign w:val="center"/>
          </w:tcPr>
          <w:p w14:paraId="1136B8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3</w:t>
            </w:r>
          </w:p>
        </w:tc>
      </w:tr>
      <w:tr w14:paraId="64342B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2356939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粪大肠菌群</w:t>
            </w:r>
          </w:p>
        </w:tc>
        <w:tc>
          <w:tcPr>
            <w:tcW w:w="537" w:type="pct"/>
            <w:tcBorders>
              <w:tl2br w:val="nil"/>
              <w:tr2bl w:val="nil"/>
            </w:tcBorders>
            <w:noWrap w:val="0"/>
            <w:vAlign w:val="center"/>
          </w:tcPr>
          <w:p w14:paraId="3C0CB73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096BC7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5D53D4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1.1</w:t>
            </w:r>
            <w:r>
              <w:rPr>
                <w:rFonts w:hint="default" w:ascii="Times New Roman" w:hAnsi="Times New Roman" w:eastAsia="宋体" w:cs="Times New Roman"/>
                <w:color w:val="auto"/>
                <w:kern w:val="2"/>
                <w:sz w:val="21"/>
                <w:szCs w:val="21"/>
                <w:highlight w:val="none"/>
                <w:lang w:val="en-US" w:eastAsia="zh-CN" w:bidi="ar-SA"/>
              </w:rPr>
              <w:t>×10</w:t>
            </w:r>
            <w:r>
              <w:rPr>
                <w:rFonts w:hint="default" w:ascii="Times New Roman" w:hAnsi="Times New Roman" w:eastAsia="宋体" w:cs="Times New Roman"/>
                <w:color w:val="auto"/>
                <w:kern w:val="2"/>
                <w:sz w:val="21"/>
                <w:szCs w:val="21"/>
                <w:highlight w:val="none"/>
                <w:vertAlign w:val="superscript"/>
                <w:lang w:val="en-US" w:eastAsia="zh-CN" w:bidi="ar-SA"/>
              </w:rPr>
              <w:t>3</w:t>
            </w:r>
          </w:p>
        </w:tc>
        <w:tc>
          <w:tcPr>
            <w:tcW w:w="848" w:type="pct"/>
            <w:tcBorders>
              <w:tl2br w:val="nil"/>
              <w:tr2bl w:val="nil"/>
            </w:tcBorders>
            <w:noWrap w:val="0"/>
            <w:vAlign w:val="center"/>
          </w:tcPr>
          <w:p w14:paraId="7D3A7D1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10000</w:t>
            </w:r>
          </w:p>
        </w:tc>
        <w:tc>
          <w:tcPr>
            <w:tcW w:w="848" w:type="pct"/>
            <w:tcBorders>
              <w:tl2br w:val="nil"/>
              <w:tr2bl w:val="nil"/>
            </w:tcBorders>
            <w:noWrap w:val="0"/>
            <w:vAlign w:val="center"/>
          </w:tcPr>
          <w:p w14:paraId="2839F3C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0.11</w:t>
            </w:r>
          </w:p>
        </w:tc>
      </w:tr>
      <w:tr w14:paraId="5A7DDD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139C3C5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总铁</w:t>
            </w:r>
          </w:p>
        </w:tc>
        <w:tc>
          <w:tcPr>
            <w:tcW w:w="537" w:type="pct"/>
            <w:tcBorders>
              <w:tl2br w:val="nil"/>
              <w:tr2bl w:val="nil"/>
            </w:tcBorders>
            <w:noWrap w:val="0"/>
            <w:vAlign w:val="center"/>
          </w:tcPr>
          <w:p w14:paraId="103B6CE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5140CB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714CEAA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w:t>
            </w:r>
            <w:r>
              <w:rPr>
                <w:rFonts w:hint="eastAsia" w:ascii="Times New Roman" w:hAnsi="Times New Roman" w:eastAsia="宋体" w:cs="Times New Roman"/>
                <w:color w:val="auto"/>
                <w:sz w:val="21"/>
                <w:szCs w:val="21"/>
                <w:highlight w:val="none"/>
                <w:lang w:val="en-US" w:eastAsia="zh-CN"/>
              </w:rPr>
              <w:t>0</w:t>
            </w:r>
          </w:p>
        </w:tc>
        <w:tc>
          <w:tcPr>
            <w:tcW w:w="848" w:type="pct"/>
            <w:tcBorders>
              <w:tl2br w:val="nil"/>
              <w:tr2bl w:val="nil"/>
            </w:tcBorders>
            <w:noWrap w:val="0"/>
            <w:vAlign w:val="center"/>
          </w:tcPr>
          <w:p w14:paraId="2F062F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0.3</w:t>
            </w:r>
          </w:p>
        </w:tc>
        <w:tc>
          <w:tcPr>
            <w:tcW w:w="848" w:type="pct"/>
            <w:tcBorders>
              <w:tl2br w:val="nil"/>
              <w:tr2bl w:val="nil"/>
            </w:tcBorders>
            <w:noWrap w:val="0"/>
            <w:vAlign w:val="center"/>
          </w:tcPr>
          <w:p w14:paraId="3E3A2D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0.67</w:t>
            </w:r>
          </w:p>
        </w:tc>
      </w:tr>
      <w:tr w14:paraId="407C06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18F52F4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总锰</w:t>
            </w:r>
          </w:p>
        </w:tc>
        <w:tc>
          <w:tcPr>
            <w:tcW w:w="537" w:type="pct"/>
            <w:tcBorders>
              <w:tl2br w:val="nil"/>
              <w:tr2bl w:val="nil"/>
            </w:tcBorders>
            <w:noWrap w:val="0"/>
            <w:vAlign w:val="center"/>
          </w:tcPr>
          <w:p w14:paraId="04FDB9E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7C0376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587382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0.01L</w:t>
            </w:r>
          </w:p>
        </w:tc>
        <w:tc>
          <w:tcPr>
            <w:tcW w:w="848" w:type="pct"/>
            <w:tcBorders>
              <w:tl2br w:val="nil"/>
              <w:tr2bl w:val="nil"/>
            </w:tcBorders>
            <w:noWrap w:val="0"/>
            <w:vAlign w:val="center"/>
          </w:tcPr>
          <w:p w14:paraId="3AA83B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0.1</w:t>
            </w:r>
          </w:p>
        </w:tc>
        <w:tc>
          <w:tcPr>
            <w:tcW w:w="848" w:type="pct"/>
            <w:tcBorders>
              <w:tl2br w:val="nil"/>
              <w:tr2bl w:val="nil"/>
            </w:tcBorders>
            <w:noWrap w:val="0"/>
            <w:vAlign w:val="center"/>
          </w:tcPr>
          <w:p w14:paraId="315BC09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0.05</w:t>
            </w:r>
          </w:p>
        </w:tc>
      </w:tr>
      <w:tr w14:paraId="654E72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072DC5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pH</w:t>
            </w:r>
          </w:p>
        </w:tc>
        <w:tc>
          <w:tcPr>
            <w:tcW w:w="537" w:type="pct"/>
            <w:tcBorders>
              <w:tl2br w:val="nil"/>
              <w:tr2bl w:val="nil"/>
            </w:tcBorders>
            <w:noWrap w:val="0"/>
            <w:vAlign w:val="center"/>
          </w:tcPr>
          <w:p w14:paraId="511647E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无量纲</w:t>
            </w:r>
          </w:p>
        </w:tc>
        <w:tc>
          <w:tcPr>
            <w:tcW w:w="901" w:type="pct"/>
            <w:vMerge w:val="restart"/>
            <w:tcBorders>
              <w:tl2br w:val="nil"/>
              <w:tr2bl w:val="nil"/>
            </w:tcBorders>
            <w:noWrap w:val="0"/>
            <w:vAlign w:val="center"/>
          </w:tcPr>
          <w:p w14:paraId="45C16A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黄泥河汇入穆棱河汇入口下游1000m</w:t>
            </w:r>
            <w:r>
              <w:rPr>
                <w:rFonts w:hint="default" w:ascii="Times New Roman" w:hAnsi="Times New Roman" w:eastAsia="宋体" w:cs="Times New Roman"/>
                <w:bCs/>
                <w:color w:val="auto"/>
                <w:kern w:val="0"/>
                <w:sz w:val="21"/>
                <w:szCs w:val="21"/>
                <w:highlight w:val="none"/>
                <w:lang w:val="en-US" w:eastAsia="zh-CN"/>
              </w:rPr>
              <w:t>（2025.06.06）</w:t>
            </w:r>
          </w:p>
        </w:tc>
        <w:tc>
          <w:tcPr>
            <w:tcW w:w="848" w:type="pct"/>
            <w:tcBorders>
              <w:tl2br w:val="nil"/>
              <w:tr2bl w:val="nil"/>
            </w:tcBorders>
            <w:noWrap w:val="0"/>
            <w:vAlign w:val="center"/>
          </w:tcPr>
          <w:p w14:paraId="5E329DD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7.0</w:t>
            </w:r>
          </w:p>
        </w:tc>
        <w:tc>
          <w:tcPr>
            <w:tcW w:w="848" w:type="pct"/>
            <w:tcBorders>
              <w:tl2br w:val="nil"/>
              <w:tr2bl w:val="nil"/>
            </w:tcBorders>
            <w:noWrap w:val="0"/>
            <w:vAlign w:val="center"/>
          </w:tcPr>
          <w:p w14:paraId="2CD5C1E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6-9</w:t>
            </w:r>
          </w:p>
        </w:tc>
        <w:tc>
          <w:tcPr>
            <w:tcW w:w="848" w:type="pct"/>
            <w:tcBorders>
              <w:tl2br w:val="nil"/>
              <w:tr2bl w:val="nil"/>
            </w:tcBorders>
            <w:noWrap w:val="0"/>
            <w:vAlign w:val="center"/>
          </w:tcPr>
          <w:p w14:paraId="6DD41A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w:t>
            </w:r>
          </w:p>
        </w:tc>
      </w:tr>
      <w:tr w14:paraId="632B02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02A738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色度</w:t>
            </w:r>
          </w:p>
        </w:tc>
        <w:tc>
          <w:tcPr>
            <w:tcW w:w="537" w:type="pct"/>
            <w:tcBorders>
              <w:tl2br w:val="nil"/>
              <w:tr2bl w:val="nil"/>
            </w:tcBorders>
            <w:noWrap w:val="0"/>
            <w:vAlign w:val="center"/>
          </w:tcPr>
          <w:p w14:paraId="305950F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度</w:t>
            </w:r>
          </w:p>
        </w:tc>
        <w:tc>
          <w:tcPr>
            <w:tcW w:w="901" w:type="pct"/>
            <w:vMerge w:val="continue"/>
            <w:tcBorders>
              <w:tl2br w:val="nil"/>
              <w:tr2bl w:val="nil"/>
            </w:tcBorders>
            <w:noWrap w:val="0"/>
            <w:vAlign w:val="center"/>
          </w:tcPr>
          <w:p w14:paraId="792C75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336F37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848" w:type="pct"/>
            <w:tcBorders>
              <w:tl2br w:val="nil"/>
              <w:tr2bl w:val="nil"/>
            </w:tcBorders>
            <w:noWrap w:val="0"/>
            <w:vAlign w:val="center"/>
          </w:tcPr>
          <w:p w14:paraId="46932F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eastAsia="zh-CN"/>
              </w:rPr>
              <w:t>—</w:t>
            </w:r>
          </w:p>
        </w:tc>
        <w:tc>
          <w:tcPr>
            <w:tcW w:w="848" w:type="pct"/>
            <w:tcBorders>
              <w:tl2br w:val="nil"/>
              <w:tr2bl w:val="nil"/>
            </w:tcBorders>
            <w:noWrap w:val="0"/>
            <w:vAlign w:val="center"/>
          </w:tcPr>
          <w:p w14:paraId="01AA3C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r>
      <w:tr w14:paraId="1D9B2B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3EBFDB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悬浮物</w:t>
            </w:r>
          </w:p>
        </w:tc>
        <w:tc>
          <w:tcPr>
            <w:tcW w:w="537" w:type="pct"/>
            <w:tcBorders>
              <w:tl2br w:val="nil"/>
              <w:tr2bl w:val="nil"/>
            </w:tcBorders>
            <w:noWrap w:val="0"/>
            <w:vAlign w:val="center"/>
          </w:tcPr>
          <w:p w14:paraId="0F0050F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2CC46E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4DD818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39</w:t>
            </w:r>
          </w:p>
        </w:tc>
        <w:tc>
          <w:tcPr>
            <w:tcW w:w="848" w:type="pct"/>
            <w:tcBorders>
              <w:tl2br w:val="nil"/>
              <w:tr2bl w:val="nil"/>
            </w:tcBorders>
            <w:noWrap w:val="0"/>
            <w:vAlign w:val="center"/>
          </w:tcPr>
          <w:p w14:paraId="29DB24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w:t>
            </w:r>
          </w:p>
        </w:tc>
        <w:tc>
          <w:tcPr>
            <w:tcW w:w="848" w:type="pct"/>
            <w:tcBorders>
              <w:tl2br w:val="nil"/>
              <w:tr2bl w:val="nil"/>
            </w:tcBorders>
            <w:noWrap w:val="0"/>
            <w:vAlign w:val="center"/>
          </w:tcPr>
          <w:p w14:paraId="61D9BA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r>
      <w:tr w14:paraId="65E1BE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23A914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氨氮</w:t>
            </w:r>
          </w:p>
        </w:tc>
        <w:tc>
          <w:tcPr>
            <w:tcW w:w="537" w:type="pct"/>
            <w:tcBorders>
              <w:tl2br w:val="nil"/>
              <w:tr2bl w:val="nil"/>
            </w:tcBorders>
            <w:noWrap w:val="0"/>
            <w:vAlign w:val="center"/>
          </w:tcPr>
          <w:p w14:paraId="0444366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6DD1AC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3DC311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0.813</w:t>
            </w:r>
          </w:p>
        </w:tc>
        <w:tc>
          <w:tcPr>
            <w:tcW w:w="848" w:type="pct"/>
            <w:tcBorders>
              <w:tl2br w:val="nil"/>
              <w:tr2bl w:val="nil"/>
            </w:tcBorders>
            <w:noWrap w:val="0"/>
            <w:vAlign w:val="center"/>
          </w:tcPr>
          <w:p w14:paraId="09F0E8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1.0</w:t>
            </w:r>
          </w:p>
        </w:tc>
        <w:tc>
          <w:tcPr>
            <w:tcW w:w="848" w:type="pct"/>
            <w:tcBorders>
              <w:tl2br w:val="nil"/>
              <w:tr2bl w:val="nil"/>
            </w:tcBorders>
            <w:noWrap w:val="0"/>
            <w:vAlign w:val="center"/>
          </w:tcPr>
          <w:p w14:paraId="4C5D20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0.81</w:t>
            </w:r>
          </w:p>
        </w:tc>
      </w:tr>
      <w:tr w14:paraId="7880E9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3740F9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总磷</w:t>
            </w:r>
          </w:p>
        </w:tc>
        <w:tc>
          <w:tcPr>
            <w:tcW w:w="537" w:type="pct"/>
            <w:tcBorders>
              <w:tl2br w:val="nil"/>
              <w:tr2bl w:val="nil"/>
            </w:tcBorders>
            <w:noWrap w:val="0"/>
            <w:vAlign w:val="center"/>
          </w:tcPr>
          <w:p w14:paraId="5EE2C44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1ED093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3855AB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0.19</w:t>
            </w:r>
          </w:p>
        </w:tc>
        <w:tc>
          <w:tcPr>
            <w:tcW w:w="848" w:type="pct"/>
            <w:tcBorders>
              <w:tl2br w:val="nil"/>
              <w:tr2bl w:val="nil"/>
            </w:tcBorders>
            <w:noWrap w:val="0"/>
            <w:vAlign w:val="center"/>
          </w:tcPr>
          <w:p w14:paraId="7577DF6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0.2</w:t>
            </w:r>
          </w:p>
        </w:tc>
        <w:tc>
          <w:tcPr>
            <w:tcW w:w="848" w:type="pct"/>
            <w:tcBorders>
              <w:tl2br w:val="nil"/>
              <w:tr2bl w:val="nil"/>
            </w:tcBorders>
            <w:noWrap w:val="0"/>
            <w:vAlign w:val="center"/>
          </w:tcPr>
          <w:p w14:paraId="30440C8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0.95</w:t>
            </w:r>
          </w:p>
        </w:tc>
      </w:tr>
      <w:tr w14:paraId="0490A7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25A72F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五日生化需氧量</w:t>
            </w:r>
          </w:p>
        </w:tc>
        <w:tc>
          <w:tcPr>
            <w:tcW w:w="537" w:type="pct"/>
            <w:tcBorders>
              <w:tl2br w:val="nil"/>
              <w:tr2bl w:val="nil"/>
            </w:tcBorders>
            <w:noWrap w:val="0"/>
            <w:vAlign w:val="center"/>
          </w:tcPr>
          <w:p w14:paraId="587E690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095C54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1609AF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848" w:type="pct"/>
            <w:tcBorders>
              <w:tl2br w:val="nil"/>
              <w:tr2bl w:val="nil"/>
            </w:tcBorders>
            <w:noWrap w:val="0"/>
            <w:vAlign w:val="center"/>
          </w:tcPr>
          <w:p w14:paraId="02F1435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4</w:t>
            </w:r>
          </w:p>
        </w:tc>
        <w:tc>
          <w:tcPr>
            <w:tcW w:w="848" w:type="pct"/>
            <w:tcBorders>
              <w:tl2br w:val="nil"/>
              <w:tr2bl w:val="nil"/>
            </w:tcBorders>
            <w:noWrap w:val="0"/>
            <w:vAlign w:val="center"/>
          </w:tcPr>
          <w:p w14:paraId="01AF5B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0.95</w:t>
            </w:r>
          </w:p>
        </w:tc>
      </w:tr>
      <w:tr w14:paraId="4CD408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770535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化学需氧量</w:t>
            </w:r>
          </w:p>
        </w:tc>
        <w:tc>
          <w:tcPr>
            <w:tcW w:w="537" w:type="pct"/>
            <w:tcBorders>
              <w:tl2br w:val="nil"/>
              <w:tr2bl w:val="nil"/>
            </w:tcBorders>
            <w:noWrap w:val="0"/>
            <w:vAlign w:val="center"/>
          </w:tcPr>
          <w:p w14:paraId="61E99C0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09CA1C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36721D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19</w:t>
            </w:r>
          </w:p>
        </w:tc>
        <w:tc>
          <w:tcPr>
            <w:tcW w:w="848" w:type="pct"/>
            <w:tcBorders>
              <w:tl2br w:val="nil"/>
              <w:tr2bl w:val="nil"/>
            </w:tcBorders>
            <w:noWrap w:val="0"/>
            <w:vAlign w:val="center"/>
          </w:tcPr>
          <w:p w14:paraId="3E4443F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20</w:t>
            </w:r>
          </w:p>
        </w:tc>
        <w:tc>
          <w:tcPr>
            <w:tcW w:w="848" w:type="pct"/>
            <w:tcBorders>
              <w:tl2br w:val="nil"/>
              <w:tr2bl w:val="nil"/>
            </w:tcBorders>
            <w:noWrap w:val="0"/>
            <w:vAlign w:val="center"/>
          </w:tcPr>
          <w:p w14:paraId="5324FA6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0.95</w:t>
            </w:r>
          </w:p>
        </w:tc>
      </w:tr>
      <w:tr w14:paraId="3E10BB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23DCAF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石油类</w:t>
            </w:r>
          </w:p>
        </w:tc>
        <w:tc>
          <w:tcPr>
            <w:tcW w:w="537" w:type="pct"/>
            <w:tcBorders>
              <w:tl2br w:val="nil"/>
              <w:tr2bl w:val="nil"/>
            </w:tcBorders>
            <w:noWrap w:val="0"/>
            <w:vAlign w:val="center"/>
          </w:tcPr>
          <w:p w14:paraId="111EAAA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13A7EE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290A318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0.01L</w:t>
            </w:r>
          </w:p>
        </w:tc>
        <w:tc>
          <w:tcPr>
            <w:tcW w:w="848" w:type="pct"/>
            <w:tcBorders>
              <w:tl2br w:val="nil"/>
              <w:tr2bl w:val="nil"/>
            </w:tcBorders>
            <w:noWrap w:val="0"/>
            <w:vAlign w:val="center"/>
          </w:tcPr>
          <w:p w14:paraId="785319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0.05</w:t>
            </w:r>
          </w:p>
        </w:tc>
        <w:tc>
          <w:tcPr>
            <w:tcW w:w="848" w:type="pct"/>
            <w:tcBorders>
              <w:tl2br w:val="nil"/>
              <w:tr2bl w:val="nil"/>
            </w:tcBorders>
            <w:noWrap w:val="0"/>
            <w:vAlign w:val="center"/>
          </w:tcPr>
          <w:p w14:paraId="51C387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0</w:t>
            </w:r>
          </w:p>
        </w:tc>
      </w:tr>
      <w:tr w14:paraId="7F914D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5209B8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阴离子表面活性剂</w:t>
            </w:r>
          </w:p>
        </w:tc>
        <w:tc>
          <w:tcPr>
            <w:tcW w:w="537" w:type="pct"/>
            <w:tcBorders>
              <w:tl2br w:val="nil"/>
              <w:tr2bl w:val="nil"/>
            </w:tcBorders>
            <w:noWrap w:val="0"/>
            <w:vAlign w:val="center"/>
          </w:tcPr>
          <w:p w14:paraId="5E496FB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6429C2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5963ED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0.05L</w:t>
            </w:r>
          </w:p>
        </w:tc>
        <w:tc>
          <w:tcPr>
            <w:tcW w:w="848" w:type="pct"/>
            <w:tcBorders>
              <w:tl2br w:val="nil"/>
              <w:tr2bl w:val="nil"/>
            </w:tcBorders>
            <w:noWrap w:val="0"/>
            <w:vAlign w:val="center"/>
          </w:tcPr>
          <w:p w14:paraId="24921D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0.2</w:t>
            </w:r>
          </w:p>
        </w:tc>
        <w:tc>
          <w:tcPr>
            <w:tcW w:w="848" w:type="pct"/>
            <w:tcBorders>
              <w:tl2br w:val="nil"/>
              <w:tr2bl w:val="nil"/>
            </w:tcBorders>
            <w:noWrap w:val="0"/>
            <w:vAlign w:val="center"/>
          </w:tcPr>
          <w:p w14:paraId="49C8C94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3</w:t>
            </w:r>
          </w:p>
        </w:tc>
      </w:tr>
      <w:tr w14:paraId="674641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718435D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粪大肠菌群</w:t>
            </w:r>
          </w:p>
        </w:tc>
        <w:tc>
          <w:tcPr>
            <w:tcW w:w="537" w:type="pct"/>
            <w:tcBorders>
              <w:tl2br w:val="nil"/>
              <w:tr2bl w:val="nil"/>
            </w:tcBorders>
            <w:noWrap w:val="0"/>
            <w:vAlign w:val="center"/>
          </w:tcPr>
          <w:p w14:paraId="77D4CBE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697611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6D4372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1.8</w:t>
            </w:r>
            <w:r>
              <w:rPr>
                <w:rFonts w:hint="default" w:ascii="Times New Roman" w:hAnsi="Times New Roman" w:eastAsia="宋体" w:cs="Times New Roman"/>
                <w:color w:val="auto"/>
                <w:kern w:val="2"/>
                <w:sz w:val="21"/>
                <w:szCs w:val="21"/>
                <w:highlight w:val="none"/>
                <w:lang w:val="en-US" w:eastAsia="zh-CN" w:bidi="ar-SA"/>
              </w:rPr>
              <w:t>×10</w:t>
            </w:r>
            <w:r>
              <w:rPr>
                <w:rFonts w:hint="default" w:ascii="Times New Roman" w:hAnsi="Times New Roman" w:eastAsia="宋体" w:cs="Times New Roman"/>
                <w:color w:val="auto"/>
                <w:kern w:val="2"/>
                <w:sz w:val="21"/>
                <w:szCs w:val="21"/>
                <w:highlight w:val="none"/>
                <w:vertAlign w:val="superscript"/>
                <w:lang w:val="en-US" w:eastAsia="zh-CN" w:bidi="ar-SA"/>
              </w:rPr>
              <w:t>3</w:t>
            </w:r>
          </w:p>
        </w:tc>
        <w:tc>
          <w:tcPr>
            <w:tcW w:w="848" w:type="pct"/>
            <w:tcBorders>
              <w:tl2br w:val="nil"/>
              <w:tr2bl w:val="nil"/>
            </w:tcBorders>
            <w:noWrap w:val="0"/>
            <w:vAlign w:val="center"/>
          </w:tcPr>
          <w:p w14:paraId="2341155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10000</w:t>
            </w:r>
          </w:p>
        </w:tc>
        <w:tc>
          <w:tcPr>
            <w:tcW w:w="848" w:type="pct"/>
            <w:tcBorders>
              <w:tl2br w:val="nil"/>
              <w:tr2bl w:val="nil"/>
            </w:tcBorders>
            <w:noWrap w:val="0"/>
            <w:vAlign w:val="center"/>
          </w:tcPr>
          <w:p w14:paraId="4734D7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0.18</w:t>
            </w:r>
          </w:p>
        </w:tc>
      </w:tr>
      <w:tr w14:paraId="4BA520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7765EAE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总铁</w:t>
            </w:r>
          </w:p>
        </w:tc>
        <w:tc>
          <w:tcPr>
            <w:tcW w:w="537" w:type="pct"/>
            <w:tcBorders>
              <w:tl2br w:val="nil"/>
              <w:tr2bl w:val="nil"/>
            </w:tcBorders>
            <w:noWrap w:val="0"/>
            <w:vAlign w:val="center"/>
          </w:tcPr>
          <w:p w14:paraId="26A532C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40BF2F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527D0A1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w:t>
            </w:r>
            <w:r>
              <w:rPr>
                <w:rFonts w:hint="eastAsia" w:ascii="Times New Roman" w:hAnsi="Times New Roman" w:eastAsia="宋体" w:cs="Times New Roman"/>
                <w:color w:val="auto"/>
                <w:sz w:val="21"/>
                <w:szCs w:val="21"/>
                <w:highlight w:val="none"/>
                <w:lang w:val="en-US" w:eastAsia="zh-CN"/>
              </w:rPr>
              <w:t>5</w:t>
            </w:r>
          </w:p>
        </w:tc>
        <w:tc>
          <w:tcPr>
            <w:tcW w:w="848" w:type="pct"/>
            <w:tcBorders>
              <w:tl2br w:val="nil"/>
              <w:tr2bl w:val="nil"/>
            </w:tcBorders>
            <w:noWrap w:val="0"/>
            <w:vAlign w:val="center"/>
          </w:tcPr>
          <w:p w14:paraId="2EF5270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0.3</w:t>
            </w:r>
          </w:p>
        </w:tc>
        <w:tc>
          <w:tcPr>
            <w:tcW w:w="848" w:type="pct"/>
            <w:tcBorders>
              <w:tl2br w:val="nil"/>
              <w:tr2bl w:val="nil"/>
            </w:tcBorders>
            <w:noWrap w:val="0"/>
            <w:vAlign w:val="center"/>
          </w:tcPr>
          <w:p w14:paraId="49BAF5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0.83</w:t>
            </w:r>
          </w:p>
        </w:tc>
      </w:tr>
      <w:tr w14:paraId="28F784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1095BA0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总锰</w:t>
            </w:r>
          </w:p>
        </w:tc>
        <w:tc>
          <w:tcPr>
            <w:tcW w:w="537" w:type="pct"/>
            <w:tcBorders>
              <w:tl2br w:val="nil"/>
              <w:tr2bl w:val="nil"/>
            </w:tcBorders>
            <w:noWrap w:val="0"/>
            <w:vAlign w:val="center"/>
          </w:tcPr>
          <w:p w14:paraId="06AFA39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3408E3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5A1EA1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0.01L</w:t>
            </w:r>
          </w:p>
        </w:tc>
        <w:tc>
          <w:tcPr>
            <w:tcW w:w="848" w:type="pct"/>
            <w:tcBorders>
              <w:tl2br w:val="nil"/>
              <w:tr2bl w:val="nil"/>
            </w:tcBorders>
            <w:noWrap w:val="0"/>
            <w:vAlign w:val="center"/>
          </w:tcPr>
          <w:p w14:paraId="6151DDD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0.1</w:t>
            </w:r>
          </w:p>
        </w:tc>
        <w:tc>
          <w:tcPr>
            <w:tcW w:w="848" w:type="pct"/>
            <w:tcBorders>
              <w:tl2br w:val="nil"/>
              <w:tr2bl w:val="nil"/>
            </w:tcBorders>
            <w:noWrap w:val="0"/>
            <w:vAlign w:val="center"/>
          </w:tcPr>
          <w:p w14:paraId="2F03E4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0.05</w:t>
            </w:r>
          </w:p>
        </w:tc>
      </w:tr>
      <w:tr w14:paraId="0EA1D2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346437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pH</w:t>
            </w:r>
          </w:p>
        </w:tc>
        <w:tc>
          <w:tcPr>
            <w:tcW w:w="537" w:type="pct"/>
            <w:tcBorders>
              <w:tl2br w:val="nil"/>
              <w:tr2bl w:val="nil"/>
            </w:tcBorders>
            <w:noWrap w:val="0"/>
            <w:vAlign w:val="center"/>
          </w:tcPr>
          <w:p w14:paraId="1D91D48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无量纲</w:t>
            </w:r>
          </w:p>
        </w:tc>
        <w:tc>
          <w:tcPr>
            <w:tcW w:w="901" w:type="pct"/>
            <w:vMerge w:val="restart"/>
            <w:tcBorders>
              <w:tl2br w:val="nil"/>
              <w:tr2bl w:val="nil"/>
            </w:tcBorders>
            <w:noWrap w:val="0"/>
            <w:vAlign w:val="center"/>
          </w:tcPr>
          <w:p w14:paraId="6A5A0F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黄泥河汇入穆棱河汇入口下游1000m</w:t>
            </w:r>
            <w:r>
              <w:rPr>
                <w:rFonts w:hint="default" w:ascii="Times New Roman" w:hAnsi="Times New Roman" w:eastAsia="宋体" w:cs="Times New Roman"/>
                <w:bCs/>
                <w:color w:val="auto"/>
                <w:kern w:val="0"/>
                <w:sz w:val="21"/>
                <w:szCs w:val="21"/>
                <w:highlight w:val="none"/>
                <w:lang w:val="en-US" w:eastAsia="zh-CN"/>
              </w:rPr>
              <w:t>（2025.06.07）</w:t>
            </w:r>
          </w:p>
        </w:tc>
        <w:tc>
          <w:tcPr>
            <w:tcW w:w="848" w:type="pct"/>
            <w:tcBorders>
              <w:tl2br w:val="nil"/>
              <w:tr2bl w:val="nil"/>
            </w:tcBorders>
            <w:noWrap w:val="0"/>
            <w:vAlign w:val="center"/>
          </w:tcPr>
          <w:p w14:paraId="159AD8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6.9</w:t>
            </w:r>
          </w:p>
        </w:tc>
        <w:tc>
          <w:tcPr>
            <w:tcW w:w="848" w:type="pct"/>
            <w:tcBorders>
              <w:tl2br w:val="nil"/>
              <w:tr2bl w:val="nil"/>
            </w:tcBorders>
            <w:noWrap w:val="0"/>
            <w:vAlign w:val="center"/>
          </w:tcPr>
          <w:p w14:paraId="0295FAD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6-9</w:t>
            </w:r>
          </w:p>
        </w:tc>
        <w:tc>
          <w:tcPr>
            <w:tcW w:w="848" w:type="pct"/>
            <w:tcBorders>
              <w:tl2br w:val="nil"/>
              <w:tr2bl w:val="nil"/>
            </w:tcBorders>
            <w:noWrap w:val="0"/>
            <w:vAlign w:val="center"/>
          </w:tcPr>
          <w:p w14:paraId="7C0D50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0</w:t>
            </w:r>
          </w:p>
        </w:tc>
      </w:tr>
      <w:tr w14:paraId="461B32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6ADC8E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色度</w:t>
            </w:r>
          </w:p>
        </w:tc>
        <w:tc>
          <w:tcPr>
            <w:tcW w:w="537" w:type="pct"/>
            <w:tcBorders>
              <w:tl2br w:val="nil"/>
              <w:tr2bl w:val="nil"/>
            </w:tcBorders>
            <w:noWrap w:val="0"/>
            <w:vAlign w:val="center"/>
          </w:tcPr>
          <w:p w14:paraId="4182381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度</w:t>
            </w:r>
          </w:p>
        </w:tc>
        <w:tc>
          <w:tcPr>
            <w:tcW w:w="901" w:type="pct"/>
            <w:vMerge w:val="continue"/>
            <w:tcBorders>
              <w:tl2br w:val="nil"/>
              <w:tr2bl w:val="nil"/>
            </w:tcBorders>
            <w:noWrap w:val="0"/>
            <w:vAlign w:val="center"/>
          </w:tcPr>
          <w:p w14:paraId="51280A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061827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30</w:t>
            </w:r>
          </w:p>
        </w:tc>
        <w:tc>
          <w:tcPr>
            <w:tcW w:w="848" w:type="pct"/>
            <w:tcBorders>
              <w:tl2br w:val="nil"/>
              <w:tr2bl w:val="nil"/>
            </w:tcBorders>
            <w:noWrap w:val="0"/>
            <w:vAlign w:val="center"/>
          </w:tcPr>
          <w:p w14:paraId="462D30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eastAsia="zh-CN"/>
              </w:rPr>
              <w:t>—</w:t>
            </w:r>
          </w:p>
        </w:tc>
        <w:tc>
          <w:tcPr>
            <w:tcW w:w="848" w:type="pct"/>
            <w:tcBorders>
              <w:tl2br w:val="nil"/>
              <w:tr2bl w:val="nil"/>
            </w:tcBorders>
            <w:noWrap w:val="0"/>
            <w:vAlign w:val="center"/>
          </w:tcPr>
          <w:p w14:paraId="193CB9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r>
      <w:tr w14:paraId="6EAFE7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3EE3E9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悬浮物</w:t>
            </w:r>
          </w:p>
        </w:tc>
        <w:tc>
          <w:tcPr>
            <w:tcW w:w="537" w:type="pct"/>
            <w:tcBorders>
              <w:tl2br w:val="nil"/>
              <w:tr2bl w:val="nil"/>
            </w:tcBorders>
            <w:noWrap w:val="0"/>
            <w:vAlign w:val="center"/>
          </w:tcPr>
          <w:p w14:paraId="0852F94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09A2C9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2E7746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50</w:t>
            </w:r>
          </w:p>
        </w:tc>
        <w:tc>
          <w:tcPr>
            <w:tcW w:w="848" w:type="pct"/>
            <w:tcBorders>
              <w:tl2br w:val="nil"/>
              <w:tr2bl w:val="nil"/>
            </w:tcBorders>
            <w:noWrap w:val="0"/>
            <w:vAlign w:val="center"/>
          </w:tcPr>
          <w:p w14:paraId="4401C12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w:t>
            </w:r>
          </w:p>
        </w:tc>
        <w:tc>
          <w:tcPr>
            <w:tcW w:w="848" w:type="pct"/>
            <w:tcBorders>
              <w:tl2br w:val="nil"/>
              <w:tr2bl w:val="nil"/>
            </w:tcBorders>
            <w:noWrap w:val="0"/>
            <w:vAlign w:val="center"/>
          </w:tcPr>
          <w:p w14:paraId="38050C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r>
      <w:tr w14:paraId="531F47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68F886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氨氮</w:t>
            </w:r>
          </w:p>
        </w:tc>
        <w:tc>
          <w:tcPr>
            <w:tcW w:w="537" w:type="pct"/>
            <w:tcBorders>
              <w:tl2br w:val="nil"/>
              <w:tr2bl w:val="nil"/>
            </w:tcBorders>
            <w:noWrap w:val="0"/>
            <w:vAlign w:val="center"/>
          </w:tcPr>
          <w:p w14:paraId="1F779A5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6BF77E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377D9B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0.676</w:t>
            </w:r>
          </w:p>
        </w:tc>
        <w:tc>
          <w:tcPr>
            <w:tcW w:w="848" w:type="pct"/>
            <w:tcBorders>
              <w:tl2br w:val="nil"/>
              <w:tr2bl w:val="nil"/>
            </w:tcBorders>
            <w:noWrap w:val="0"/>
            <w:vAlign w:val="center"/>
          </w:tcPr>
          <w:p w14:paraId="40E2A1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1.0</w:t>
            </w:r>
          </w:p>
        </w:tc>
        <w:tc>
          <w:tcPr>
            <w:tcW w:w="848" w:type="pct"/>
            <w:tcBorders>
              <w:tl2br w:val="nil"/>
              <w:tr2bl w:val="nil"/>
            </w:tcBorders>
            <w:noWrap w:val="0"/>
            <w:vAlign w:val="center"/>
          </w:tcPr>
          <w:p w14:paraId="109EBF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0.6</w:t>
            </w:r>
            <w:r>
              <w:rPr>
                <w:rFonts w:hint="eastAsia" w:ascii="Times New Roman" w:hAnsi="Times New Roman" w:eastAsia="宋体" w:cs="Times New Roman"/>
                <w:i w:val="0"/>
                <w:iCs w:val="0"/>
                <w:color w:val="auto"/>
                <w:kern w:val="0"/>
                <w:sz w:val="21"/>
                <w:szCs w:val="21"/>
                <w:u w:val="none"/>
                <w:lang w:val="en-US" w:eastAsia="zh-CN" w:bidi="ar"/>
              </w:rPr>
              <w:t>8</w:t>
            </w:r>
          </w:p>
        </w:tc>
      </w:tr>
      <w:tr w14:paraId="2898E4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77503D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总磷</w:t>
            </w:r>
          </w:p>
        </w:tc>
        <w:tc>
          <w:tcPr>
            <w:tcW w:w="537" w:type="pct"/>
            <w:tcBorders>
              <w:tl2br w:val="nil"/>
              <w:tr2bl w:val="nil"/>
            </w:tcBorders>
            <w:noWrap w:val="0"/>
            <w:vAlign w:val="center"/>
          </w:tcPr>
          <w:p w14:paraId="4614107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6CDB9C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5CC605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0.14</w:t>
            </w:r>
          </w:p>
        </w:tc>
        <w:tc>
          <w:tcPr>
            <w:tcW w:w="848" w:type="pct"/>
            <w:tcBorders>
              <w:tl2br w:val="nil"/>
              <w:tr2bl w:val="nil"/>
            </w:tcBorders>
            <w:noWrap w:val="0"/>
            <w:vAlign w:val="center"/>
          </w:tcPr>
          <w:p w14:paraId="6E110A0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0.2</w:t>
            </w:r>
          </w:p>
        </w:tc>
        <w:tc>
          <w:tcPr>
            <w:tcW w:w="848" w:type="pct"/>
            <w:tcBorders>
              <w:tl2br w:val="nil"/>
              <w:tr2bl w:val="nil"/>
            </w:tcBorders>
            <w:noWrap w:val="0"/>
            <w:vAlign w:val="center"/>
          </w:tcPr>
          <w:p w14:paraId="3FB71D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w:t>
            </w:r>
            <w:r>
              <w:rPr>
                <w:rFonts w:hint="eastAsia" w:ascii="Times New Roman" w:hAnsi="Times New Roman" w:eastAsia="宋体" w:cs="Times New Roman"/>
                <w:i w:val="0"/>
                <w:iCs w:val="0"/>
                <w:color w:val="auto"/>
                <w:kern w:val="0"/>
                <w:sz w:val="21"/>
                <w:szCs w:val="21"/>
                <w:u w:val="none"/>
                <w:lang w:val="en-US" w:eastAsia="zh-CN" w:bidi="ar"/>
              </w:rPr>
              <w:t>0</w:t>
            </w:r>
          </w:p>
        </w:tc>
      </w:tr>
      <w:tr w14:paraId="014A46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618C3C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五日生化需氧量</w:t>
            </w:r>
          </w:p>
        </w:tc>
        <w:tc>
          <w:tcPr>
            <w:tcW w:w="537" w:type="pct"/>
            <w:tcBorders>
              <w:tl2br w:val="nil"/>
              <w:tr2bl w:val="nil"/>
            </w:tcBorders>
            <w:noWrap w:val="0"/>
            <w:vAlign w:val="center"/>
          </w:tcPr>
          <w:p w14:paraId="69A6D06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09B1A8E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106F00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3.2</w:t>
            </w:r>
          </w:p>
        </w:tc>
        <w:tc>
          <w:tcPr>
            <w:tcW w:w="848" w:type="pct"/>
            <w:tcBorders>
              <w:tl2br w:val="nil"/>
              <w:tr2bl w:val="nil"/>
            </w:tcBorders>
            <w:noWrap w:val="0"/>
            <w:vAlign w:val="center"/>
          </w:tcPr>
          <w:p w14:paraId="468FA36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4</w:t>
            </w:r>
          </w:p>
        </w:tc>
        <w:tc>
          <w:tcPr>
            <w:tcW w:w="848" w:type="pct"/>
            <w:tcBorders>
              <w:tl2br w:val="nil"/>
              <w:tr2bl w:val="nil"/>
            </w:tcBorders>
            <w:noWrap w:val="0"/>
            <w:vAlign w:val="center"/>
          </w:tcPr>
          <w:p w14:paraId="2AA39A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w:t>
            </w:r>
            <w:r>
              <w:rPr>
                <w:rFonts w:hint="eastAsia" w:ascii="Times New Roman" w:hAnsi="Times New Roman" w:eastAsia="宋体" w:cs="Times New Roman"/>
                <w:i w:val="0"/>
                <w:iCs w:val="0"/>
                <w:color w:val="auto"/>
                <w:kern w:val="0"/>
                <w:sz w:val="21"/>
                <w:szCs w:val="21"/>
                <w:u w:val="none"/>
                <w:lang w:val="en-US" w:eastAsia="zh-CN" w:bidi="ar"/>
              </w:rPr>
              <w:t>0</w:t>
            </w:r>
          </w:p>
        </w:tc>
      </w:tr>
      <w:tr w14:paraId="2B303C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636077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化学需氧量</w:t>
            </w:r>
          </w:p>
        </w:tc>
        <w:tc>
          <w:tcPr>
            <w:tcW w:w="537" w:type="pct"/>
            <w:tcBorders>
              <w:tl2br w:val="nil"/>
              <w:tr2bl w:val="nil"/>
            </w:tcBorders>
            <w:noWrap w:val="0"/>
            <w:vAlign w:val="center"/>
          </w:tcPr>
          <w:p w14:paraId="3D9AE9E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41987F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2787B3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16</w:t>
            </w:r>
          </w:p>
        </w:tc>
        <w:tc>
          <w:tcPr>
            <w:tcW w:w="848" w:type="pct"/>
            <w:tcBorders>
              <w:tl2br w:val="nil"/>
              <w:tr2bl w:val="nil"/>
            </w:tcBorders>
            <w:noWrap w:val="0"/>
            <w:vAlign w:val="center"/>
          </w:tcPr>
          <w:p w14:paraId="22CACA2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20</w:t>
            </w:r>
          </w:p>
        </w:tc>
        <w:tc>
          <w:tcPr>
            <w:tcW w:w="848" w:type="pct"/>
            <w:tcBorders>
              <w:tl2br w:val="nil"/>
              <w:tr2bl w:val="nil"/>
            </w:tcBorders>
            <w:noWrap w:val="0"/>
            <w:vAlign w:val="center"/>
          </w:tcPr>
          <w:p w14:paraId="11F02B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w:t>
            </w:r>
            <w:r>
              <w:rPr>
                <w:rFonts w:hint="eastAsia" w:ascii="Times New Roman" w:hAnsi="Times New Roman" w:eastAsia="宋体" w:cs="Times New Roman"/>
                <w:i w:val="0"/>
                <w:iCs w:val="0"/>
                <w:color w:val="auto"/>
                <w:kern w:val="0"/>
                <w:sz w:val="21"/>
                <w:szCs w:val="21"/>
                <w:u w:val="none"/>
                <w:lang w:val="en-US" w:eastAsia="zh-CN" w:bidi="ar"/>
              </w:rPr>
              <w:t>0</w:t>
            </w:r>
          </w:p>
        </w:tc>
      </w:tr>
      <w:tr w14:paraId="24C827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564365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石油类</w:t>
            </w:r>
          </w:p>
        </w:tc>
        <w:tc>
          <w:tcPr>
            <w:tcW w:w="537" w:type="pct"/>
            <w:tcBorders>
              <w:tl2br w:val="nil"/>
              <w:tr2bl w:val="nil"/>
            </w:tcBorders>
            <w:noWrap w:val="0"/>
            <w:vAlign w:val="center"/>
          </w:tcPr>
          <w:p w14:paraId="09FA852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0CE141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209D41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0.01L</w:t>
            </w:r>
          </w:p>
        </w:tc>
        <w:tc>
          <w:tcPr>
            <w:tcW w:w="848" w:type="pct"/>
            <w:tcBorders>
              <w:tl2br w:val="nil"/>
              <w:tr2bl w:val="nil"/>
            </w:tcBorders>
            <w:noWrap w:val="0"/>
            <w:vAlign w:val="center"/>
          </w:tcPr>
          <w:p w14:paraId="0DE6C62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0.05</w:t>
            </w:r>
          </w:p>
        </w:tc>
        <w:tc>
          <w:tcPr>
            <w:tcW w:w="848" w:type="pct"/>
            <w:tcBorders>
              <w:tl2br w:val="nil"/>
              <w:tr2bl w:val="nil"/>
            </w:tcBorders>
            <w:noWrap w:val="0"/>
            <w:vAlign w:val="center"/>
          </w:tcPr>
          <w:p w14:paraId="1820CD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0</w:t>
            </w:r>
          </w:p>
        </w:tc>
      </w:tr>
      <w:tr w14:paraId="6123CD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0534BC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阴离子表面活性剂</w:t>
            </w:r>
          </w:p>
        </w:tc>
        <w:tc>
          <w:tcPr>
            <w:tcW w:w="537" w:type="pct"/>
            <w:tcBorders>
              <w:tl2br w:val="nil"/>
              <w:tr2bl w:val="nil"/>
            </w:tcBorders>
            <w:noWrap w:val="0"/>
            <w:vAlign w:val="center"/>
          </w:tcPr>
          <w:p w14:paraId="20D9F08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18B3B7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464408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0.05L</w:t>
            </w:r>
          </w:p>
        </w:tc>
        <w:tc>
          <w:tcPr>
            <w:tcW w:w="848" w:type="pct"/>
            <w:tcBorders>
              <w:tl2br w:val="nil"/>
              <w:tr2bl w:val="nil"/>
            </w:tcBorders>
            <w:noWrap w:val="0"/>
            <w:vAlign w:val="center"/>
          </w:tcPr>
          <w:p w14:paraId="46BF5B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0.2</w:t>
            </w:r>
          </w:p>
        </w:tc>
        <w:tc>
          <w:tcPr>
            <w:tcW w:w="848" w:type="pct"/>
            <w:tcBorders>
              <w:tl2br w:val="nil"/>
              <w:tr2bl w:val="nil"/>
            </w:tcBorders>
            <w:noWrap w:val="0"/>
            <w:vAlign w:val="center"/>
          </w:tcPr>
          <w:p w14:paraId="25D35C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3</w:t>
            </w:r>
          </w:p>
        </w:tc>
      </w:tr>
      <w:tr w14:paraId="55A6F2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2822BCE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粪大肠菌群</w:t>
            </w:r>
          </w:p>
        </w:tc>
        <w:tc>
          <w:tcPr>
            <w:tcW w:w="537" w:type="pct"/>
            <w:tcBorders>
              <w:tl2br w:val="nil"/>
              <w:tr2bl w:val="nil"/>
            </w:tcBorders>
            <w:noWrap w:val="0"/>
            <w:vAlign w:val="center"/>
          </w:tcPr>
          <w:p w14:paraId="1315121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11B1A6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23084A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1.7</w:t>
            </w:r>
            <w:r>
              <w:rPr>
                <w:rFonts w:hint="default" w:ascii="Times New Roman" w:hAnsi="Times New Roman" w:eastAsia="宋体" w:cs="Times New Roman"/>
                <w:color w:val="auto"/>
                <w:kern w:val="2"/>
                <w:sz w:val="21"/>
                <w:szCs w:val="21"/>
                <w:highlight w:val="none"/>
                <w:lang w:val="en-US" w:eastAsia="zh-CN" w:bidi="ar-SA"/>
              </w:rPr>
              <w:t>×10</w:t>
            </w:r>
            <w:r>
              <w:rPr>
                <w:rFonts w:hint="default" w:ascii="Times New Roman" w:hAnsi="Times New Roman" w:eastAsia="宋体" w:cs="Times New Roman"/>
                <w:color w:val="auto"/>
                <w:kern w:val="2"/>
                <w:sz w:val="21"/>
                <w:szCs w:val="21"/>
                <w:highlight w:val="none"/>
                <w:vertAlign w:val="superscript"/>
                <w:lang w:val="en-US" w:eastAsia="zh-CN" w:bidi="ar-SA"/>
              </w:rPr>
              <w:t>3</w:t>
            </w:r>
          </w:p>
        </w:tc>
        <w:tc>
          <w:tcPr>
            <w:tcW w:w="848" w:type="pct"/>
            <w:tcBorders>
              <w:tl2br w:val="nil"/>
              <w:tr2bl w:val="nil"/>
            </w:tcBorders>
            <w:noWrap w:val="0"/>
            <w:vAlign w:val="center"/>
          </w:tcPr>
          <w:p w14:paraId="1655D13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10000</w:t>
            </w:r>
          </w:p>
        </w:tc>
        <w:tc>
          <w:tcPr>
            <w:tcW w:w="848" w:type="pct"/>
            <w:tcBorders>
              <w:tl2br w:val="nil"/>
              <w:tr2bl w:val="nil"/>
            </w:tcBorders>
            <w:noWrap w:val="0"/>
            <w:vAlign w:val="center"/>
          </w:tcPr>
          <w:p w14:paraId="6AF12C9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0.17</w:t>
            </w:r>
          </w:p>
        </w:tc>
      </w:tr>
      <w:tr w14:paraId="436B82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6798D1B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总铁</w:t>
            </w:r>
          </w:p>
        </w:tc>
        <w:tc>
          <w:tcPr>
            <w:tcW w:w="537" w:type="pct"/>
            <w:tcBorders>
              <w:tl2br w:val="nil"/>
              <w:tr2bl w:val="nil"/>
            </w:tcBorders>
            <w:noWrap w:val="0"/>
            <w:vAlign w:val="center"/>
          </w:tcPr>
          <w:p w14:paraId="0E41593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3E86E0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4CA185D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w:t>
            </w:r>
            <w:r>
              <w:rPr>
                <w:rFonts w:hint="eastAsia" w:ascii="Times New Roman" w:hAnsi="Times New Roman" w:eastAsia="宋体" w:cs="Times New Roman"/>
                <w:color w:val="auto"/>
                <w:sz w:val="21"/>
                <w:szCs w:val="21"/>
                <w:highlight w:val="none"/>
                <w:lang w:val="en-US" w:eastAsia="zh-CN"/>
              </w:rPr>
              <w:t>6</w:t>
            </w:r>
          </w:p>
        </w:tc>
        <w:tc>
          <w:tcPr>
            <w:tcW w:w="848" w:type="pct"/>
            <w:tcBorders>
              <w:tl2br w:val="nil"/>
              <w:tr2bl w:val="nil"/>
            </w:tcBorders>
            <w:noWrap w:val="0"/>
            <w:vAlign w:val="center"/>
          </w:tcPr>
          <w:p w14:paraId="51DA04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0.3</w:t>
            </w:r>
          </w:p>
        </w:tc>
        <w:tc>
          <w:tcPr>
            <w:tcW w:w="848" w:type="pct"/>
            <w:tcBorders>
              <w:tl2br w:val="nil"/>
              <w:tr2bl w:val="nil"/>
            </w:tcBorders>
            <w:noWrap w:val="0"/>
            <w:vAlign w:val="center"/>
          </w:tcPr>
          <w:p w14:paraId="242AEB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0.87</w:t>
            </w:r>
          </w:p>
        </w:tc>
      </w:tr>
      <w:tr w14:paraId="465DF1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1EB1E7A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总锰</w:t>
            </w:r>
          </w:p>
        </w:tc>
        <w:tc>
          <w:tcPr>
            <w:tcW w:w="537" w:type="pct"/>
            <w:tcBorders>
              <w:tl2br w:val="nil"/>
              <w:tr2bl w:val="nil"/>
            </w:tcBorders>
            <w:noWrap w:val="0"/>
            <w:vAlign w:val="center"/>
          </w:tcPr>
          <w:p w14:paraId="2E0E436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0DF257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784A48C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0.01L</w:t>
            </w:r>
          </w:p>
        </w:tc>
        <w:tc>
          <w:tcPr>
            <w:tcW w:w="848" w:type="pct"/>
            <w:tcBorders>
              <w:tl2br w:val="nil"/>
              <w:tr2bl w:val="nil"/>
            </w:tcBorders>
            <w:noWrap w:val="0"/>
            <w:vAlign w:val="center"/>
          </w:tcPr>
          <w:p w14:paraId="7EBCD12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0.1</w:t>
            </w:r>
          </w:p>
        </w:tc>
        <w:tc>
          <w:tcPr>
            <w:tcW w:w="848" w:type="pct"/>
            <w:tcBorders>
              <w:tl2br w:val="nil"/>
              <w:tr2bl w:val="nil"/>
            </w:tcBorders>
            <w:noWrap w:val="0"/>
            <w:vAlign w:val="center"/>
          </w:tcPr>
          <w:p w14:paraId="36FE88C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0.05</w:t>
            </w:r>
          </w:p>
        </w:tc>
      </w:tr>
      <w:tr w14:paraId="1D34A3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7E97CDC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pH</w:t>
            </w:r>
          </w:p>
        </w:tc>
        <w:tc>
          <w:tcPr>
            <w:tcW w:w="537" w:type="pct"/>
            <w:tcBorders>
              <w:tl2br w:val="nil"/>
              <w:tr2bl w:val="nil"/>
            </w:tcBorders>
            <w:noWrap w:val="0"/>
            <w:vAlign w:val="center"/>
          </w:tcPr>
          <w:p w14:paraId="2B62332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无量纲</w:t>
            </w:r>
          </w:p>
        </w:tc>
        <w:tc>
          <w:tcPr>
            <w:tcW w:w="901" w:type="pct"/>
            <w:vMerge w:val="restart"/>
            <w:tcBorders>
              <w:tl2br w:val="nil"/>
              <w:tr2bl w:val="nil"/>
            </w:tcBorders>
            <w:noWrap w:val="0"/>
            <w:vAlign w:val="center"/>
          </w:tcPr>
          <w:p w14:paraId="3AA2EC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黄泥河汇入穆棱河汇入口下游1000m</w:t>
            </w:r>
            <w:r>
              <w:rPr>
                <w:rFonts w:hint="default" w:ascii="Times New Roman" w:hAnsi="Times New Roman" w:eastAsia="宋体" w:cs="Times New Roman"/>
                <w:bCs/>
                <w:color w:val="auto"/>
                <w:kern w:val="0"/>
                <w:sz w:val="21"/>
                <w:szCs w:val="21"/>
                <w:highlight w:val="none"/>
                <w:lang w:val="en-US" w:eastAsia="zh-CN"/>
              </w:rPr>
              <w:t>（2025.06.08）</w:t>
            </w:r>
          </w:p>
        </w:tc>
        <w:tc>
          <w:tcPr>
            <w:tcW w:w="848" w:type="pct"/>
            <w:tcBorders>
              <w:tl2br w:val="nil"/>
              <w:tr2bl w:val="nil"/>
            </w:tcBorders>
            <w:noWrap w:val="0"/>
            <w:vAlign w:val="center"/>
          </w:tcPr>
          <w:p w14:paraId="14777B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7.1</w:t>
            </w:r>
          </w:p>
        </w:tc>
        <w:tc>
          <w:tcPr>
            <w:tcW w:w="848" w:type="pct"/>
            <w:tcBorders>
              <w:tl2br w:val="nil"/>
              <w:tr2bl w:val="nil"/>
            </w:tcBorders>
            <w:noWrap w:val="0"/>
            <w:vAlign w:val="center"/>
          </w:tcPr>
          <w:p w14:paraId="79AB2C0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6-9</w:t>
            </w:r>
          </w:p>
        </w:tc>
        <w:tc>
          <w:tcPr>
            <w:tcW w:w="848" w:type="pct"/>
            <w:tcBorders>
              <w:tl2br w:val="nil"/>
              <w:tr2bl w:val="nil"/>
            </w:tcBorders>
            <w:noWrap w:val="0"/>
            <w:vAlign w:val="center"/>
          </w:tcPr>
          <w:p w14:paraId="391B7D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0.05</w:t>
            </w:r>
          </w:p>
        </w:tc>
      </w:tr>
      <w:tr w14:paraId="31CB0E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15EAB3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色度</w:t>
            </w:r>
          </w:p>
        </w:tc>
        <w:tc>
          <w:tcPr>
            <w:tcW w:w="537" w:type="pct"/>
            <w:tcBorders>
              <w:tl2br w:val="nil"/>
              <w:tr2bl w:val="nil"/>
            </w:tcBorders>
            <w:noWrap w:val="0"/>
            <w:vAlign w:val="center"/>
          </w:tcPr>
          <w:p w14:paraId="5A87895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度</w:t>
            </w:r>
          </w:p>
        </w:tc>
        <w:tc>
          <w:tcPr>
            <w:tcW w:w="901" w:type="pct"/>
            <w:vMerge w:val="continue"/>
            <w:tcBorders>
              <w:tl2br w:val="nil"/>
              <w:tr2bl w:val="nil"/>
            </w:tcBorders>
            <w:noWrap w:val="0"/>
            <w:vAlign w:val="center"/>
          </w:tcPr>
          <w:p w14:paraId="5FDDFD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3FE0808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848" w:type="pct"/>
            <w:tcBorders>
              <w:tl2br w:val="nil"/>
              <w:tr2bl w:val="nil"/>
            </w:tcBorders>
            <w:noWrap w:val="0"/>
            <w:vAlign w:val="center"/>
          </w:tcPr>
          <w:p w14:paraId="6596BE3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eastAsia="zh-CN"/>
              </w:rPr>
              <w:t>—</w:t>
            </w:r>
          </w:p>
        </w:tc>
        <w:tc>
          <w:tcPr>
            <w:tcW w:w="848" w:type="pct"/>
            <w:tcBorders>
              <w:tl2br w:val="nil"/>
              <w:tr2bl w:val="nil"/>
            </w:tcBorders>
            <w:noWrap w:val="0"/>
            <w:vAlign w:val="center"/>
          </w:tcPr>
          <w:p w14:paraId="7C5FE7B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r>
      <w:tr w14:paraId="5EE5CF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1375E0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悬浮物</w:t>
            </w:r>
          </w:p>
        </w:tc>
        <w:tc>
          <w:tcPr>
            <w:tcW w:w="537" w:type="pct"/>
            <w:tcBorders>
              <w:tl2br w:val="nil"/>
              <w:tr2bl w:val="nil"/>
            </w:tcBorders>
            <w:noWrap w:val="0"/>
            <w:vAlign w:val="center"/>
          </w:tcPr>
          <w:p w14:paraId="0C6DF73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13AB74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5FB31C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44</w:t>
            </w:r>
          </w:p>
        </w:tc>
        <w:tc>
          <w:tcPr>
            <w:tcW w:w="848" w:type="pct"/>
            <w:tcBorders>
              <w:tl2br w:val="nil"/>
              <w:tr2bl w:val="nil"/>
            </w:tcBorders>
            <w:noWrap w:val="0"/>
            <w:vAlign w:val="center"/>
          </w:tcPr>
          <w:p w14:paraId="19391E6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w:t>
            </w:r>
          </w:p>
        </w:tc>
        <w:tc>
          <w:tcPr>
            <w:tcW w:w="848" w:type="pct"/>
            <w:tcBorders>
              <w:tl2br w:val="nil"/>
              <w:tr2bl w:val="nil"/>
            </w:tcBorders>
            <w:noWrap w:val="0"/>
            <w:vAlign w:val="center"/>
          </w:tcPr>
          <w:p w14:paraId="40F7A0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r>
      <w:tr w14:paraId="1D25F8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69ECD9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氨氮</w:t>
            </w:r>
          </w:p>
        </w:tc>
        <w:tc>
          <w:tcPr>
            <w:tcW w:w="537" w:type="pct"/>
            <w:tcBorders>
              <w:tl2br w:val="nil"/>
              <w:tr2bl w:val="nil"/>
            </w:tcBorders>
            <w:noWrap w:val="0"/>
            <w:vAlign w:val="center"/>
          </w:tcPr>
          <w:p w14:paraId="62A0FE5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424BA3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4871A3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0.756</w:t>
            </w:r>
          </w:p>
        </w:tc>
        <w:tc>
          <w:tcPr>
            <w:tcW w:w="848" w:type="pct"/>
            <w:tcBorders>
              <w:tl2br w:val="nil"/>
              <w:tr2bl w:val="nil"/>
            </w:tcBorders>
            <w:noWrap w:val="0"/>
            <w:vAlign w:val="center"/>
          </w:tcPr>
          <w:p w14:paraId="5997B2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1.0</w:t>
            </w:r>
          </w:p>
        </w:tc>
        <w:tc>
          <w:tcPr>
            <w:tcW w:w="848" w:type="pct"/>
            <w:tcBorders>
              <w:tl2br w:val="nil"/>
              <w:tr2bl w:val="nil"/>
            </w:tcBorders>
            <w:noWrap w:val="0"/>
            <w:vAlign w:val="center"/>
          </w:tcPr>
          <w:p w14:paraId="6DCBFD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0.76</w:t>
            </w:r>
          </w:p>
        </w:tc>
      </w:tr>
      <w:tr w14:paraId="6189C8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1BB53BD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总磷</w:t>
            </w:r>
          </w:p>
        </w:tc>
        <w:tc>
          <w:tcPr>
            <w:tcW w:w="537" w:type="pct"/>
            <w:tcBorders>
              <w:tl2br w:val="nil"/>
              <w:tr2bl w:val="nil"/>
            </w:tcBorders>
            <w:noWrap w:val="0"/>
            <w:vAlign w:val="center"/>
          </w:tcPr>
          <w:p w14:paraId="745149C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2240FA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00A8EAB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0.16</w:t>
            </w:r>
          </w:p>
        </w:tc>
        <w:tc>
          <w:tcPr>
            <w:tcW w:w="848" w:type="pct"/>
            <w:tcBorders>
              <w:tl2br w:val="nil"/>
              <w:tr2bl w:val="nil"/>
            </w:tcBorders>
            <w:noWrap w:val="0"/>
            <w:vAlign w:val="center"/>
          </w:tcPr>
          <w:p w14:paraId="171725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0.2</w:t>
            </w:r>
          </w:p>
        </w:tc>
        <w:tc>
          <w:tcPr>
            <w:tcW w:w="848" w:type="pct"/>
            <w:tcBorders>
              <w:tl2br w:val="nil"/>
              <w:tr2bl w:val="nil"/>
            </w:tcBorders>
            <w:noWrap w:val="0"/>
            <w:vAlign w:val="center"/>
          </w:tcPr>
          <w:p w14:paraId="30CAB5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w:t>
            </w:r>
            <w:r>
              <w:rPr>
                <w:rFonts w:hint="eastAsia" w:ascii="Times New Roman" w:hAnsi="Times New Roman" w:eastAsia="宋体" w:cs="Times New Roman"/>
                <w:i w:val="0"/>
                <w:iCs w:val="0"/>
                <w:color w:val="auto"/>
                <w:kern w:val="0"/>
                <w:sz w:val="21"/>
                <w:szCs w:val="21"/>
                <w:u w:val="none"/>
                <w:lang w:val="en-US" w:eastAsia="zh-CN" w:bidi="ar"/>
              </w:rPr>
              <w:t>0</w:t>
            </w:r>
          </w:p>
        </w:tc>
      </w:tr>
      <w:tr w14:paraId="03669C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081271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五日生化需氧量</w:t>
            </w:r>
          </w:p>
        </w:tc>
        <w:tc>
          <w:tcPr>
            <w:tcW w:w="537" w:type="pct"/>
            <w:tcBorders>
              <w:tl2br w:val="nil"/>
              <w:tr2bl w:val="nil"/>
            </w:tcBorders>
            <w:noWrap w:val="0"/>
            <w:vAlign w:val="center"/>
          </w:tcPr>
          <w:p w14:paraId="0F8A933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2CEADD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1827266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3.4</w:t>
            </w:r>
          </w:p>
        </w:tc>
        <w:tc>
          <w:tcPr>
            <w:tcW w:w="848" w:type="pct"/>
            <w:tcBorders>
              <w:tl2br w:val="nil"/>
              <w:tr2bl w:val="nil"/>
            </w:tcBorders>
            <w:noWrap w:val="0"/>
            <w:vAlign w:val="center"/>
          </w:tcPr>
          <w:p w14:paraId="28FB0F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4</w:t>
            </w:r>
          </w:p>
        </w:tc>
        <w:tc>
          <w:tcPr>
            <w:tcW w:w="848" w:type="pct"/>
            <w:tcBorders>
              <w:tl2br w:val="nil"/>
              <w:tr2bl w:val="nil"/>
            </w:tcBorders>
            <w:noWrap w:val="0"/>
            <w:vAlign w:val="center"/>
          </w:tcPr>
          <w:p w14:paraId="16A37D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0.85</w:t>
            </w:r>
          </w:p>
        </w:tc>
      </w:tr>
      <w:tr w14:paraId="4EE1EC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6A7FDCA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化学需氧量</w:t>
            </w:r>
          </w:p>
        </w:tc>
        <w:tc>
          <w:tcPr>
            <w:tcW w:w="537" w:type="pct"/>
            <w:tcBorders>
              <w:tl2br w:val="nil"/>
              <w:tr2bl w:val="nil"/>
            </w:tcBorders>
            <w:noWrap w:val="0"/>
            <w:vAlign w:val="center"/>
          </w:tcPr>
          <w:p w14:paraId="4F0A905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2FBC41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049D460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14</w:t>
            </w:r>
          </w:p>
        </w:tc>
        <w:tc>
          <w:tcPr>
            <w:tcW w:w="848" w:type="pct"/>
            <w:tcBorders>
              <w:tl2br w:val="nil"/>
              <w:tr2bl w:val="nil"/>
            </w:tcBorders>
            <w:noWrap w:val="0"/>
            <w:vAlign w:val="center"/>
          </w:tcPr>
          <w:p w14:paraId="178D6B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20</w:t>
            </w:r>
          </w:p>
        </w:tc>
        <w:tc>
          <w:tcPr>
            <w:tcW w:w="848" w:type="pct"/>
            <w:tcBorders>
              <w:tl2br w:val="nil"/>
              <w:tr2bl w:val="nil"/>
            </w:tcBorders>
            <w:noWrap w:val="0"/>
            <w:vAlign w:val="center"/>
          </w:tcPr>
          <w:p w14:paraId="21AFC6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w:t>
            </w:r>
            <w:r>
              <w:rPr>
                <w:rFonts w:hint="eastAsia" w:ascii="Times New Roman" w:hAnsi="Times New Roman" w:eastAsia="宋体" w:cs="Times New Roman"/>
                <w:i w:val="0"/>
                <w:iCs w:val="0"/>
                <w:color w:val="auto"/>
                <w:kern w:val="0"/>
                <w:sz w:val="21"/>
                <w:szCs w:val="21"/>
                <w:u w:val="none"/>
                <w:lang w:val="en-US" w:eastAsia="zh-CN" w:bidi="ar"/>
              </w:rPr>
              <w:t>0</w:t>
            </w:r>
          </w:p>
        </w:tc>
      </w:tr>
      <w:tr w14:paraId="698C93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4182F3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石油类</w:t>
            </w:r>
          </w:p>
        </w:tc>
        <w:tc>
          <w:tcPr>
            <w:tcW w:w="537" w:type="pct"/>
            <w:tcBorders>
              <w:tl2br w:val="nil"/>
              <w:tr2bl w:val="nil"/>
            </w:tcBorders>
            <w:noWrap w:val="0"/>
            <w:vAlign w:val="center"/>
          </w:tcPr>
          <w:p w14:paraId="0C9FE54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5A0545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186C48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0.01L</w:t>
            </w:r>
          </w:p>
        </w:tc>
        <w:tc>
          <w:tcPr>
            <w:tcW w:w="848" w:type="pct"/>
            <w:tcBorders>
              <w:tl2br w:val="nil"/>
              <w:tr2bl w:val="nil"/>
            </w:tcBorders>
            <w:noWrap w:val="0"/>
            <w:vAlign w:val="center"/>
          </w:tcPr>
          <w:p w14:paraId="7480D53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0.05</w:t>
            </w:r>
          </w:p>
        </w:tc>
        <w:tc>
          <w:tcPr>
            <w:tcW w:w="848" w:type="pct"/>
            <w:tcBorders>
              <w:tl2br w:val="nil"/>
              <w:tr2bl w:val="nil"/>
            </w:tcBorders>
            <w:noWrap w:val="0"/>
            <w:vAlign w:val="center"/>
          </w:tcPr>
          <w:p w14:paraId="47F014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0</w:t>
            </w:r>
          </w:p>
        </w:tc>
      </w:tr>
      <w:tr w14:paraId="3FE4FC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364F62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阴离子表面活性剂</w:t>
            </w:r>
          </w:p>
        </w:tc>
        <w:tc>
          <w:tcPr>
            <w:tcW w:w="537" w:type="pct"/>
            <w:tcBorders>
              <w:tl2br w:val="nil"/>
              <w:tr2bl w:val="nil"/>
            </w:tcBorders>
            <w:noWrap w:val="0"/>
            <w:vAlign w:val="center"/>
          </w:tcPr>
          <w:p w14:paraId="7273CC7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52F46F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57DF8C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0.05L</w:t>
            </w:r>
          </w:p>
        </w:tc>
        <w:tc>
          <w:tcPr>
            <w:tcW w:w="848" w:type="pct"/>
            <w:tcBorders>
              <w:tl2br w:val="nil"/>
              <w:tr2bl w:val="nil"/>
            </w:tcBorders>
            <w:noWrap w:val="0"/>
            <w:vAlign w:val="center"/>
          </w:tcPr>
          <w:p w14:paraId="0E92A6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0.2</w:t>
            </w:r>
          </w:p>
        </w:tc>
        <w:tc>
          <w:tcPr>
            <w:tcW w:w="848" w:type="pct"/>
            <w:tcBorders>
              <w:tl2br w:val="nil"/>
              <w:tr2bl w:val="nil"/>
            </w:tcBorders>
            <w:noWrap w:val="0"/>
            <w:vAlign w:val="center"/>
          </w:tcPr>
          <w:p w14:paraId="589E7A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3</w:t>
            </w:r>
          </w:p>
        </w:tc>
      </w:tr>
      <w:tr w14:paraId="7F4D20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54BDA9E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粪大肠菌群</w:t>
            </w:r>
          </w:p>
        </w:tc>
        <w:tc>
          <w:tcPr>
            <w:tcW w:w="537" w:type="pct"/>
            <w:tcBorders>
              <w:tl2br w:val="nil"/>
              <w:tr2bl w:val="nil"/>
            </w:tcBorders>
            <w:noWrap w:val="0"/>
            <w:vAlign w:val="center"/>
          </w:tcPr>
          <w:p w14:paraId="26AFB47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2BCB3F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4233CE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7.9</w:t>
            </w:r>
            <w:r>
              <w:rPr>
                <w:rFonts w:hint="default" w:ascii="Times New Roman" w:hAnsi="Times New Roman" w:eastAsia="宋体" w:cs="Times New Roman"/>
                <w:color w:val="auto"/>
                <w:kern w:val="2"/>
                <w:sz w:val="21"/>
                <w:szCs w:val="21"/>
                <w:highlight w:val="none"/>
                <w:lang w:val="en-US" w:eastAsia="zh-CN" w:bidi="ar-SA"/>
              </w:rPr>
              <w:t>×10</w:t>
            </w:r>
            <w:r>
              <w:rPr>
                <w:rFonts w:hint="eastAsia" w:ascii="Times New Roman" w:hAnsi="Times New Roman" w:eastAsia="宋体" w:cs="Times New Roman"/>
                <w:color w:val="auto"/>
                <w:kern w:val="2"/>
                <w:sz w:val="21"/>
                <w:szCs w:val="21"/>
                <w:highlight w:val="none"/>
                <w:vertAlign w:val="superscript"/>
                <w:lang w:val="en-US" w:eastAsia="zh-CN" w:bidi="ar-SA"/>
              </w:rPr>
              <w:t>2</w:t>
            </w:r>
          </w:p>
        </w:tc>
        <w:tc>
          <w:tcPr>
            <w:tcW w:w="848" w:type="pct"/>
            <w:tcBorders>
              <w:tl2br w:val="nil"/>
              <w:tr2bl w:val="nil"/>
            </w:tcBorders>
            <w:noWrap w:val="0"/>
            <w:vAlign w:val="center"/>
          </w:tcPr>
          <w:p w14:paraId="4B1DCFF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10000</w:t>
            </w:r>
          </w:p>
        </w:tc>
        <w:tc>
          <w:tcPr>
            <w:tcW w:w="848" w:type="pct"/>
            <w:tcBorders>
              <w:tl2br w:val="nil"/>
              <w:tr2bl w:val="nil"/>
            </w:tcBorders>
            <w:noWrap w:val="0"/>
            <w:vAlign w:val="center"/>
          </w:tcPr>
          <w:p w14:paraId="230C29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w:t>
            </w:r>
            <w:r>
              <w:rPr>
                <w:rFonts w:hint="eastAsia" w:ascii="Times New Roman" w:hAnsi="Times New Roman" w:eastAsia="宋体" w:cs="Times New Roman"/>
                <w:i w:val="0"/>
                <w:iCs w:val="0"/>
                <w:color w:val="auto"/>
                <w:kern w:val="0"/>
                <w:sz w:val="21"/>
                <w:szCs w:val="21"/>
                <w:u w:val="none"/>
                <w:lang w:val="en-US" w:eastAsia="zh-CN" w:bidi="ar"/>
              </w:rPr>
              <w:t>8</w:t>
            </w:r>
          </w:p>
        </w:tc>
      </w:tr>
      <w:tr w14:paraId="0B07CC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412B8A2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总铁</w:t>
            </w:r>
          </w:p>
        </w:tc>
        <w:tc>
          <w:tcPr>
            <w:tcW w:w="537" w:type="pct"/>
            <w:tcBorders>
              <w:tl2br w:val="nil"/>
              <w:tr2bl w:val="nil"/>
            </w:tcBorders>
            <w:noWrap w:val="0"/>
            <w:vAlign w:val="center"/>
          </w:tcPr>
          <w:p w14:paraId="72E7130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2087AD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3E1DBD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w:t>
            </w:r>
            <w:r>
              <w:rPr>
                <w:rFonts w:hint="eastAsia" w:ascii="Times New Roman" w:hAnsi="Times New Roman" w:eastAsia="宋体" w:cs="Times New Roman"/>
                <w:color w:val="auto"/>
                <w:sz w:val="21"/>
                <w:szCs w:val="21"/>
                <w:highlight w:val="none"/>
                <w:lang w:val="en-US" w:eastAsia="zh-CN"/>
              </w:rPr>
              <w:t>1</w:t>
            </w:r>
          </w:p>
        </w:tc>
        <w:tc>
          <w:tcPr>
            <w:tcW w:w="848" w:type="pct"/>
            <w:tcBorders>
              <w:tl2br w:val="nil"/>
              <w:tr2bl w:val="nil"/>
            </w:tcBorders>
            <w:noWrap w:val="0"/>
            <w:vAlign w:val="center"/>
          </w:tcPr>
          <w:p w14:paraId="72EAEA6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0.3</w:t>
            </w:r>
          </w:p>
        </w:tc>
        <w:tc>
          <w:tcPr>
            <w:tcW w:w="848" w:type="pct"/>
            <w:tcBorders>
              <w:tl2br w:val="nil"/>
              <w:tr2bl w:val="nil"/>
            </w:tcBorders>
            <w:noWrap w:val="0"/>
            <w:vAlign w:val="center"/>
          </w:tcPr>
          <w:p w14:paraId="1F6E8A4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w:t>
            </w:r>
            <w:r>
              <w:rPr>
                <w:rFonts w:hint="eastAsia" w:ascii="Times New Roman" w:hAnsi="Times New Roman" w:eastAsia="宋体" w:cs="Times New Roman"/>
                <w:i w:val="0"/>
                <w:iCs w:val="0"/>
                <w:color w:val="auto"/>
                <w:kern w:val="0"/>
                <w:sz w:val="21"/>
                <w:szCs w:val="21"/>
                <w:u w:val="none"/>
                <w:lang w:val="en-US" w:eastAsia="zh-CN" w:bidi="ar"/>
              </w:rPr>
              <w:t>0</w:t>
            </w:r>
          </w:p>
        </w:tc>
      </w:tr>
      <w:tr w14:paraId="72A4EC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0216842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总锰</w:t>
            </w:r>
          </w:p>
        </w:tc>
        <w:tc>
          <w:tcPr>
            <w:tcW w:w="537" w:type="pct"/>
            <w:tcBorders>
              <w:tl2br w:val="nil"/>
              <w:tr2bl w:val="nil"/>
            </w:tcBorders>
            <w:noWrap w:val="0"/>
            <w:vAlign w:val="center"/>
          </w:tcPr>
          <w:p w14:paraId="2D5D0BB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745CCD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5C9FF7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0.01L</w:t>
            </w:r>
          </w:p>
        </w:tc>
        <w:tc>
          <w:tcPr>
            <w:tcW w:w="848" w:type="pct"/>
            <w:tcBorders>
              <w:tl2br w:val="nil"/>
              <w:tr2bl w:val="nil"/>
            </w:tcBorders>
            <w:noWrap w:val="0"/>
            <w:vAlign w:val="center"/>
          </w:tcPr>
          <w:p w14:paraId="763AA2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0.1</w:t>
            </w:r>
          </w:p>
        </w:tc>
        <w:tc>
          <w:tcPr>
            <w:tcW w:w="848" w:type="pct"/>
            <w:tcBorders>
              <w:tl2br w:val="nil"/>
              <w:tr2bl w:val="nil"/>
            </w:tcBorders>
            <w:noWrap w:val="0"/>
            <w:vAlign w:val="center"/>
          </w:tcPr>
          <w:p w14:paraId="6D6223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0.05</w:t>
            </w:r>
          </w:p>
        </w:tc>
      </w:tr>
      <w:tr w14:paraId="030F23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69F9C9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pH</w:t>
            </w:r>
          </w:p>
        </w:tc>
        <w:tc>
          <w:tcPr>
            <w:tcW w:w="537" w:type="pct"/>
            <w:tcBorders>
              <w:tl2br w:val="nil"/>
              <w:tr2bl w:val="nil"/>
            </w:tcBorders>
            <w:noWrap w:val="0"/>
            <w:vAlign w:val="center"/>
          </w:tcPr>
          <w:p w14:paraId="453238C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无量纲</w:t>
            </w:r>
          </w:p>
        </w:tc>
        <w:tc>
          <w:tcPr>
            <w:tcW w:w="901" w:type="pct"/>
            <w:vMerge w:val="restart"/>
            <w:tcBorders>
              <w:tl2br w:val="nil"/>
              <w:tr2bl w:val="nil"/>
            </w:tcBorders>
            <w:noWrap w:val="0"/>
            <w:vAlign w:val="center"/>
          </w:tcPr>
          <w:p w14:paraId="056D1B9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黄泥河汇入穆棱河汇入口下游2000m</w:t>
            </w:r>
            <w:r>
              <w:rPr>
                <w:rFonts w:hint="default" w:ascii="Times New Roman" w:hAnsi="Times New Roman" w:eastAsia="宋体" w:cs="Times New Roman"/>
                <w:bCs/>
                <w:color w:val="auto"/>
                <w:kern w:val="0"/>
                <w:sz w:val="21"/>
                <w:szCs w:val="21"/>
                <w:highlight w:val="none"/>
                <w:lang w:val="en-US" w:eastAsia="zh-CN"/>
              </w:rPr>
              <w:t>（2025.06.06）</w:t>
            </w:r>
          </w:p>
        </w:tc>
        <w:tc>
          <w:tcPr>
            <w:tcW w:w="848" w:type="pct"/>
            <w:tcBorders>
              <w:tl2br w:val="nil"/>
              <w:tr2bl w:val="nil"/>
            </w:tcBorders>
            <w:noWrap w:val="0"/>
            <w:vAlign w:val="center"/>
          </w:tcPr>
          <w:p w14:paraId="1F109A4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7.1</w:t>
            </w:r>
          </w:p>
        </w:tc>
        <w:tc>
          <w:tcPr>
            <w:tcW w:w="848" w:type="pct"/>
            <w:tcBorders>
              <w:tl2br w:val="nil"/>
              <w:tr2bl w:val="nil"/>
            </w:tcBorders>
            <w:noWrap w:val="0"/>
            <w:vAlign w:val="center"/>
          </w:tcPr>
          <w:p w14:paraId="5133DDC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6-9</w:t>
            </w:r>
          </w:p>
        </w:tc>
        <w:tc>
          <w:tcPr>
            <w:tcW w:w="848" w:type="pct"/>
            <w:tcBorders>
              <w:tl2br w:val="nil"/>
              <w:tr2bl w:val="nil"/>
            </w:tcBorders>
            <w:noWrap w:val="0"/>
            <w:vAlign w:val="center"/>
          </w:tcPr>
          <w:p w14:paraId="48F3E1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0.05</w:t>
            </w:r>
          </w:p>
        </w:tc>
      </w:tr>
      <w:tr w14:paraId="78CB41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032943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色度</w:t>
            </w:r>
          </w:p>
        </w:tc>
        <w:tc>
          <w:tcPr>
            <w:tcW w:w="537" w:type="pct"/>
            <w:tcBorders>
              <w:tl2br w:val="nil"/>
              <w:tr2bl w:val="nil"/>
            </w:tcBorders>
            <w:noWrap w:val="0"/>
            <w:vAlign w:val="center"/>
          </w:tcPr>
          <w:p w14:paraId="31F2B5F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度</w:t>
            </w:r>
          </w:p>
        </w:tc>
        <w:tc>
          <w:tcPr>
            <w:tcW w:w="901" w:type="pct"/>
            <w:vMerge w:val="continue"/>
            <w:tcBorders>
              <w:tl2br w:val="nil"/>
              <w:tr2bl w:val="nil"/>
            </w:tcBorders>
            <w:noWrap w:val="0"/>
            <w:vAlign w:val="center"/>
          </w:tcPr>
          <w:p w14:paraId="4A0720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79A0DD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30</w:t>
            </w:r>
          </w:p>
        </w:tc>
        <w:tc>
          <w:tcPr>
            <w:tcW w:w="848" w:type="pct"/>
            <w:tcBorders>
              <w:tl2br w:val="nil"/>
              <w:tr2bl w:val="nil"/>
            </w:tcBorders>
            <w:noWrap w:val="0"/>
            <w:vAlign w:val="center"/>
          </w:tcPr>
          <w:p w14:paraId="67F6B57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eastAsia="zh-CN"/>
              </w:rPr>
              <w:t>—</w:t>
            </w:r>
          </w:p>
        </w:tc>
        <w:tc>
          <w:tcPr>
            <w:tcW w:w="848" w:type="pct"/>
            <w:tcBorders>
              <w:tl2br w:val="nil"/>
              <w:tr2bl w:val="nil"/>
            </w:tcBorders>
            <w:noWrap w:val="0"/>
            <w:vAlign w:val="center"/>
          </w:tcPr>
          <w:p w14:paraId="7B8ED5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r>
      <w:tr w14:paraId="5135F8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3DDD1E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悬浮物</w:t>
            </w:r>
          </w:p>
        </w:tc>
        <w:tc>
          <w:tcPr>
            <w:tcW w:w="537" w:type="pct"/>
            <w:tcBorders>
              <w:tl2br w:val="nil"/>
              <w:tr2bl w:val="nil"/>
            </w:tcBorders>
            <w:noWrap w:val="0"/>
            <w:vAlign w:val="center"/>
          </w:tcPr>
          <w:p w14:paraId="140951B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1C5462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713E919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80</w:t>
            </w:r>
          </w:p>
        </w:tc>
        <w:tc>
          <w:tcPr>
            <w:tcW w:w="848" w:type="pct"/>
            <w:tcBorders>
              <w:tl2br w:val="nil"/>
              <w:tr2bl w:val="nil"/>
            </w:tcBorders>
            <w:noWrap w:val="0"/>
            <w:vAlign w:val="center"/>
          </w:tcPr>
          <w:p w14:paraId="6EDFE5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w:t>
            </w:r>
          </w:p>
        </w:tc>
        <w:tc>
          <w:tcPr>
            <w:tcW w:w="848" w:type="pct"/>
            <w:tcBorders>
              <w:tl2br w:val="nil"/>
              <w:tr2bl w:val="nil"/>
            </w:tcBorders>
            <w:noWrap w:val="0"/>
            <w:vAlign w:val="center"/>
          </w:tcPr>
          <w:p w14:paraId="414D018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r>
      <w:tr w14:paraId="0192D8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1D6E31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氨氮</w:t>
            </w:r>
          </w:p>
        </w:tc>
        <w:tc>
          <w:tcPr>
            <w:tcW w:w="537" w:type="pct"/>
            <w:tcBorders>
              <w:tl2br w:val="nil"/>
              <w:tr2bl w:val="nil"/>
            </w:tcBorders>
            <w:noWrap w:val="0"/>
            <w:vAlign w:val="center"/>
          </w:tcPr>
          <w:p w14:paraId="74DC1D4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237735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0E73DAB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0.887</w:t>
            </w:r>
          </w:p>
        </w:tc>
        <w:tc>
          <w:tcPr>
            <w:tcW w:w="848" w:type="pct"/>
            <w:tcBorders>
              <w:tl2br w:val="nil"/>
              <w:tr2bl w:val="nil"/>
            </w:tcBorders>
            <w:noWrap w:val="0"/>
            <w:vAlign w:val="center"/>
          </w:tcPr>
          <w:p w14:paraId="70F369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1.0</w:t>
            </w:r>
          </w:p>
        </w:tc>
        <w:tc>
          <w:tcPr>
            <w:tcW w:w="848" w:type="pct"/>
            <w:tcBorders>
              <w:tl2br w:val="nil"/>
              <w:tr2bl w:val="nil"/>
            </w:tcBorders>
            <w:noWrap w:val="0"/>
            <w:vAlign w:val="center"/>
          </w:tcPr>
          <w:p w14:paraId="290CC5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w:t>
            </w:r>
            <w:r>
              <w:rPr>
                <w:rFonts w:hint="eastAsia" w:ascii="Times New Roman" w:hAnsi="Times New Roman" w:eastAsia="宋体" w:cs="Times New Roman"/>
                <w:i w:val="0"/>
                <w:iCs w:val="0"/>
                <w:color w:val="auto"/>
                <w:kern w:val="0"/>
                <w:sz w:val="21"/>
                <w:szCs w:val="21"/>
                <w:u w:val="none"/>
                <w:lang w:val="en-US" w:eastAsia="zh-CN" w:bidi="ar"/>
              </w:rPr>
              <w:t>9</w:t>
            </w:r>
          </w:p>
        </w:tc>
      </w:tr>
      <w:tr w14:paraId="4F81D1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4DE9FF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总磷</w:t>
            </w:r>
          </w:p>
        </w:tc>
        <w:tc>
          <w:tcPr>
            <w:tcW w:w="537" w:type="pct"/>
            <w:tcBorders>
              <w:tl2br w:val="nil"/>
              <w:tr2bl w:val="nil"/>
            </w:tcBorders>
            <w:noWrap w:val="0"/>
            <w:vAlign w:val="center"/>
          </w:tcPr>
          <w:p w14:paraId="163168C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519E71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29462D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0.18</w:t>
            </w:r>
          </w:p>
        </w:tc>
        <w:tc>
          <w:tcPr>
            <w:tcW w:w="848" w:type="pct"/>
            <w:tcBorders>
              <w:tl2br w:val="nil"/>
              <w:tr2bl w:val="nil"/>
            </w:tcBorders>
            <w:noWrap w:val="0"/>
            <w:vAlign w:val="center"/>
          </w:tcPr>
          <w:p w14:paraId="54EA8FB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0.2</w:t>
            </w:r>
          </w:p>
        </w:tc>
        <w:tc>
          <w:tcPr>
            <w:tcW w:w="848" w:type="pct"/>
            <w:tcBorders>
              <w:tl2br w:val="nil"/>
              <w:tr2bl w:val="nil"/>
            </w:tcBorders>
            <w:noWrap w:val="0"/>
            <w:vAlign w:val="center"/>
          </w:tcPr>
          <w:p w14:paraId="41CA38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w:t>
            </w:r>
            <w:r>
              <w:rPr>
                <w:rFonts w:hint="eastAsia" w:ascii="Times New Roman" w:hAnsi="Times New Roman" w:eastAsia="宋体" w:cs="Times New Roman"/>
                <w:i w:val="0"/>
                <w:iCs w:val="0"/>
                <w:color w:val="auto"/>
                <w:kern w:val="0"/>
                <w:sz w:val="21"/>
                <w:szCs w:val="21"/>
                <w:u w:val="none"/>
                <w:lang w:val="en-US" w:eastAsia="zh-CN" w:bidi="ar"/>
              </w:rPr>
              <w:t>0</w:t>
            </w:r>
          </w:p>
        </w:tc>
      </w:tr>
      <w:tr w14:paraId="24733D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0A579D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五日生化需氧量</w:t>
            </w:r>
          </w:p>
        </w:tc>
        <w:tc>
          <w:tcPr>
            <w:tcW w:w="537" w:type="pct"/>
            <w:tcBorders>
              <w:tl2br w:val="nil"/>
              <w:tr2bl w:val="nil"/>
            </w:tcBorders>
            <w:noWrap w:val="0"/>
            <w:vAlign w:val="center"/>
          </w:tcPr>
          <w:p w14:paraId="3620DB3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700C7F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7FB3399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3.2</w:t>
            </w:r>
          </w:p>
        </w:tc>
        <w:tc>
          <w:tcPr>
            <w:tcW w:w="848" w:type="pct"/>
            <w:tcBorders>
              <w:tl2br w:val="nil"/>
              <w:tr2bl w:val="nil"/>
            </w:tcBorders>
            <w:noWrap w:val="0"/>
            <w:vAlign w:val="center"/>
          </w:tcPr>
          <w:p w14:paraId="780AC39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4</w:t>
            </w:r>
          </w:p>
        </w:tc>
        <w:tc>
          <w:tcPr>
            <w:tcW w:w="848" w:type="pct"/>
            <w:tcBorders>
              <w:tl2br w:val="nil"/>
              <w:tr2bl w:val="nil"/>
            </w:tcBorders>
            <w:noWrap w:val="0"/>
            <w:vAlign w:val="center"/>
          </w:tcPr>
          <w:p w14:paraId="3A1002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w:t>
            </w:r>
            <w:r>
              <w:rPr>
                <w:rFonts w:hint="eastAsia" w:ascii="Times New Roman" w:hAnsi="Times New Roman" w:eastAsia="宋体" w:cs="Times New Roman"/>
                <w:i w:val="0"/>
                <w:iCs w:val="0"/>
                <w:color w:val="auto"/>
                <w:kern w:val="0"/>
                <w:sz w:val="21"/>
                <w:szCs w:val="21"/>
                <w:u w:val="none"/>
                <w:lang w:val="en-US" w:eastAsia="zh-CN" w:bidi="ar"/>
              </w:rPr>
              <w:t>0</w:t>
            </w:r>
          </w:p>
        </w:tc>
      </w:tr>
      <w:tr w14:paraId="655043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2B8D15A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化学需氧量</w:t>
            </w:r>
          </w:p>
        </w:tc>
        <w:tc>
          <w:tcPr>
            <w:tcW w:w="537" w:type="pct"/>
            <w:tcBorders>
              <w:tl2br w:val="nil"/>
              <w:tr2bl w:val="nil"/>
            </w:tcBorders>
            <w:noWrap w:val="0"/>
            <w:vAlign w:val="center"/>
          </w:tcPr>
          <w:p w14:paraId="35D160B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560136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66765A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16</w:t>
            </w:r>
          </w:p>
        </w:tc>
        <w:tc>
          <w:tcPr>
            <w:tcW w:w="848" w:type="pct"/>
            <w:tcBorders>
              <w:tl2br w:val="nil"/>
              <w:tr2bl w:val="nil"/>
            </w:tcBorders>
            <w:noWrap w:val="0"/>
            <w:vAlign w:val="center"/>
          </w:tcPr>
          <w:p w14:paraId="59E30E5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20</w:t>
            </w:r>
          </w:p>
        </w:tc>
        <w:tc>
          <w:tcPr>
            <w:tcW w:w="848" w:type="pct"/>
            <w:tcBorders>
              <w:tl2br w:val="nil"/>
              <w:tr2bl w:val="nil"/>
            </w:tcBorders>
            <w:noWrap w:val="0"/>
            <w:vAlign w:val="center"/>
          </w:tcPr>
          <w:p w14:paraId="693BF8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w:t>
            </w:r>
            <w:r>
              <w:rPr>
                <w:rFonts w:hint="eastAsia" w:ascii="Times New Roman" w:hAnsi="Times New Roman" w:eastAsia="宋体" w:cs="Times New Roman"/>
                <w:i w:val="0"/>
                <w:iCs w:val="0"/>
                <w:color w:val="auto"/>
                <w:kern w:val="0"/>
                <w:sz w:val="21"/>
                <w:szCs w:val="21"/>
                <w:u w:val="none"/>
                <w:lang w:val="en-US" w:eastAsia="zh-CN" w:bidi="ar"/>
              </w:rPr>
              <w:t>0</w:t>
            </w:r>
          </w:p>
        </w:tc>
      </w:tr>
      <w:tr w14:paraId="2AC1F6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799728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石油类</w:t>
            </w:r>
          </w:p>
        </w:tc>
        <w:tc>
          <w:tcPr>
            <w:tcW w:w="537" w:type="pct"/>
            <w:tcBorders>
              <w:tl2br w:val="nil"/>
              <w:tr2bl w:val="nil"/>
            </w:tcBorders>
            <w:noWrap w:val="0"/>
            <w:vAlign w:val="center"/>
          </w:tcPr>
          <w:p w14:paraId="46AD730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513DAF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0B456C7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0.01L</w:t>
            </w:r>
          </w:p>
        </w:tc>
        <w:tc>
          <w:tcPr>
            <w:tcW w:w="848" w:type="pct"/>
            <w:tcBorders>
              <w:tl2br w:val="nil"/>
              <w:tr2bl w:val="nil"/>
            </w:tcBorders>
            <w:noWrap w:val="0"/>
            <w:vAlign w:val="center"/>
          </w:tcPr>
          <w:p w14:paraId="2CEF57A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0.05</w:t>
            </w:r>
          </w:p>
        </w:tc>
        <w:tc>
          <w:tcPr>
            <w:tcW w:w="848" w:type="pct"/>
            <w:tcBorders>
              <w:tl2br w:val="nil"/>
              <w:tr2bl w:val="nil"/>
            </w:tcBorders>
            <w:noWrap w:val="0"/>
            <w:vAlign w:val="center"/>
          </w:tcPr>
          <w:p w14:paraId="2329B5D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0</w:t>
            </w:r>
          </w:p>
        </w:tc>
      </w:tr>
      <w:tr w14:paraId="6F9D83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1B2DAE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阴离子表面活性剂</w:t>
            </w:r>
          </w:p>
        </w:tc>
        <w:tc>
          <w:tcPr>
            <w:tcW w:w="537" w:type="pct"/>
            <w:tcBorders>
              <w:tl2br w:val="nil"/>
              <w:tr2bl w:val="nil"/>
            </w:tcBorders>
            <w:noWrap w:val="0"/>
            <w:vAlign w:val="center"/>
          </w:tcPr>
          <w:p w14:paraId="4C8F237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001EE3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0E5D58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0.05L</w:t>
            </w:r>
          </w:p>
        </w:tc>
        <w:tc>
          <w:tcPr>
            <w:tcW w:w="848" w:type="pct"/>
            <w:tcBorders>
              <w:tl2br w:val="nil"/>
              <w:tr2bl w:val="nil"/>
            </w:tcBorders>
            <w:noWrap w:val="0"/>
            <w:vAlign w:val="center"/>
          </w:tcPr>
          <w:p w14:paraId="24A32C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0.2</w:t>
            </w:r>
          </w:p>
        </w:tc>
        <w:tc>
          <w:tcPr>
            <w:tcW w:w="848" w:type="pct"/>
            <w:tcBorders>
              <w:tl2br w:val="nil"/>
              <w:tr2bl w:val="nil"/>
            </w:tcBorders>
            <w:noWrap w:val="0"/>
            <w:vAlign w:val="center"/>
          </w:tcPr>
          <w:p w14:paraId="329CCD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3</w:t>
            </w:r>
          </w:p>
        </w:tc>
      </w:tr>
      <w:tr w14:paraId="4E6453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1686C8C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粪大肠菌群</w:t>
            </w:r>
          </w:p>
        </w:tc>
        <w:tc>
          <w:tcPr>
            <w:tcW w:w="537" w:type="pct"/>
            <w:tcBorders>
              <w:tl2br w:val="nil"/>
              <w:tr2bl w:val="nil"/>
            </w:tcBorders>
            <w:noWrap w:val="0"/>
            <w:vAlign w:val="center"/>
          </w:tcPr>
          <w:p w14:paraId="68B6EC8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004033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21B7CE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1.1</w:t>
            </w:r>
            <w:r>
              <w:rPr>
                <w:rFonts w:hint="default" w:ascii="Times New Roman" w:hAnsi="Times New Roman" w:eastAsia="宋体" w:cs="Times New Roman"/>
                <w:color w:val="auto"/>
                <w:kern w:val="2"/>
                <w:sz w:val="21"/>
                <w:szCs w:val="21"/>
                <w:highlight w:val="none"/>
                <w:lang w:val="en-US" w:eastAsia="zh-CN" w:bidi="ar-SA"/>
              </w:rPr>
              <w:t>×10</w:t>
            </w:r>
            <w:r>
              <w:rPr>
                <w:rFonts w:hint="default" w:ascii="Times New Roman" w:hAnsi="Times New Roman" w:eastAsia="宋体" w:cs="Times New Roman"/>
                <w:color w:val="auto"/>
                <w:kern w:val="2"/>
                <w:sz w:val="21"/>
                <w:szCs w:val="21"/>
                <w:highlight w:val="none"/>
                <w:vertAlign w:val="superscript"/>
                <w:lang w:val="en-US" w:eastAsia="zh-CN" w:bidi="ar-SA"/>
              </w:rPr>
              <w:t>3</w:t>
            </w:r>
          </w:p>
        </w:tc>
        <w:tc>
          <w:tcPr>
            <w:tcW w:w="848" w:type="pct"/>
            <w:tcBorders>
              <w:tl2br w:val="nil"/>
              <w:tr2bl w:val="nil"/>
            </w:tcBorders>
            <w:noWrap w:val="0"/>
            <w:vAlign w:val="center"/>
          </w:tcPr>
          <w:p w14:paraId="5EE5F91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10000</w:t>
            </w:r>
          </w:p>
        </w:tc>
        <w:tc>
          <w:tcPr>
            <w:tcW w:w="848" w:type="pct"/>
            <w:tcBorders>
              <w:tl2br w:val="nil"/>
              <w:tr2bl w:val="nil"/>
            </w:tcBorders>
            <w:noWrap w:val="0"/>
            <w:vAlign w:val="center"/>
          </w:tcPr>
          <w:p w14:paraId="5FB6DF2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0.11</w:t>
            </w:r>
          </w:p>
        </w:tc>
      </w:tr>
      <w:tr w14:paraId="115368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21E8C3C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总铁</w:t>
            </w:r>
          </w:p>
        </w:tc>
        <w:tc>
          <w:tcPr>
            <w:tcW w:w="537" w:type="pct"/>
            <w:tcBorders>
              <w:tl2br w:val="nil"/>
              <w:tr2bl w:val="nil"/>
            </w:tcBorders>
            <w:noWrap w:val="0"/>
            <w:vAlign w:val="center"/>
          </w:tcPr>
          <w:p w14:paraId="77134F8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741DDE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497E30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w:t>
            </w:r>
            <w:r>
              <w:rPr>
                <w:rFonts w:hint="eastAsia" w:ascii="Times New Roman" w:hAnsi="Times New Roman" w:eastAsia="宋体" w:cs="Times New Roman"/>
                <w:color w:val="auto"/>
                <w:sz w:val="21"/>
                <w:szCs w:val="21"/>
                <w:highlight w:val="none"/>
                <w:lang w:val="en-US" w:eastAsia="zh-CN"/>
              </w:rPr>
              <w:t>2</w:t>
            </w:r>
          </w:p>
        </w:tc>
        <w:tc>
          <w:tcPr>
            <w:tcW w:w="848" w:type="pct"/>
            <w:tcBorders>
              <w:tl2br w:val="nil"/>
              <w:tr2bl w:val="nil"/>
            </w:tcBorders>
            <w:noWrap w:val="0"/>
            <w:vAlign w:val="center"/>
          </w:tcPr>
          <w:p w14:paraId="29FE1C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0.3</w:t>
            </w:r>
          </w:p>
        </w:tc>
        <w:tc>
          <w:tcPr>
            <w:tcW w:w="848" w:type="pct"/>
            <w:tcBorders>
              <w:tl2br w:val="nil"/>
              <w:tr2bl w:val="nil"/>
            </w:tcBorders>
            <w:noWrap w:val="0"/>
            <w:vAlign w:val="center"/>
          </w:tcPr>
          <w:p w14:paraId="362A18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0.73</w:t>
            </w:r>
          </w:p>
        </w:tc>
      </w:tr>
      <w:tr w14:paraId="01B521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6343D77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总锰</w:t>
            </w:r>
          </w:p>
        </w:tc>
        <w:tc>
          <w:tcPr>
            <w:tcW w:w="537" w:type="pct"/>
            <w:tcBorders>
              <w:tl2br w:val="nil"/>
              <w:tr2bl w:val="nil"/>
            </w:tcBorders>
            <w:noWrap w:val="0"/>
            <w:vAlign w:val="center"/>
          </w:tcPr>
          <w:p w14:paraId="3151429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23D201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766DF9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0.01L</w:t>
            </w:r>
          </w:p>
        </w:tc>
        <w:tc>
          <w:tcPr>
            <w:tcW w:w="848" w:type="pct"/>
            <w:tcBorders>
              <w:tl2br w:val="nil"/>
              <w:tr2bl w:val="nil"/>
            </w:tcBorders>
            <w:noWrap w:val="0"/>
            <w:vAlign w:val="center"/>
          </w:tcPr>
          <w:p w14:paraId="5ABFA52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0.1</w:t>
            </w:r>
          </w:p>
        </w:tc>
        <w:tc>
          <w:tcPr>
            <w:tcW w:w="848" w:type="pct"/>
            <w:tcBorders>
              <w:tl2br w:val="nil"/>
              <w:tr2bl w:val="nil"/>
            </w:tcBorders>
            <w:noWrap w:val="0"/>
            <w:vAlign w:val="center"/>
          </w:tcPr>
          <w:p w14:paraId="02413C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0.05</w:t>
            </w:r>
          </w:p>
        </w:tc>
      </w:tr>
      <w:tr w14:paraId="25F4E2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16E24E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pH</w:t>
            </w:r>
          </w:p>
        </w:tc>
        <w:tc>
          <w:tcPr>
            <w:tcW w:w="537" w:type="pct"/>
            <w:tcBorders>
              <w:tl2br w:val="nil"/>
              <w:tr2bl w:val="nil"/>
            </w:tcBorders>
            <w:noWrap w:val="0"/>
            <w:vAlign w:val="center"/>
          </w:tcPr>
          <w:p w14:paraId="29D9F94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无量纲</w:t>
            </w:r>
          </w:p>
        </w:tc>
        <w:tc>
          <w:tcPr>
            <w:tcW w:w="901" w:type="pct"/>
            <w:vMerge w:val="restart"/>
            <w:tcBorders>
              <w:tl2br w:val="nil"/>
              <w:tr2bl w:val="nil"/>
            </w:tcBorders>
            <w:noWrap w:val="0"/>
            <w:vAlign w:val="center"/>
          </w:tcPr>
          <w:p w14:paraId="7855C5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黄泥河汇入穆棱河汇入口下游2000m</w:t>
            </w:r>
            <w:r>
              <w:rPr>
                <w:rFonts w:hint="default" w:ascii="Times New Roman" w:hAnsi="Times New Roman" w:eastAsia="宋体" w:cs="Times New Roman"/>
                <w:bCs/>
                <w:color w:val="auto"/>
                <w:kern w:val="0"/>
                <w:sz w:val="21"/>
                <w:szCs w:val="21"/>
                <w:highlight w:val="none"/>
                <w:lang w:val="en-US" w:eastAsia="zh-CN"/>
              </w:rPr>
              <w:t>（2025.06.07）</w:t>
            </w:r>
          </w:p>
        </w:tc>
        <w:tc>
          <w:tcPr>
            <w:tcW w:w="848" w:type="pct"/>
            <w:tcBorders>
              <w:tl2br w:val="nil"/>
              <w:tr2bl w:val="nil"/>
            </w:tcBorders>
            <w:noWrap w:val="0"/>
            <w:vAlign w:val="center"/>
          </w:tcPr>
          <w:p w14:paraId="5C7B30C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7.2</w:t>
            </w:r>
          </w:p>
        </w:tc>
        <w:tc>
          <w:tcPr>
            <w:tcW w:w="848" w:type="pct"/>
            <w:tcBorders>
              <w:tl2br w:val="nil"/>
              <w:tr2bl w:val="nil"/>
            </w:tcBorders>
            <w:noWrap w:val="0"/>
            <w:vAlign w:val="center"/>
          </w:tcPr>
          <w:p w14:paraId="602D568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6-9</w:t>
            </w:r>
          </w:p>
        </w:tc>
        <w:tc>
          <w:tcPr>
            <w:tcW w:w="848" w:type="pct"/>
            <w:tcBorders>
              <w:tl2br w:val="nil"/>
              <w:tr2bl w:val="nil"/>
            </w:tcBorders>
            <w:noWrap w:val="0"/>
            <w:vAlign w:val="center"/>
          </w:tcPr>
          <w:p w14:paraId="4AD168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0</w:t>
            </w:r>
          </w:p>
        </w:tc>
      </w:tr>
      <w:tr w14:paraId="632FC6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0D3422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色度</w:t>
            </w:r>
          </w:p>
        </w:tc>
        <w:tc>
          <w:tcPr>
            <w:tcW w:w="537" w:type="pct"/>
            <w:tcBorders>
              <w:tl2br w:val="nil"/>
              <w:tr2bl w:val="nil"/>
            </w:tcBorders>
            <w:noWrap w:val="0"/>
            <w:vAlign w:val="center"/>
          </w:tcPr>
          <w:p w14:paraId="25A0565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度</w:t>
            </w:r>
          </w:p>
        </w:tc>
        <w:tc>
          <w:tcPr>
            <w:tcW w:w="901" w:type="pct"/>
            <w:vMerge w:val="continue"/>
            <w:tcBorders>
              <w:tl2br w:val="nil"/>
              <w:tr2bl w:val="nil"/>
            </w:tcBorders>
            <w:noWrap w:val="0"/>
            <w:vAlign w:val="center"/>
          </w:tcPr>
          <w:p w14:paraId="015660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0C6C77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848" w:type="pct"/>
            <w:tcBorders>
              <w:tl2br w:val="nil"/>
              <w:tr2bl w:val="nil"/>
            </w:tcBorders>
            <w:noWrap w:val="0"/>
            <w:vAlign w:val="center"/>
          </w:tcPr>
          <w:p w14:paraId="698AA7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eastAsia="zh-CN"/>
              </w:rPr>
              <w:t>—</w:t>
            </w:r>
          </w:p>
        </w:tc>
        <w:tc>
          <w:tcPr>
            <w:tcW w:w="848" w:type="pct"/>
            <w:tcBorders>
              <w:tl2br w:val="nil"/>
              <w:tr2bl w:val="nil"/>
            </w:tcBorders>
            <w:noWrap w:val="0"/>
            <w:vAlign w:val="center"/>
          </w:tcPr>
          <w:p w14:paraId="3D8EF7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r>
      <w:tr w14:paraId="6A606F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3919C7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悬浮物</w:t>
            </w:r>
          </w:p>
        </w:tc>
        <w:tc>
          <w:tcPr>
            <w:tcW w:w="537" w:type="pct"/>
            <w:tcBorders>
              <w:tl2br w:val="nil"/>
              <w:tr2bl w:val="nil"/>
            </w:tcBorders>
            <w:noWrap w:val="0"/>
            <w:vAlign w:val="center"/>
          </w:tcPr>
          <w:p w14:paraId="6085DC5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4F6F4A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203DD5C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76</w:t>
            </w:r>
          </w:p>
        </w:tc>
        <w:tc>
          <w:tcPr>
            <w:tcW w:w="848" w:type="pct"/>
            <w:tcBorders>
              <w:tl2br w:val="nil"/>
              <w:tr2bl w:val="nil"/>
            </w:tcBorders>
            <w:noWrap w:val="0"/>
            <w:vAlign w:val="center"/>
          </w:tcPr>
          <w:p w14:paraId="20FA06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w:t>
            </w:r>
          </w:p>
        </w:tc>
        <w:tc>
          <w:tcPr>
            <w:tcW w:w="848" w:type="pct"/>
            <w:tcBorders>
              <w:tl2br w:val="nil"/>
              <w:tr2bl w:val="nil"/>
            </w:tcBorders>
            <w:noWrap w:val="0"/>
            <w:vAlign w:val="center"/>
          </w:tcPr>
          <w:p w14:paraId="2D2473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r>
      <w:tr w14:paraId="3976C6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144F39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氨氮</w:t>
            </w:r>
          </w:p>
        </w:tc>
        <w:tc>
          <w:tcPr>
            <w:tcW w:w="537" w:type="pct"/>
            <w:tcBorders>
              <w:tl2br w:val="nil"/>
              <w:tr2bl w:val="nil"/>
            </w:tcBorders>
            <w:noWrap w:val="0"/>
            <w:vAlign w:val="center"/>
          </w:tcPr>
          <w:p w14:paraId="4FD05B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6EA6E1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5CBA5C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0.726</w:t>
            </w:r>
          </w:p>
        </w:tc>
        <w:tc>
          <w:tcPr>
            <w:tcW w:w="848" w:type="pct"/>
            <w:tcBorders>
              <w:tl2br w:val="nil"/>
              <w:tr2bl w:val="nil"/>
            </w:tcBorders>
            <w:noWrap w:val="0"/>
            <w:vAlign w:val="center"/>
          </w:tcPr>
          <w:p w14:paraId="451CE3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1.0</w:t>
            </w:r>
          </w:p>
        </w:tc>
        <w:tc>
          <w:tcPr>
            <w:tcW w:w="848" w:type="pct"/>
            <w:tcBorders>
              <w:tl2br w:val="nil"/>
              <w:tr2bl w:val="nil"/>
            </w:tcBorders>
            <w:noWrap w:val="0"/>
            <w:vAlign w:val="center"/>
          </w:tcPr>
          <w:p w14:paraId="283AA1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w:t>
            </w:r>
            <w:r>
              <w:rPr>
                <w:rFonts w:hint="eastAsia" w:ascii="Times New Roman" w:hAnsi="Times New Roman" w:eastAsia="宋体" w:cs="Times New Roman"/>
                <w:i w:val="0"/>
                <w:iCs w:val="0"/>
                <w:color w:val="auto"/>
                <w:kern w:val="0"/>
                <w:sz w:val="21"/>
                <w:szCs w:val="21"/>
                <w:u w:val="none"/>
                <w:lang w:val="en-US" w:eastAsia="zh-CN" w:bidi="ar"/>
              </w:rPr>
              <w:t>3</w:t>
            </w:r>
          </w:p>
        </w:tc>
      </w:tr>
      <w:tr w14:paraId="2B2610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31F600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总磷</w:t>
            </w:r>
          </w:p>
        </w:tc>
        <w:tc>
          <w:tcPr>
            <w:tcW w:w="537" w:type="pct"/>
            <w:tcBorders>
              <w:tl2br w:val="nil"/>
              <w:tr2bl w:val="nil"/>
            </w:tcBorders>
            <w:noWrap w:val="0"/>
            <w:vAlign w:val="center"/>
          </w:tcPr>
          <w:p w14:paraId="2ADF07E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69C30E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24F207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0.10</w:t>
            </w:r>
          </w:p>
        </w:tc>
        <w:tc>
          <w:tcPr>
            <w:tcW w:w="848" w:type="pct"/>
            <w:tcBorders>
              <w:tl2br w:val="nil"/>
              <w:tr2bl w:val="nil"/>
            </w:tcBorders>
            <w:noWrap w:val="0"/>
            <w:vAlign w:val="center"/>
          </w:tcPr>
          <w:p w14:paraId="6F365F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0.2</w:t>
            </w:r>
          </w:p>
        </w:tc>
        <w:tc>
          <w:tcPr>
            <w:tcW w:w="848" w:type="pct"/>
            <w:tcBorders>
              <w:tl2br w:val="nil"/>
              <w:tr2bl w:val="nil"/>
            </w:tcBorders>
            <w:noWrap w:val="0"/>
            <w:vAlign w:val="center"/>
          </w:tcPr>
          <w:p w14:paraId="147E88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0.5</w:t>
            </w:r>
            <w:r>
              <w:rPr>
                <w:rFonts w:hint="eastAsia" w:ascii="Times New Roman" w:hAnsi="Times New Roman" w:eastAsia="宋体" w:cs="Times New Roman"/>
                <w:i w:val="0"/>
                <w:iCs w:val="0"/>
                <w:color w:val="auto"/>
                <w:kern w:val="0"/>
                <w:sz w:val="21"/>
                <w:szCs w:val="21"/>
                <w:u w:val="none"/>
                <w:lang w:val="en-US" w:eastAsia="zh-CN" w:bidi="ar"/>
              </w:rPr>
              <w:t>0</w:t>
            </w:r>
          </w:p>
        </w:tc>
      </w:tr>
      <w:tr w14:paraId="38EC15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3DA75E9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五日生化需氧量</w:t>
            </w:r>
          </w:p>
        </w:tc>
        <w:tc>
          <w:tcPr>
            <w:tcW w:w="537" w:type="pct"/>
            <w:tcBorders>
              <w:tl2br w:val="nil"/>
              <w:tr2bl w:val="nil"/>
            </w:tcBorders>
            <w:noWrap w:val="0"/>
            <w:vAlign w:val="center"/>
          </w:tcPr>
          <w:p w14:paraId="6AA5B2B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739B82A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42CAC2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3.4</w:t>
            </w:r>
          </w:p>
        </w:tc>
        <w:tc>
          <w:tcPr>
            <w:tcW w:w="848" w:type="pct"/>
            <w:tcBorders>
              <w:tl2br w:val="nil"/>
              <w:tr2bl w:val="nil"/>
            </w:tcBorders>
            <w:noWrap w:val="0"/>
            <w:vAlign w:val="center"/>
          </w:tcPr>
          <w:p w14:paraId="6B1A65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4</w:t>
            </w:r>
          </w:p>
        </w:tc>
        <w:tc>
          <w:tcPr>
            <w:tcW w:w="848" w:type="pct"/>
            <w:tcBorders>
              <w:tl2br w:val="nil"/>
              <w:tr2bl w:val="nil"/>
            </w:tcBorders>
            <w:noWrap w:val="0"/>
            <w:vAlign w:val="center"/>
          </w:tcPr>
          <w:p w14:paraId="2A5DFF7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0.85</w:t>
            </w:r>
          </w:p>
        </w:tc>
      </w:tr>
      <w:tr w14:paraId="402993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6BA576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化学需氧量</w:t>
            </w:r>
          </w:p>
        </w:tc>
        <w:tc>
          <w:tcPr>
            <w:tcW w:w="537" w:type="pct"/>
            <w:tcBorders>
              <w:tl2br w:val="nil"/>
              <w:tr2bl w:val="nil"/>
            </w:tcBorders>
            <w:noWrap w:val="0"/>
            <w:vAlign w:val="center"/>
          </w:tcPr>
          <w:p w14:paraId="2791DD9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46AA3B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61491B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12</w:t>
            </w:r>
          </w:p>
        </w:tc>
        <w:tc>
          <w:tcPr>
            <w:tcW w:w="848" w:type="pct"/>
            <w:tcBorders>
              <w:tl2br w:val="nil"/>
              <w:tr2bl w:val="nil"/>
            </w:tcBorders>
            <w:noWrap w:val="0"/>
            <w:vAlign w:val="center"/>
          </w:tcPr>
          <w:p w14:paraId="7A2273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20</w:t>
            </w:r>
          </w:p>
        </w:tc>
        <w:tc>
          <w:tcPr>
            <w:tcW w:w="848" w:type="pct"/>
            <w:tcBorders>
              <w:tl2br w:val="nil"/>
              <w:tr2bl w:val="nil"/>
            </w:tcBorders>
            <w:noWrap w:val="0"/>
            <w:vAlign w:val="center"/>
          </w:tcPr>
          <w:p w14:paraId="15347F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0.6</w:t>
            </w:r>
            <w:r>
              <w:rPr>
                <w:rFonts w:hint="eastAsia" w:ascii="Times New Roman" w:hAnsi="Times New Roman" w:eastAsia="宋体" w:cs="Times New Roman"/>
                <w:i w:val="0"/>
                <w:iCs w:val="0"/>
                <w:color w:val="auto"/>
                <w:kern w:val="0"/>
                <w:sz w:val="21"/>
                <w:szCs w:val="21"/>
                <w:u w:val="none"/>
                <w:lang w:val="en-US" w:eastAsia="zh-CN" w:bidi="ar"/>
              </w:rPr>
              <w:t>0</w:t>
            </w:r>
          </w:p>
        </w:tc>
      </w:tr>
      <w:tr w14:paraId="29DF22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67D24E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石油类</w:t>
            </w:r>
          </w:p>
        </w:tc>
        <w:tc>
          <w:tcPr>
            <w:tcW w:w="537" w:type="pct"/>
            <w:tcBorders>
              <w:tl2br w:val="nil"/>
              <w:tr2bl w:val="nil"/>
            </w:tcBorders>
            <w:noWrap w:val="0"/>
            <w:vAlign w:val="center"/>
          </w:tcPr>
          <w:p w14:paraId="1442990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7E4D48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4790D3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0.01L</w:t>
            </w:r>
          </w:p>
        </w:tc>
        <w:tc>
          <w:tcPr>
            <w:tcW w:w="848" w:type="pct"/>
            <w:tcBorders>
              <w:tl2br w:val="nil"/>
              <w:tr2bl w:val="nil"/>
            </w:tcBorders>
            <w:noWrap w:val="0"/>
            <w:vAlign w:val="center"/>
          </w:tcPr>
          <w:p w14:paraId="5383BEA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0.05</w:t>
            </w:r>
          </w:p>
        </w:tc>
        <w:tc>
          <w:tcPr>
            <w:tcW w:w="848" w:type="pct"/>
            <w:tcBorders>
              <w:tl2br w:val="nil"/>
              <w:tr2bl w:val="nil"/>
            </w:tcBorders>
            <w:noWrap w:val="0"/>
            <w:vAlign w:val="center"/>
          </w:tcPr>
          <w:p w14:paraId="2E309D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0</w:t>
            </w:r>
          </w:p>
        </w:tc>
      </w:tr>
      <w:tr w14:paraId="6E95AB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47FCF8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阴离子表面活性剂</w:t>
            </w:r>
          </w:p>
        </w:tc>
        <w:tc>
          <w:tcPr>
            <w:tcW w:w="537" w:type="pct"/>
            <w:tcBorders>
              <w:tl2br w:val="nil"/>
              <w:tr2bl w:val="nil"/>
            </w:tcBorders>
            <w:noWrap w:val="0"/>
            <w:vAlign w:val="center"/>
          </w:tcPr>
          <w:p w14:paraId="7BD8391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15F436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5BB1BF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0.05L</w:t>
            </w:r>
          </w:p>
        </w:tc>
        <w:tc>
          <w:tcPr>
            <w:tcW w:w="848" w:type="pct"/>
            <w:tcBorders>
              <w:tl2br w:val="nil"/>
              <w:tr2bl w:val="nil"/>
            </w:tcBorders>
            <w:noWrap w:val="0"/>
            <w:vAlign w:val="center"/>
          </w:tcPr>
          <w:p w14:paraId="0F71A6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0.2</w:t>
            </w:r>
          </w:p>
        </w:tc>
        <w:tc>
          <w:tcPr>
            <w:tcW w:w="848" w:type="pct"/>
            <w:tcBorders>
              <w:tl2br w:val="nil"/>
              <w:tr2bl w:val="nil"/>
            </w:tcBorders>
            <w:noWrap w:val="0"/>
            <w:vAlign w:val="center"/>
          </w:tcPr>
          <w:p w14:paraId="76484B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3</w:t>
            </w:r>
          </w:p>
        </w:tc>
      </w:tr>
      <w:tr w14:paraId="2DC350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2858E99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粪大肠菌群</w:t>
            </w:r>
          </w:p>
        </w:tc>
        <w:tc>
          <w:tcPr>
            <w:tcW w:w="537" w:type="pct"/>
            <w:tcBorders>
              <w:tl2br w:val="nil"/>
              <w:tr2bl w:val="nil"/>
            </w:tcBorders>
            <w:noWrap w:val="0"/>
            <w:vAlign w:val="center"/>
          </w:tcPr>
          <w:p w14:paraId="2749662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50EAF41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75F79F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7.0</w:t>
            </w:r>
            <w:r>
              <w:rPr>
                <w:rFonts w:hint="default" w:ascii="Times New Roman" w:hAnsi="Times New Roman" w:eastAsia="宋体" w:cs="Times New Roman"/>
                <w:color w:val="auto"/>
                <w:kern w:val="2"/>
                <w:sz w:val="21"/>
                <w:szCs w:val="21"/>
                <w:highlight w:val="none"/>
                <w:lang w:val="en-US" w:eastAsia="zh-CN" w:bidi="ar-SA"/>
              </w:rPr>
              <w:t>×10</w:t>
            </w:r>
            <w:r>
              <w:rPr>
                <w:rFonts w:hint="eastAsia" w:ascii="Times New Roman" w:hAnsi="Times New Roman" w:eastAsia="宋体" w:cs="Times New Roman"/>
                <w:color w:val="auto"/>
                <w:kern w:val="2"/>
                <w:sz w:val="21"/>
                <w:szCs w:val="21"/>
                <w:highlight w:val="none"/>
                <w:vertAlign w:val="superscript"/>
                <w:lang w:val="en-US" w:eastAsia="zh-CN" w:bidi="ar-SA"/>
              </w:rPr>
              <w:t>2</w:t>
            </w:r>
          </w:p>
        </w:tc>
        <w:tc>
          <w:tcPr>
            <w:tcW w:w="848" w:type="pct"/>
            <w:tcBorders>
              <w:tl2br w:val="nil"/>
              <w:tr2bl w:val="nil"/>
            </w:tcBorders>
            <w:noWrap w:val="0"/>
            <w:vAlign w:val="center"/>
          </w:tcPr>
          <w:p w14:paraId="35D8D9A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10000</w:t>
            </w:r>
          </w:p>
        </w:tc>
        <w:tc>
          <w:tcPr>
            <w:tcW w:w="848" w:type="pct"/>
            <w:tcBorders>
              <w:tl2br w:val="nil"/>
              <w:tr2bl w:val="nil"/>
            </w:tcBorders>
            <w:noWrap w:val="0"/>
            <w:vAlign w:val="center"/>
          </w:tcPr>
          <w:p w14:paraId="3E4E39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0.07</w:t>
            </w:r>
          </w:p>
        </w:tc>
      </w:tr>
      <w:tr w14:paraId="1C4392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1479369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总铁</w:t>
            </w:r>
          </w:p>
        </w:tc>
        <w:tc>
          <w:tcPr>
            <w:tcW w:w="537" w:type="pct"/>
            <w:tcBorders>
              <w:tl2br w:val="nil"/>
              <w:tr2bl w:val="nil"/>
            </w:tcBorders>
            <w:noWrap w:val="0"/>
            <w:vAlign w:val="center"/>
          </w:tcPr>
          <w:p w14:paraId="794B0B8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49858A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79D80D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w:t>
            </w:r>
            <w:r>
              <w:rPr>
                <w:rFonts w:hint="eastAsia" w:ascii="Times New Roman" w:hAnsi="Times New Roman" w:eastAsia="宋体" w:cs="Times New Roman"/>
                <w:color w:val="auto"/>
                <w:sz w:val="21"/>
                <w:szCs w:val="21"/>
                <w:highlight w:val="none"/>
                <w:lang w:val="en-US" w:eastAsia="zh-CN"/>
              </w:rPr>
              <w:t>4</w:t>
            </w:r>
          </w:p>
        </w:tc>
        <w:tc>
          <w:tcPr>
            <w:tcW w:w="848" w:type="pct"/>
            <w:tcBorders>
              <w:tl2br w:val="nil"/>
              <w:tr2bl w:val="nil"/>
            </w:tcBorders>
            <w:noWrap w:val="0"/>
            <w:vAlign w:val="center"/>
          </w:tcPr>
          <w:p w14:paraId="503721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0.3</w:t>
            </w:r>
          </w:p>
        </w:tc>
        <w:tc>
          <w:tcPr>
            <w:tcW w:w="848" w:type="pct"/>
            <w:tcBorders>
              <w:tl2br w:val="nil"/>
              <w:tr2bl w:val="nil"/>
            </w:tcBorders>
            <w:noWrap w:val="0"/>
            <w:vAlign w:val="center"/>
          </w:tcPr>
          <w:p w14:paraId="73FDBB4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w:t>
            </w:r>
            <w:r>
              <w:rPr>
                <w:rFonts w:hint="eastAsia" w:ascii="Times New Roman" w:hAnsi="Times New Roman" w:eastAsia="宋体" w:cs="Times New Roman"/>
                <w:i w:val="0"/>
                <w:iCs w:val="0"/>
                <w:color w:val="auto"/>
                <w:kern w:val="0"/>
                <w:sz w:val="21"/>
                <w:szCs w:val="21"/>
                <w:u w:val="none"/>
                <w:lang w:val="en-US" w:eastAsia="zh-CN" w:bidi="ar"/>
              </w:rPr>
              <w:t>0</w:t>
            </w:r>
          </w:p>
        </w:tc>
      </w:tr>
      <w:tr w14:paraId="1B6D67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21881B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总锰</w:t>
            </w:r>
          </w:p>
        </w:tc>
        <w:tc>
          <w:tcPr>
            <w:tcW w:w="537" w:type="pct"/>
            <w:tcBorders>
              <w:tl2br w:val="nil"/>
              <w:tr2bl w:val="nil"/>
            </w:tcBorders>
            <w:noWrap w:val="0"/>
            <w:vAlign w:val="center"/>
          </w:tcPr>
          <w:p w14:paraId="0DF7E79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31A0E3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4E9377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0.01L</w:t>
            </w:r>
          </w:p>
        </w:tc>
        <w:tc>
          <w:tcPr>
            <w:tcW w:w="848" w:type="pct"/>
            <w:tcBorders>
              <w:tl2br w:val="nil"/>
              <w:tr2bl w:val="nil"/>
            </w:tcBorders>
            <w:noWrap w:val="0"/>
            <w:vAlign w:val="center"/>
          </w:tcPr>
          <w:p w14:paraId="035F98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0.1</w:t>
            </w:r>
          </w:p>
        </w:tc>
        <w:tc>
          <w:tcPr>
            <w:tcW w:w="848" w:type="pct"/>
            <w:tcBorders>
              <w:tl2br w:val="nil"/>
              <w:tr2bl w:val="nil"/>
            </w:tcBorders>
            <w:noWrap w:val="0"/>
            <w:vAlign w:val="center"/>
          </w:tcPr>
          <w:p w14:paraId="1ACED9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0.05</w:t>
            </w:r>
          </w:p>
        </w:tc>
      </w:tr>
      <w:tr w14:paraId="5050FC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2EF488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pH</w:t>
            </w:r>
          </w:p>
        </w:tc>
        <w:tc>
          <w:tcPr>
            <w:tcW w:w="537" w:type="pct"/>
            <w:tcBorders>
              <w:tl2br w:val="nil"/>
              <w:tr2bl w:val="nil"/>
            </w:tcBorders>
            <w:noWrap w:val="0"/>
            <w:vAlign w:val="center"/>
          </w:tcPr>
          <w:p w14:paraId="4ACF031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无量纲</w:t>
            </w:r>
          </w:p>
        </w:tc>
        <w:tc>
          <w:tcPr>
            <w:tcW w:w="901" w:type="pct"/>
            <w:vMerge w:val="restart"/>
            <w:tcBorders>
              <w:tl2br w:val="nil"/>
              <w:tr2bl w:val="nil"/>
            </w:tcBorders>
            <w:noWrap w:val="0"/>
            <w:vAlign w:val="center"/>
          </w:tcPr>
          <w:p w14:paraId="75EA89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黄泥河汇入穆棱河汇入口下游2000m</w:t>
            </w:r>
            <w:r>
              <w:rPr>
                <w:rFonts w:hint="default" w:ascii="Times New Roman" w:hAnsi="Times New Roman" w:eastAsia="宋体" w:cs="Times New Roman"/>
                <w:bCs/>
                <w:color w:val="auto"/>
                <w:kern w:val="0"/>
                <w:sz w:val="21"/>
                <w:szCs w:val="21"/>
                <w:highlight w:val="none"/>
                <w:lang w:val="en-US" w:eastAsia="zh-CN"/>
              </w:rPr>
              <w:t>（2025.06.08）</w:t>
            </w:r>
          </w:p>
        </w:tc>
        <w:tc>
          <w:tcPr>
            <w:tcW w:w="848" w:type="pct"/>
            <w:tcBorders>
              <w:tl2br w:val="nil"/>
              <w:tr2bl w:val="nil"/>
            </w:tcBorders>
            <w:noWrap w:val="0"/>
            <w:vAlign w:val="center"/>
          </w:tcPr>
          <w:p w14:paraId="3155B3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7.2</w:t>
            </w:r>
          </w:p>
        </w:tc>
        <w:tc>
          <w:tcPr>
            <w:tcW w:w="848" w:type="pct"/>
            <w:tcBorders>
              <w:tl2br w:val="nil"/>
              <w:tr2bl w:val="nil"/>
            </w:tcBorders>
            <w:noWrap w:val="0"/>
            <w:vAlign w:val="center"/>
          </w:tcPr>
          <w:p w14:paraId="09D94FF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6-9</w:t>
            </w:r>
          </w:p>
        </w:tc>
        <w:tc>
          <w:tcPr>
            <w:tcW w:w="848" w:type="pct"/>
            <w:tcBorders>
              <w:tl2br w:val="nil"/>
              <w:tr2bl w:val="nil"/>
            </w:tcBorders>
            <w:noWrap w:val="0"/>
            <w:vAlign w:val="center"/>
          </w:tcPr>
          <w:p w14:paraId="75F374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0</w:t>
            </w:r>
          </w:p>
        </w:tc>
      </w:tr>
      <w:tr w14:paraId="5792D8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2207DA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色度</w:t>
            </w:r>
          </w:p>
        </w:tc>
        <w:tc>
          <w:tcPr>
            <w:tcW w:w="537" w:type="pct"/>
            <w:tcBorders>
              <w:tl2br w:val="nil"/>
              <w:tr2bl w:val="nil"/>
            </w:tcBorders>
            <w:noWrap w:val="0"/>
            <w:vAlign w:val="center"/>
          </w:tcPr>
          <w:p w14:paraId="4DB1770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度</w:t>
            </w:r>
          </w:p>
        </w:tc>
        <w:tc>
          <w:tcPr>
            <w:tcW w:w="901" w:type="pct"/>
            <w:vMerge w:val="continue"/>
            <w:tcBorders>
              <w:tl2br w:val="nil"/>
              <w:tr2bl w:val="nil"/>
            </w:tcBorders>
            <w:noWrap w:val="0"/>
            <w:vAlign w:val="center"/>
          </w:tcPr>
          <w:p w14:paraId="6EB593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4C0DB3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848" w:type="pct"/>
            <w:tcBorders>
              <w:tl2br w:val="nil"/>
              <w:tr2bl w:val="nil"/>
            </w:tcBorders>
            <w:noWrap w:val="0"/>
            <w:vAlign w:val="center"/>
          </w:tcPr>
          <w:p w14:paraId="06F8A5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eastAsia="zh-CN"/>
              </w:rPr>
              <w:t>—</w:t>
            </w:r>
          </w:p>
        </w:tc>
        <w:tc>
          <w:tcPr>
            <w:tcW w:w="848" w:type="pct"/>
            <w:tcBorders>
              <w:tl2br w:val="nil"/>
              <w:tr2bl w:val="nil"/>
            </w:tcBorders>
            <w:noWrap w:val="0"/>
            <w:vAlign w:val="center"/>
          </w:tcPr>
          <w:p w14:paraId="2C0211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r>
      <w:tr w14:paraId="2658A5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72BCAFF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悬浮物</w:t>
            </w:r>
          </w:p>
        </w:tc>
        <w:tc>
          <w:tcPr>
            <w:tcW w:w="537" w:type="pct"/>
            <w:tcBorders>
              <w:tl2br w:val="nil"/>
              <w:tr2bl w:val="nil"/>
            </w:tcBorders>
            <w:noWrap w:val="0"/>
            <w:vAlign w:val="center"/>
          </w:tcPr>
          <w:p w14:paraId="0A0CC19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7F2286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24AA47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72</w:t>
            </w:r>
          </w:p>
        </w:tc>
        <w:tc>
          <w:tcPr>
            <w:tcW w:w="848" w:type="pct"/>
            <w:tcBorders>
              <w:tl2br w:val="nil"/>
              <w:tr2bl w:val="nil"/>
            </w:tcBorders>
            <w:noWrap w:val="0"/>
            <w:vAlign w:val="center"/>
          </w:tcPr>
          <w:p w14:paraId="24F03F5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w:t>
            </w:r>
          </w:p>
        </w:tc>
        <w:tc>
          <w:tcPr>
            <w:tcW w:w="848" w:type="pct"/>
            <w:tcBorders>
              <w:tl2br w:val="nil"/>
              <w:tr2bl w:val="nil"/>
            </w:tcBorders>
            <w:noWrap w:val="0"/>
            <w:vAlign w:val="center"/>
          </w:tcPr>
          <w:p w14:paraId="2D843F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p>
        </w:tc>
      </w:tr>
      <w:tr w14:paraId="582D32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7013E9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氨氮</w:t>
            </w:r>
          </w:p>
        </w:tc>
        <w:tc>
          <w:tcPr>
            <w:tcW w:w="537" w:type="pct"/>
            <w:tcBorders>
              <w:tl2br w:val="nil"/>
              <w:tr2bl w:val="nil"/>
            </w:tcBorders>
            <w:noWrap w:val="0"/>
            <w:vAlign w:val="center"/>
          </w:tcPr>
          <w:p w14:paraId="25981F9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7BF50C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5AF3F1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0.786</w:t>
            </w:r>
          </w:p>
        </w:tc>
        <w:tc>
          <w:tcPr>
            <w:tcW w:w="848" w:type="pct"/>
            <w:tcBorders>
              <w:tl2br w:val="nil"/>
              <w:tr2bl w:val="nil"/>
            </w:tcBorders>
            <w:noWrap w:val="0"/>
            <w:vAlign w:val="center"/>
          </w:tcPr>
          <w:p w14:paraId="3AF5BE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1.0</w:t>
            </w:r>
          </w:p>
        </w:tc>
        <w:tc>
          <w:tcPr>
            <w:tcW w:w="848" w:type="pct"/>
            <w:tcBorders>
              <w:tl2br w:val="nil"/>
              <w:tr2bl w:val="nil"/>
            </w:tcBorders>
            <w:noWrap w:val="0"/>
            <w:vAlign w:val="center"/>
          </w:tcPr>
          <w:p w14:paraId="33615E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w:t>
            </w:r>
            <w:r>
              <w:rPr>
                <w:rFonts w:hint="eastAsia" w:ascii="Times New Roman" w:hAnsi="Times New Roman" w:eastAsia="宋体" w:cs="Times New Roman"/>
                <w:i w:val="0"/>
                <w:iCs w:val="0"/>
                <w:color w:val="auto"/>
                <w:kern w:val="0"/>
                <w:sz w:val="21"/>
                <w:szCs w:val="21"/>
                <w:u w:val="none"/>
                <w:lang w:val="en-US" w:eastAsia="zh-CN" w:bidi="ar"/>
              </w:rPr>
              <w:t>9</w:t>
            </w:r>
          </w:p>
        </w:tc>
      </w:tr>
      <w:tr w14:paraId="34907F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7E1E27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总磷</w:t>
            </w:r>
          </w:p>
        </w:tc>
        <w:tc>
          <w:tcPr>
            <w:tcW w:w="537" w:type="pct"/>
            <w:tcBorders>
              <w:tl2br w:val="nil"/>
              <w:tr2bl w:val="nil"/>
            </w:tcBorders>
            <w:noWrap w:val="0"/>
            <w:vAlign w:val="center"/>
          </w:tcPr>
          <w:p w14:paraId="42307EA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702937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76A659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0.14</w:t>
            </w:r>
          </w:p>
        </w:tc>
        <w:tc>
          <w:tcPr>
            <w:tcW w:w="848" w:type="pct"/>
            <w:tcBorders>
              <w:tl2br w:val="nil"/>
              <w:tr2bl w:val="nil"/>
            </w:tcBorders>
            <w:noWrap w:val="0"/>
            <w:vAlign w:val="center"/>
          </w:tcPr>
          <w:p w14:paraId="28EAF6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0.2</w:t>
            </w:r>
          </w:p>
        </w:tc>
        <w:tc>
          <w:tcPr>
            <w:tcW w:w="848" w:type="pct"/>
            <w:tcBorders>
              <w:tl2br w:val="nil"/>
              <w:tr2bl w:val="nil"/>
            </w:tcBorders>
            <w:noWrap w:val="0"/>
            <w:vAlign w:val="center"/>
          </w:tcPr>
          <w:p w14:paraId="54C08D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0.7</w:t>
            </w:r>
            <w:r>
              <w:rPr>
                <w:rFonts w:hint="eastAsia" w:ascii="Times New Roman" w:hAnsi="Times New Roman" w:eastAsia="宋体" w:cs="Times New Roman"/>
                <w:i w:val="0"/>
                <w:iCs w:val="0"/>
                <w:color w:val="auto"/>
                <w:kern w:val="0"/>
                <w:sz w:val="21"/>
                <w:szCs w:val="21"/>
                <w:u w:val="none"/>
                <w:lang w:val="en-US" w:eastAsia="zh-CN" w:bidi="ar"/>
              </w:rPr>
              <w:t>0</w:t>
            </w:r>
          </w:p>
        </w:tc>
      </w:tr>
      <w:tr w14:paraId="1B92CE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1F92858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五日生化需氧量</w:t>
            </w:r>
          </w:p>
        </w:tc>
        <w:tc>
          <w:tcPr>
            <w:tcW w:w="537" w:type="pct"/>
            <w:tcBorders>
              <w:tl2br w:val="nil"/>
              <w:tr2bl w:val="nil"/>
            </w:tcBorders>
            <w:noWrap w:val="0"/>
            <w:vAlign w:val="center"/>
          </w:tcPr>
          <w:p w14:paraId="4F68F3D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5EFF76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417C3D9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3.6</w:t>
            </w:r>
          </w:p>
        </w:tc>
        <w:tc>
          <w:tcPr>
            <w:tcW w:w="848" w:type="pct"/>
            <w:tcBorders>
              <w:tl2br w:val="nil"/>
              <w:tr2bl w:val="nil"/>
            </w:tcBorders>
            <w:noWrap w:val="0"/>
            <w:vAlign w:val="center"/>
          </w:tcPr>
          <w:p w14:paraId="211817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4</w:t>
            </w:r>
          </w:p>
        </w:tc>
        <w:tc>
          <w:tcPr>
            <w:tcW w:w="848" w:type="pct"/>
            <w:tcBorders>
              <w:tl2br w:val="nil"/>
              <w:tr2bl w:val="nil"/>
            </w:tcBorders>
            <w:noWrap w:val="0"/>
            <w:vAlign w:val="center"/>
          </w:tcPr>
          <w:p w14:paraId="7F75A4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w:t>
            </w:r>
            <w:r>
              <w:rPr>
                <w:rFonts w:hint="eastAsia" w:ascii="Times New Roman" w:hAnsi="Times New Roman" w:eastAsia="宋体" w:cs="Times New Roman"/>
                <w:i w:val="0"/>
                <w:iCs w:val="0"/>
                <w:color w:val="auto"/>
                <w:kern w:val="0"/>
                <w:sz w:val="21"/>
                <w:szCs w:val="21"/>
                <w:u w:val="none"/>
                <w:lang w:val="en-US" w:eastAsia="zh-CN" w:bidi="ar"/>
              </w:rPr>
              <w:t>0</w:t>
            </w:r>
          </w:p>
        </w:tc>
      </w:tr>
      <w:tr w14:paraId="0E3D5A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390440A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化学需氧量</w:t>
            </w:r>
          </w:p>
        </w:tc>
        <w:tc>
          <w:tcPr>
            <w:tcW w:w="537" w:type="pct"/>
            <w:tcBorders>
              <w:tl2br w:val="nil"/>
              <w:tr2bl w:val="nil"/>
            </w:tcBorders>
            <w:noWrap w:val="0"/>
            <w:vAlign w:val="center"/>
          </w:tcPr>
          <w:p w14:paraId="40B4089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64BD25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5811A0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13</w:t>
            </w:r>
          </w:p>
        </w:tc>
        <w:tc>
          <w:tcPr>
            <w:tcW w:w="848" w:type="pct"/>
            <w:tcBorders>
              <w:tl2br w:val="nil"/>
              <w:tr2bl w:val="nil"/>
            </w:tcBorders>
            <w:noWrap w:val="0"/>
            <w:vAlign w:val="center"/>
          </w:tcPr>
          <w:p w14:paraId="0E0B685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20</w:t>
            </w:r>
          </w:p>
        </w:tc>
        <w:tc>
          <w:tcPr>
            <w:tcW w:w="848" w:type="pct"/>
            <w:tcBorders>
              <w:tl2br w:val="nil"/>
              <w:tr2bl w:val="nil"/>
            </w:tcBorders>
            <w:noWrap w:val="0"/>
            <w:vAlign w:val="center"/>
          </w:tcPr>
          <w:p w14:paraId="46A4D0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0.65</w:t>
            </w:r>
          </w:p>
        </w:tc>
      </w:tr>
      <w:tr w14:paraId="516ECF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5CA12D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石油类</w:t>
            </w:r>
          </w:p>
        </w:tc>
        <w:tc>
          <w:tcPr>
            <w:tcW w:w="537" w:type="pct"/>
            <w:tcBorders>
              <w:tl2br w:val="nil"/>
              <w:tr2bl w:val="nil"/>
            </w:tcBorders>
            <w:noWrap w:val="0"/>
            <w:vAlign w:val="center"/>
          </w:tcPr>
          <w:p w14:paraId="2A3321B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28BB53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0AD7E0D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0.01L</w:t>
            </w:r>
          </w:p>
        </w:tc>
        <w:tc>
          <w:tcPr>
            <w:tcW w:w="848" w:type="pct"/>
            <w:tcBorders>
              <w:tl2br w:val="nil"/>
              <w:tr2bl w:val="nil"/>
            </w:tcBorders>
            <w:noWrap w:val="0"/>
            <w:vAlign w:val="center"/>
          </w:tcPr>
          <w:p w14:paraId="57D72E1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0.05</w:t>
            </w:r>
          </w:p>
        </w:tc>
        <w:tc>
          <w:tcPr>
            <w:tcW w:w="848" w:type="pct"/>
            <w:tcBorders>
              <w:tl2br w:val="nil"/>
              <w:tr2bl w:val="nil"/>
            </w:tcBorders>
            <w:noWrap w:val="0"/>
            <w:vAlign w:val="center"/>
          </w:tcPr>
          <w:p w14:paraId="744A60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0</w:t>
            </w:r>
          </w:p>
        </w:tc>
      </w:tr>
      <w:tr w14:paraId="50EB97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30A0BB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阴离子表面活性剂</w:t>
            </w:r>
          </w:p>
        </w:tc>
        <w:tc>
          <w:tcPr>
            <w:tcW w:w="537" w:type="pct"/>
            <w:tcBorders>
              <w:tl2br w:val="nil"/>
              <w:tr2bl w:val="nil"/>
            </w:tcBorders>
            <w:noWrap w:val="0"/>
            <w:vAlign w:val="center"/>
          </w:tcPr>
          <w:p w14:paraId="2A61DDC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71DFB2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7B63B30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0.05L</w:t>
            </w:r>
          </w:p>
        </w:tc>
        <w:tc>
          <w:tcPr>
            <w:tcW w:w="848" w:type="pct"/>
            <w:tcBorders>
              <w:tl2br w:val="nil"/>
              <w:tr2bl w:val="nil"/>
            </w:tcBorders>
            <w:noWrap w:val="0"/>
            <w:vAlign w:val="center"/>
          </w:tcPr>
          <w:p w14:paraId="2E403B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0.2</w:t>
            </w:r>
          </w:p>
        </w:tc>
        <w:tc>
          <w:tcPr>
            <w:tcW w:w="848" w:type="pct"/>
            <w:tcBorders>
              <w:tl2br w:val="nil"/>
              <w:tr2bl w:val="nil"/>
            </w:tcBorders>
            <w:noWrap w:val="0"/>
            <w:vAlign w:val="center"/>
          </w:tcPr>
          <w:p w14:paraId="0DF999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ascii="Times New Roman" w:hAnsi="Times New Roman" w:eastAsia="宋体" w:cs="Times New Roman"/>
                <w:i w:val="0"/>
                <w:iCs w:val="0"/>
                <w:color w:val="auto"/>
                <w:kern w:val="0"/>
                <w:sz w:val="21"/>
                <w:szCs w:val="21"/>
                <w:u w:val="none"/>
                <w:lang w:val="en-US" w:eastAsia="zh-CN" w:bidi="ar"/>
              </w:rPr>
              <w:t>3</w:t>
            </w:r>
          </w:p>
        </w:tc>
      </w:tr>
      <w:tr w14:paraId="169E54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0D5DB74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粪大肠菌群</w:t>
            </w:r>
          </w:p>
        </w:tc>
        <w:tc>
          <w:tcPr>
            <w:tcW w:w="537" w:type="pct"/>
            <w:tcBorders>
              <w:tl2br w:val="nil"/>
              <w:tr2bl w:val="nil"/>
            </w:tcBorders>
            <w:noWrap w:val="0"/>
            <w:vAlign w:val="center"/>
          </w:tcPr>
          <w:p w14:paraId="6C3FD04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512FAD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140D16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1.2</w:t>
            </w:r>
            <w:r>
              <w:rPr>
                <w:rFonts w:hint="default" w:ascii="Times New Roman" w:hAnsi="Times New Roman" w:eastAsia="宋体" w:cs="Times New Roman"/>
                <w:color w:val="auto"/>
                <w:kern w:val="2"/>
                <w:sz w:val="21"/>
                <w:szCs w:val="21"/>
                <w:highlight w:val="none"/>
                <w:lang w:val="en-US" w:eastAsia="zh-CN" w:bidi="ar-SA"/>
              </w:rPr>
              <w:t>×10</w:t>
            </w:r>
            <w:r>
              <w:rPr>
                <w:rFonts w:hint="default" w:ascii="Times New Roman" w:hAnsi="Times New Roman" w:eastAsia="宋体" w:cs="Times New Roman"/>
                <w:color w:val="auto"/>
                <w:kern w:val="2"/>
                <w:sz w:val="21"/>
                <w:szCs w:val="21"/>
                <w:highlight w:val="none"/>
                <w:vertAlign w:val="superscript"/>
                <w:lang w:val="en-US" w:eastAsia="zh-CN" w:bidi="ar-SA"/>
              </w:rPr>
              <w:t>3</w:t>
            </w:r>
          </w:p>
        </w:tc>
        <w:tc>
          <w:tcPr>
            <w:tcW w:w="848" w:type="pct"/>
            <w:tcBorders>
              <w:tl2br w:val="nil"/>
              <w:tr2bl w:val="nil"/>
            </w:tcBorders>
            <w:noWrap w:val="0"/>
            <w:vAlign w:val="center"/>
          </w:tcPr>
          <w:p w14:paraId="4F0B375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10000</w:t>
            </w:r>
          </w:p>
        </w:tc>
        <w:tc>
          <w:tcPr>
            <w:tcW w:w="848" w:type="pct"/>
            <w:tcBorders>
              <w:tl2br w:val="nil"/>
              <w:tr2bl w:val="nil"/>
            </w:tcBorders>
            <w:noWrap w:val="0"/>
            <w:vAlign w:val="center"/>
          </w:tcPr>
          <w:p w14:paraId="1B6998A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0.12</w:t>
            </w:r>
          </w:p>
        </w:tc>
      </w:tr>
      <w:tr w14:paraId="5028DE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12972F5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总铁</w:t>
            </w:r>
          </w:p>
        </w:tc>
        <w:tc>
          <w:tcPr>
            <w:tcW w:w="537" w:type="pct"/>
            <w:tcBorders>
              <w:tl2br w:val="nil"/>
              <w:tr2bl w:val="nil"/>
            </w:tcBorders>
            <w:noWrap w:val="0"/>
            <w:vAlign w:val="center"/>
          </w:tcPr>
          <w:p w14:paraId="280D8CB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43ACA3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0FF092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0.2</w:t>
            </w:r>
            <w:r>
              <w:rPr>
                <w:rFonts w:hint="eastAsia" w:ascii="Times New Roman" w:hAnsi="Times New Roman" w:eastAsia="宋体" w:cs="Times New Roman"/>
                <w:color w:val="auto"/>
                <w:sz w:val="21"/>
                <w:szCs w:val="21"/>
                <w:highlight w:val="none"/>
                <w:lang w:val="en-US" w:eastAsia="zh-CN"/>
              </w:rPr>
              <w:t>4</w:t>
            </w:r>
          </w:p>
        </w:tc>
        <w:tc>
          <w:tcPr>
            <w:tcW w:w="848" w:type="pct"/>
            <w:tcBorders>
              <w:tl2br w:val="nil"/>
              <w:tr2bl w:val="nil"/>
            </w:tcBorders>
            <w:noWrap w:val="0"/>
            <w:vAlign w:val="center"/>
          </w:tcPr>
          <w:p w14:paraId="44B730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0.3</w:t>
            </w:r>
          </w:p>
        </w:tc>
        <w:tc>
          <w:tcPr>
            <w:tcW w:w="848" w:type="pct"/>
            <w:tcBorders>
              <w:tl2br w:val="nil"/>
              <w:tr2bl w:val="nil"/>
            </w:tcBorders>
            <w:noWrap w:val="0"/>
            <w:vAlign w:val="center"/>
          </w:tcPr>
          <w:p w14:paraId="72E3F7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0.8</w:t>
            </w:r>
            <w:r>
              <w:rPr>
                <w:rFonts w:hint="eastAsia" w:ascii="Times New Roman" w:hAnsi="Times New Roman" w:eastAsia="宋体" w:cs="Times New Roman"/>
                <w:i w:val="0"/>
                <w:iCs w:val="0"/>
                <w:color w:val="auto"/>
                <w:kern w:val="0"/>
                <w:sz w:val="21"/>
                <w:szCs w:val="21"/>
                <w:u w:val="none"/>
                <w:lang w:val="en-US" w:eastAsia="zh-CN" w:bidi="ar"/>
              </w:rPr>
              <w:t>0</w:t>
            </w:r>
          </w:p>
        </w:tc>
      </w:tr>
      <w:tr w14:paraId="35D8ED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5" w:type="pct"/>
            <w:tcBorders>
              <w:tl2br w:val="nil"/>
              <w:tr2bl w:val="nil"/>
            </w:tcBorders>
            <w:noWrap w:val="0"/>
            <w:vAlign w:val="center"/>
          </w:tcPr>
          <w:p w14:paraId="7A43476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总锰</w:t>
            </w:r>
          </w:p>
        </w:tc>
        <w:tc>
          <w:tcPr>
            <w:tcW w:w="537" w:type="pct"/>
            <w:tcBorders>
              <w:tl2br w:val="nil"/>
              <w:tr2bl w:val="nil"/>
            </w:tcBorders>
            <w:noWrap w:val="0"/>
            <w:vAlign w:val="center"/>
          </w:tcPr>
          <w:p w14:paraId="37C085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mg/L</w:t>
            </w:r>
          </w:p>
        </w:tc>
        <w:tc>
          <w:tcPr>
            <w:tcW w:w="901" w:type="pct"/>
            <w:vMerge w:val="continue"/>
            <w:tcBorders>
              <w:tl2br w:val="nil"/>
              <w:tr2bl w:val="nil"/>
            </w:tcBorders>
            <w:noWrap w:val="0"/>
            <w:vAlign w:val="center"/>
          </w:tcPr>
          <w:p w14:paraId="4B5FDAA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kern w:val="0"/>
                <w:sz w:val="21"/>
                <w:szCs w:val="21"/>
                <w:highlight w:val="none"/>
              </w:rPr>
            </w:pPr>
          </w:p>
        </w:tc>
        <w:tc>
          <w:tcPr>
            <w:tcW w:w="848" w:type="pct"/>
            <w:tcBorders>
              <w:tl2br w:val="nil"/>
              <w:tr2bl w:val="nil"/>
            </w:tcBorders>
            <w:noWrap w:val="0"/>
            <w:vAlign w:val="center"/>
          </w:tcPr>
          <w:p w14:paraId="245BE52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0.01L</w:t>
            </w:r>
          </w:p>
        </w:tc>
        <w:tc>
          <w:tcPr>
            <w:tcW w:w="848" w:type="pct"/>
            <w:tcBorders>
              <w:tl2br w:val="nil"/>
              <w:tr2bl w:val="nil"/>
            </w:tcBorders>
            <w:noWrap w:val="0"/>
            <w:vAlign w:val="center"/>
          </w:tcPr>
          <w:p w14:paraId="3F0465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0.1</w:t>
            </w:r>
          </w:p>
        </w:tc>
        <w:tc>
          <w:tcPr>
            <w:tcW w:w="848" w:type="pct"/>
            <w:tcBorders>
              <w:tl2br w:val="nil"/>
              <w:tr2bl w:val="nil"/>
            </w:tcBorders>
            <w:noWrap w:val="0"/>
            <w:vAlign w:val="center"/>
          </w:tcPr>
          <w:p w14:paraId="3F4349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0.05</w:t>
            </w:r>
          </w:p>
        </w:tc>
      </w:tr>
    </w:tbl>
    <w:p w14:paraId="7C91AA4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评价方法</w:t>
      </w:r>
    </w:p>
    <w:p w14:paraId="6D00E69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采用标准指数法。模式如下：</w:t>
      </w:r>
    </w:p>
    <w:p w14:paraId="6BA65047">
      <w:pPr>
        <w:keepNext w:val="0"/>
        <w:keepLines w:val="0"/>
        <w:widowControl/>
        <w:suppressLineNumbers w:val="0"/>
        <w:jc w:val="left"/>
        <w:rPr>
          <w:rFonts w:hint="default" w:ascii="Times New Roman" w:hAnsi="Times New Roman" w:cs="Times New Roman"/>
          <w:color w:val="auto"/>
        </w:rPr>
      </w:pPr>
      <w:r>
        <w:rPr>
          <w:rFonts w:hint="eastAsia" w:ascii="Times New Roman" w:hAnsi="Times New Roman" w:eastAsia="宋体" w:cs="Times New Roman"/>
          <w:color w:val="auto"/>
          <w:lang w:val="en-US" w:eastAsia="zh-CN"/>
        </w:rPr>
        <w:t xml:space="preserve">                      </w:t>
      </w:r>
      <w:r>
        <w:rPr>
          <w:rFonts w:hint="default" w:ascii="Times New Roman" w:hAnsi="Times New Roman" w:cs="Times New Roman"/>
          <w:color w:val="auto"/>
        </w:rPr>
        <w:drawing>
          <wp:inline distT="0" distB="0" distL="114300" distR="114300">
            <wp:extent cx="1190625" cy="361950"/>
            <wp:effectExtent l="0" t="0" r="9525" b="0"/>
            <wp:docPr id="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3"/>
                    <pic:cNvPicPr>
                      <a:picLocks noChangeAspect="1"/>
                    </pic:cNvPicPr>
                  </pic:nvPicPr>
                  <pic:blipFill>
                    <a:blip r:embed="rId67"/>
                    <a:stretch>
                      <a:fillRect/>
                    </a:stretch>
                  </pic:blipFill>
                  <pic:spPr>
                    <a:xfrm>
                      <a:off x="0" y="0"/>
                      <a:ext cx="1190625" cy="361950"/>
                    </a:xfrm>
                    <a:prstGeom prst="rect">
                      <a:avLst/>
                    </a:prstGeom>
                    <a:noFill/>
                    <a:ln>
                      <a:noFill/>
                    </a:ln>
                  </pic:spPr>
                </pic:pic>
              </a:graphicData>
            </a:graphic>
          </wp:inline>
        </w:drawing>
      </w:r>
    </w:p>
    <w:p w14:paraId="75F366BD">
      <w:pPr>
        <w:keepNext w:val="0"/>
        <w:keepLines w:val="0"/>
        <w:widowControl/>
        <w:suppressLineNumbers w:val="0"/>
        <w:ind w:firstLine="480" w:firstLineChars="200"/>
        <w:jc w:val="left"/>
        <w:rPr>
          <w:rFonts w:hint="default" w:ascii="Times New Roman" w:hAnsi="Times New Roman" w:cs="Times New Roman"/>
          <w:color w:val="auto"/>
        </w:rPr>
      </w:pPr>
      <w:r>
        <w:rPr>
          <w:rFonts w:hint="default" w:ascii="Times New Roman" w:hAnsi="Times New Roman" w:eastAsia="宋体" w:cs="Times New Roman"/>
          <w:snapToGrid w:val="0"/>
          <w:color w:val="auto"/>
          <w:kern w:val="0"/>
          <w:sz w:val="24"/>
          <w:szCs w:val="24"/>
          <w:lang w:val="en-US" w:eastAsia="zh-CN" w:bidi="ar"/>
        </w:rPr>
        <w:t>pH 的标准指数为：</w:t>
      </w:r>
    </w:p>
    <w:p w14:paraId="491AA963">
      <w:pPr>
        <w:bidi w:val="0"/>
        <w:rPr>
          <w:rFonts w:hint="default" w:ascii="Times New Roman" w:hAnsi="Times New Roman" w:cs="Times New Roman"/>
          <w:color w:val="auto"/>
          <w:lang w:eastAsia="zh-CN"/>
        </w:rPr>
      </w:pPr>
      <w:r>
        <w:rPr>
          <w:rFonts w:hint="eastAsia" w:ascii="Times New Roman" w:hAnsi="Times New Roman" w:eastAsia="宋体" w:cs="Times New Roman"/>
          <w:color w:val="auto"/>
          <w:lang w:val="en-US" w:eastAsia="zh-CN"/>
        </w:rPr>
        <w:t xml:space="preserve">                </w:t>
      </w:r>
      <w:r>
        <w:rPr>
          <w:rFonts w:hint="default" w:ascii="Times New Roman" w:hAnsi="Times New Roman" w:cs="Times New Roman"/>
          <w:color w:val="auto"/>
        </w:rPr>
        <w:drawing>
          <wp:inline distT="0" distB="0" distL="114300" distR="114300">
            <wp:extent cx="2257425" cy="1000125"/>
            <wp:effectExtent l="0" t="0" r="9525" b="9525"/>
            <wp:docPr id="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
                    <pic:cNvPicPr>
                      <a:picLocks noChangeAspect="1"/>
                    </pic:cNvPicPr>
                  </pic:nvPicPr>
                  <pic:blipFill>
                    <a:blip r:embed="rId68"/>
                    <a:stretch>
                      <a:fillRect/>
                    </a:stretch>
                  </pic:blipFill>
                  <pic:spPr>
                    <a:xfrm>
                      <a:off x="0" y="0"/>
                      <a:ext cx="2257425" cy="1000125"/>
                    </a:xfrm>
                    <a:prstGeom prst="rect">
                      <a:avLst/>
                    </a:prstGeom>
                    <a:noFill/>
                    <a:ln>
                      <a:noFill/>
                    </a:ln>
                  </pic:spPr>
                </pic:pic>
              </a:graphicData>
            </a:graphic>
          </wp:inline>
        </w:drawing>
      </w:r>
    </w:p>
    <w:p w14:paraId="09AA5F6F">
      <w:pPr>
        <w:keepNext w:val="0"/>
        <w:keepLines w:val="0"/>
        <w:pageBreakBefore w:val="0"/>
        <w:widowControl/>
        <w:kinsoku w:val="0"/>
        <w:wordWrap/>
        <w:overflowPunct/>
        <w:topLinePunct w:val="0"/>
        <w:autoSpaceDE w:val="0"/>
        <w:autoSpaceDN w:val="0"/>
        <w:bidi w:val="0"/>
        <w:adjustRightInd w:val="0"/>
        <w:snapToGrid w:val="0"/>
        <w:spacing w:line="360" w:lineRule="auto"/>
        <w:ind w:firstLine="468" w:firstLineChars="200"/>
        <w:textAlignment w:val="baseline"/>
        <w:rPr>
          <w:rFonts w:hint="default" w:ascii="Times New Roman" w:hAnsi="Times New Roman" w:eastAsia="宋体" w:cs="Times New Roman"/>
          <w:color w:val="auto"/>
          <w:spacing w:val="-3"/>
          <w:sz w:val="24"/>
          <w:szCs w:val="24"/>
        </w:rPr>
      </w:pPr>
      <w:r>
        <w:rPr>
          <w:rFonts w:hint="default" w:ascii="Times New Roman" w:hAnsi="Times New Roman" w:eastAsia="宋体" w:cs="Times New Roman"/>
          <w:color w:val="auto"/>
          <w:spacing w:val="-3"/>
          <w:sz w:val="24"/>
          <w:szCs w:val="24"/>
          <w:lang w:val="en-US" w:eastAsia="zh-CN"/>
        </w:rPr>
        <w:t xml:space="preserve">式中：Si，j--单项水质参数 i 在第 j 点的标准指数； </w:t>
      </w:r>
    </w:p>
    <w:p w14:paraId="05C45BCC">
      <w:pPr>
        <w:keepNext w:val="0"/>
        <w:keepLines w:val="0"/>
        <w:pageBreakBefore w:val="0"/>
        <w:widowControl/>
        <w:kinsoku w:val="0"/>
        <w:wordWrap/>
        <w:overflowPunct/>
        <w:topLinePunct w:val="0"/>
        <w:autoSpaceDE w:val="0"/>
        <w:autoSpaceDN w:val="0"/>
        <w:bidi w:val="0"/>
        <w:adjustRightInd w:val="0"/>
        <w:snapToGrid w:val="0"/>
        <w:spacing w:line="360" w:lineRule="auto"/>
        <w:ind w:firstLine="468" w:firstLineChars="200"/>
        <w:textAlignment w:val="baseline"/>
        <w:rPr>
          <w:rFonts w:hint="default" w:ascii="Times New Roman" w:hAnsi="Times New Roman" w:eastAsia="宋体" w:cs="Times New Roman"/>
          <w:color w:val="auto"/>
          <w:spacing w:val="-3"/>
          <w:sz w:val="24"/>
          <w:szCs w:val="24"/>
        </w:rPr>
      </w:pPr>
      <w:r>
        <w:rPr>
          <w:rFonts w:hint="default" w:ascii="Times New Roman" w:hAnsi="Times New Roman" w:eastAsia="宋体" w:cs="Times New Roman"/>
          <w:color w:val="auto"/>
          <w:spacing w:val="-3"/>
          <w:sz w:val="24"/>
          <w:szCs w:val="24"/>
          <w:lang w:val="en-US" w:eastAsia="zh-CN"/>
        </w:rPr>
        <w:t>c</w:t>
      </w:r>
      <w:r>
        <w:rPr>
          <w:rFonts w:hint="eastAsia" w:ascii="Times New Roman" w:hAnsi="Times New Roman" w:eastAsia="宋体" w:cs="Times New Roman"/>
          <w:color w:val="auto"/>
          <w:spacing w:val="-3"/>
          <w:sz w:val="24"/>
          <w:szCs w:val="24"/>
          <w:lang w:val="en-US" w:eastAsia="zh-CN"/>
        </w:rPr>
        <w:t xml:space="preserve"> </w:t>
      </w:r>
      <w:r>
        <w:rPr>
          <w:rFonts w:hint="default" w:ascii="Times New Roman" w:hAnsi="Times New Roman" w:eastAsia="宋体" w:cs="Times New Roman"/>
          <w:color w:val="auto"/>
          <w:spacing w:val="-3"/>
          <w:sz w:val="24"/>
          <w:szCs w:val="24"/>
          <w:lang w:val="en-US" w:eastAsia="zh-CN"/>
        </w:rPr>
        <w:t xml:space="preserve">i，j--单项水质参数 i 在第 j 点的实测浓度（mg/L）； </w:t>
      </w:r>
    </w:p>
    <w:p w14:paraId="5032E5B2">
      <w:pPr>
        <w:keepNext w:val="0"/>
        <w:keepLines w:val="0"/>
        <w:pageBreakBefore w:val="0"/>
        <w:widowControl/>
        <w:kinsoku w:val="0"/>
        <w:wordWrap/>
        <w:overflowPunct/>
        <w:topLinePunct w:val="0"/>
        <w:autoSpaceDE w:val="0"/>
        <w:autoSpaceDN w:val="0"/>
        <w:bidi w:val="0"/>
        <w:adjustRightInd w:val="0"/>
        <w:snapToGrid w:val="0"/>
        <w:spacing w:line="360" w:lineRule="auto"/>
        <w:ind w:firstLine="468" w:firstLineChars="200"/>
        <w:textAlignment w:val="baseline"/>
        <w:rPr>
          <w:rFonts w:hint="default" w:ascii="Times New Roman" w:hAnsi="Times New Roman" w:eastAsia="宋体" w:cs="Times New Roman"/>
          <w:color w:val="auto"/>
          <w:spacing w:val="-3"/>
          <w:sz w:val="24"/>
          <w:szCs w:val="24"/>
        </w:rPr>
      </w:pPr>
      <w:r>
        <w:rPr>
          <w:rFonts w:hint="default" w:ascii="Times New Roman" w:hAnsi="Times New Roman" w:eastAsia="宋体" w:cs="Times New Roman"/>
          <w:color w:val="auto"/>
          <w:spacing w:val="-3"/>
          <w:sz w:val="24"/>
          <w:szCs w:val="24"/>
          <w:lang w:val="en-US" w:eastAsia="zh-CN"/>
        </w:rPr>
        <w:t xml:space="preserve">csi--单项水质参数 i 在第 j 点的评价标准（mg/L）； </w:t>
      </w:r>
    </w:p>
    <w:p w14:paraId="44060D0D">
      <w:pPr>
        <w:keepNext w:val="0"/>
        <w:keepLines w:val="0"/>
        <w:pageBreakBefore w:val="0"/>
        <w:widowControl/>
        <w:kinsoku w:val="0"/>
        <w:wordWrap/>
        <w:overflowPunct/>
        <w:topLinePunct w:val="0"/>
        <w:autoSpaceDE w:val="0"/>
        <w:autoSpaceDN w:val="0"/>
        <w:bidi w:val="0"/>
        <w:adjustRightInd w:val="0"/>
        <w:snapToGrid w:val="0"/>
        <w:spacing w:line="360" w:lineRule="auto"/>
        <w:ind w:firstLine="468" w:firstLineChars="200"/>
        <w:textAlignment w:val="baseline"/>
        <w:rPr>
          <w:rFonts w:hint="default" w:ascii="Times New Roman" w:hAnsi="Times New Roman" w:eastAsia="宋体" w:cs="Times New Roman"/>
          <w:color w:val="auto"/>
          <w:spacing w:val="-3"/>
          <w:sz w:val="24"/>
          <w:szCs w:val="24"/>
        </w:rPr>
      </w:pPr>
      <w:r>
        <w:rPr>
          <w:rFonts w:hint="default" w:ascii="Times New Roman" w:hAnsi="Times New Roman" w:eastAsia="宋体" w:cs="Times New Roman"/>
          <w:color w:val="auto"/>
          <w:spacing w:val="-3"/>
          <w:sz w:val="24"/>
          <w:szCs w:val="24"/>
          <w:lang w:val="en-US" w:eastAsia="zh-CN"/>
        </w:rPr>
        <w:t xml:space="preserve">pHsd—pH 值标准规定的下限值； </w:t>
      </w:r>
    </w:p>
    <w:p w14:paraId="70EC876E">
      <w:pPr>
        <w:keepNext w:val="0"/>
        <w:keepLines w:val="0"/>
        <w:pageBreakBefore w:val="0"/>
        <w:widowControl/>
        <w:kinsoku w:val="0"/>
        <w:wordWrap/>
        <w:overflowPunct/>
        <w:topLinePunct w:val="0"/>
        <w:autoSpaceDE w:val="0"/>
        <w:autoSpaceDN w:val="0"/>
        <w:bidi w:val="0"/>
        <w:adjustRightInd w:val="0"/>
        <w:snapToGrid w:val="0"/>
        <w:spacing w:line="360" w:lineRule="auto"/>
        <w:ind w:firstLine="468" w:firstLineChars="200"/>
        <w:textAlignment w:val="baseline"/>
        <w:rPr>
          <w:rFonts w:hint="default" w:ascii="Times New Roman" w:hAnsi="Times New Roman" w:eastAsia="宋体" w:cs="Times New Roman"/>
          <w:color w:val="auto"/>
          <w:spacing w:val="-3"/>
          <w:sz w:val="24"/>
          <w:szCs w:val="24"/>
        </w:rPr>
      </w:pPr>
      <w:r>
        <w:rPr>
          <w:rFonts w:hint="default" w:ascii="Times New Roman" w:hAnsi="Times New Roman" w:eastAsia="宋体" w:cs="Times New Roman"/>
          <w:color w:val="auto"/>
          <w:spacing w:val="-3"/>
          <w:sz w:val="24"/>
          <w:szCs w:val="24"/>
          <w:lang w:val="en-US" w:eastAsia="zh-CN"/>
        </w:rPr>
        <w:t xml:space="preserve">pHsu-- pH 值标准规定的上限值。 </w:t>
      </w:r>
    </w:p>
    <w:p w14:paraId="2119DAFE">
      <w:pPr>
        <w:keepNext w:val="0"/>
        <w:keepLines w:val="0"/>
        <w:pageBreakBefore w:val="0"/>
        <w:widowControl/>
        <w:kinsoku w:val="0"/>
        <w:wordWrap/>
        <w:overflowPunct/>
        <w:topLinePunct w:val="0"/>
        <w:autoSpaceDE w:val="0"/>
        <w:autoSpaceDN w:val="0"/>
        <w:bidi w:val="0"/>
        <w:adjustRightInd w:val="0"/>
        <w:snapToGrid w:val="0"/>
        <w:spacing w:line="360" w:lineRule="auto"/>
        <w:ind w:firstLine="468" w:firstLineChars="200"/>
        <w:textAlignment w:val="baseline"/>
        <w:rPr>
          <w:rFonts w:hint="default" w:ascii="Times New Roman" w:hAnsi="Times New Roman" w:eastAsia="宋体" w:cs="Times New Roman"/>
          <w:color w:val="auto"/>
          <w:spacing w:val="-3"/>
          <w:sz w:val="24"/>
          <w:szCs w:val="24"/>
        </w:rPr>
      </w:pPr>
      <w:r>
        <w:rPr>
          <w:rFonts w:hint="default" w:ascii="Times New Roman" w:hAnsi="Times New Roman" w:eastAsia="宋体" w:cs="Times New Roman"/>
          <w:color w:val="auto"/>
          <w:spacing w:val="-3"/>
          <w:sz w:val="24"/>
          <w:szCs w:val="24"/>
          <w:lang w:val="en-US" w:eastAsia="zh-CN"/>
        </w:rPr>
        <w:t xml:space="preserve">水质参数的标准指数&gt;1，表明该水质参数超过了规定的水质标准，已经不能满足使用要求。 </w:t>
      </w:r>
    </w:p>
    <w:p w14:paraId="2B722755">
      <w:pPr>
        <w:keepNext w:val="0"/>
        <w:keepLines w:val="0"/>
        <w:pageBreakBefore w:val="0"/>
        <w:widowControl/>
        <w:kinsoku w:val="0"/>
        <w:wordWrap/>
        <w:overflowPunct/>
        <w:topLinePunct w:val="0"/>
        <w:autoSpaceDE w:val="0"/>
        <w:autoSpaceDN w:val="0"/>
        <w:bidi w:val="0"/>
        <w:adjustRightInd w:val="0"/>
        <w:snapToGrid w:val="0"/>
        <w:spacing w:line="360" w:lineRule="auto"/>
        <w:ind w:firstLine="468" w:firstLineChars="200"/>
        <w:textAlignment w:val="baseline"/>
        <w:rPr>
          <w:rFonts w:hint="default" w:ascii="Times New Roman" w:hAnsi="Times New Roman" w:eastAsia="宋体" w:cs="Times New Roman"/>
          <w:color w:val="auto"/>
          <w:spacing w:val="-3"/>
          <w:sz w:val="24"/>
          <w:szCs w:val="24"/>
        </w:rPr>
      </w:pPr>
      <w:r>
        <w:rPr>
          <w:rFonts w:hint="default" w:ascii="Times New Roman" w:hAnsi="Times New Roman" w:eastAsia="宋体" w:cs="Times New Roman"/>
          <w:color w:val="auto"/>
          <w:spacing w:val="-3"/>
          <w:sz w:val="24"/>
          <w:szCs w:val="24"/>
          <w:lang w:val="en-US" w:eastAsia="zh-CN"/>
        </w:rPr>
        <w:t>DO的标准指数为：</w:t>
      </w:r>
    </w:p>
    <w:p w14:paraId="4CD91D7B">
      <w:pPr>
        <w:keepNext w:val="0"/>
        <w:keepLines w:val="0"/>
        <w:widowControl/>
        <w:suppressLineNumbers w:val="0"/>
        <w:jc w:val="left"/>
        <w:rPr>
          <w:color w:val="auto"/>
        </w:rPr>
      </w:pPr>
      <w:r>
        <w:rPr>
          <w:rFonts w:hint="eastAsia" w:eastAsia="宋体"/>
          <w:color w:val="auto"/>
          <w:lang w:val="en-US" w:eastAsia="zh-CN"/>
        </w:rPr>
        <w:t xml:space="preserve">                       </w:t>
      </w:r>
      <w:r>
        <w:rPr>
          <w:color w:val="auto"/>
        </w:rPr>
        <w:drawing>
          <wp:inline distT="0" distB="0" distL="114300" distR="114300">
            <wp:extent cx="2390775" cy="1514475"/>
            <wp:effectExtent l="0" t="0" r="9525" b="9525"/>
            <wp:docPr id="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4"/>
                    <pic:cNvPicPr>
                      <a:picLocks noChangeAspect="1"/>
                    </pic:cNvPicPr>
                  </pic:nvPicPr>
                  <pic:blipFill>
                    <a:blip r:embed="rId69"/>
                    <a:stretch>
                      <a:fillRect/>
                    </a:stretch>
                  </pic:blipFill>
                  <pic:spPr>
                    <a:xfrm>
                      <a:off x="0" y="0"/>
                      <a:ext cx="2390775" cy="1514475"/>
                    </a:xfrm>
                    <a:prstGeom prst="rect">
                      <a:avLst/>
                    </a:prstGeom>
                    <a:noFill/>
                    <a:ln>
                      <a:noFill/>
                    </a:ln>
                  </pic:spPr>
                </pic:pic>
              </a:graphicData>
            </a:graphic>
          </wp:inline>
        </w:drawing>
      </w:r>
    </w:p>
    <w:p w14:paraId="502DEB07">
      <w:pPr>
        <w:spacing w:before="208" w:line="210" w:lineRule="auto"/>
        <w:ind w:firstLine="468" w:firstLineChars="200"/>
        <w:rPr>
          <w:rFonts w:hint="default" w:ascii="Times New Roman" w:hAnsi="Times New Roman" w:eastAsia="宋体" w:cs="Times New Roman"/>
          <w:color w:val="auto"/>
          <w:spacing w:val="-3"/>
          <w:sz w:val="24"/>
          <w:szCs w:val="24"/>
          <w:lang w:val="en-US" w:eastAsia="zh-CN"/>
        </w:rPr>
      </w:pPr>
      <w:r>
        <w:rPr>
          <w:rFonts w:hint="eastAsia" w:ascii="Times New Roman" w:hAnsi="Times New Roman" w:eastAsia="宋体" w:cs="Times New Roman"/>
          <w:color w:val="auto"/>
          <w:spacing w:val="-3"/>
          <w:sz w:val="24"/>
          <w:szCs w:val="24"/>
          <w:lang w:val="en-US" w:eastAsia="zh-CN"/>
        </w:rPr>
        <w:t>式中：</w:t>
      </w:r>
      <w:r>
        <w:rPr>
          <w:rFonts w:hint="default" w:ascii="Times New Roman" w:hAnsi="Times New Roman" w:eastAsia="宋体" w:cs="Times New Roman"/>
          <w:color w:val="auto"/>
          <w:spacing w:val="-3"/>
          <w:sz w:val="24"/>
          <w:szCs w:val="24"/>
          <w:lang w:val="en-US" w:eastAsia="zh-CN"/>
        </w:rPr>
        <w:t>SDO</w:t>
      </w:r>
      <w:r>
        <w:rPr>
          <w:rFonts w:hint="eastAsia" w:ascii="Times New Roman" w:hAnsi="Times New Roman" w:eastAsia="宋体" w:cs="Times New Roman"/>
          <w:color w:val="auto"/>
          <w:spacing w:val="-3"/>
          <w:sz w:val="24"/>
          <w:szCs w:val="24"/>
          <w:lang w:val="en-US" w:eastAsia="zh-CN"/>
        </w:rPr>
        <w:t>，</w:t>
      </w:r>
      <w:r>
        <w:rPr>
          <w:rFonts w:hint="default" w:ascii="Times New Roman" w:hAnsi="Times New Roman" w:eastAsia="宋体" w:cs="Times New Roman"/>
          <w:color w:val="auto"/>
          <w:spacing w:val="-3"/>
          <w:sz w:val="24"/>
          <w:szCs w:val="24"/>
          <w:lang w:val="en-US" w:eastAsia="zh-CN"/>
        </w:rPr>
        <w:t xml:space="preserve">j—DO </w:t>
      </w:r>
      <w:r>
        <w:rPr>
          <w:rFonts w:hint="eastAsia" w:ascii="Times New Roman" w:hAnsi="Times New Roman" w:eastAsia="宋体" w:cs="Times New Roman"/>
          <w:color w:val="auto"/>
          <w:spacing w:val="-3"/>
          <w:sz w:val="24"/>
          <w:szCs w:val="24"/>
          <w:lang w:val="en-US" w:eastAsia="zh-CN"/>
        </w:rPr>
        <w:t xml:space="preserve">的标准指数； </w:t>
      </w:r>
    </w:p>
    <w:p w14:paraId="1F62D9BA">
      <w:pPr>
        <w:spacing w:before="208" w:line="210" w:lineRule="auto"/>
        <w:ind w:firstLine="468" w:firstLineChars="200"/>
        <w:rPr>
          <w:rFonts w:hint="default" w:ascii="Times New Roman" w:hAnsi="Times New Roman" w:eastAsia="宋体" w:cs="Times New Roman"/>
          <w:color w:val="auto"/>
          <w:spacing w:val="-3"/>
          <w:sz w:val="24"/>
          <w:szCs w:val="24"/>
          <w:lang w:val="en-US" w:eastAsia="zh-CN"/>
        </w:rPr>
      </w:pPr>
      <w:r>
        <w:rPr>
          <w:rFonts w:hint="default" w:ascii="Times New Roman" w:hAnsi="Times New Roman" w:eastAsia="宋体" w:cs="Times New Roman"/>
          <w:color w:val="auto"/>
          <w:spacing w:val="-3"/>
          <w:sz w:val="24"/>
          <w:szCs w:val="24"/>
          <w:lang w:val="en-US" w:eastAsia="zh-CN"/>
        </w:rPr>
        <w:t>DOf —</w:t>
      </w:r>
      <w:r>
        <w:rPr>
          <w:rFonts w:hint="eastAsia" w:ascii="Times New Roman" w:hAnsi="Times New Roman" w:eastAsia="宋体" w:cs="Times New Roman"/>
          <w:color w:val="auto"/>
          <w:spacing w:val="-3"/>
          <w:sz w:val="24"/>
          <w:szCs w:val="24"/>
          <w:lang w:val="en-US" w:eastAsia="zh-CN"/>
        </w:rPr>
        <w:t>某水文、气压条件下的饱和溶解氧浓度，</w:t>
      </w:r>
      <w:r>
        <w:rPr>
          <w:rFonts w:hint="default" w:ascii="Times New Roman" w:hAnsi="Times New Roman" w:eastAsia="宋体" w:cs="Times New Roman"/>
          <w:color w:val="auto"/>
          <w:spacing w:val="-3"/>
          <w:sz w:val="24"/>
          <w:szCs w:val="24"/>
          <w:lang w:val="en-US" w:eastAsia="zh-CN"/>
        </w:rPr>
        <w:t>mg/L</w:t>
      </w:r>
      <w:r>
        <w:rPr>
          <w:rFonts w:hint="eastAsia" w:ascii="Times New Roman" w:hAnsi="Times New Roman" w:eastAsia="宋体" w:cs="Times New Roman"/>
          <w:color w:val="auto"/>
          <w:spacing w:val="-3"/>
          <w:sz w:val="24"/>
          <w:szCs w:val="24"/>
          <w:lang w:val="en-US" w:eastAsia="zh-CN"/>
        </w:rPr>
        <w:t xml:space="preserve">； </w:t>
      </w:r>
    </w:p>
    <w:p w14:paraId="29331F72">
      <w:pPr>
        <w:spacing w:before="208" w:line="210" w:lineRule="auto"/>
        <w:ind w:firstLine="468" w:firstLineChars="200"/>
        <w:rPr>
          <w:rFonts w:hint="default" w:ascii="Times New Roman" w:hAnsi="Times New Roman" w:eastAsia="宋体" w:cs="Times New Roman"/>
          <w:color w:val="auto"/>
          <w:spacing w:val="-3"/>
          <w:sz w:val="24"/>
          <w:szCs w:val="24"/>
          <w:lang w:val="en-US" w:eastAsia="zh-CN"/>
        </w:rPr>
      </w:pPr>
      <w:r>
        <w:rPr>
          <w:rFonts w:hint="default" w:ascii="Times New Roman" w:hAnsi="Times New Roman" w:eastAsia="宋体" w:cs="Times New Roman"/>
          <w:color w:val="auto"/>
          <w:spacing w:val="-3"/>
          <w:sz w:val="24"/>
          <w:szCs w:val="24"/>
          <w:lang w:val="en-US" w:eastAsia="zh-CN"/>
        </w:rPr>
        <w:t>DOj—</w:t>
      </w:r>
      <w:r>
        <w:rPr>
          <w:rFonts w:hint="eastAsia" w:ascii="Times New Roman" w:hAnsi="Times New Roman" w:eastAsia="宋体" w:cs="Times New Roman"/>
          <w:color w:val="auto"/>
          <w:spacing w:val="-3"/>
          <w:sz w:val="24"/>
          <w:szCs w:val="24"/>
          <w:lang w:val="en-US" w:eastAsia="zh-CN"/>
        </w:rPr>
        <w:t xml:space="preserve">在 </w:t>
      </w:r>
      <w:r>
        <w:rPr>
          <w:rFonts w:hint="default" w:ascii="Times New Roman" w:hAnsi="Times New Roman" w:eastAsia="宋体" w:cs="Times New Roman"/>
          <w:color w:val="auto"/>
          <w:spacing w:val="-3"/>
          <w:sz w:val="24"/>
          <w:szCs w:val="24"/>
          <w:lang w:val="en-US" w:eastAsia="zh-CN"/>
        </w:rPr>
        <w:t xml:space="preserve">j </w:t>
      </w:r>
      <w:r>
        <w:rPr>
          <w:rFonts w:hint="eastAsia" w:ascii="Times New Roman" w:hAnsi="Times New Roman" w:eastAsia="宋体" w:cs="Times New Roman"/>
          <w:color w:val="auto"/>
          <w:spacing w:val="-3"/>
          <w:sz w:val="24"/>
          <w:szCs w:val="24"/>
          <w:lang w:val="en-US" w:eastAsia="zh-CN"/>
        </w:rPr>
        <w:t>点的溶解氧实测统计代表值，</w:t>
      </w:r>
      <w:r>
        <w:rPr>
          <w:rFonts w:hint="default" w:ascii="Times New Roman" w:hAnsi="Times New Roman" w:eastAsia="宋体" w:cs="Times New Roman"/>
          <w:color w:val="auto"/>
          <w:spacing w:val="-3"/>
          <w:sz w:val="24"/>
          <w:szCs w:val="24"/>
          <w:lang w:val="en-US" w:eastAsia="zh-CN"/>
        </w:rPr>
        <w:t>mg/L</w:t>
      </w:r>
      <w:r>
        <w:rPr>
          <w:rFonts w:hint="eastAsia" w:ascii="Times New Roman" w:hAnsi="Times New Roman" w:eastAsia="宋体" w:cs="Times New Roman"/>
          <w:color w:val="auto"/>
          <w:spacing w:val="-3"/>
          <w:sz w:val="24"/>
          <w:szCs w:val="24"/>
          <w:lang w:val="en-US" w:eastAsia="zh-CN"/>
        </w:rPr>
        <w:t xml:space="preserve">； </w:t>
      </w:r>
    </w:p>
    <w:p w14:paraId="44D92BDF">
      <w:pPr>
        <w:spacing w:before="208" w:line="210" w:lineRule="auto"/>
        <w:ind w:firstLine="468" w:firstLineChars="200"/>
        <w:rPr>
          <w:rFonts w:hint="default" w:ascii="Times New Roman" w:hAnsi="Times New Roman" w:eastAsia="宋体" w:cs="Times New Roman"/>
          <w:color w:val="auto"/>
          <w:spacing w:val="-3"/>
          <w:sz w:val="24"/>
          <w:szCs w:val="24"/>
          <w:lang w:val="en-US" w:eastAsia="zh-CN"/>
        </w:rPr>
      </w:pPr>
      <w:r>
        <w:rPr>
          <w:rFonts w:hint="default" w:ascii="Times New Roman" w:hAnsi="Times New Roman" w:eastAsia="宋体" w:cs="Times New Roman"/>
          <w:color w:val="auto"/>
          <w:spacing w:val="-3"/>
          <w:sz w:val="24"/>
          <w:szCs w:val="24"/>
          <w:lang w:val="en-US" w:eastAsia="zh-CN"/>
        </w:rPr>
        <w:t>DO—</w:t>
      </w:r>
      <w:r>
        <w:rPr>
          <w:rFonts w:hint="eastAsia" w:ascii="Times New Roman" w:hAnsi="Times New Roman" w:eastAsia="宋体" w:cs="Times New Roman"/>
          <w:color w:val="auto"/>
          <w:spacing w:val="-3"/>
          <w:sz w:val="24"/>
          <w:szCs w:val="24"/>
          <w:lang w:val="en-US" w:eastAsia="zh-CN"/>
        </w:rPr>
        <w:t>溶解氧的评价标准限值，</w:t>
      </w:r>
      <w:r>
        <w:rPr>
          <w:rFonts w:hint="default" w:ascii="Times New Roman" w:hAnsi="Times New Roman" w:eastAsia="宋体" w:cs="Times New Roman"/>
          <w:color w:val="auto"/>
          <w:spacing w:val="-3"/>
          <w:sz w:val="24"/>
          <w:szCs w:val="24"/>
          <w:lang w:val="en-US" w:eastAsia="zh-CN"/>
        </w:rPr>
        <w:t>mg/L</w:t>
      </w:r>
      <w:r>
        <w:rPr>
          <w:rFonts w:hint="eastAsia" w:ascii="Times New Roman" w:hAnsi="Times New Roman" w:eastAsia="宋体" w:cs="Times New Roman"/>
          <w:color w:val="auto"/>
          <w:spacing w:val="-3"/>
          <w:sz w:val="24"/>
          <w:szCs w:val="24"/>
          <w:lang w:val="en-US" w:eastAsia="zh-CN"/>
        </w:rPr>
        <w:t xml:space="preserve">。 </w:t>
      </w:r>
    </w:p>
    <w:p w14:paraId="5B8A0765">
      <w:pPr>
        <w:spacing w:before="208" w:line="210" w:lineRule="auto"/>
        <w:ind w:firstLine="468" w:firstLineChars="200"/>
        <w:rPr>
          <w:rFonts w:hint="default" w:ascii="Times New Roman" w:hAnsi="Times New Roman" w:eastAsia="宋体" w:cs="Times New Roman"/>
          <w:color w:val="auto"/>
          <w:spacing w:val="-3"/>
          <w:sz w:val="24"/>
          <w:szCs w:val="24"/>
          <w:lang w:val="en-US" w:eastAsia="zh-CN"/>
        </w:rPr>
      </w:pPr>
      <w:r>
        <w:rPr>
          <w:rFonts w:hint="eastAsia" w:ascii="Times New Roman" w:hAnsi="Times New Roman" w:eastAsia="宋体" w:cs="Times New Roman"/>
          <w:color w:val="auto"/>
          <w:spacing w:val="-3"/>
          <w:sz w:val="24"/>
          <w:szCs w:val="24"/>
          <w:lang w:val="en-US" w:eastAsia="zh-CN"/>
        </w:rPr>
        <w:t>水质参数的标准指数</w:t>
      </w:r>
      <w:r>
        <w:rPr>
          <w:rFonts w:hint="default" w:ascii="Times New Roman" w:hAnsi="Times New Roman" w:eastAsia="宋体" w:cs="Times New Roman"/>
          <w:color w:val="auto"/>
          <w:spacing w:val="-3"/>
          <w:sz w:val="24"/>
          <w:szCs w:val="24"/>
          <w:lang w:val="en-US" w:eastAsia="zh-CN"/>
        </w:rPr>
        <w:t>&gt;1</w:t>
      </w:r>
      <w:r>
        <w:rPr>
          <w:rFonts w:hint="eastAsia" w:ascii="Times New Roman" w:hAnsi="Times New Roman" w:eastAsia="宋体" w:cs="Times New Roman"/>
          <w:color w:val="auto"/>
          <w:spacing w:val="-3"/>
          <w:sz w:val="24"/>
          <w:szCs w:val="24"/>
          <w:lang w:val="en-US" w:eastAsia="zh-CN"/>
        </w:rPr>
        <w:t>，表明该水质参数超过了规定的水质标准，已经不能满足使用要求。</w:t>
      </w:r>
    </w:p>
    <w:p w14:paraId="6BCA227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4、评价结果及分析</w:t>
      </w:r>
    </w:p>
    <w:p w14:paraId="6F42843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地表水环境现状评价结果见表3-7。</w:t>
      </w:r>
    </w:p>
    <w:p w14:paraId="70EF625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lang w:val="en-US" w:eastAsia="zh-CN"/>
        </w:rPr>
        <w:t>表</w:t>
      </w:r>
      <w:r>
        <w:rPr>
          <w:rFonts w:hint="eastAsia" w:ascii="Times New Roman" w:hAnsi="Times New Roman" w:eastAsia="宋体" w:cs="Times New Roman"/>
          <w:b/>
          <w:bCs/>
          <w:color w:val="auto"/>
          <w:sz w:val="24"/>
          <w:szCs w:val="24"/>
          <w:lang w:val="en-US" w:eastAsia="zh-CN"/>
        </w:rPr>
        <w:t>3</w:t>
      </w:r>
      <w:r>
        <w:rPr>
          <w:rFonts w:hint="default" w:ascii="Times New Roman" w:hAnsi="Times New Roman" w:eastAsia="宋体" w:cs="Times New Roman"/>
          <w:b/>
          <w:bCs/>
          <w:color w:val="auto"/>
          <w:sz w:val="24"/>
          <w:szCs w:val="24"/>
          <w:lang w:val="en-US" w:eastAsia="zh-CN"/>
        </w:rPr>
        <w:t>-</w:t>
      </w:r>
      <w:r>
        <w:rPr>
          <w:rFonts w:hint="eastAsia" w:ascii="Times New Roman" w:hAnsi="Times New Roman" w:eastAsia="宋体" w:cs="Times New Roman"/>
          <w:b/>
          <w:bCs/>
          <w:color w:val="auto"/>
          <w:sz w:val="24"/>
          <w:szCs w:val="24"/>
          <w:lang w:val="en-US" w:eastAsia="zh-CN"/>
        </w:rPr>
        <w:t>7</w:t>
      </w:r>
      <w:r>
        <w:rPr>
          <w:rFonts w:hint="default" w:ascii="Times New Roman" w:hAnsi="Times New Roman" w:eastAsia="宋体" w:cs="Times New Roman"/>
          <w:b/>
          <w:bCs/>
          <w:color w:val="auto"/>
          <w:sz w:val="24"/>
          <w:szCs w:val="24"/>
          <w:lang w:val="en-US" w:eastAsia="zh-CN"/>
        </w:rPr>
        <w:t>地表水环境现状评价结果（标准指数）</w:t>
      </w:r>
    </w:p>
    <w:tbl>
      <w:tblPr>
        <w:tblStyle w:val="3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7"/>
        <w:gridCol w:w="1062"/>
        <w:gridCol w:w="1775"/>
        <w:gridCol w:w="1625"/>
        <w:gridCol w:w="1150"/>
        <w:gridCol w:w="1288"/>
        <w:gridCol w:w="1304"/>
      </w:tblGrid>
      <w:tr w14:paraId="76D9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restart"/>
            <w:tcBorders>
              <w:top w:val="single" w:color="auto" w:sz="12" w:space="0"/>
              <w:left w:val="nil"/>
            </w:tcBorders>
            <w:vAlign w:val="center"/>
          </w:tcPr>
          <w:p w14:paraId="5385730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检测项目</w:t>
            </w:r>
          </w:p>
        </w:tc>
        <w:tc>
          <w:tcPr>
            <w:tcW w:w="8204" w:type="dxa"/>
            <w:gridSpan w:val="6"/>
            <w:tcBorders>
              <w:top w:val="single" w:color="auto" w:sz="12" w:space="0"/>
              <w:right w:val="nil"/>
            </w:tcBorders>
            <w:vAlign w:val="center"/>
          </w:tcPr>
          <w:p w14:paraId="0AF1E56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2025年8月27日</w:t>
            </w:r>
          </w:p>
        </w:tc>
      </w:tr>
      <w:tr w14:paraId="52729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7" w:type="dxa"/>
            <w:vMerge w:val="continue"/>
            <w:tcBorders>
              <w:left w:val="nil"/>
            </w:tcBorders>
            <w:vAlign w:val="center"/>
          </w:tcPr>
          <w:p w14:paraId="4A9474E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p>
        </w:tc>
        <w:tc>
          <w:tcPr>
            <w:tcW w:w="1062" w:type="dxa"/>
            <w:vAlign w:val="center"/>
          </w:tcPr>
          <w:p w14:paraId="7869A5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eastAsia="zh-CN"/>
              </w:rPr>
            </w:pPr>
            <w:r>
              <w:rPr>
                <w:rFonts w:hint="default" w:ascii="Times New Roman" w:hAnsi="Times New Roman" w:eastAsia="宋体" w:cs="Times New Roman"/>
                <w:b w:val="0"/>
                <w:bCs w:val="0"/>
                <w:color w:val="auto"/>
                <w:spacing w:val="0"/>
                <w:sz w:val="21"/>
                <w:szCs w:val="21"/>
                <w:highlight w:val="none"/>
                <w:lang w:val="en-US" w:eastAsia="zh-CN"/>
              </w:rPr>
              <w:t>排污口入红光沟处</w:t>
            </w:r>
          </w:p>
        </w:tc>
        <w:tc>
          <w:tcPr>
            <w:tcW w:w="1775" w:type="dxa"/>
            <w:vAlign w:val="center"/>
          </w:tcPr>
          <w:p w14:paraId="728B2C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eastAsia="zh-CN"/>
              </w:rPr>
            </w:pPr>
            <w:r>
              <w:rPr>
                <w:rFonts w:hint="default" w:ascii="Times New Roman" w:hAnsi="Times New Roman" w:eastAsia="宋体" w:cs="Times New Roman"/>
                <w:b w:val="0"/>
                <w:bCs w:val="0"/>
                <w:color w:val="auto"/>
                <w:spacing w:val="0"/>
                <w:sz w:val="21"/>
                <w:szCs w:val="21"/>
                <w:highlight w:val="none"/>
                <w:lang w:val="en-US" w:eastAsia="zh-CN"/>
              </w:rPr>
              <w:t>入河排污口入红光沟上游5</w:t>
            </w:r>
            <w:r>
              <w:rPr>
                <w:rFonts w:hint="eastAsia" w:ascii="Times New Roman" w:hAnsi="Times New Roman" w:eastAsia="宋体" w:cs="Times New Roman"/>
                <w:b w:val="0"/>
                <w:bCs w:val="0"/>
                <w:color w:val="auto"/>
                <w:spacing w:val="0"/>
                <w:sz w:val="21"/>
                <w:szCs w:val="21"/>
                <w:highlight w:val="none"/>
                <w:lang w:val="en-US" w:eastAsia="zh-CN"/>
              </w:rPr>
              <w:t>0</w:t>
            </w:r>
            <w:r>
              <w:rPr>
                <w:rFonts w:hint="default" w:ascii="Times New Roman" w:hAnsi="Times New Roman" w:eastAsia="宋体" w:cs="Times New Roman"/>
                <w:b w:val="0"/>
                <w:bCs w:val="0"/>
                <w:color w:val="auto"/>
                <w:spacing w:val="0"/>
                <w:sz w:val="21"/>
                <w:szCs w:val="21"/>
                <w:highlight w:val="none"/>
                <w:lang w:val="en-US" w:eastAsia="zh-CN"/>
              </w:rPr>
              <w:t>0m</w:t>
            </w:r>
          </w:p>
        </w:tc>
        <w:tc>
          <w:tcPr>
            <w:tcW w:w="1625" w:type="dxa"/>
            <w:vAlign w:val="center"/>
          </w:tcPr>
          <w:p w14:paraId="585367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eastAsia="zh-CN"/>
              </w:rPr>
            </w:pPr>
            <w:r>
              <w:rPr>
                <w:rFonts w:hint="default" w:ascii="Times New Roman" w:hAnsi="Times New Roman" w:eastAsia="宋体" w:cs="Times New Roman"/>
                <w:b w:val="0"/>
                <w:bCs w:val="0"/>
                <w:color w:val="auto"/>
                <w:spacing w:val="0"/>
                <w:sz w:val="21"/>
                <w:szCs w:val="21"/>
                <w:highlight w:val="none"/>
                <w:lang w:val="en-US" w:eastAsia="zh-CN"/>
              </w:rPr>
              <w:t>入河排污口入红光沟下游1000m</w:t>
            </w:r>
          </w:p>
        </w:tc>
        <w:tc>
          <w:tcPr>
            <w:tcW w:w="1150" w:type="dxa"/>
            <w:vAlign w:val="center"/>
          </w:tcPr>
          <w:p w14:paraId="07D78B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highlight w:val="none"/>
                <w:lang w:val="en-US" w:eastAsia="zh-CN"/>
              </w:rPr>
              <w:t>入穆棱河排污口处</w:t>
            </w:r>
          </w:p>
        </w:tc>
        <w:tc>
          <w:tcPr>
            <w:tcW w:w="1288" w:type="dxa"/>
            <w:vAlign w:val="center"/>
          </w:tcPr>
          <w:p w14:paraId="624051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highlight w:val="none"/>
                <w:lang w:val="en-US" w:eastAsia="zh-CN"/>
              </w:rPr>
              <w:t>入穆棱河</w:t>
            </w:r>
            <w:r>
              <w:rPr>
                <w:rFonts w:hint="default" w:ascii="Times New Roman" w:hAnsi="Times New Roman" w:eastAsia="宋体" w:cs="Times New Roman"/>
                <w:b w:val="0"/>
                <w:bCs w:val="0"/>
                <w:color w:val="auto"/>
                <w:spacing w:val="0"/>
                <w:sz w:val="21"/>
                <w:szCs w:val="21"/>
                <w:highlight w:val="none"/>
              </w:rPr>
              <w:t xml:space="preserve">上游500 </w:t>
            </w:r>
            <w:r>
              <w:rPr>
                <w:rFonts w:hint="default" w:ascii="Times New Roman" w:hAnsi="Times New Roman" w:eastAsia="宋体" w:cs="Times New Roman"/>
                <w:b w:val="0"/>
                <w:bCs w:val="0"/>
                <w:color w:val="auto"/>
                <w:spacing w:val="0"/>
                <w:sz w:val="21"/>
                <w:szCs w:val="21"/>
                <w:highlight w:val="none"/>
                <w:lang w:val="en-US" w:eastAsia="zh-CN"/>
              </w:rPr>
              <w:t>m</w:t>
            </w:r>
          </w:p>
        </w:tc>
        <w:tc>
          <w:tcPr>
            <w:tcW w:w="1304" w:type="dxa"/>
            <w:tcBorders>
              <w:right w:val="nil"/>
            </w:tcBorders>
            <w:vAlign w:val="center"/>
          </w:tcPr>
          <w:p w14:paraId="5BC3D7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highlight w:val="none"/>
                <w:lang w:val="en-US" w:eastAsia="zh-CN"/>
              </w:rPr>
              <w:t>入穆棱河</w:t>
            </w:r>
            <w:r>
              <w:rPr>
                <w:rFonts w:hint="default" w:ascii="Times New Roman" w:hAnsi="Times New Roman" w:eastAsia="宋体" w:cs="Times New Roman"/>
                <w:b w:val="0"/>
                <w:bCs w:val="0"/>
                <w:color w:val="auto"/>
                <w:spacing w:val="0"/>
                <w:sz w:val="21"/>
                <w:szCs w:val="21"/>
                <w:highlight w:val="none"/>
              </w:rPr>
              <w:t>下游</w:t>
            </w:r>
            <w:r>
              <w:rPr>
                <w:rFonts w:hint="default" w:ascii="Times New Roman" w:hAnsi="Times New Roman" w:eastAsia="宋体" w:cs="Times New Roman"/>
                <w:b w:val="0"/>
                <w:bCs w:val="0"/>
                <w:color w:val="auto"/>
                <w:spacing w:val="0"/>
                <w:sz w:val="21"/>
                <w:szCs w:val="21"/>
                <w:highlight w:val="none"/>
                <w:lang w:val="en-US" w:eastAsia="zh-CN"/>
              </w:rPr>
              <w:t>2</w:t>
            </w:r>
            <w:r>
              <w:rPr>
                <w:rFonts w:hint="default" w:ascii="Times New Roman" w:hAnsi="Times New Roman" w:eastAsia="宋体" w:cs="Times New Roman"/>
                <w:b w:val="0"/>
                <w:bCs w:val="0"/>
                <w:color w:val="auto"/>
                <w:spacing w:val="0"/>
                <w:sz w:val="21"/>
                <w:szCs w:val="21"/>
                <w:highlight w:val="none"/>
              </w:rPr>
              <w:t>000</w:t>
            </w:r>
            <w:r>
              <w:rPr>
                <w:rFonts w:hint="default" w:ascii="Times New Roman" w:hAnsi="Times New Roman" w:eastAsia="宋体" w:cs="Times New Roman"/>
                <w:b w:val="0"/>
                <w:bCs w:val="0"/>
                <w:color w:val="auto"/>
                <w:spacing w:val="0"/>
                <w:sz w:val="21"/>
                <w:szCs w:val="21"/>
                <w:highlight w:val="none"/>
                <w:lang w:val="en-US" w:eastAsia="zh-CN"/>
              </w:rPr>
              <w:t>m</w:t>
            </w:r>
          </w:p>
        </w:tc>
      </w:tr>
      <w:tr w14:paraId="572A5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tcBorders>
              <w:left w:val="nil"/>
            </w:tcBorders>
            <w:vAlign w:val="center"/>
          </w:tcPr>
          <w:p w14:paraId="0E489A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2"/>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pH</w:t>
            </w:r>
          </w:p>
        </w:tc>
        <w:tc>
          <w:tcPr>
            <w:tcW w:w="1062" w:type="dxa"/>
            <w:vAlign w:val="center"/>
          </w:tcPr>
          <w:p w14:paraId="09D183F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0.1</w:t>
            </w:r>
          </w:p>
        </w:tc>
        <w:tc>
          <w:tcPr>
            <w:tcW w:w="1775" w:type="dxa"/>
            <w:vAlign w:val="center"/>
          </w:tcPr>
          <w:p w14:paraId="5E92C99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0.1</w:t>
            </w:r>
          </w:p>
        </w:tc>
        <w:tc>
          <w:tcPr>
            <w:tcW w:w="1625" w:type="dxa"/>
            <w:vAlign w:val="center"/>
          </w:tcPr>
          <w:p w14:paraId="79A155E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0.05</w:t>
            </w:r>
          </w:p>
        </w:tc>
        <w:tc>
          <w:tcPr>
            <w:tcW w:w="1150" w:type="dxa"/>
            <w:vAlign w:val="center"/>
          </w:tcPr>
          <w:p w14:paraId="4A80162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0.15</w:t>
            </w:r>
          </w:p>
        </w:tc>
        <w:tc>
          <w:tcPr>
            <w:tcW w:w="1288" w:type="dxa"/>
            <w:vAlign w:val="center"/>
          </w:tcPr>
          <w:p w14:paraId="1242AD0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0.2</w:t>
            </w:r>
          </w:p>
        </w:tc>
        <w:tc>
          <w:tcPr>
            <w:tcW w:w="1304" w:type="dxa"/>
            <w:tcBorders>
              <w:right w:val="nil"/>
            </w:tcBorders>
            <w:vAlign w:val="center"/>
          </w:tcPr>
          <w:p w14:paraId="62F9F89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0.2</w:t>
            </w:r>
          </w:p>
        </w:tc>
      </w:tr>
      <w:tr w14:paraId="41D92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tcBorders>
              <w:left w:val="nil"/>
            </w:tcBorders>
            <w:vAlign w:val="center"/>
          </w:tcPr>
          <w:p w14:paraId="592483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2"/>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COD</w:t>
            </w:r>
          </w:p>
        </w:tc>
        <w:tc>
          <w:tcPr>
            <w:tcW w:w="1062" w:type="dxa"/>
            <w:vAlign w:val="center"/>
          </w:tcPr>
          <w:p w14:paraId="212E925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0.8</w:t>
            </w:r>
          </w:p>
        </w:tc>
        <w:tc>
          <w:tcPr>
            <w:tcW w:w="1775" w:type="dxa"/>
            <w:vAlign w:val="center"/>
          </w:tcPr>
          <w:p w14:paraId="779DEBE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0.75</w:t>
            </w:r>
          </w:p>
        </w:tc>
        <w:tc>
          <w:tcPr>
            <w:tcW w:w="1625" w:type="dxa"/>
            <w:vAlign w:val="center"/>
          </w:tcPr>
          <w:p w14:paraId="0A91823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0.7</w:t>
            </w:r>
          </w:p>
        </w:tc>
        <w:tc>
          <w:tcPr>
            <w:tcW w:w="1150" w:type="dxa"/>
            <w:vAlign w:val="center"/>
          </w:tcPr>
          <w:p w14:paraId="6A2CEF7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0.85</w:t>
            </w:r>
          </w:p>
        </w:tc>
        <w:tc>
          <w:tcPr>
            <w:tcW w:w="1288" w:type="dxa"/>
            <w:vAlign w:val="center"/>
          </w:tcPr>
          <w:p w14:paraId="62FAA37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0.65</w:t>
            </w:r>
          </w:p>
        </w:tc>
        <w:tc>
          <w:tcPr>
            <w:tcW w:w="1304" w:type="dxa"/>
            <w:tcBorders>
              <w:right w:val="nil"/>
            </w:tcBorders>
            <w:vAlign w:val="center"/>
          </w:tcPr>
          <w:p w14:paraId="5FA9C7B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0.8</w:t>
            </w:r>
          </w:p>
        </w:tc>
      </w:tr>
      <w:tr w14:paraId="4E47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tcBorders>
              <w:left w:val="nil"/>
            </w:tcBorders>
            <w:vAlign w:val="center"/>
          </w:tcPr>
          <w:p w14:paraId="1C7E6F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2"/>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BOD</w:t>
            </w:r>
            <w:r>
              <w:rPr>
                <w:rFonts w:hint="default" w:ascii="Times New Roman" w:hAnsi="Times New Roman" w:eastAsia="宋体" w:cs="Times New Roman"/>
                <w:b w:val="0"/>
                <w:bCs w:val="0"/>
                <w:color w:val="auto"/>
                <w:spacing w:val="0"/>
                <w:sz w:val="21"/>
                <w:szCs w:val="21"/>
                <w:vertAlign w:val="subscript"/>
                <w:lang w:val="en-US" w:eastAsia="zh-CN"/>
              </w:rPr>
              <w:t>5</w:t>
            </w:r>
          </w:p>
        </w:tc>
        <w:tc>
          <w:tcPr>
            <w:tcW w:w="1062" w:type="dxa"/>
            <w:vAlign w:val="center"/>
          </w:tcPr>
          <w:p w14:paraId="04A9796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0.8</w:t>
            </w:r>
          </w:p>
        </w:tc>
        <w:tc>
          <w:tcPr>
            <w:tcW w:w="1775" w:type="dxa"/>
            <w:vAlign w:val="center"/>
          </w:tcPr>
          <w:p w14:paraId="58B057F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0.78</w:t>
            </w:r>
          </w:p>
        </w:tc>
        <w:tc>
          <w:tcPr>
            <w:tcW w:w="1625" w:type="dxa"/>
            <w:vAlign w:val="center"/>
          </w:tcPr>
          <w:p w14:paraId="1C9F40C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0.75</w:t>
            </w:r>
          </w:p>
        </w:tc>
        <w:tc>
          <w:tcPr>
            <w:tcW w:w="1150" w:type="dxa"/>
            <w:vAlign w:val="center"/>
          </w:tcPr>
          <w:p w14:paraId="7DD575C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0.85</w:t>
            </w:r>
          </w:p>
        </w:tc>
        <w:tc>
          <w:tcPr>
            <w:tcW w:w="1288" w:type="dxa"/>
            <w:vAlign w:val="center"/>
          </w:tcPr>
          <w:p w14:paraId="6E374A2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0.78</w:t>
            </w:r>
          </w:p>
        </w:tc>
        <w:tc>
          <w:tcPr>
            <w:tcW w:w="1304" w:type="dxa"/>
            <w:tcBorders>
              <w:right w:val="nil"/>
            </w:tcBorders>
            <w:vAlign w:val="center"/>
          </w:tcPr>
          <w:p w14:paraId="71A10CC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0.83</w:t>
            </w:r>
          </w:p>
        </w:tc>
      </w:tr>
      <w:tr w14:paraId="6B14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tcBorders>
              <w:left w:val="nil"/>
            </w:tcBorders>
            <w:vAlign w:val="center"/>
          </w:tcPr>
          <w:p w14:paraId="0303AF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2"/>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NH</w:t>
            </w:r>
            <w:r>
              <w:rPr>
                <w:rFonts w:hint="default" w:ascii="Times New Roman" w:hAnsi="Times New Roman" w:eastAsia="宋体" w:cs="Times New Roman"/>
                <w:b w:val="0"/>
                <w:bCs w:val="0"/>
                <w:color w:val="auto"/>
                <w:spacing w:val="0"/>
                <w:sz w:val="21"/>
                <w:szCs w:val="21"/>
                <w:vertAlign w:val="subscript"/>
                <w:lang w:val="en-US" w:eastAsia="zh-CN"/>
              </w:rPr>
              <w:t>3</w:t>
            </w:r>
            <w:r>
              <w:rPr>
                <w:rFonts w:hint="default" w:ascii="Times New Roman" w:hAnsi="Times New Roman" w:eastAsia="宋体" w:cs="Times New Roman"/>
                <w:b w:val="0"/>
                <w:bCs w:val="0"/>
                <w:color w:val="auto"/>
                <w:spacing w:val="0"/>
                <w:sz w:val="21"/>
                <w:szCs w:val="21"/>
                <w:vertAlign w:val="baseline"/>
                <w:lang w:val="en-US" w:eastAsia="zh-CN"/>
              </w:rPr>
              <w:t>-N</w:t>
            </w:r>
          </w:p>
        </w:tc>
        <w:tc>
          <w:tcPr>
            <w:tcW w:w="1062" w:type="dxa"/>
            <w:vAlign w:val="center"/>
          </w:tcPr>
          <w:p w14:paraId="7563110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cs="Times New Roman"/>
                <w:b w:val="0"/>
                <w:bCs w:val="0"/>
                <w:color w:val="auto"/>
                <w:spacing w:val="0"/>
                <w:sz w:val="21"/>
                <w:szCs w:val="21"/>
              </w:rPr>
              <w:t>0.56</w:t>
            </w:r>
          </w:p>
        </w:tc>
        <w:tc>
          <w:tcPr>
            <w:tcW w:w="1775" w:type="dxa"/>
            <w:vAlign w:val="center"/>
          </w:tcPr>
          <w:p w14:paraId="1046F5A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cs="Times New Roman"/>
                <w:b w:val="0"/>
                <w:bCs w:val="0"/>
                <w:color w:val="auto"/>
                <w:spacing w:val="0"/>
                <w:sz w:val="21"/>
                <w:szCs w:val="21"/>
              </w:rPr>
              <w:t>0.52</w:t>
            </w:r>
          </w:p>
        </w:tc>
        <w:tc>
          <w:tcPr>
            <w:tcW w:w="1625" w:type="dxa"/>
            <w:vAlign w:val="center"/>
          </w:tcPr>
          <w:p w14:paraId="44079C5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cs="Times New Roman"/>
                <w:b w:val="0"/>
                <w:bCs w:val="0"/>
                <w:color w:val="auto"/>
                <w:spacing w:val="0"/>
                <w:sz w:val="21"/>
                <w:szCs w:val="21"/>
              </w:rPr>
              <w:t>0.54</w:t>
            </w:r>
          </w:p>
        </w:tc>
        <w:tc>
          <w:tcPr>
            <w:tcW w:w="1150" w:type="dxa"/>
            <w:vAlign w:val="center"/>
          </w:tcPr>
          <w:p w14:paraId="13D750B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cs="Times New Roman"/>
                <w:b w:val="0"/>
                <w:bCs w:val="0"/>
                <w:color w:val="auto"/>
                <w:spacing w:val="0"/>
                <w:sz w:val="21"/>
                <w:szCs w:val="21"/>
              </w:rPr>
              <w:t>0.55</w:t>
            </w:r>
          </w:p>
        </w:tc>
        <w:tc>
          <w:tcPr>
            <w:tcW w:w="1288" w:type="dxa"/>
            <w:vAlign w:val="center"/>
          </w:tcPr>
          <w:p w14:paraId="5F15A95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cs="Times New Roman"/>
                <w:b w:val="0"/>
                <w:bCs w:val="0"/>
                <w:color w:val="auto"/>
                <w:spacing w:val="0"/>
                <w:sz w:val="21"/>
                <w:szCs w:val="21"/>
              </w:rPr>
              <w:t>0.53</w:t>
            </w:r>
          </w:p>
        </w:tc>
        <w:tc>
          <w:tcPr>
            <w:tcW w:w="1304" w:type="dxa"/>
            <w:tcBorders>
              <w:right w:val="nil"/>
            </w:tcBorders>
            <w:vAlign w:val="center"/>
          </w:tcPr>
          <w:p w14:paraId="5149584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cs="Times New Roman"/>
                <w:b w:val="0"/>
                <w:bCs w:val="0"/>
                <w:color w:val="auto"/>
                <w:spacing w:val="0"/>
                <w:sz w:val="21"/>
                <w:szCs w:val="21"/>
              </w:rPr>
              <w:t>0.54</w:t>
            </w:r>
          </w:p>
        </w:tc>
      </w:tr>
      <w:tr w14:paraId="4E956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tcBorders>
              <w:left w:val="nil"/>
            </w:tcBorders>
            <w:vAlign w:val="center"/>
          </w:tcPr>
          <w:p w14:paraId="686527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2"/>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总氮</w:t>
            </w:r>
          </w:p>
        </w:tc>
        <w:tc>
          <w:tcPr>
            <w:tcW w:w="1062" w:type="dxa"/>
            <w:vAlign w:val="center"/>
          </w:tcPr>
          <w:p w14:paraId="1414363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cs="Times New Roman"/>
                <w:b w:val="0"/>
                <w:bCs w:val="0"/>
                <w:color w:val="auto"/>
                <w:spacing w:val="0"/>
                <w:sz w:val="21"/>
                <w:szCs w:val="21"/>
              </w:rPr>
              <w:t>0.94</w:t>
            </w:r>
          </w:p>
        </w:tc>
        <w:tc>
          <w:tcPr>
            <w:tcW w:w="1775" w:type="dxa"/>
            <w:vAlign w:val="center"/>
          </w:tcPr>
          <w:p w14:paraId="575CA98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cs="Times New Roman"/>
                <w:b w:val="0"/>
                <w:bCs w:val="0"/>
                <w:color w:val="auto"/>
                <w:spacing w:val="0"/>
                <w:sz w:val="21"/>
                <w:szCs w:val="21"/>
              </w:rPr>
              <w:t>0.65</w:t>
            </w:r>
          </w:p>
        </w:tc>
        <w:tc>
          <w:tcPr>
            <w:tcW w:w="1625" w:type="dxa"/>
            <w:vAlign w:val="center"/>
          </w:tcPr>
          <w:p w14:paraId="3487CB2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cs="Times New Roman"/>
                <w:b w:val="0"/>
                <w:bCs w:val="0"/>
                <w:color w:val="auto"/>
                <w:spacing w:val="0"/>
                <w:sz w:val="21"/>
                <w:szCs w:val="21"/>
              </w:rPr>
              <w:t>0.80</w:t>
            </w:r>
          </w:p>
        </w:tc>
        <w:tc>
          <w:tcPr>
            <w:tcW w:w="1150" w:type="dxa"/>
            <w:vAlign w:val="center"/>
          </w:tcPr>
          <w:p w14:paraId="47454E0B">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cs="Times New Roman"/>
                <w:b w:val="0"/>
                <w:bCs w:val="0"/>
                <w:color w:val="auto"/>
                <w:spacing w:val="0"/>
                <w:sz w:val="21"/>
                <w:szCs w:val="21"/>
              </w:rPr>
              <w:t>0.91</w:t>
            </w:r>
          </w:p>
        </w:tc>
        <w:tc>
          <w:tcPr>
            <w:tcW w:w="1288" w:type="dxa"/>
            <w:vAlign w:val="center"/>
          </w:tcPr>
          <w:p w14:paraId="3EE8DAD7">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cs="Times New Roman"/>
                <w:b w:val="0"/>
                <w:bCs w:val="0"/>
                <w:color w:val="auto"/>
                <w:spacing w:val="0"/>
                <w:sz w:val="21"/>
                <w:szCs w:val="21"/>
              </w:rPr>
              <w:t>0.64</w:t>
            </w:r>
          </w:p>
        </w:tc>
        <w:tc>
          <w:tcPr>
            <w:tcW w:w="1304" w:type="dxa"/>
            <w:tcBorders>
              <w:right w:val="nil"/>
            </w:tcBorders>
            <w:vAlign w:val="center"/>
          </w:tcPr>
          <w:p w14:paraId="14AE561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cs="Times New Roman"/>
                <w:b w:val="0"/>
                <w:bCs w:val="0"/>
                <w:color w:val="auto"/>
                <w:spacing w:val="0"/>
                <w:sz w:val="21"/>
                <w:szCs w:val="21"/>
              </w:rPr>
              <w:t>0.74</w:t>
            </w:r>
          </w:p>
        </w:tc>
      </w:tr>
      <w:tr w14:paraId="00675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tcBorders>
              <w:left w:val="nil"/>
            </w:tcBorders>
            <w:vAlign w:val="center"/>
          </w:tcPr>
          <w:p w14:paraId="51C1B5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2"/>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总磷</w:t>
            </w:r>
          </w:p>
        </w:tc>
        <w:tc>
          <w:tcPr>
            <w:tcW w:w="1062" w:type="dxa"/>
            <w:vAlign w:val="center"/>
          </w:tcPr>
          <w:p w14:paraId="4ACBF41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0.95</w:t>
            </w:r>
          </w:p>
        </w:tc>
        <w:tc>
          <w:tcPr>
            <w:tcW w:w="1775" w:type="dxa"/>
            <w:vAlign w:val="center"/>
          </w:tcPr>
          <w:p w14:paraId="4769559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0.8</w:t>
            </w:r>
          </w:p>
        </w:tc>
        <w:tc>
          <w:tcPr>
            <w:tcW w:w="1625" w:type="dxa"/>
            <w:vAlign w:val="center"/>
          </w:tcPr>
          <w:p w14:paraId="5D2B6BE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0.85</w:t>
            </w:r>
          </w:p>
        </w:tc>
        <w:tc>
          <w:tcPr>
            <w:tcW w:w="1150" w:type="dxa"/>
            <w:vAlign w:val="center"/>
          </w:tcPr>
          <w:p w14:paraId="5BE7687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0.9</w:t>
            </w:r>
          </w:p>
        </w:tc>
        <w:tc>
          <w:tcPr>
            <w:tcW w:w="1288" w:type="dxa"/>
            <w:vAlign w:val="center"/>
          </w:tcPr>
          <w:p w14:paraId="28514AE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0.7</w:t>
            </w:r>
          </w:p>
        </w:tc>
        <w:tc>
          <w:tcPr>
            <w:tcW w:w="1304" w:type="dxa"/>
            <w:tcBorders>
              <w:right w:val="nil"/>
            </w:tcBorders>
            <w:vAlign w:val="center"/>
          </w:tcPr>
          <w:p w14:paraId="57FFFD6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0.75</w:t>
            </w:r>
          </w:p>
        </w:tc>
      </w:tr>
      <w:tr w14:paraId="71D9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restart"/>
            <w:tcBorders>
              <w:left w:val="nil"/>
            </w:tcBorders>
            <w:vAlign w:val="center"/>
          </w:tcPr>
          <w:p w14:paraId="14CC75B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检测项目</w:t>
            </w:r>
          </w:p>
        </w:tc>
        <w:tc>
          <w:tcPr>
            <w:tcW w:w="8204" w:type="dxa"/>
            <w:gridSpan w:val="6"/>
            <w:tcBorders>
              <w:right w:val="nil"/>
            </w:tcBorders>
            <w:vAlign w:val="center"/>
          </w:tcPr>
          <w:p w14:paraId="058814B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2025年8月28日</w:t>
            </w:r>
          </w:p>
        </w:tc>
      </w:tr>
      <w:tr w14:paraId="736E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continue"/>
            <w:tcBorders>
              <w:left w:val="nil"/>
            </w:tcBorders>
            <w:vAlign w:val="center"/>
          </w:tcPr>
          <w:p w14:paraId="71A6683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p>
        </w:tc>
        <w:tc>
          <w:tcPr>
            <w:tcW w:w="1062" w:type="dxa"/>
            <w:vAlign w:val="center"/>
          </w:tcPr>
          <w:p w14:paraId="3835FC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eastAsia="zh-CN"/>
              </w:rPr>
            </w:pPr>
            <w:r>
              <w:rPr>
                <w:rFonts w:hint="default" w:ascii="Times New Roman" w:hAnsi="Times New Roman" w:eastAsia="宋体" w:cs="Times New Roman"/>
                <w:b w:val="0"/>
                <w:bCs w:val="0"/>
                <w:color w:val="auto"/>
                <w:spacing w:val="0"/>
                <w:sz w:val="21"/>
                <w:szCs w:val="21"/>
                <w:highlight w:val="none"/>
                <w:lang w:val="en-US" w:eastAsia="zh-CN"/>
              </w:rPr>
              <w:t>排污口入红光沟处</w:t>
            </w:r>
          </w:p>
        </w:tc>
        <w:tc>
          <w:tcPr>
            <w:tcW w:w="1775" w:type="dxa"/>
            <w:vAlign w:val="center"/>
          </w:tcPr>
          <w:p w14:paraId="345576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eastAsia="zh-CN"/>
              </w:rPr>
            </w:pPr>
            <w:r>
              <w:rPr>
                <w:rFonts w:hint="default" w:ascii="Times New Roman" w:hAnsi="Times New Roman" w:eastAsia="宋体" w:cs="Times New Roman"/>
                <w:b w:val="0"/>
                <w:bCs w:val="0"/>
                <w:color w:val="auto"/>
                <w:spacing w:val="0"/>
                <w:sz w:val="21"/>
                <w:szCs w:val="21"/>
                <w:highlight w:val="none"/>
                <w:lang w:val="en-US" w:eastAsia="zh-CN"/>
              </w:rPr>
              <w:t>入河排污口入红光沟上游50m</w:t>
            </w:r>
          </w:p>
        </w:tc>
        <w:tc>
          <w:tcPr>
            <w:tcW w:w="1625" w:type="dxa"/>
            <w:vAlign w:val="center"/>
          </w:tcPr>
          <w:p w14:paraId="29EC1D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eastAsia="zh-CN"/>
              </w:rPr>
            </w:pPr>
            <w:r>
              <w:rPr>
                <w:rFonts w:hint="default" w:ascii="Times New Roman" w:hAnsi="Times New Roman" w:eastAsia="宋体" w:cs="Times New Roman"/>
                <w:b w:val="0"/>
                <w:bCs w:val="0"/>
                <w:color w:val="auto"/>
                <w:spacing w:val="0"/>
                <w:sz w:val="21"/>
                <w:szCs w:val="21"/>
                <w:highlight w:val="none"/>
                <w:lang w:val="en-US" w:eastAsia="zh-CN"/>
              </w:rPr>
              <w:t>入河排污口入红光沟下游1000m</w:t>
            </w:r>
          </w:p>
        </w:tc>
        <w:tc>
          <w:tcPr>
            <w:tcW w:w="1150" w:type="dxa"/>
            <w:vAlign w:val="center"/>
          </w:tcPr>
          <w:p w14:paraId="35F6AB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highlight w:val="none"/>
                <w:lang w:val="en-US" w:eastAsia="zh-CN"/>
              </w:rPr>
              <w:t>入穆棱河排污口处</w:t>
            </w:r>
          </w:p>
        </w:tc>
        <w:tc>
          <w:tcPr>
            <w:tcW w:w="1288" w:type="dxa"/>
            <w:shd w:val="clear" w:color="auto" w:fill="auto"/>
            <w:vAlign w:val="center"/>
          </w:tcPr>
          <w:p w14:paraId="241A35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snapToGrid w:val="0"/>
                <w:color w:val="auto"/>
                <w:spacing w:val="0"/>
                <w:kern w:val="0"/>
                <w:sz w:val="21"/>
                <w:szCs w:val="21"/>
                <w:vertAlign w:val="baseline"/>
                <w:lang w:val="en-US" w:eastAsia="zh-CN" w:bidi="ar-SA"/>
              </w:rPr>
            </w:pPr>
            <w:r>
              <w:rPr>
                <w:rFonts w:hint="default" w:ascii="Times New Roman" w:hAnsi="Times New Roman" w:eastAsia="宋体" w:cs="Times New Roman"/>
                <w:b w:val="0"/>
                <w:bCs w:val="0"/>
                <w:color w:val="auto"/>
                <w:spacing w:val="0"/>
                <w:sz w:val="21"/>
                <w:szCs w:val="21"/>
                <w:highlight w:val="none"/>
                <w:lang w:val="en-US" w:eastAsia="zh-CN"/>
              </w:rPr>
              <w:t>入穆棱河</w:t>
            </w:r>
            <w:r>
              <w:rPr>
                <w:rFonts w:hint="default" w:ascii="Times New Roman" w:hAnsi="Times New Roman" w:eastAsia="宋体" w:cs="Times New Roman"/>
                <w:b w:val="0"/>
                <w:bCs w:val="0"/>
                <w:color w:val="auto"/>
                <w:spacing w:val="0"/>
                <w:sz w:val="21"/>
                <w:szCs w:val="21"/>
                <w:highlight w:val="none"/>
              </w:rPr>
              <w:t xml:space="preserve">上游500 </w:t>
            </w:r>
            <w:r>
              <w:rPr>
                <w:rFonts w:hint="default" w:ascii="Times New Roman" w:hAnsi="Times New Roman" w:eastAsia="宋体" w:cs="Times New Roman"/>
                <w:b w:val="0"/>
                <w:bCs w:val="0"/>
                <w:color w:val="auto"/>
                <w:spacing w:val="0"/>
                <w:sz w:val="21"/>
                <w:szCs w:val="21"/>
                <w:highlight w:val="none"/>
                <w:lang w:val="en-US" w:eastAsia="zh-CN"/>
              </w:rPr>
              <w:t>m</w:t>
            </w:r>
          </w:p>
        </w:tc>
        <w:tc>
          <w:tcPr>
            <w:tcW w:w="1304" w:type="dxa"/>
            <w:tcBorders>
              <w:right w:val="nil"/>
            </w:tcBorders>
            <w:shd w:val="clear" w:color="auto" w:fill="auto"/>
            <w:vAlign w:val="center"/>
          </w:tcPr>
          <w:p w14:paraId="1C8B2E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snapToGrid w:val="0"/>
                <w:color w:val="auto"/>
                <w:spacing w:val="0"/>
                <w:kern w:val="0"/>
                <w:sz w:val="21"/>
                <w:szCs w:val="21"/>
                <w:vertAlign w:val="baseline"/>
                <w:lang w:val="en-US" w:eastAsia="zh-CN" w:bidi="ar-SA"/>
              </w:rPr>
            </w:pPr>
            <w:r>
              <w:rPr>
                <w:rFonts w:hint="default" w:ascii="Times New Roman" w:hAnsi="Times New Roman" w:eastAsia="宋体" w:cs="Times New Roman"/>
                <w:b w:val="0"/>
                <w:bCs w:val="0"/>
                <w:color w:val="auto"/>
                <w:spacing w:val="0"/>
                <w:sz w:val="21"/>
                <w:szCs w:val="21"/>
                <w:highlight w:val="none"/>
                <w:lang w:val="en-US" w:eastAsia="zh-CN"/>
              </w:rPr>
              <w:t>入穆棱河</w:t>
            </w:r>
            <w:r>
              <w:rPr>
                <w:rFonts w:hint="default" w:ascii="Times New Roman" w:hAnsi="Times New Roman" w:eastAsia="宋体" w:cs="Times New Roman"/>
                <w:b w:val="0"/>
                <w:bCs w:val="0"/>
                <w:color w:val="auto"/>
                <w:spacing w:val="0"/>
                <w:sz w:val="21"/>
                <w:szCs w:val="21"/>
                <w:highlight w:val="none"/>
              </w:rPr>
              <w:t>下游</w:t>
            </w:r>
            <w:r>
              <w:rPr>
                <w:rFonts w:hint="default" w:ascii="Times New Roman" w:hAnsi="Times New Roman" w:eastAsia="宋体" w:cs="Times New Roman"/>
                <w:b w:val="0"/>
                <w:bCs w:val="0"/>
                <w:color w:val="auto"/>
                <w:spacing w:val="0"/>
                <w:sz w:val="21"/>
                <w:szCs w:val="21"/>
                <w:highlight w:val="none"/>
                <w:lang w:val="en-US" w:eastAsia="zh-CN"/>
              </w:rPr>
              <w:t>2</w:t>
            </w:r>
            <w:r>
              <w:rPr>
                <w:rFonts w:hint="default" w:ascii="Times New Roman" w:hAnsi="Times New Roman" w:eastAsia="宋体" w:cs="Times New Roman"/>
                <w:b w:val="0"/>
                <w:bCs w:val="0"/>
                <w:color w:val="auto"/>
                <w:spacing w:val="0"/>
                <w:sz w:val="21"/>
                <w:szCs w:val="21"/>
                <w:highlight w:val="none"/>
              </w:rPr>
              <w:t>000</w:t>
            </w:r>
            <w:r>
              <w:rPr>
                <w:rFonts w:hint="default" w:ascii="Times New Roman" w:hAnsi="Times New Roman" w:eastAsia="宋体" w:cs="Times New Roman"/>
                <w:b w:val="0"/>
                <w:bCs w:val="0"/>
                <w:color w:val="auto"/>
                <w:spacing w:val="0"/>
                <w:sz w:val="21"/>
                <w:szCs w:val="21"/>
                <w:highlight w:val="none"/>
                <w:lang w:val="en-US" w:eastAsia="zh-CN"/>
              </w:rPr>
              <w:t>m</w:t>
            </w:r>
          </w:p>
        </w:tc>
      </w:tr>
      <w:tr w14:paraId="4089E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tcBorders>
              <w:left w:val="nil"/>
            </w:tcBorders>
            <w:vAlign w:val="center"/>
          </w:tcPr>
          <w:p w14:paraId="7D3321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2"/>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pH</w:t>
            </w:r>
          </w:p>
        </w:tc>
        <w:tc>
          <w:tcPr>
            <w:tcW w:w="1062" w:type="dxa"/>
            <w:vAlign w:val="center"/>
          </w:tcPr>
          <w:p w14:paraId="6505971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0.1</w:t>
            </w:r>
          </w:p>
        </w:tc>
        <w:tc>
          <w:tcPr>
            <w:tcW w:w="1775" w:type="dxa"/>
            <w:vAlign w:val="center"/>
          </w:tcPr>
          <w:p w14:paraId="1A457F3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0.05</w:t>
            </w:r>
          </w:p>
        </w:tc>
        <w:tc>
          <w:tcPr>
            <w:tcW w:w="1625" w:type="dxa"/>
            <w:vAlign w:val="center"/>
          </w:tcPr>
          <w:p w14:paraId="679CB27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0.05</w:t>
            </w:r>
          </w:p>
        </w:tc>
        <w:tc>
          <w:tcPr>
            <w:tcW w:w="1150" w:type="dxa"/>
            <w:vAlign w:val="center"/>
          </w:tcPr>
          <w:p w14:paraId="5958BF0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0.15</w:t>
            </w:r>
          </w:p>
        </w:tc>
        <w:tc>
          <w:tcPr>
            <w:tcW w:w="1288" w:type="dxa"/>
            <w:vAlign w:val="center"/>
          </w:tcPr>
          <w:p w14:paraId="004D03F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0.2</w:t>
            </w:r>
          </w:p>
        </w:tc>
        <w:tc>
          <w:tcPr>
            <w:tcW w:w="1304" w:type="dxa"/>
            <w:tcBorders>
              <w:right w:val="nil"/>
            </w:tcBorders>
            <w:vAlign w:val="center"/>
          </w:tcPr>
          <w:p w14:paraId="7E65C82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0.15</w:t>
            </w:r>
          </w:p>
        </w:tc>
      </w:tr>
      <w:tr w14:paraId="10F4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tcBorders>
              <w:left w:val="nil"/>
            </w:tcBorders>
            <w:vAlign w:val="center"/>
          </w:tcPr>
          <w:p w14:paraId="5DE404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2"/>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COD</w:t>
            </w:r>
          </w:p>
        </w:tc>
        <w:tc>
          <w:tcPr>
            <w:tcW w:w="1062" w:type="dxa"/>
            <w:vAlign w:val="center"/>
          </w:tcPr>
          <w:p w14:paraId="4DA24EB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0.85</w:t>
            </w:r>
          </w:p>
        </w:tc>
        <w:tc>
          <w:tcPr>
            <w:tcW w:w="1775" w:type="dxa"/>
            <w:vAlign w:val="center"/>
          </w:tcPr>
          <w:p w14:paraId="06ACF67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0.7</w:t>
            </w:r>
          </w:p>
        </w:tc>
        <w:tc>
          <w:tcPr>
            <w:tcW w:w="1625" w:type="dxa"/>
            <w:vAlign w:val="center"/>
          </w:tcPr>
          <w:p w14:paraId="430D38B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0.75</w:t>
            </w:r>
          </w:p>
        </w:tc>
        <w:tc>
          <w:tcPr>
            <w:tcW w:w="1150" w:type="dxa"/>
            <w:vAlign w:val="center"/>
          </w:tcPr>
          <w:p w14:paraId="5055439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0.8</w:t>
            </w:r>
          </w:p>
        </w:tc>
        <w:tc>
          <w:tcPr>
            <w:tcW w:w="1288" w:type="dxa"/>
            <w:vAlign w:val="center"/>
          </w:tcPr>
          <w:p w14:paraId="52F070F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0.65</w:t>
            </w:r>
          </w:p>
        </w:tc>
        <w:tc>
          <w:tcPr>
            <w:tcW w:w="1304" w:type="dxa"/>
            <w:tcBorders>
              <w:right w:val="nil"/>
            </w:tcBorders>
            <w:vAlign w:val="center"/>
          </w:tcPr>
          <w:p w14:paraId="36655F5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0.75</w:t>
            </w:r>
          </w:p>
        </w:tc>
      </w:tr>
      <w:tr w14:paraId="580C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077" w:type="dxa"/>
            <w:tcBorders>
              <w:left w:val="nil"/>
            </w:tcBorders>
            <w:vAlign w:val="center"/>
          </w:tcPr>
          <w:p w14:paraId="2213C5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2"/>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BOD</w:t>
            </w:r>
            <w:r>
              <w:rPr>
                <w:rFonts w:hint="default" w:ascii="Times New Roman" w:hAnsi="Times New Roman" w:eastAsia="宋体" w:cs="Times New Roman"/>
                <w:b w:val="0"/>
                <w:bCs w:val="0"/>
                <w:color w:val="auto"/>
                <w:spacing w:val="0"/>
                <w:sz w:val="21"/>
                <w:szCs w:val="21"/>
                <w:vertAlign w:val="subscript"/>
                <w:lang w:val="en-US" w:eastAsia="zh-CN"/>
              </w:rPr>
              <w:t>5</w:t>
            </w:r>
          </w:p>
        </w:tc>
        <w:tc>
          <w:tcPr>
            <w:tcW w:w="1062" w:type="dxa"/>
            <w:vAlign w:val="center"/>
          </w:tcPr>
          <w:p w14:paraId="61980C3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0.83</w:t>
            </w:r>
          </w:p>
        </w:tc>
        <w:tc>
          <w:tcPr>
            <w:tcW w:w="1775" w:type="dxa"/>
            <w:vAlign w:val="center"/>
          </w:tcPr>
          <w:p w14:paraId="09ED5EB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0.8</w:t>
            </w:r>
          </w:p>
        </w:tc>
        <w:tc>
          <w:tcPr>
            <w:tcW w:w="1625" w:type="dxa"/>
            <w:vAlign w:val="center"/>
          </w:tcPr>
          <w:p w14:paraId="2334F24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0.78</w:t>
            </w:r>
          </w:p>
        </w:tc>
        <w:tc>
          <w:tcPr>
            <w:tcW w:w="1150" w:type="dxa"/>
            <w:vAlign w:val="center"/>
          </w:tcPr>
          <w:p w14:paraId="00D5975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0.85</w:t>
            </w:r>
          </w:p>
        </w:tc>
        <w:tc>
          <w:tcPr>
            <w:tcW w:w="1288" w:type="dxa"/>
            <w:vAlign w:val="center"/>
          </w:tcPr>
          <w:p w14:paraId="0484A02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0.8</w:t>
            </w:r>
          </w:p>
        </w:tc>
        <w:tc>
          <w:tcPr>
            <w:tcW w:w="1304" w:type="dxa"/>
            <w:tcBorders>
              <w:right w:val="nil"/>
            </w:tcBorders>
            <w:vAlign w:val="center"/>
          </w:tcPr>
          <w:p w14:paraId="13D6A08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0.78</w:t>
            </w:r>
          </w:p>
        </w:tc>
      </w:tr>
      <w:tr w14:paraId="4EB1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077" w:type="dxa"/>
            <w:tcBorders>
              <w:left w:val="nil"/>
            </w:tcBorders>
            <w:vAlign w:val="center"/>
          </w:tcPr>
          <w:p w14:paraId="348FA9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2"/>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NH</w:t>
            </w:r>
            <w:r>
              <w:rPr>
                <w:rFonts w:hint="default" w:ascii="Times New Roman" w:hAnsi="Times New Roman" w:eastAsia="宋体" w:cs="Times New Roman"/>
                <w:b w:val="0"/>
                <w:bCs w:val="0"/>
                <w:color w:val="auto"/>
                <w:spacing w:val="0"/>
                <w:sz w:val="21"/>
                <w:szCs w:val="21"/>
                <w:vertAlign w:val="subscript"/>
                <w:lang w:val="en-US" w:eastAsia="zh-CN"/>
              </w:rPr>
              <w:t>3</w:t>
            </w:r>
            <w:r>
              <w:rPr>
                <w:rFonts w:hint="default" w:ascii="Times New Roman" w:hAnsi="Times New Roman" w:eastAsia="宋体" w:cs="Times New Roman"/>
                <w:b w:val="0"/>
                <w:bCs w:val="0"/>
                <w:color w:val="auto"/>
                <w:spacing w:val="0"/>
                <w:sz w:val="21"/>
                <w:szCs w:val="21"/>
                <w:vertAlign w:val="baseline"/>
                <w:lang w:val="en-US" w:eastAsia="zh-CN"/>
              </w:rPr>
              <w:t>-N</w:t>
            </w:r>
          </w:p>
        </w:tc>
        <w:tc>
          <w:tcPr>
            <w:tcW w:w="1062" w:type="dxa"/>
            <w:vAlign w:val="center"/>
          </w:tcPr>
          <w:p w14:paraId="19F9BCB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0.59</w:t>
            </w:r>
          </w:p>
        </w:tc>
        <w:tc>
          <w:tcPr>
            <w:tcW w:w="1775" w:type="dxa"/>
            <w:vAlign w:val="center"/>
          </w:tcPr>
          <w:p w14:paraId="7B72D45C">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0.55</w:t>
            </w:r>
          </w:p>
        </w:tc>
        <w:tc>
          <w:tcPr>
            <w:tcW w:w="1625" w:type="dxa"/>
            <w:vAlign w:val="center"/>
          </w:tcPr>
          <w:p w14:paraId="2704ED2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0.56</w:t>
            </w:r>
          </w:p>
        </w:tc>
        <w:tc>
          <w:tcPr>
            <w:tcW w:w="1150" w:type="dxa"/>
            <w:vAlign w:val="center"/>
          </w:tcPr>
          <w:p w14:paraId="67F7721D">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0.58</w:t>
            </w:r>
          </w:p>
        </w:tc>
        <w:tc>
          <w:tcPr>
            <w:tcW w:w="1288" w:type="dxa"/>
            <w:vAlign w:val="center"/>
          </w:tcPr>
          <w:p w14:paraId="001F1B6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0.54</w:t>
            </w:r>
          </w:p>
        </w:tc>
        <w:tc>
          <w:tcPr>
            <w:tcW w:w="1304" w:type="dxa"/>
            <w:tcBorders>
              <w:right w:val="nil"/>
            </w:tcBorders>
            <w:vAlign w:val="center"/>
          </w:tcPr>
          <w:p w14:paraId="1FCAC690">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0.56</w:t>
            </w:r>
          </w:p>
        </w:tc>
      </w:tr>
      <w:tr w14:paraId="2CBA2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tcBorders>
              <w:left w:val="nil"/>
            </w:tcBorders>
            <w:vAlign w:val="center"/>
          </w:tcPr>
          <w:p w14:paraId="25AF2A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2"/>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总氮</w:t>
            </w:r>
          </w:p>
        </w:tc>
        <w:tc>
          <w:tcPr>
            <w:tcW w:w="1062" w:type="dxa"/>
            <w:vAlign w:val="center"/>
          </w:tcPr>
          <w:p w14:paraId="1AA22093">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0.92</w:t>
            </w:r>
          </w:p>
        </w:tc>
        <w:tc>
          <w:tcPr>
            <w:tcW w:w="1775" w:type="dxa"/>
            <w:vAlign w:val="center"/>
          </w:tcPr>
          <w:p w14:paraId="4CEE7D7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0.76</w:t>
            </w:r>
          </w:p>
        </w:tc>
        <w:tc>
          <w:tcPr>
            <w:tcW w:w="1625" w:type="dxa"/>
            <w:vAlign w:val="center"/>
          </w:tcPr>
          <w:p w14:paraId="1456F579">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0.86</w:t>
            </w:r>
          </w:p>
        </w:tc>
        <w:tc>
          <w:tcPr>
            <w:tcW w:w="1150" w:type="dxa"/>
            <w:vAlign w:val="center"/>
          </w:tcPr>
          <w:p w14:paraId="32B76D36">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0.89</w:t>
            </w:r>
          </w:p>
        </w:tc>
        <w:tc>
          <w:tcPr>
            <w:tcW w:w="1288" w:type="dxa"/>
            <w:vAlign w:val="center"/>
          </w:tcPr>
          <w:p w14:paraId="1C02772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0.74</w:t>
            </w:r>
          </w:p>
        </w:tc>
        <w:tc>
          <w:tcPr>
            <w:tcW w:w="1304" w:type="dxa"/>
            <w:tcBorders>
              <w:right w:val="nil"/>
            </w:tcBorders>
            <w:vAlign w:val="center"/>
          </w:tcPr>
          <w:p w14:paraId="2FC1423E">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0.84</w:t>
            </w:r>
          </w:p>
        </w:tc>
      </w:tr>
      <w:tr w14:paraId="3F4E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tcBorders>
              <w:left w:val="nil"/>
            </w:tcBorders>
            <w:vAlign w:val="center"/>
          </w:tcPr>
          <w:p w14:paraId="7084BB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2"/>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总磷</w:t>
            </w:r>
          </w:p>
        </w:tc>
        <w:tc>
          <w:tcPr>
            <w:tcW w:w="1062" w:type="dxa"/>
            <w:vAlign w:val="center"/>
          </w:tcPr>
          <w:p w14:paraId="4075B78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0.9</w:t>
            </w:r>
          </w:p>
        </w:tc>
        <w:tc>
          <w:tcPr>
            <w:tcW w:w="1775" w:type="dxa"/>
            <w:vAlign w:val="center"/>
          </w:tcPr>
          <w:p w14:paraId="5CC438C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0.75</w:t>
            </w:r>
          </w:p>
        </w:tc>
        <w:tc>
          <w:tcPr>
            <w:tcW w:w="1625" w:type="dxa"/>
            <w:vAlign w:val="center"/>
          </w:tcPr>
          <w:p w14:paraId="4573DEB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0.8</w:t>
            </w:r>
          </w:p>
        </w:tc>
        <w:tc>
          <w:tcPr>
            <w:tcW w:w="1150" w:type="dxa"/>
            <w:vAlign w:val="center"/>
          </w:tcPr>
          <w:p w14:paraId="2D9C368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0.85</w:t>
            </w:r>
          </w:p>
        </w:tc>
        <w:tc>
          <w:tcPr>
            <w:tcW w:w="1288" w:type="dxa"/>
            <w:vAlign w:val="center"/>
          </w:tcPr>
          <w:p w14:paraId="7C324D1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0.65</w:t>
            </w:r>
          </w:p>
        </w:tc>
        <w:tc>
          <w:tcPr>
            <w:tcW w:w="1304" w:type="dxa"/>
            <w:tcBorders>
              <w:right w:val="nil"/>
            </w:tcBorders>
            <w:vAlign w:val="center"/>
          </w:tcPr>
          <w:p w14:paraId="3F96892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0.7</w:t>
            </w:r>
          </w:p>
        </w:tc>
      </w:tr>
      <w:tr w14:paraId="7091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restart"/>
            <w:tcBorders>
              <w:left w:val="nil"/>
            </w:tcBorders>
            <w:vAlign w:val="center"/>
          </w:tcPr>
          <w:p w14:paraId="3DA0446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检测项目</w:t>
            </w:r>
          </w:p>
        </w:tc>
        <w:tc>
          <w:tcPr>
            <w:tcW w:w="8204" w:type="dxa"/>
            <w:gridSpan w:val="6"/>
            <w:tcBorders>
              <w:right w:val="nil"/>
            </w:tcBorders>
            <w:vAlign w:val="center"/>
          </w:tcPr>
          <w:p w14:paraId="7D7A115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2025年8月29日</w:t>
            </w:r>
          </w:p>
        </w:tc>
      </w:tr>
      <w:tr w14:paraId="6B04E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vMerge w:val="continue"/>
            <w:tcBorders>
              <w:left w:val="nil"/>
            </w:tcBorders>
            <w:vAlign w:val="center"/>
          </w:tcPr>
          <w:p w14:paraId="0C444B2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p>
        </w:tc>
        <w:tc>
          <w:tcPr>
            <w:tcW w:w="1062" w:type="dxa"/>
            <w:vAlign w:val="center"/>
          </w:tcPr>
          <w:p w14:paraId="7CE4B0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eastAsia="zh-CN"/>
              </w:rPr>
            </w:pPr>
            <w:r>
              <w:rPr>
                <w:rFonts w:hint="default" w:ascii="Times New Roman" w:hAnsi="Times New Roman" w:eastAsia="宋体" w:cs="Times New Roman"/>
                <w:b w:val="0"/>
                <w:bCs w:val="0"/>
                <w:color w:val="auto"/>
                <w:spacing w:val="0"/>
                <w:sz w:val="21"/>
                <w:szCs w:val="21"/>
                <w:highlight w:val="none"/>
                <w:lang w:val="en-US" w:eastAsia="zh-CN"/>
              </w:rPr>
              <w:t>排污口入红光沟处</w:t>
            </w:r>
          </w:p>
        </w:tc>
        <w:tc>
          <w:tcPr>
            <w:tcW w:w="1775" w:type="dxa"/>
            <w:vAlign w:val="center"/>
          </w:tcPr>
          <w:p w14:paraId="26616A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eastAsia="zh-CN"/>
              </w:rPr>
            </w:pPr>
            <w:r>
              <w:rPr>
                <w:rFonts w:hint="default" w:ascii="Times New Roman" w:hAnsi="Times New Roman" w:eastAsia="宋体" w:cs="Times New Roman"/>
                <w:b w:val="0"/>
                <w:bCs w:val="0"/>
                <w:color w:val="auto"/>
                <w:spacing w:val="0"/>
                <w:sz w:val="21"/>
                <w:szCs w:val="21"/>
                <w:highlight w:val="none"/>
                <w:lang w:val="en-US" w:eastAsia="zh-CN"/>
              </w:rPr>
              <w:t>入河排污口入红光沟上游50m</w:t>
            </w:r>
          </w:p>
        </w:tc>
        <w:tc>
          <w:tcPr>
            <w:tcW w:w="1625" w:type="dxa"/>
            <w:vAlign w:val="center"/>
          </w:tcPr>
          <w:p w14:paraId="000650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eastAsia="zh-CN"/>
              </w:rPr>
            </w:pPr>
            <w:r>
              <w:rPr>
                <w:rFonts w:hint="default" w:ascii="Times New Roman" w:hAnsi="Times New Roman" w:eastAsia="宋体" w:cs="Times New Roman"/>
                <w:b w:val="0"/>
                <w:bCs w:val="0"/>
                <w:color w:val="auto"/>
                <w:spacing w:val="0"/>
                <w:sz w:val="21"/>
                <w:szCs w:val="21"/>
                <w:highlight w:val="none"/>
                <w:lang w:val="en-US" w:eastAsia="zh-CN"/>
              </w:rPr>
              <w:t>入河排污口入红光沟下游1000m</w:t>
            </w:r>
          </w:p>
        </w:tc>
        <w:tc>
          <w:tcPr>
            <w:tcW w:w="1150" w:type="dxa"/>
            <w:vAlign w:val="center"/>
          </w:tcPr>
          <w:p w14:paraId="6E831C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highlight w:val="none"/>
                <w:lang w:val="en-US" w:eastAsia="zh-CN"/>
              </w:rPr>
              <w:t>入穆棱河排污口处</w:t>
            </w:r>
          </w:p>
        </w:tc>
        <w:tc>
          <w:tcPr>
            <w:tcW w:w="1288" w:type="dxa"/>
            <w:vAlign w:val="center"/>
          </w:tcPr>
          <w:p w14:paraId="66D7F7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highlight w:val="none"/>
                <w:lang w:val="en-US" w:eastAsia="zh-CN"/>
              </w:rPr>
              <w:t>入穆棱河</w:t>
            </w:r>
            <w:r>
              <w:rPr>
                <w:rFonts w:hint="default" w:ascii="Times New Roman" w:hAnsi="Times New Roman" w:eastAsia="宋体" w:cs="Times New Roman"/>
                <w:b w:val="0"/>
                <w:bCs w:val="0"/>
                <w:color w:val="auto"/>
                <w:spacing w:val="0"/>
                <w:sz w:val="21"/>
                <w:szCs w:val="21"/>
                <w:highlight w:val="none"/>
              </w:rPr>
              <w:t xml:space="preserve">上游500 </w:t>
            </w:r>
            <w:r>
              <w:rPr>
                <w:rFonts w:hint="default" w:ascii="Times New Roman" w:hAnsi="Times New Roman" w:eastAsia="宋体" w:cs="Times New Roman"/>
                <w:b w:val="0"/>
                <w:bCs w:val="0"/>
                <w:color w:val="auto"/>
                <w:spacing w:val="0"/>
                <w:sz w:val="21"/>
                <w:szCs w:val="21"/>
                <w:highlight w:val="none"/>
                <w:lang w:val="en-US" w:eastAsia="zh-CN"/>
              </w:rPr>
              <w:t>m</w:t>
            </w:r>
          </w:p>
        </w:tc>
        <w:tc>
          <w:tcPr>
            <w:tcW w:w="1304" w:type="dxa"/>
            <w:tcBorders>
              <w:right w:val="nil"/>
            </w:tcBorders>
            <w:vAlign w:val="center"/>
          </w:tcPr>
          <w:p w14:paraId="51482E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highlight w:val="none"/>
                <w:lang w:val="en-US" w:eastAsia="zh-CN"/>
              </w:rPr>
              <w:t>入穆棱河</w:t>
            </w:r>
            <w:r>
              <w:rPr>
                <w:rFonts w:hint="default" w:ascii="Times New Roman" w:hAnsi="Times New Roman" w:eastAsia="宋体" w:cs="Times New Roman"/>
                <w:b w:val="0"/>
                <w:bCs w:val="0"/>
                <w:color w:val="auto"/>
                <w:spacing w:val="0"/>
                <w:sz w:val="21"/>
                <w:szCs w:val="21"/>
                <w:highlight w:val="none"/>
              </w:rPr>
              <w:t>下游</w:t>
            </w:r>
            <w:r>
              <w:rPr>
                <w:rFonts w:hint="default" w:ascii="Times New Roman" w:hAnsi="Times New Roman" w:eastAsia="宋体" w:cs="Times New Roman"/>
                <w:b w:val="0"/>
                <w:bCs w:val="0"/>
                <w:color w:val="auto"/>
                <w:spacing w:val="0"/>
                <w:sz w:val="21"/>
                <w:szCs w:val="21"/>
                <w:highlight w:val="none"/>
                <w:lang w:val="en-US" w:eastAsia="zh-CN"/>
              </w:rPr>
              <w:t>2</w:t>
            </w:r>
            <w:r>
              <w:rPr>
                <w:rFonts w:hint="default" w:ascii="Times New Roman" w:hAnsi="Times New Roman" w:eastAsia="宋体" w:cs="Times New Roman"/>
                <w:b w:val="0"/>
                <w:bCs w:val="0"/>
                <w:color w:val="auto"/>
                <w:spacing w:val="0"/>
                <w:sz w:val="21"/>
                <w:szCs w:val="21"/>
                <w:highlight w:val="none"/>
              </w:rPr>
              <w:t>000</w:t>
            </w:r>
            <w:r>
              <w:rPr>
                <w:rFonts w:hint="default" w:ascii="Times New Roman" w:hAnsi="Times New Roman" w:eastAsia="宋体" w:cs="Times New Roman"/>
                <w:b w:val="0"/>
                <w:bCs w:val="0"/>
                <w:color w:val="auto"/>
                <w:spacing w:val="0"/>
                <w:sz w:val="21"/>
                <w:szCs w:val="21"/>
                <w:highlight w:val="none"/>
                <w:lang w:val="en-US" w:eastAsia="zh-CN"/>
              </w:rPr>
              <w:t>m</w:t>
            </w:r>
          </w:p>
        </w:tc>
      </w:tr>
      <w:tr w14:paraId="3620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077" w:type="dxa"/>
            <w:tcBorders>
              <w:left w:val="nil"/>
            </w:tcBorders>
            <w:vAlign w:val="center"/>
          </w:tcPr>
          <w:p w14:paraId="7E63E3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2"/>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pH</w:t>
            </w:r>
          </w:p>
        </w:tc>
        <w:tc>
          <w:tcPr>
            <w:tcW w:w="1062" w:type="dxa"/>
            <w:vAlign w:val="center"/>
          </w:tcPr>
          <w:p w14:paraId="066DAC8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0.05</w:t>
            </w:r>
          </w:p>
        </w:tc>
        <w:tc>
          <w:tcPr>
            <w:tcW w:w="1775" w:type="dxa"/>
            <w:vAlign w:val="center"/>
          </w:tcPr>
          <w:p w14:paraId="7820338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0.05</w:t>
            </w:r>
          </w:p>
        </w:tc>
        <w:tc>
          <w:tcPr>
            <w:tcW w:w="1625" w:type="dxa"/>
            <w:vAlign w:val="center"/>
          </w:tcPr>
          <w:p w14:paraId="7EDAECE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0.1</w:t>
            </w:r>
          </w:p>
        </w:tc>
        <w:tc>
          <w:tcPr>
            <w:tcW w:w="1150" w:type="dxa"/>
            <w:vAlign w:val="center"/>
          </w:tcPr>
          <w:p w14:paraId="4117416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0.2</w:t>
            </w:r>
          </w:p>
        </w:tc>
        <w:tc>
          <w:tcPr>
            <w:tcW w:w="1288" w:type="dxa"/>
            <w:vAlign w:val="center"/>
          </w:tcPr>
          <w:p w14:paraId="1DD9C4C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0.15</w:t>
            </w:r>
          </w:p>
        </w:tc>
        <w:tc>
          <w:tcPr>
            <w:tcW w:w="1304" w:type="dxa"/>
            <w:tcBorders>
              <w:right w:val="nil"/>
            </w:tcBorders>
            <w:vAlign w:val="center"/>
          </w:tcPr>
          <w:p w14:paraId="1173F16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0.15</w:t>
            </w:r>
          </w:p>
        </w:tc>
      </w:tr>
      <w:tr w14:paraId="4B142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tcBorders>
              <w:left w:val="nil"/>
            </w:tcBorders>
            <w:vAlign w:val="center"/>
          </w:tcPr>
          <w:p w14:paraId="0D6CAE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2"/>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COD</w:t>
            </w:r>
          </w:p>
        </w:tc>
        <w:tc>
          <w:tcPr>
            <w:tcW w:w="1062" w:type="dxa"/>
            <w:vAlign w:val="center"/>
          </w:tcPr>
          <w:p w14:paraId="68D5275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0.85</w:t>
            </w:r>
          </w:p>
        </w:tc>
        <w:tc>
          <w:tcPr>
            <w:tcW w:w="1775" w:type="dxa"/>
            <w:vAlign w:val="center"/>
          </w:tcPr>
          <w:p w14:paraId="776C196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0.7</w:t>
            </w:r>
          </w:p>
        </w:tc>
        <w:tc>
          <w:tcPr>
            <w:tcW w:w="1625" w:type="dxa"/>
            <w:vAlign w:val="center"/>
          </w:tcPr>
          <w:p w14:paraId="0F7EDEB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0.65</w:t>
            </w:r>
          </w:p>
        </w:tc>
        <w:tc>
          <w:tcPr>
            <w:tcW w:w="1150" w:type="dxa"/>
            <w:vAlign w:val="center"/>
          </w:tcPr>
          <w:p w14:paraId="4D2A6ED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0.8</w:t>
            </w:r>
          </w:p>
        </w:tc>
        <w:tc>
          <w:tcPr>
            <w:tcW w:w="1288" w:type="dxa"/>
            <w:vAlign w:val="center"/>
          </w:tcPr>
          <w:p w14:paraId="1537E9E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0.6</w:t>
            </w:r>
          </w:p>
        </w:tc>
        <w:tc>
          <w:tcPr>
            <w:tcW w:w="1304" w:type="dxa"/>
            <w:tcBorders>
              <w:right w:val="nil"/>
            </w:tcBorders>
            <w:vAlign w:val="center"/>
          </w:tcPr>
          <w:p w14:paraId="75FC734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0.75</w:t>
            </w:r>
          </w:p>
        </w:tc>
      </w:tr>
      <w:tr w14:paraId="23B76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tcBorders>
              <w:left w:val="nil"/>
            </w:tcBorders>
            <w:vAlign w:val="center"/>
          </w:tcPr>
          <w:p w14:paraId="64CDE4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2"/>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BOD</w:t>
            </w:r>
            <w:r>
              <w:rPr>
                <w:rFonts w:hint="default" w:ascii="Times New Roman" w:hAnsi="Times New Roman" w:eastAsia="宋体" w:cs="Times New Roman"/>
                <w:b w:val="0"/>
                <w:bCs w:val="0"/>
                <w:color w:val="auto"/>
                <w:spacing w:val="0"/>
                <w:sz w:val="21"/>
                <w:szCs w:val="21"/>
                <w:vertAlign w:val="subscript"/>
                <w:lang w:val="en-US" w:eastAsia="zh-CN"/>
              </w:rPr>
              <w:t>5</w:t>
            </w:r>
          </w:p>
        </w:tc>
        <w:tc>
          <w:tcPr>
            <w:tcW w:w="1062" w:type="dxa"/>
            <w:vAlign w:val="center"/>
          </w:tcPr>
          <w:p w14:paraId="5E871A4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0.83</w:t>
            </w:r>
          </w:p>
        </w:tc>
        <w:tc>
          <w:tcPr>
            <w:tcW w:w="1775" w:type="dxa"/>
            <w:vAlign w:val="center"/>
          </w:tcPr>
          <w:p w14:paraId="388BFB3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0.8</w:t>
            </w:r>
          </w:p>
        </w:tc>
        <w:tc>
          <w:tcPr>
            <w:tcW w:w="1625" w:type="dxa"/>
            <w:vAlign w:val="center"/>
          </w:tcPr>
          <w:p w14:paraId="18BD039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0.78</w:t>
            </w:r>
          </w:p>
        </w:tc>
        <w:tc>
          <w:tcPr>
            <w:tcW w:w="1150" w:type="dxa"/>
            <w:vAlign w:val="center"/>
          </w:tcPr>
          <w:p w14:paraId="0CFD8CE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0.85</w:t>
            </w:r>
          </w:p>
        </w:tc>
        <w:tc>
          <w:tcPr>
            <w:tcW w:w="1288" w:type="dxa"/>
            <w:vAlign w:val="center"/>
          </w:tcPr>
          <w:p w14:paraId="6198247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0.83</w:t>
            </w:r>
          </w:p>
        </w:tc>
        <w:tc>
          <w:tcPr>
            <w:tcW w:w="1304" w:type="dxa"/>
            <w:tcBorders>
              <w:right w:val="nil"/>
            </w:tcBorders>
            <w:vAlign w:val="center"/>
          </w:tcPr>
          <w:p w14:paraId="626C1B8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0.78</w:t>
            </w:r>
          </w:p>
        </w:tc>
      </w:tr>
      <w:tr w14:paraId="55E7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tcBorders>
              <w:left w:val="nil"/>
            </w:tcBorders>
            <w:vAlign w:val="center"/>
          </w:tcPr>
          <w:p w14:paraId="438734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2"/>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NH</w:t>
            </w:r>
            <w:r>
              <w:rPr>
                <w:rFonts w:hint="default" w:ascii="Times New Roman" w:hAnsi="Times New Roman" w:eastAsia="宋体" w:cs="Times New Roman"/>
                <w:b w:val="0"/>
                <w:bCs w:val="0"/>
                <w:color w:val="auto"/>
                <w:spacing w:val="0"/>
                <w:sz w:val="21"/>
                <w:szCs w:val="21"/>
                <w:vertAlign w:val="subscript"/>
                <w:lang w:val="en-US" w:eastAsia="zh-CN"/>
              </w:rPr>
              <w:t>3</w:t>
            </w:r>
            <w:r>
              <w:rPr>
                <w:rFonts w:hint="default" w:ascii="Times New Roman" w:hAnsi="Times New Roman" w:eastAsia="宋体" w:cs="Times New Roman"/>
                <w:b w:val="0"/>
                <w:bCs w:val="0"/>
                <w:color w:val="auto"/>
                <w:spacing w:val="0"/>
                <w:sz w:val="21"/>
                <w:szCs w:val="21"/>
                <w:vertAlign w:val="baseline"/>
                <w:lang w:val="en-US" w:eastAsia="zh-CN"/>
              </w:rPr>
              <w:t>-N</w:t>
            </w:r>
          </w:p>
        </w:tc>
        <w:tc>
          <w:tcPr>
            <w:tcW w:w="1062" w:type="dxa"/>
            <w:vAlign w:val="center"/>
          </w:tcPr>
          <w:p w14:paraId="770B20D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0.58</w:t>
            </w:r>
          </w:p>
        </w:tc>
        <w:tc>
          <w:tcPr>
            <w:tcW w:w="1775" w:type="dxa"/>
            <w:vAlign w:val="center"/>
          </w:tcPr>
          <w:p w14:paraId="22ABC65F">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0.55</w:t>
            </w:r>
          </w:p>
        </w:tc>
        <w:tc>
          <w:tcPr>
            <w:tcW w:w="1625" w:type="dxa"/>
            <w:vAlign w:val="center"/>
          </w:tcPr>
          <w:p w14:paraId="7C42AF11">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0.56</w:t>
            </w:r>
          </w:p>
        </w:tc>
        <w:tc>
          <w:tcPr>
            <w:tcW w:w="1150" w:type="dxa"/>
            <w:vAlign w:val="center"/>
          </w:tcPr>
          <w:p w14:paraId="174196F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0.57</w:t>
            </w:r>
          </w:p>
        </w:tc>
        <w:tc>
          <w:tcPr>
            <w:tcW w:w="1288" w:type="dxa"/>
            <w:vAlign w:val="center"/>
          </w:tcPr>
          <w:p w14:paraId="2C5AE3F2">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0.54</w:t>
            </w:r>
          </w:p>
        </w:tc>
        <w:tc>
          <w:tcPr>
            <w:tcW w:w="1304" w:type="dxa"/>
            <w:tcBorders>
              <w:right w:val="nil"/>
            </w:tcBorders>
            <w:vAlign w:val="center"/>
          </w:tcPr>
          <w:p w14:paraId="7480B7B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0.55</w:t>
            </w:r>
          </w:p>
        </w:tc>
      </w:tr>
      <w:tr w14:paraId="0343D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tcBorders>
              <w:left w:val="nil"/>
            </w:tcBorders>
            <w:vAlign w:val="center"/>
          </w:tcPr>
          <w:p w14:paraId="3DF0F2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2"/>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总氮</w:t>
            </w:r>
          </w:p>
        </w:tc>
        <w:tc>
          <w:tcPr>
            <w:tcW w:w="1062" w:type="dxa"/>
            <w:vAlign w:val="center"/>
          </w:tcPr>
          <w:p w14:paraId="35254798">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0.93</w:t>
            </w:r>
          </w:p>
        </w:tc>
        <w:tc>
          <w:tcPr>
            <w:tcW w:w="1775" w:type="dxa"/>
            <w:vAlign w:val="center"/>
          </w:tcPr>
          <w:p w14:paraId="433E376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0.74</w:t>
            </w:r>
          </w:p>
        </w:tc>
        <w:tc>
          <w:tcPr>
            <w:tcW w:w="1625" w:type="dxa"/>
            <w:vAlign w:val="center"/>
          </w:tcPr>
          <w:p w14:paraId="0D9CC0E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0.86</w:t>
            </w:r>
          </w:p>
        </w:tc>
        <w:tc>
          <w:tcPr>
            <w:tcW w:w="1150" w:type="dxa"/>
            <w:vAlign w:val="center"/>
          </w:tcPr>
          <w:p w14:paraId="75D9E8C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0.91</w:t>
            </w:r>
          </w:p>
        </w:tc>
        <w:tc>
          <w:tcPr>
            <w:tcW w:w="1288" w:type="dxa"/>
            <w:vAlign w:val="center"/>
          </w:tcPr>
          <w:p w14:paraId="22F84624">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0.72</w:t>
            </w:r>
          </w:p>
        </w:tc>
        <w:tc>
          <w:tcPr>
            <w:tcW w:w="1304" w:type="dxa"/>
            <w:tcBorders>
              <w:right w:val="nil"/>
            </w:tcBorders>
            <w:vAlign w:val="center"/>
          </w:tcPr>
          <w:p w14:paraId="3729216A">
            <w:pPr>
              <w:pStyle w:val="1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cs="Times New Roman"/>
                <w:b w:val="0"/>
                <w:bCs w:val="0"/>
                <w:color w:val="auto"/>
                <w:spacing w:val="0"/>
                <w:sz w:val="21"/>
                <w:szCs w:val="21"/>
              </w:rPr>
              <w:t>0.78</w:t>
            </w:r>
          </w:p>
        </w:tc>
      </w:tr>
      <w:tr w14:paraId="4438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dxa"/>
            <w:tcBorders>
              <w:left w:val="nil"/>
              <w:bottom w:val="single" w:color="auto" w:sz="12" w:space="0"/>
            </w:tcBorders>
            <w:vAlign w:val="center"/>
          </w:tcPr>
          <w:p w14:paraId="3117E0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2"/>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总磷</w:t>
            </w:r>
          </w:p>
        </w:tc>
        <w:tc>
          <w:tcPr>
            <w:tcW w:w="1062" w:type="dxa"/>
            <w:tcBorders>
              <w:bottom w:val="single" w:color="auto" w:sz="12" w:space="0"/>
            </w:tcBorders>
            <w:vAlign w:val="center"/>
          </w:tcPr>
          <w:p w14:paraId="7EF2C01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0.85</w:t>
            </w:r>
          </w:p>
        </w:tc>
        <w:tc>
          <w:tcPr>
            <w:tcW w:w="1775" w:type="dxa"/>
            <w:tcBorders>
              <w:bottom w:val="single" w:color="auto" w:sz="12" w:space="0"/>
            </w:tcBorders>
            <w:vAlign w:val="center"/>
          </w:tcPr>
          <w:p w14:paraId="70F662C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0.7</w:t>
            </w:r>
          </w:p>
        </w:tc>
        <w:tc>
          <w:tcPr>
            <w:tcW w:w="1625" w:type="dxa"/>
            <w:tcBorders>
              <w:bottom w:val="single" w:color="auto" w:sz="12" w:space="0"/>
            </w:tcBorders>
            <w:vAlign w:val="center"/>
          </w:tcPr>
          <w:p w14:paraId="3DAE25C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0.75</w:t>
            </w:r>
          </w:p>
        </w:tc>
        <w:tc>
          <w:tcPr>
            <w:tcW w:w="1150" w:type="dxa"/>
            <w:tcBorders>
              <w:bottom w:val="single" w:color="auto" w:sz="12" w:space="0"/>
            </w:tcBorders>
            <w:vAlign w:val="center"/>
          </w:tcPr>
          <w:p w14:paraId="73BD4C2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0.8</w:t>
            </w:r>
          </w:p>
        </w:tc>
        <w:tc>
          <w:tcPr>
            <w:tcW w:w="1288" w:type="dxa"/>
            <w:tcBorders>
              <w:bottom w:val="single" w:color="auto" w:sz="12" w:space="0"/>
            </w:tcBorders>
            <w:vAlign w:val="center"/>
          </w:tcPr>
          <w:p w14:paraId="1353155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0.6</w:t>
            </w:r>
          </w:p>
        </w:tc>
        <w:tc>
          <w:tcPr>
            <w:tcW w:w="1304" w:type="dxa"/>
            <w:tcBorders>
              <w:bottom w:val="single" w:color="auto" w:sz="12" w:space="0"/>
              <w:right w:val="nil"/>
            </w:tcBorders>
            <w:vAlign w:val="center"/>
          </w:tcPr>
          <w:p w14:paraId="47B4BC4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0.65</w:t>
            </w:r>
          </w:p>
        </w:tc>
      </w:tr>
    </w:tbl>
    <w:p w14:paraId="54E8CAB7">
      <w:pPr>
        <w:keepNext w:val="0"/>
        <w:keepLines w:val="0"/>
        <w:pageBreakBefore w:val="0"/>
        <w:widowControl/>
        <w:kinsoku w:val="0"/>
        <w:wordWrap/>
        <w:overflowPunct/>
        <w:topLinePunct w:val="0"/>
        <w:autoSpaceDE/>
        <w:autoSpaceDN/>
        <w:bidi w:val="0"/>
        <w:adjustRightInd w:val="0"/>
        <w:snapToGrid/>
        <w:spacing w:line="360" w:lineRule="auto"/>
        <w:ind w:firstLine="472" w:firstLineChars="200"/>
        <w:textAlignment w:val="auto"/>
        <w:rPr>
          <w:rFonts w:hint="eastAsia" w:ascii="Times New Roman" w:hAnsi="Times New Roman" w:eastAsia="宋体" w:cs="Times New Roman"/>
          <w:b/>
          <w:bCs/>
          <w:color w:val="auto"/>
          <w:spacing w:val="-3"/>
          <w:sz w:val="24"/>
          <w:szCs w:val="24"/>
          <w:lang w:val="en-US" w:eastAsia="zh-CN"/>
        </w:rPr>
      </w:pPr>
      <w:r>
        <w:rPr>
          <w:rFonts w:hint="default" w:ascii="Times New Roman" w:hAnsi="Times New Roman" w:eastAsia="宋体" w:cs="Times New Roman"/>
          <w:color w:val="auto"/>
          <w:spacing w:val="-2"/>
          <w:sz w:val="24"/>
          <w:szCs w:val="24"/>
          <w:lang w:val="en-US" w:eastAsia="zh-CN"/>
        </w:rPr>
        <w:t>评价结果表明，</w:t>
      </w:r>
      <w:r>
        <w:rPr>
          <w:rFonts w:hint="eastAsia" w:ascii="Times New Roman" w:hAnsi="Times New Roman" w:eastAsia="宋体" w:cs="Times New Roman"/>
          <w:color w:val="auto"/>
          <w:spacing w:val="-2"/>
          <w:sz w:val="24"/>
          <w:szCs w:val="24"/>
          <w:lang w:val="en-US" w:eastAsia="zh-CN"/>
        </w:rPr>
        <w:t>丰水期、</w:t>
      </w:r>
      <w:r>
        <w:rPr>
          <w:rFonts w:hint="default" w:ascii="Times New Roman" w:hAnsi="Times New Roman" w:eastAsia="宋体" w:cs="Times New Roman"/>
          <w:color w:val="auto"/>
          <w:spacing w:val="-2"/>
          <w:sz w:val="24"/>
          <w:szCs w:val="24"/>
          <w:lang w:val="en-US" w:eastAsia="zh-CN"/>
        </w:rPr>
        <w:t>枯水期各监测断面的各监测指标均满足《地表水环境质量标准》（GB3838-2002）中Ⅲ类标准限值要求。</w:t>
      </w:r>
    </w:p>
    <w:p w14:paraId="2AC80FA1">
      <w:pPr>
        <w:pStyle w:val="33"/>
        <w:rPr>
          <w:color w:val="auto"/>
        </w:rPr>
        <w:sectPr>
          <w:headerReference r:id="rId9" w:type="default"/>
          <w:pgSz w:w="11906" w:h="16839"/>
          <w:pgMar w:top="1417" w:right="1417" w:bottom="1417" w:left="1417"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31AC134B">
      <w:pPr>
        <w:widowControl/>
        <w:numPr>
          <w:ilvl w:val="0"/>
          <w:numId w:val="0"/>
        </w:numPr>
        <w:kinsoku w:val="0"/>
        <w:autoSpaceDE w:val="0"/>
        <w:autoSpaceDN w:val="0"/>
        <w:adjustRightInd w:val="0"/>
        <w:snapToGrid w:val="0"/>
        <w:spacing w:before="130" w:line="220" w:lineRule="auto"/>
        <w:jc w:val="center"/>
        <w:textAlignment w:val="baseline"/>
        <w:outlineLvl w:val="0"/>
        <w:rPr>
          <w:rFonts w:hint="default" w:ascii="Times New Roman" w:hAnsi="Times New Roman" w:eastAsia="宋体" w:cs="Times New Roman"/>
          <w:b/>
          <w:bCs/>
          <w:snapToGrid w:val="0"/>
          <w:color w:val="auto"/>
          <w:spacing w:val="-3"/>
          <w:kern w:val="0"/>
          <w:sz w:val="35"/>
          <w:szCs w:val="35"/>
          <w:lang w:eastAsia="en-US"/>
        </w:rPr>
      </w:pPr>
      <w:bookmarkStart w:id="60" w:name="bookmark31"/>
      <w:bookmarkEnd w:id="60"/>
      <w:bookmarkStart w:id="61" w:name="bookmark30"/>
      <w:bookmarkEnd w:id="61"/>
      <w:r>
        <w:rPr>
          <w:rFonts w:hint="default" w:ascii="Times New Roman" w:hAnsi="Times New Roman" w:eastAsia="宋体" w:cs="Times New Roman"/>
          <w:b/>
          <w:bCs/>
          <w:snapToGrid w:val="0"/>
          <w:color w:val="auto"/>
          <w:spacing w:val="-3"/>
          <w:kern w:val="0"/>
          <w:sz w:val="35"/>
          <w:szCs w:val="35"/>
          <w:lang w:val="en-US" w:eastAsia="en-US" w:bidi="ar-SA"/>
        </w:rPr>
        <w:t>4、</w:t>
      </w:r>
      <w:r>
        <w:rPr>
          <w:rFonts w:hint="default" w:ascii="Times New Roman" w:hAnsi="Times New Roman" w:eastAsia="宋体" w:cs="Times New Roman"/>
          <w:b/>
          <w:bCs/>
          <w:snapToGrid w:val="0"/>
          <w:color w:val="auto"/>
          <w:spacing w:val="-3"/>
          <w:kern w:val="0"/>
          <w:sz w:val="35"/>
          <w:szCs w:val="35"/>
          <w:lang w:eastAsia="en-US"/>
        </w:rPr>
        <w:t>地表水环境影响预测</w:t>
      </w:r>
    </w:p>
    <w:p w14:paraId="6E902A2C">
      <w:pPr>
        <w:pStyle w:val="5"/>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0" w:firstLineChars="0"/>
        <w:jc w:val="left"/>
        <w:textAlignment w:val="baseline"/>
        <w:outlineLvl w:val="2"/>
        <w:rPr>
          <w:rFonts w:hint="default" w:ascii="Times New Roman" w:hAnsi="Times New Roman" w:eastAsia="宋体" w:cs="Times New Roman"/>
          <w:b/>
          <w:bCs w:val="0"/>
          <w:i w:val="0"/>
          <w:snapToGrid w:val="0"/>
          <w:color w:val="auto"/>
          <w:kern w:val="0"/>
          <w:sz w:val="30"/>
          <w:szCs w:val="30"/>
          <w:lang w:val="en-US" w:eastAsia="zh-CN"/>
        </w:rPr>
      </w:pPr>
      <w:r>
        <w:rPr>
          <w:rFonts w:hint="default" w:ascii="Times New Roman" w:hAnsi="Times New Roman" w:eastAsia="宋体" w:cs="Times New Roman"/>
          <w:b/>
          <w:bCs w:val="0"/>
          <w:i w:val="0"/>
          <w:snapToGrid w:val="0"/>
          <w:color w:val="auto"/>
          <w:kern w:val="0"/>
          <w:sz w:val="30"/>
          <w:szCs w:val="30"/>
          <w:lang w:val="en-US" w:eastAsia="zh-CN"/>
        </w:rPr>
        <w:t>4.1预测因子</w:t>
      </w:r>
    </w:p>
    <w:p w14:paraId="2ECDE207">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t>排污口所排水为净水厂排泥水经压滤、沉淀处理后的上清液。根据废水排放及受纳水体的特征，确定预测因子为：COD、氨氮。</w:t>
      </w:r>
    </w:p>
    <w:p w14:paraId="1DDAB6F6">
      <w:pPr>
        <w:pStyle w:val="5"/>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0" w:firstLineChars="0"/>
        <w:jc w:val="left"/>
        <w:textAlignment w:val="baseline"/>
        <w:outlineLvl w:val="2"/>
        <w:rPr>
          <w:rFonts w:hint="default" w:ascii="Times New Roman" w:hAnsi="Times New Roman" w:eastAsia="宋体" w:cs="Times New Roman"/>
          <w:b/>
          <w:bCs w:val="0"/>
          <w:i w:val="0"/>
          <w:snapToGrid w:val="0"/>
          <w:color w:val="auto"/>
          <w:kern w:val="0"/>
          <w:sz w:val="30"/>
          <w:szCs w:val="30"/>
          <w:lang w:val="en-US" w:eastAsia="zh-CN"/>
        </w:rPr>
      </w:pPr>
      <w:r>
        <w:rPr>
          <w:rFonts w:hint="default" w:ascii="Times New Roman" w:hAnsi="Times New Roman" w:eastAsia="宋体" w:cs="Times New Roman"/>
          <w:b/>
          <w:bCs w:val="0"/>
          <w:i w:val="0"/>
          <w:snapToGrid w:val="0"/>
          <w:color w:val="auto"/>
          <w:kern w:val="0"/>
          <w:sz w:val="30"/>
          <w:szCs w:val="30"/>
          <w:lang w:val="en-US" w:eastAsia="zh-CN"/>
        </w:rPr>
        <w:t>4.2预测范围</w:t>
      </w:r>
    </w:p>
    <w:p w14:paraId="790DB8D0">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t>本次预测范围覆盖评价范围。预测范围为</w:t>
      </w:r>
      <w:r>
        <w:rPr>
          <w:rFonts w:hint="eastAsia" w:ascii="Times New Roman" w:hAnsi="Times New Roman" w:eastAsia="宋体" w:cs="Times New Roman"/>
          <w:snapToGrid w:val="0"/>
          <w:color w:val="auto"/>
          <w:spacing w:val="-5"/>
          <w:kern w:val="0"/>
          <w:sz w:val="24"/>
          <w:szCs w:val="24"/>
          <w:lang w:val="en-US" w:eastAsia="zh-CN" w:bidi="ar-SA"/>
        </w:rPr>
        <w:t>入河排污口至穆棱河</w:t>
      </w:r>
      <w:r>
        <w:rPr>
          <w:rFonts w:hint="default" w:ascii="Times New Roman" w:hAnsi="Times New Roman" w:eastAsia="宋体" w:cs="Times New Roman"/>
          <w:snapToGrid w:val="0"/>
          <w:color w:val="auto"/>
          <w:spacing w:val="-5"/>
          <w:kern w:val="0"/>
          <w:sz w:val="24"/>
          <w:szCs w:val="24"/>
          <w:lang w:val="en-US" w:eastAsia="zh-CN" w:bidi="ar-SA"/>
        </w:rPr>
        <w:t>下游1</w:t>
      </w:r>
      <w:r>
        <w:rPr>
          <w:rFonts w:hint="eastAsia" w:ascii="Times New Roman" w:hAnsi="Times New Roman" w:eastAsia="宋体" w:cs="Times New Roman"/>
          <w:snapToGrid w:val="0"/>
          <w:color w:val="auto"/>
          <w:spacing w:val="-5"/>
          <w:kern w:val="0"/>
          <w:sz w:val="24"/>
          <w:szCs w:val="24"/>
          <w:lang w:val="en-US" w:eastAsia="zh-CN" w:bidi="ar-SA"/>
        </w:rPr>
        <w:t>09.4</w:t>
      </w:r>
      <w:r>
        <w:rPr>
          <w:rFonts w:hint="default" w:ascii="Times New Roman" w:hAnsi="Times New Roman" w:eastAsia="宋体" w:cs="Times New Roman"/>
          <w:snapToGrid w:val="0"/>
          <w:color w:val="auto"/>
          <w:spacing w:val="-5"/>
          <w:kern w:val="0"/>
          <w:sz w:val="24"/>
          <w:szCs w:val="24"/>
          <w:lang w:val="en-US" w:eastAsia="zh-CN" w:bidi="ar-SA"/>
        </w:rPr>
        <w:t>km知一桥国控断面。</w:t>
      </w:r>
    </w:p>
    <w:p w14:paraId="42ECA626">
      <w:pPr>
        <w:pStyle w:val="5"/>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0" w:firstLineChars="0"/>
        <w:jc w:val="left"/>
        <w:textAlignment w:val="baseline"/>
        <w:outlineLvl w:val="2"/>
        <w:rPr>
          <w:rFonts w:hint="default" w:ascii="Times New Roman" w:hAnsi="Times New Roman" w:eastAsia="宋体" w:cs="Times New Roman"/>
          <w:b/>
          <w:bCs w:val="0"/>
          <w:i w:val="0"/>
          <w:snapToGrid w:val="0"/>
          <w:color w:val="auto"/>
          <w:kern w:val="0"/>
          <w:sz w:val="30"/>
          <w:szCs w:val="30"/>
          <w:lang w:val="en-US" w:eastAsia="zh-CN"/>
        </w:rPr>
      </w:pPr>
      <w:r>
        <w:rPr>
          <w:rFonts w:hint="default" w:ascii="Times New Roman" w:hAnsi="Times New Roman" w:eastAsia="宋体" w:cs="Times New Roman"/>
          <w:b/>
          <w:bCs w:val="0"/>
          <w:i w:val="0"/>
          <w:snapToGrid w:val="0"/>
          <w:color w:val="auto"/>
          <w:kern w:val="0"/>
          <w:sz w:val="30"/>
          <w:szCs w:val="30"/>
          <w:lang w:val="en-US" w:eastAsia="zh-CN"/>
        </w:rPr>
        <w:t>4.3预测时期</w:t>
      </w:r>
    </w:p>
    <w:p w14:paraId="3CBDDE1F">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t>预测重点分析水体自净能力最不利以及水质状况相对较差的不利时期即枯水期项目排水对穆棱河的水环境影响。</w:t>
      </w:r>
    </w:p>
    <w:p w14:paraId="5B08D8D5">
      <w:pPr>
        <w:pStyle w:val="5"/>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0" w:firstLineChars="0"/>
        <w:jc w:val="left"/>
        <w:textAlignment w:val="baseline"/>
        <w:outlineLvl w:val="2"/>
        <w:rPr>
          <w:rFonts w:hint="default" w:ascii="Times New Roman" w:hAnsi="Times New Roman" w:eastAsia="宋体" w:cs="Times New Roman"/>
          <w:b/>
          <w:bCs w:val="0"/>
          <w:i w:val="0"/>
          <w:snapToGrid w:val="0"/>
          <w:color w:val="auto"/>
          <w:kern w:val="0"/>
          <w:sz w:val="30"/>
          <w:szCs w:val="30"/>
          <w:lang w:val="en-US" w:eastAsia="zh-CN"/>
        </w:rPr>
      </w:pPr>
      <w:r>
        <w:rPr>
          <w:rFonts w:hint="default" w:ascii="Times New Roman" w:hAnsi="Times New Roman" w:eastAsia="宋体" w:cs="Times New Roman"/>
          <w:b/>
          <w:bCs w:val="0"/>
          <w:i w:val="0"/>
          <w:snapToGrid w:val="0"/>
          <w:color w:val="auto"/>
          <w:kern w:val="0"/>
          <w:sz w:val="30"/>
          <w:szCs w:val="30"/>
          <w:lang w:val="en-US" w:eastAsia="zh-CN"/>
        </w:rPr>
        <w:t>4.4预测情景</w:t>
      </w:r>
    </w:p>
    <w:p w14:paraId="0F0AB4B6">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t>发生突发环境事故下，如污水处理设施不正常运行或污水处理达不到应有效率等情况，建设项目具有充足的调节容量，因此选择生产运行期正常工况进行预测。</w:t>
      </w:r>
    </w:p>
    <w:p w14:paraId="2287B45F">
      <w:pPr>
        <w:pStyle w:val="5"/>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0" w:firstLineChars="0"/>
        <w:jc w:val="left"/>
        <w:textAlignment w:val="baseline"/>
        <w:outlineLvl w:val="2"/>
        <w:rPr>
          <w:rFonts w:hint="default" w:ascii="Times New Roman" w:hAnsi="Times New Roman" w:eastAsia="宋体" w:cs="Times New Roman"/>
          <w:b/>
          <w:bCs w:val="0"/>
          <w:i w:val="0"/>
          <w:snapToGrid w:val="0"/>
          <w:color w:val="auto"/>
          <w:kern w:val="0"/>
          <w:sz w:val="30"/>
          <w:szCs w:val="30"/>
          <w:lang w:val="en-US" w:eastAsia="zh-CN"/>
        </w:rPr>
      </w:pPr>
      <w:r>
        <w:rPr>
          <w:rFonts w:hint="default" w:ascii="Times New Roman" w:hAnsi="Times New Roman" w:eastAsia="宋体" w:cs="Times New Roman"/>
          <w:b/>
          <w:bCs w:val="0"/>
          <w:i w:val="0"/>
          <w:snapToGrid w:val="0"/>
          <w:color w:val="auto"/>
          <w:kern w:val="0"/>
          <w:sz w:val="30"/>
          <w:szCs w:val="30"/>
          <w:lang w:val="en-US" w:eastAsia="zh-CN"/>
        </w:rPr>
        <w:t>4.5预测内容</w:t>
      </w:r>
    </w:p>
    <w:p w14:paraId="06FC7038">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eastAsia" w:ascii="Times New Roman" w:hAnsi="Times New Roman" w:eastAsia="宋体" w:cs="Times New Roman"/>
          <w:snapToGrid w:val="0"/>
          <w:color w:val="auto"/>
          <w:spacing w:val="-5"/>
          <w:kern w:val="0"/>
          <w:sz w:val="24"/>
          <w:szCs w:val="24"/>
          <w:lang w:val="en-US" w:eastAsia="zh-CN" w:bidi="ar-SA"/>
        </w:rPr>
        <w:t>正常工况和非正常工况</w:t>
      </w:r>
      <w:r>
        <w:rPr>
          <w:rFonts w:hint="default" w:ascii="Times New Roman" w:hAnsi="Times New Roman" w:eastAsia="宋体" w:cs="Times New Roman"/>
          <w:snapToGrid w:val="0"/>
          <w:color w:val="auto"/>
          <w:spacing w:val="-5"/>
          <w:kern w:val="0"/>
          <w:sz w:val="24"/>
          <w:szCs w:val="24"/>
          <w:lang w:val="en-US" w:eastAsia="zh-CN" w:bidi="ar-SA"/>
        </w:rPr>
        <w:t>预测内容如下：</w:t>
      </w:r>
    </w:p>
    <w:p w14:paraId="4DB10E21">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60" w:firstLineChars="20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eastAsia" w:ascii="Times New Roman" w:hAnsi="Times New Roman" w:eastAsia="宋体" w:cs="Times New Roman"/>
          <w:snapToGrid w:val="0"/>
          <w:color w:val="auto"/>
          <w:spacing w:val="-5"/>
          <w:kern w:val="0"/>
          <w:sz w:val="24"/>
          <w:szCs w:val="24"/>
          <w:lang w:val="en-US" w:eastAsia="zh-CN" w:bidi="ar-SA"/>
        </w:rPr>
        <w:t>（1）</w:t>
      </w:r>
      <w:r>
        <w:rPr>
          <w:rFonts w:hint="default" w:ascii="Times New Roman" w:hAnsi="Times New Roman" w:eastAsia="宋体" w:cs="Times New Roman"/>
          <w:snapToGrid w:val="0"/>
          <w:color w:val="auto"/>
          <w:spacing w:val="-5"/>
          <w:kern w:val="0"/>
          <w:sz w:val="24"/>
          <w:szCs w:val="24"/>
          <w:lang w:val="en-US" w:eastAsia="zh-CN" w:bidi="ar-SA"/>
        </w:rPr>
        <w:t>排污口下游2km处污染源核算断面COD、NH</w:t>
      </w:r>
      <w:r>
        <w:rPr>
          <w:rFonts w:hint="default" w:ascii="Times New Roman" w:hAnsi="Times New Roman" w:eastAsia="宋体" w:cs="Times New Roman"/>
          <w:snapToGrid w:val="0"/>
          <w:color w:val="auto"/>
          <w:spacing w:val="-5"/>
          <w:kern w:val="0"/>
          <w:sz w:val="24"/>
          <w:szCs w:val="24"/>
          <w:vertAlign w:val="subscript"/>
          <w:lang w:val="en-US" w:eastAsia="zh-CN" w:bidi="ar-SA"/>
        </w:rPr>
        <w:t>3</w:t>
      </w:r>
      <w:r>
        <w:rPr>
          <w:rFonts w:hint="default" w:ascii="Times New Roman" w:hAnsi="Times New Roman" w:eastAsia="宋体" w:cs="Times New Roman"/>
          <w:snapToGrid w:val="0"/>
          <w:color w:val="auto"/>
          <w:spacing w:val="-5"/>
          <w:kern w:val="0"/>
          <w:sz w:val="24"/>
          <w:szCs w:val="24"/>
          <w:lang w:val="en-US" w:eastAsia="zh-CN" w:bidi="ar-SA"/>
        </w:rPr>
        <w:t>-N的浓度及变化；</w:t>
      </w:r>
    </w:p>
    <w:p w14:paraId="1B992994">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60" w:firstLineChars="20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eastAsia" w:ascii="Times New Roman" w:hAnsi="Times New Roman" w:eastAsia="宋体" w:cs="Times New Roman"/>
          <w:snapToGrid w:val="0"/>
          <w:color w:val="auto"/>
          <w:spacing w:val="-5"/>
          <w:kern w:val="0"/>
          <w:sz w:val="24"/>
          <w:szCs w:val="24"/>
          <w:lang w:val="en-US" w:eastAsia="zh-CN" w:bidi="ar-SA"/>
        </w:rPr>
        <w:t>（2）</w:t>
      </w:r>
      <w:r>
        <w:rPr>
          <w:rFonts w:hint="default" w:ascii="Times New Roman" w:hAnsi="Times New Roman" w:eastAsia="宋体" w:cs="Times New Roman"/>
          <w:snapToGrid w:val="0"/>
          <w:color w:val="auto"/>
          <w:spacing w:val="-5"/>
          <w:kern w:val="0"/>
          <w:sz w:val="24"/>
          <w:szCs w:val="24"/>
          <w:lang w:val="en-US" w:eastAsia="zh-CN" w:bidi="ar-SA"/>
        </w:rPr>
        <w:t>排污口下游国控断面（知一桥国控断面）COD、NH</w:t>
      </w:r>
      <w:r>
        <w:rPr>
          <w:rFonts w:hint="default" w:ascii="Times New Roman" w:hAnsi="Times New Roman" w:eastAsia="宋体" w:cs="Times New Roman"/>
          <w:snapToGrid w:val="0"/>
          <w:color w:val="auto"/>
          <w:spacing w:val="-5"/>
          <w:kern w:val="0"/>
          <w:sz w:val="24"/>
          <w:szCs w:val="24"/>
          <w:vertAlign w:val="subscript"/>
          <w:lang w:val="en-US" w:eastAsia="zh-CN" w:bidi="ar-SA"/>
        </w:rPr>
        <w:t>3</w:t>
      </w:r>
      <w:r>
        <w:rPr>
          <w:rFonts w:hint="default" w:ascii="Times New Roman" w:hAnsi="Times New Roman" w:eastAsia="宋体" w:cs="Times New Roman"/>
          <w:snapToGrid w:val="0"/>
          <w:color w:val="auto"/>
          <w:spacing w:val="-5"/>
          <w:kern w:val="0"/>
          <w:sz w:val="24"/>
          <w:szCs w:val="24"/>
          <w:lang w:val="en-US" w:eastAsia="zh-CN" w:bidi="ar-SA"/>
        </w:rPr>
        <w:t>-N的浓度及变化；</w:t>
      </w:r>
    </w:p>
    <w:p w14:paraId="60A819E6">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60" w:firstLineChars="20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eastAsia" w:ascii="Times New Roman" w:hAnsi="Times New Roman" w:eastAsia="宋体" w:cs="Times New Roman"/>
          <w:snapToGrid w:val="0"/>
          <w:color w:val="auto"/>
          <w:spacing w:val="-5"/>
          <w:kern w:val="0"/>
          <w:sz w:val="24"/>
          <w:szCs w:val="24"/>
          <w:lang w:val="en-US" w:eastAsia="zh-CN" w:bidi="ar-SA"/>
        </w:rPr>
        <w:t>（3）</w:t>
      </w:r>
      <w:r>
        <w:rPr>
          <w:rFonts w:hint="default" w:ascii="Times New Roman" w:hAnsi="Times New Roman" w:eastAsia="宋体" w:cs="Times New Roman"/>
          <w:snapToGrid w:val="0"/>
          <w:color w:val="auto"/>
          <w:spacing w:val="-5"/>
          <w:kern w:val="0"/>
          <w:sz w:val="24"/>
          <w:szCs w:val="24"/>
          <w:lang w:val="en-US" w:eastAsia="zh-CN" w:bidi="ar-SA"/>
        </w:rPr>
        <w:t>排污口下游鸡冠山渠首农业灌溉取水口COD、NH</w:t>
      </w:r>
      <w:r>
        <w:rPr>
          <w:rFonts w:hint="default" w:ascii="Times New Roman" w:hAnsi="Times New Roman" w:eastAsia="宋体" w:cs="Times New Roman"/>
          <w:snapToGrid w:val="0"/>
          <w:color w:val="auto"/>
          <w:spacing w:val="-5"/>
          <w:kern w:val="0"/>
          <w:sz w:val="24"/>
          <w:szCs w:val="24"/>
          <w:vertAlign w:val="subscript"/>
          <w:lang w:val="en-US" w:eastAsia="zh-CN" w:bidi="ar-SA"/>
        </w:rPr>
        <w:t>3</w:t>
      </w:r>
      <w:r>
        <w:rPr>
          <w:rFonts w:hint="default" w:ascii="Times New Roman" w:hAnsi="Times New Roman" w:eastAsia="宋体" w:cs="Times New Roman"/>
          <w:snapToGrid w:val="0"/>
          <w:color w:val="auto"/>
          <w:spacing w:val="-5"/>
          <w:kern w:val="0"/>
          <w:sz w:val="24"/>
          <w:szCs w:val="24"/>
          <w:lang w:val="en-US" w:eastAsia="zh-CN" w:bidi="ar-SA"/>
        </w:rPr>
        <w:t>-N的浓度及变化；</w:t>
      </w:r>
    </w:p>
    <w:p w14:paraId="473F06AD">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60" w:firstLineChars="20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eastAsia" w:ascii="Times New Roman" w:hAnsi="Times New Roman" w:eastAsia="宋体" w:cs="Times New Roman"/>
          <w:snapToGrid w:val="0"/>
          <w:color w:val="auto"/>
          <w:spacing w:val="-5"/>
          <w:kern w:val="0"/>
          <w:sz w:val="24"/>
          <w:szCs w:val="24"/>
          <w:lang w:val="en-US" w:eastAsia="zh-CN" w:bidi="ar-SA"/>
        </w:rPr>
        <w:t>（4）</w:t>
      </w:r>
      <w:r>
        <w:rPr>
          <w:rFonts w:hint="default" w:ascii="Times New Roman" w:hAnsi="Times New Roman" w:eastAsia="宋体" w:cs="Times New Roman"/>
          <w:snapToGrid w:val="0"/>
          <w:color w:val="auto"/>
          <w:spacing w:val="-5"/>
          <w:kern w:val="0"/>
          <w:sz w:val="24"/>
          <w:szCs w:val="24"/>
          <w:lang w:val="en-US" w:eastAsia="zh-CN" w:bidi="ar-SA"/>
        </w:rPr>
        <w:t>COD、NH</w:t>
      </w:r>
      <w:r>
        <w:rPr>
          <w:rFonts w:hint="default" w:ascii="Times New Roman" w:hAnsi="Times New Roman" w:eastAsia="宋体" w:cs="Times New Roman"/>
          <w:snapToGrid w:val="0"/>
          <w:color w:val="auto"/>
          <w:spacing w:val="-5"/>
          <w:kern w:val="0"/>
          <w:sz w:val="24"/>
          <w:szCs w:val="24"/>
          <w:vertAlign w:val="subscript"/>
          <w:lang w:val="en-US" w:eastAsia="zh-CN" w:bidi="ar-SA"/>
        </w:rPr>
        <w:t>3</w:t>
      </w:r>
      <w:r>
        <w:rPr>
          <w:rFonts w:hint="default" w:ascii="Times New Roman" w:hAnsi="Times New Roman" w:eastAsia="宋体" w:cs="Times New Roman"/>
          <w:snapToGrid w:val="0"/>
          <w:color w:val="auto"/>
          <w:spacing w:val="-5"/>
          <w:kern w:val="0"/>
          <w:sz w:val="24"/>
          <w:szCs w:val="24"/>
          <w:lang w:val="en-US" w:eastAsia="zh-CN" w:bidi="ar-SA"/>
        </w:rPr>
        <w:t>-N最大影响范围；</w:t>
      </w:r>
    </w:p>
    <w:p w14:paraId="487A2DFB">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60" w:firstLineChars="20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eastAsia" w:ascii="Times New Roman" w:hAnsi="Times New Roman" w:eastAsia="宋体" w:cs="Times New Roman"/>
          <w:snapToGrid w:val="0"/>
          <w:color w:val="auto"/>
          <w:spacing w:val="-5"/>
          <w:kern w:val="0"/>
          <w:sz w:val="24"/>
          <w:szCs w:val="24"/>
          <w:lang w:val="en-US" w:eastAsia="zh-CN" w:bidi="ar-SA"/>
        </w:rPr>
        <w:t>（5）</w:t>
      </w:r>
      <w:r>
        <w:rPr>
          <w:rFonts w:hint="default" w:ascii="Times New Roman" w:hAnsi="Times New Roman" w:eastAsia="宋体" w:cs="Times New Roman"/>
          <w:snapToGrid w:val="0"/>
          <w:color w:val="auto"/>
          <w:spacing w:val="-5"/>
          <w:kern w:val="0"/>
          <w:sz w:val="24"/>
          <w:szCs w:val="24"/>
          <w:lang w:val="en-US" w:eastAsia="zh-CN" w:bidi="ar-SA"/>
        </w:rPr>
        <w:t>排污口形成的混合区范围。</w:t>
      </w:r>
    </w:p>
    <w:p w14:paraId="3C2A2ED4">
      <w:pPr>
        <w:pStyle w:val="5"/>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0" w:firstLineChars="0"/>
        <w:jc w:val="left"/>
        <w:textAlignment w:val="baseline"/>
        <w:outlineLvl w:val="2"/>
        <w:rPr>
          <w:rFonts w:hint="default" w:ascii="Times New Roman" w:hAnsi="Times New Roman" w:eastAsia="宋体" w:cs="Times New Roman"/>
          <w:b/>
          <w:bCs w:val="0"/>
          <w:i w:val="0"/>
          <w:snapToGrid w:val="0"/>
          <w:color w:val="auto"/>
          <w:kern w:val="0"/>
          <w:sz w:val="30"/>
          <w:szCs w:val="30"/>
          <w:lang w:val="en-US" w:eastAsia="zh-CN"/>
        </w:rPr>
      </w:pPr>
      <w:r>
        <w:rPr>
          <w:rFonts w:hint="default" w:ascii="Times New Roman" w:hAnsi="Times New Roman" w:eastAsia="宋体" w:cs="Times New Roman"/>
          <w:b/>
          <w:bCs w:val="0"/>
          <w:i w:val="0"/>
          <w:snapToGrid w:val="0"/>
          <w:color w:val="auto"/>
          <w:kern w:val="0"/>
          <w:sz w:val="30"/>
          <w:szCs w:val="30"/>
          <w:lang w:val="en-US" w:eastAsia="zh-CN"/>
        </w:rPr>
        <w:t>4.6预测评价标准</w:t>
      </w:r>
    </w:p>
    <w:p w14:paraId="6E37DF3C">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color w:val="auto"/>
          <w:sz w:val="24"/>
          <w:szCs w:val="24"/>
          <w:lang w:val="en-US" w:eastAsia="zh-CN"/>
        </w:rPr>
        <w:t>本项目受纳水体预测范围</w:t>
      </w:r>
      <w:r>
        <w:rPr>
          <w:rFonts w:hint="eastAsia" w:ascii="Times New Roman" w:hAnsi="Times New Roman" w:eastAsia="宋体" w:cs="Times New Roman"/>
          <w:color w:val="auto"/>
          <w:sz w:val="24"/>
          <w:szCs w:val="24"/>
          <w:lang w:val="en-US" w:eastAsia="zh-CN"/>
        </w:rPr>
        <w:t>红光沟和穆棱河段</w:t>
      </w:r>
      <w:r>
        <w:rPr>
          <w:rFonts w:hint="default" w:ascii="Times New Roman" w:hAnsi="Times New Roman" w:eastAsia="宋体" w:cs="Times New Roman"/>
          <w:color w:val="auto"/>
          <w:sz w:val="24"/>
          <w:szCs w:val="24"/>
          <w:lang w:val="en-US" w:eastAsia="zh-CN"/>
        </w:rPr>
        <w:t>属于地表水水域环境功能III类，水环境质量执行</w:t>
      </w:r>
      <w:r>
        <w:rPr>
          <w:rFonts w:hint="default" w:ascii="Times New Roman" w:hAnsi="Times New Roman" w:eastAsia="宋体" w:cs="Times New Roman"/>
          <w:snapToGrid w:val="0"/>
          <w:color w:val="auto"/>
          <w:spacing w:val="-5"/>
          <w:kern w:val="0"/>
          <w:sz w:val="24"/>
          <w:szCs w:val="24"/>
          <w:lang w:val="en-US" w:eastAsia="zh-CN" w:bidi="ar-SA"/>
        </w:rPr>
        <w:t>《地表水环境质量标准》（GB3838-2002）表1中三类标准。根据导则要求，遵循地表水环境质量底线要求，主要污染物（化学需氧量、氨氮、总磷、总氮）需预留必要的安全余量。安全余量可按地表水环境质量标准、受纳水体环境敏感性等确定：受纳水体为GB 3838 Ⅲ类水域，以及涉及水环境保护目标的水域，安全余量按照不低于建设项目污染源排放量核算断面（点位）处环境质量标准的10%确定（安全余量≥环境质量标准×10％）。确定本项目COD、NH</w:t>
      </w:r>
      <w:r>
        <w:rPr>
          <w:rFonts w:hint="default" w:ascii="Times New Roman" w:hAnsi="Times New Roman" w:eastAsia="宋体" w:cs="Times New Roman"/>
          <w:snapToGrid w:val="0"/>
          <w:color w:val="auto"/>
          <w:spacing w:val="-5"/>
          <w:kern w:val="0"/>
          <w:sz w:val="24"/>
          <w:szCs w:val="24"/>
          <w:vertAlign w:val="subscript"/>
          <w:lang w:val="en-US" w:eastAsia="zh-CN" w:bidi="ar-SA"/>
        </w:rPr>
        <w:t>3</w:t>
      </w:r>
      <w:r>
        <w:rPr>
          <w:rFonts w:hint="default" w:ascii="Times New Roman" w:hAnsi="Times New Roman" w:eastAsia="宋体" w:cs="Times New Roman"/>
          <w:snapToGrid w:val="0"/>
          <w:color w:val="auto"/>
          <w:spacing w:val="-5"/>
          <w:kern w:val="0"/>
          <w:sz w:val="24"/>
          <w:szCs w:val="24"/>
          <w:lang w:val="en-US" w:eastAsia="zh-CN" w:bidi="ar-SA"/>
        </w:rPr>
        <w:t>-N预测浓度评价标准分别为18mg/m</w:t>
      </w:r>
      <w:r>
        <w:rPr>
          <w:rFonts w:hint="default" w:ascii="Times New Roman" w:hAnsi="Times New Roman" w:eastAsia="宋体" w:cs="Times New Roman"/>
          <w:snapToGrid w:val="0"/>
          <w:color w:val="auto"/>
          <w:spacing w:val="-5"/>
          <w:kern w:val="0"/>
          <w:sz w:val="24"/>
          <w:szCs w:val="24"/>
          <w:vertAlign w:val="superscript"/>
          <w:lang w:val="en-US" w:eastAsia="zh-CN" w:bidi="ar-SA"/>
        </w:rPr>
        <w:t>3</w:t>
      </w:r>
      <w:r>
        <w:rPr>
          <w:rFonts w:hint="default" w:ascii="Times New Roman" w:hAnsi="Times New Roman" w:eastAsia="宋体" w:cs="Times New Roman"/>
          <w:snapToGrid w:val="0"/>
          <w:color w:val="auto"/>
          <w:spacing w:val="-5"/>
          <w:kern w:val="0"/>
          <w:sz w:val="24"/>
          <w:szCs w:val="24"/>
          <w:lang w:val="en-US" w:eastAsia="zh-CN" w:bidi="ar-SA"/>
        </w:rPr>
        <w:t>、0.8mg/m</w:t>
      </w:r>
      <w:r>
        <w:rPr>
          <w:rFonts w:hint="default" w:ascii="Times New Roman" w:hAnsi="Times New Roman" w:eastAsia="宋体" w:cs="Times New Roman"/>
          <w:snapToGrid w:val="0"/>
          <w:color w:val="auto"/>
          <w:spacing w:val="-5"/>
          <w:kern w:val="0"/>
          <w:sz w:val="24"/>
          <w:szCs w:val="24"/>
          <w:vertAlign w:val="superscript"/>
          <w:lang w:val="en-US" w:eastAsia="zh-CN" w:bidi="ar-SA"/>
        </w:rPr>
        <w:t>3</w:t>
      </w:r>
      <w:r>
        <w:rPr>
          <w:rFonts w:hint="default" w:ascii="Times New Roman" w:hAnsi="Times New Roman" w:eastAsia="宋体" w:cs="Times New Roman"/>
          <w:snapToGrid w:val="0"/>
          <w:color w:val="auto"/>
          <w:spacing w:val="-5"/>
          <w:kern w:val="0"/>
          <w:sz w:val="24"/>
          <w:szCs w:val="24"/>
          <w:lang w:val="en-US" w:eastAsia="zh-CN" w:bidi="ar-SA"/>
        </w:rPr>
        <w:t>。</w:t>
      </w:r>
    </w:p>
    <w:p w14:paraId="71A41AB2">
      <w:pPr>
        <w:pStyle w:val="5"/>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0" w:firstLineChars="0"/>
        <w:jc w:val="left"/>
        <w:textAlignment w:val="baseline"/>
        <w:outlineLvl w:val="2"/>
        <w:rPr>
          <w:rFonts w:hint="default" w:ascii="Times New Roman" w:hAnsi="Times New Roman" w:eastAsia="宋体" w:cs="Times New Roman"/>
          <w:b/>
          <w:bCs w:val="0"/>
          <w:i w:val="0"/>
          <w:snapToGrid w:val="0"/>
          <w:color w:val="auto"/>
          <w:kern w:val="0"/>
          <w:sz w:val="30"/>
          <w:szCs w:val="30"/>
          <w:lang w:val="en-US" w:eastAsia="zh-CN"/>
        </w:rPr>
      </w:pPr>
      <w:r>
        <w:rPr>
          <w:rFonts w:hint="default" w:ascii="Times New Roman" w:hAnsi="Times New Roman" w:eastAsia="宋体" w:cs="Times New Roman"/>
          <w:b/>
          <w:bCs w:val="0"/>
          <w:i w:val="0"/>
          <w:snapToGrid w:val="0"/>
          <w:color w:val="auto"/>
          <w:kern w:val="0"/>
          <w:sz w:val="30"/>
          <w:szCs w:val="30"/>
          <w:lang w:val="en-US" w:eastAsia="zh-CN"/>
        </w:rPr>
        <w:t>4.7预测模型</w:t>
      </w:r>
    </w:p>
    <w:p w14:paraId="4A10B023">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t>1、模型选取</w:t>
      </w:r>
    </w:p>
    <w:p w14:paraId="5CF0A6F1">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t>本项目受纳水体为</w:t>
      </w:r>
      <w:r>
        <w:rPr>
          <w:rFonts w:hint="eastAsia" w:ascii="Times New Roman" w:hAnsi="Times New Roman" w:eastAsia="宋体" w:cs="Times New Roman"/>
          <w:snapToGrid w:val="0"/>
          <w:color w:val="auto"/>
          <w:spacing w:val="-5"/>
          <w:kern w:val="0"/>
          <w:sz w:val="24"/>
          <w:szCs w:val="24"/>
          <w:lang w:val="en-US" w:eastAsia="zh-CN" w:bidi="ar-SA"/>
        </w:rPr>
        <w:t>红光沟和</w:t>
      </w:r>
      <w:r>
        <w:rPr>
          <w:rFonts w:hint="default" w:ascii="Times New Roman" w:hAnsi="Times New Roman" w:eastAsia="宋体" w:cs="Times New Roman"/>
          <w:snapToGrid w:val="0"/>
          <w:color w:val="auto"/>
          <w:spacing w:val="-5"/>
          <w:kern w:val="0"/>
          <w:sz w:val="24"/>
          <w:szCs w:val="24"/>
          <w:lang w:val="en-US" w:eastAsia="zh-CN" w:bidi="ar-SA"/>
        </w:rPr>
        <w:t>穆棱河，选择河流数学模型解析解。由于</w:t>
      </w:r>
      <w:r>
        <w:rPr>
          <w:rFonts w:hint="eastAsia" w:ascii="Times New Roman" w:hAnsi="Times New Roman" w:eastAsia="宋体" w:cs="Times New Roman"/>
          <w:snapToGrid w:val="0"/>
          <w:color w:val="auto"/>
          <w:spacing w:val="-5"/>
          <w:kern w:val="0"/>
          <w:sz w:val="24"/>
          <w:szCs w:val="24"/>
          <w:lang w:val="en-US" w:eastAsia="zh-CN" w:bidi="ar-SA"/>
        </w:rPr>
        <w:t>红光沟水深低，河宽小，因此沿程横断面均匀混合，采用纵向一维数学模型；</w:t>
      </w:r>
      <w:r>
        <w:rPr>
          <w:rFonts w:hint="default" w:ascii="Times New Roman" w:hAnsi="Times New Roman" w:eastAsia="宋体" w:cs="Times New Roman"/>
          <w:snapToGrid w:val="0"/>
          <w:color w:val="auto"/>
          <w:spacing w:val="-5"/>
          <w:kern w:val="0"/>
          <w:sz w:val="24"/>
          <w:szCs w:val="24"/>
          <w:lang w:val="en-US" w:eastAsia="zh-CN" w:bidi="ar-SA"/>
        </w:rPr>
        <w:t>穆棱河水深较浅，平均为1.1m，故认为在整个垂向上均匀混合，根据河流数学模型适用条件，</w:t>
      </w:r>
      <w:r>
        <w:rPr>
          <w:rFonts w:hint="eastAsia" w:ascii="Times New Roman" w:hAnsi="Times New Roman" w:eastAsia="宋体" w:cs="Times New Roman"/>
          <w:snapToGrid w:val="0"/>
          <w:color w:val="auto"/>
          <w:spacing w:val="-5"/>
          <w:kern w:val="0"/>
          <w:sz w:val="24"/>
          <w:szCs w:val="24"/>
          <w:lang w:val="en-US" w:eastAsia="zh-CN" w:bidi="ar-SA"/>
        </w:rPr>
        <w:t>穆棱河</w:t>
      </w:r>
      <w:r>
        <w:rPr>
          <w:rFonts w:hint="default" w:ascii="Times New Roman" w:hAnsi="Times New Roman" w:eastAsia="宋体" w:cs="Times New Roman"/>
          <w:snapToGrid w:val="0"/>
          <w:color w:val="auto"/>
          <w:spacing w:val="-5"/>
          <w:kern w:val="0"/>
          <w:sz w:val="24"/>
          <w:szCs w:val="24"/>
          <w:lang w:val="en-US" w:eastAsia="zh-CN" w:bidi="ar-SA"/>
        </w:rPr>
        <w:t>预测河段采用平面二维模型。</w:t>
      </w:r>
    </w:p>
    <w:p w14:paraId="401FDCBC">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eastAsia" w:ascii="Times New Roman" w:hAnsi="Times New Roman" w:eastAsia="宋体" w:cs="Times New Roman"/>
          <w:snapToGrid w:val="0"/>
          <w:color w:val="auto"/>
          <w:spacing w:val="-5"/>
          <w:kern w:val="0"/>
          <w:sz w:val="24"/>
          <w:szCs w:val="24"/>
          <w:lang w:val="en-US" w:eastAsia="zh-CN" w:bidi="ar-SA"/>
        </w:rPr>
      </w:pPr>
      <w:r>
        <w:rPr>
          <w:rFonts w:hint="eastAsia" w:ascii="Times New Roman" w:hAnsi="Times New Roman" w:eastAsia="宋体" w:cs="Times New Roman"/>
          <w:snapToGrid w:val="0"/>
          <w:color w:val="auto"/>
          <w:spacing w:val="-5"/>
          <w:kern w:val="0"/>
          <w:sz w:val="24"/>
          <w:szCs w:val="24"/>
          <w:lang w:val="en-US" w:eastAsia="zh-CN" w:bidi="ar-SA"/>
        </w:rPr>
        <w:fldChar w:fldCharType="begin"/>
      </w:r>
      <w:r>
        <w:rPr>
          <w:rFonts w:hint="eastAsia" w:ascii="Times New Roman" w:hAnsi="Times New Roman" w:eastAsia="宋体" w:cs="Times New Roman"/>
          <w:snapToGrid w:val="0"/>
          <w:color w:val="auto"/>
          <w:spacing w:val="-5"/>
          <w:kern w:val="0"/>
          <w:sz w:val="24"/>
          <w:szCs w:val="24"/>
          <w:lang w:val="en-US" w:eastAsia="zh-CN" w:bidi="ar-SA"/>
        </w:rPr>
        <w:instrText xml:space="preserve"> = 1 \* GB2 \* MERGEFORMAT </w:instrText>
      </w:r>
      <w:r>
        <w:rPr>
          <w:rFonts w:hint="eastAsia" w:ascii="Times New Roman" w:hAnsi="Times New Roman" w:eastAsia="宋体" w:cs="Times New Roman"/>
          <w:snapToGrid w:val="0"/>
          <w:color w:val="auto"/>
          <w:spacing w:val="-5"/>
          <w:kern w:val="0"/>
          <w:sz w:val="24"/>
          <w:szCs w:val="24"/>
          <w:lang w:val="en-US" w:eastAsia="zh-CN" w:bidi="ar-SA"/>
        </w:rPr>
        <w:fldChar w:fldCharType="separate"/>
      </w:r>
      <w:r>
        <w:rPr>
          <w:rFonts w:hint="default" w:ascii="Times New Roman" w:hAnsi="Times New Roman" w:eastAsia="宋体" w:cs="Times New Roman"/>
          <w:snapToGrid w:val="0"/>
          <w:color w:val="auto"/>
          <w:spacing w:val="-5"/>
          <w:kern w:val="0"/>
          <w:sz w:val="24"/>
          <w:szCs w:val="24"/>
          <w:lang w:val="en-US" w:eastAsia="zh-CN" w:bidi="ar-SA"/>
        </w:rPr>
        <w:t>⑴</w:t>
      </w:r>
      <w:r>
        <w:rPr>
          <w:rFonts w:hint="eastAsia" w:ascii="Times New Roman" w:hAnsi="Times New Roman" w:eastAsia="宋体" w:cs="Times New Roman"/>
          <w:snapToGrid w:val="0"/>
          <w:color w:val="auto"/>
          <w:spacing w:val="-5"/>
          <w:kern w:val="0"/>
          <w:sz w:val="24"/>
          <w:szCs w:val="24"/>
          <w:lang w:val="en-US" w:eastAsia="zh-CN" w:bidi="ar-SA"/>
        </w:rPr>
        <w:fldChar w:fldCharType="end"/>
      </w:r>
      <w:r>
        <w:rPr>
          <w:rFonts w:hint="eastAsia" w:ascii="Times New Roman" w:hAnsi="Times New Roman" w:eastAsia="宋体" w:cs="Times New Roman"/>
          <w:snapToGrid w:val="0"/>
          <w:color w:val="auto"/>
          <w:spacing w:val="-5"/>
          <w:kern w:val="0"/>
          <w:sz w:val="24"/>
          <w:szCs w:val="24"/>
          <w:lang w:val="en-US" w:eastAsia="zh-CN" w:bidi="ar-SA"/>
        </w:rPr>
        <w:t>纵向一维连续稳定排放</w:t>
      </w:r>
    </w:p>
    <w:p w14:paraId="5A672935">
      <w:pPr>
        <w:keepNext w:val="0"/>
        <w:keepLines w:val="0"/>
        <w:pageBreakBefore w:val="0"/>
        <w:widowControl/>
        <w:suppressLineNumbers w:val="0"/>
        <w:wordWrap/>
        <w:overflowPunct/>
        <w:topLinePunct w:val="0"/>
        <w:bidi w:val="0"/>
        <w:adjustRightInd w:val="0"/>
        <w:snapToGrid w:val="0"/>
        <w:spacing w:line="360" w:lineRule="auto"/>
        <w:ind w:firstLine="480" w:firstLineChars="200"/>
        <w:jc w:val="left"/>
        <w:rPr>
          <w:rFonts w:hint="default" w:ascii="Times New Roman" w:hAnsi="Times New Roman" w:eastAsia="宋体" w:cs="Times New Roman"/>
          <w:snapToGrid w:val="0"/>
          <w:color w:val="auto"/>
          <w:kern w:val="0"/>
          <w:sz w:val="24"/>
          <w:szCs w:val="24"/>
          <w:lang w:val="en-US" w:eastAsia="zh-CN" w:bidi="ar"/>
        </w:rPr>
      </w:pPr>
      <w:r>
        <w:rPr>
          <w:rFonts w:hint="default" w:ascii="Times New Roman" w:hAnsi="Times New Roman" w:eastAsia="宋体" w:cs="Times New Roman"/>
          <w:snapToGrid w:val="0"/>
          <w:color w:val="auto"/>
          <w:kern w:val="0"/>
          <w:sz w:val="24"/>
          <w:szCs w:val="24"/>
          <w:lang w:val="en-US" w:eastAsia="zh-CN" w:bidi="ar"/>
        </w:rPr>
        <w:t>根据河流纵向一维水质模型方程的简化、分类判别条件（即：O’Connor 数α和贝克来数Pe的临界值），选择相应的解析解公式。</w:t>
      </w:r>
    </w:p>
    <w:p w14:paraId="6556BD5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0" w:firstLineChars="0"/>
        <w:jc w:val="center"/>
        <w:textAlignment w:val="baseline"/>
        <w:rPr>
          <w:rFonts w:hint="eastAsia" w:ascii="Times New Roman" w:hAnsi="Times New Roman" w:eastAsia="宋体" w:cs="Times New Roman"/>
          <w:snapToGrid w:val="0"/>
          <w:color w:val="auto"/>
          <w:kern w:val="0"/>
          <w:sz w:val="24"/>
          <w:szCs w:val="24"/>
          <w:lang w:val="en-US" w:eastAsia="zh-CN" w:bidi="ar"/>
        </w:rPr>
      </w:pPr>
      <m:oMathPara>
        <m:oMathParaPr>
          <m:jc m:val="center"/>
        </m:oMathParaPr>
        <m:oMath>
          <m:r>
            <m:rPr>
              <m:sty m:val="p"/>
            </m:rPr>
            <w:rPr>
              <w:rFonts w:hint="eastAsia" w:ascii="Times New Roman" w:hAnsi="Times New Roman" w:eastAsia="宋体" w:cs="Times New Roman"/>
              <w:snapToGrid w:val="0"/>
              <w:color w:val="auto"/>
              <w:kern w:val="0"/>
              <w:sz w:val="24"/>
              <w:szCs w:val="24"/>
              <w:lang w:val="en-US" w:eastAsia="zh-CN" w:bidi="ar"/>
            </w:rPr>
            <m:t>α=</m:t>
          </m:r>
          <m:f>
            <m:fPr>
              <m:ctrlPr>
                <w:rPr>
                  <w:rFonts w:hint="eastAsia" w:ascii="Cambria Math" w:hAnsi="Cambria Math" w:eastAsia="宋体" w:cs="Times New Roman"/>
                  <w:snapToGrid w:val="0"/>
                  <w:color w:val="auto"/>
                  <w:kern w:val="0"/>
                  <w:sz w:val="24"/>
                  <w:szCs w:val="24"/>
                  <w:lang w:val="en-US" w:eastAsia="zh-CN" w:bidi="ar"/>
                </w:rPr>
              </m:ctrlPr>
            </m:fPr>
            <m:num>
              <m:r>
                <m:rPr>
                  <m:sty m:val="p"/>
                </m:rPr>
                <w:rPr>
                  <w:rFonts w:hint="eastAsia" w:ascii="Times New Roman" w:hAnsi="Times New Roman" w:eastAsia="宋体" w:cs="Times New Roman"/>
                  <w:snapToGrid w:val="0"/>
                  <w:color w:val="auto"/>
                  <w:kern w:val="0"/>
                  <w:sz w:val="24"/>
                  <w:szCs w:val="24"/>
                  <w:lang w:val="en-US" w:eastAsia="zh-CN" w:bidi="ar"/>
                </w:rPr>
                <m:t>k</m:t>
              </m:r>
              <m:sSub>
                <m:sSubPr>
                  <m:ctrlPr>
                    <w:rPr>
                      <w:rFonts w:hint="eastAsia" w:ascii="Cambria Math" w:hAnsi="Cambria Math" w:eastAsia="宋体" w:cs="Times New Roman"/>
                      <w:snapToGrid w:val="0"/>
                      <w:color w:val="auto"/>
                      <w:kern w:val="0"/>
                      <w:sz w:val="24"/>
                      <w:szCs w:val="24"/>
                      <w:lang w:val="en-US" w:eastAsia="zh-CN" w:bidi="ar"/>
                    </w:rPr>
                  </m:ctrlPr>
                </m:sSubPr>
                <m:e>
                  <m:r>
                    <m:rPr>
                      <m:sty m:val="p"/>
                    </m:rPr>
                    <w:rPr>
                      <w:rFonts w:hint="eastAsia" w:ascii="Times New Roman" w:hAnsi="Times New Roman" w:eastAsia="宋体" w:cs="Times New Roman"/>
                      <w:snapToGrid w:val="0"/>
                      <w:color w:val="auto"/>
                      <w:kern w:val="0"/>
                      <w:sz w:val="24"/>
                      <w:szCs w:val="24"/>
                      <w:lang w:val="en-US" w:eastAsia="zh-CN" w:bidi="ar"/>
                    </w:rPr>
                    <m:t>E</m:t>
                  </m:r>
                  <m:ctrlPr>
                    <w:rPr>
                      <w:rFonts w:hint="eastAsia" w:ascii="Cambria Math" w:hAnsi="Cambria Math" w:eastAsia="宋体" w:cs="Times New Roman"/>
                      <w:snapToGrid w:val="0"/>
                      <w:color w:val="auto"/>
                      <w:kern w:val="0"/>
                      <w:sz w:val="24"/>
                      <w:szCs w:val="24"/>
                      <w:lang w:val="en-US" w:eastAsia="zh-CN" w:bidi="ar"/>
                    </w:rPr>
                  </m:ctrlPr>
                </m:e>
                <m:sub>
                  <m:r>
                    <m:rPr>
                      <m:sty m:val="p"/>
                    </m:rPr>
                    <w:rPr>
                      <w:rFonts w:hint="eastAsia" w:ascii="Times New Roman" w:hAnsi="Times New Roman" w:eastAsia="宋体" w:cs="Times New Roman"/>
                      <w:snapToGrid w:val="0"/>
                      <w:color w:val="auto"/>
                      <w:kern w:val="0"/>
                      <w:sz w:val="24"/>
                      <w:szCs w:val="24"/>
                      <w:lang w:val="en-US" w:eastAsia="zh-CN" w:bidi="ar"/>
                    </w:rPr>
                    <m:t>x</m:t>
                  </m:r>
                  <m:ctrlPr>
                    <w:rPr>
                      <w:rFonts w:hint="eastAsia" w:ascii="Cambria Math" w:hAnsi="Cambria Math" w:eastAsia="宋体" w:cs="Times New Roman"/>
                      <w:snapToGrid w:val="0"/>
                      <w:color w:val="auto"/>
                      <w:kern w:val="0"/>
                      <w:sz w:val="24"/>
                      <w:szCs w:val="24"/>
                      <w:lang w:val="en-US" w:eastAsia="zh-CN" w:bidi="ar"/>
                    </w:rPr>
                  </m:ctrlPr>
                </m:sub>
              </m:sSub>
              <m:ctrlPr>
                <w:rPr>
                  <w:rFonts w:hint="eastAsia" w:ascii="Cambria Math" w:hAnsi="Cambria Math" w:eastAsia="宋体" w:cs="Times New Roman"/>
                  <w:snapToGrid w:val="0"/>
                  <w:color w:val="auto"/>
                  <w:kern w:val="0"/>
                  <w:sz w:val="24"/>
                  <w:szCs w:val="24"/>
                  <w:lang w:val="en-US" w:eastAsia="zh-CN" w:bidi="ar"/>
                </w:rPr>
              </m:ctrlPr>
            </m:num>
            <m:den>
              <m:sSup>
                <m:sSupPr>
                  <m:ctrlPr>
                    <w:rPr>
                      <w:rFonts w:hint="eastAsia" w:ascii="Cambria Math" w:hAnsi="Cambria Math" w:eastAsia="宋体" w:cs="Times New Roman"/>
                      <w:snapToGrid w:val="0"/>
                      <w:color w:val="auto"/>
                      <w:kern w:val="0"/>
                      <w:sz w:val="24"/>
                      <w:szCs w:val="24"/>
                      <w:lang w:val="en-US" w:eastAsia="zh-CN" w:bidi="ar"/>
                    </w:rPr>
                  </m:ctrlPr>
                </m:sSupPr>
                <m:e>
                  <m:r>
                    <m:rPr>
                      <m:sty m:val="p"/>
                    </m:rPr>
                    <w:rPr>
                      <w:rFonts w:hint="eastAsia" w:ascii="Times New Roman" w:hAnsi="Times New Roman" w:eastAsia="宋体" w:cs="Times New Roman"/>
                      <w:snapToGrid w:val="0"/>
                      <w:color w:val="auto"/>
                      <w:kern w:val="0"/>
                      <w:sz w:val="24"/>
                      <w:szCs w:val="24"/>
                      <w:lang w:val="en-US" w:eastAsia="zh-CN" w:bidi="ar"/>
                    </w:rPr>
                    <m:t>u</m:t>
                  </m:r>
                  <m:ctrlPr>
                    <w:rPr>
                      <w:rFonts w:hint="eastAsia" w:ascii="Cambria Math" w:hAnsi="Cambria Math" w:eastAsia="宋体" w:cs="Times New Roman"/>
                      <w:snapToGrid w:val="0"/>
                      <w:color w:val="auto"/>
                      <w:kern w:val="0"/>
                      <w:sz w:val="24"/>
                      <w:szCs w:val="24"/>
                      <w:lang w:val="en-US" w:eastAsia="zh-CN" w:bidi="ar"/>
                    </w:rPr>
                  </m:ctrlPr>
                </m:e>
                <m:sup>
                  <m:r>
                    <m:rPr>
                      <m:sty m:val="p"/>
                    </m:rPr>
                    <w:rPr>
                      <w:rFonts w:hint="eastAsia" w:ascii="Times New Roman" w:hAnsi="Times New Roman" w:eastAsia="宋体" w:cs="Times New Roman"/>
                      <w:snapToGrid w:val="0"/>
                      <w:color w:val="auto"/>
                      <w:kern w:val="0"/>
                      <w:sz w:val="24"/>
                      <w:szCs w:val="24"/>
                      <w:lang w:val="en-US" w:eastAsia="zh-CN" w:bidi="ar"/>
                    </w:rPr>
                    <m:t>2</m:t>
                  </m:r>
                  <m:ctrlPr>
                    <w:rPr>
                      <w:rFonts w:hint="eastAsia" w:ascii="Cambria Math" w:hAnsi="Cambria Math" w:eastAsia="宋体" w:cs="Times New Roman"/>
                      <w:snapToGrid w:val="0"/>
                      <w:color w:val="auto"/>
                      <w:kern w:val="0"/>
                      <w:sz w:val="24"/>
                      <w:szCs w:val="24"/>
                      <w:lang w:val="en-US" w:eastAsia="zh-CN" w:bidi="ar"/>
                    </w:rPr>
                  </m:ctrlPr>
                </m:sup>
              </m:sSup>
              <m:ctrlPr>
                <w:rPr>
                  <w:rFonts w:hint="eastAsia" w:ascii="Cambria Math" w:hAnsi="Cambria Math" w:eastAsia="宋体" w:cs="Times New Roman"/>
                  <w:snapToGrid w:val="0"/>
                  <w:color w:val="auto"/>
                  <w:kern w:val="0"/>
                  <w:sz w:val="24"/>
                  <w:szCs w:val="24"/>
                  <w:lang w:val="en-US" w:eastAsia="zh-CN" w:bidi="ar"/>
                </w:rPr>
              </m:ctrlPr>
            </m:den>
          </m:f>
        </m:oMath>
      </m:oMathPara>
    </w:p>
    <w:p w14:paraId="3FED097A">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0" w:firstLineChars="0"/>
        <w:jc w:val="center"/>
        <w:textAlignment w:val="baseline"/>
        <w:rPr>
          <w:rFonts w:hint="eastAsia" w:hAnsi="Cambria Math" w:eastAsia="宋体" w:cs="Times New Roman"/>
          <w:i w:val="0"/>
          <w:snapToGrid w:val="0"/>
          <w:color w:val="auto"/>
          <w:kern w:val="0"/>
          <w:sz w:val="24"/>
          <w:szCs w:val="24"/>
          <w:lang w:val="en-US" w:eastAsia="zh-CN" w:bidi="ar"/>
        </w:rPr>
      </w:pPr>
      <m:oMathPara>
        <m:oMathParaPr>
          <m:jc m:val="center"/>
        </m:oMathParaPr>
        <m:oMath>
          <m:r>
            <m:rPr>
              <m:sty m:val="p"/>
            </m:rPr>
            <w:rPr>
              <w:rFonts w:hint="eastAsia" w:ascii="Times New Roman" w:hAnsi="Times New Roman" w:eastAsia="宋体" w:cs="Times New Roman"/>
              <w:snapToGrid w:val="0"/>
              <w:color w:val="auto"/>
              <w:kern w:val="0"/>
              <w:sz w:val="24"/>
              <w:szCs w:val="24"/>
              <w:lang w:val="en-US" w:eastAsia="zh-CN" w:bidi="ar"/>
            </w:rPr>
            <m:t>Pe=</m:t>
          </m:r>
          <m:f>
            <m:fPr>
              <m:ctrlPr>
                <w:rPr>
                  <w:rFonts w:hint="eastAsia" w:ascii="Cambria Math" w:hAnsi="Cambria Math" w:eastAsia="宋体" w:cs="Times New Roman"/>
                  <w:snapToGrid w:val="0"/>
                  <w:color w:val="auto"/>
                  <w:kern w:val="0"/>
                  <w:sz w:val="24"/>
                  <w:szCs w:val="24"/>
                  <w:lang w:val="en-US" w:eastAsia="zh-CN" w:bidi="ar"/>
                </w:rPr>
              </m:ctrlPr>
            </m:fPr>
            <m:num>
              <m:r>
                <m:rPr>
                  <m:sty m:val="p"/>
                </m:rPr>
                <w:rPr>
                  <w:rFonts w:hint="eastAsia" w:ascii="Times New Roman" w:hAnsi="Times New Roman" w:eastAsia="宋体" w:cs="Times New Roman"/>
                  <w:snapToGrid w:val="0"/>
                  <w:color w:val="auto"/>
                  <w:kern w:val="0"/>
                  <w:sz w:val="24"/>
                  <w:szCs w:val="24"/>
                  <w:lang w:val="en-US" w:eastAsia="zh-CN" w:bidi="ar"/>
                </w:rPr>
                <m:t>uB</m:t>
              </m:r>
              <m:ctrlPr>
                <w:rPr>
                  <w:rFonts w:hint="eastAsia" w:ascii="Cambria Math" w:hAnsi="Cambria Math" w:eastAsia="宋体" w:cs="Times New Roman"/>
                  <w:snapToGrid w:val="0"/>
                  <w:color w:val="auto"/>
                  <w:kern w:val="0"/>
                  <w:sz w:val="24"/>
                  <w:szCs w:val="24"/>
                  <w:lang w:val="en-US" w:eastAsia="zh-CN" w:bidi="ar"/>
                </w:rPr>
              </m:ctrlPr>
            </m:num>
            <m:den>
              <m:sSub>
                <m:sSubPr>
                  <m:ctrlPr>
                    <w:rPr>
                      <w:rFonts w:hint="eastAsia" w:ascii="Cambria Math" w:hAnsi="Cambria Math" w:eastAsia="宋体" w:cs="Times New Roman"/>
                      <w:snapToGrid w:val="0"/>
                      <w:color w:val="auto"/>
                      <w:kern w:val="0"/>
                      <w:sz w:val="24"/>
                      <w:szCs w:val="24"/>
                      <w:lang w:val="en-US" w:eastAsia="zh-CN" w:bidi="ar"/>
                    </w:rPr>
                  </m:ctrlPr>
                </m:sSubPr>
                <m:e>
                  <m:r>
                    <m:rPr>
                      <m:sty m:val="p"/>
                    </m:rPr>
                    <w:rPr>
                      <w:rFonts w:hint="eastAsia" w:ascii="Times New Roman" w:hAnsi="Times New Roman" w:eastAsia="宋体" w:cs="Times New Roman"/>
                      <w:snapToGrid w:val="0"/>
                      <w:color w:val="auto"/>
                      <w:kern w:val="0"/>
                      <w:sz w:val="24"/>
                      <w:szCs w:val="24"/>
                      <w:lang w:val="en-US" w:eastAsia="zh-CN" w:bidi="ar"/>
                    </w:rPr>
                    <m:t>E</m:t>
                  </m:r>
                  <m:ctrlPr>
                    <w:rPr>
                      <w:rFonts w:hint="eastAsia" w:ascii="Cambria Math" w:hAnsi="Cambria Math" w:eastAsia="宋体" w:cs="Times New Roman"/>
                      <w:snapToGrid w:val="0"/>
                      <w:color w:val="auto"/>
                      <w:kern w:val="0"/>
                      <w:sz w:val="24"/>
                      <w:szCs w:val="24"/>
                      <w:lang w:val="en-US" w:eastAsia="zh-CN" w:bidi="ar"/>
                    </w:rPr>
                  </m:ctrlPr>
                </m:e>
                <m:sub>
                  <m:r>
                    <m:rPr>
                      <m:sty m:val="p"/>
                    </m:rPr>
                    <w:rPr>
                      <w:rFonts w:hint="eastAsia" w:ascii="Times New Roman" w:hAnsi="Times New Roman" w:eastAsia="宋体" w:cs="Times New Roman"/>
                      <w:snapToGrid w:val="0"/>
                      <w:color w:val="auto"/>
                      <w:kern w:val="0"/>
                      <w:sz w:val="24"/>
                      <w:szCs w:val="24"/>
                      <w:lang w:val="en-US" w:eastAsia="zh-CN" w:bidi="ar"/>
                    </w:rPr>
                    <m:t>x</m:t>
                  </m:r>
                  <m:ctrlPr>
                    <w:rPr>
                      <w:rFonts w:hint="eastAsia" w:ascii="Cambria Math" w:hAnsi="Cambria Math" w:eastAsia="宋体" w:cs="Times New Roman"/>
                      <w:snapToGrid w:val="0"/>
                      <w:color w:val="auto"/>
                      <w:kern w:val="0"/>
                      <w:sz w:val="24"/>
                      <w:szCs w:val="24"/>
                      <w:lang w:val="en-US" w:eastAsia="zh-CN" w:bidi="ar"/>
                    </w:rPr>
                  </m:ctrlPr>
                </m:sub>
              </m:sSub>
              <m:ctrlPr>
                <w:rPr>
                  <w:rFonts w:hint="eastAsia" w:ascii="Cambria Math" w:hAnsi="Cambria Math" w:eastAsia="宋体" w:cs="Times New Roman"/>
                  <w:snapToGrid w:val="0"/>
                  <w:color w:val="auto"/>
                  <w:kern w:val="0"/>
                  <w:sz w:val="24"/>
                  <w:szCs w:val="24"/>
                  <w:lang w:val="en-US" w:eastAsia="zh-CN" w:bidi="ar"/>
                </w:rPr>
              </m:ctrlPr>
            </m:den>
          </m:f>
        </m:oMath>
      </m:oMathPara>
    </w:p>
    <w:p w14:paraId="37523CCC">
      <w:pPr>
        <w:keepNext w:val="0"/>
        <w:keepLines w:val="0"/>
        <w:pageBreakBefore w:val="0"/>
        <w:widowControl/>
        <w:suppressLineNumbers w:val="0"/>
        <w:wordWrap/>
        <w:overflowPunct/>
        <w:topLinePunct w:val="0"/>
        <w:bidi w:val="0"/>
        <w:adjustRightInd w:val="0"/>
        <w:snapToGrid w:val="0"/>
        <w:spacing w:line="360" w:lineRule="auto"/>
        <w:ind w:firstLine="480" w:firstLineChars="200"/>
        <w:jc w:val="left"/>
        <w:rPr>
          <w:rFonts w:hint="default" w:ascii="Times New Roman" w:hAnsi="Times New Roman" w:eastAsia="宋体" w:cs="Times New Roman"/>
          <w:snapToGrid w:val="0"/>
          <w:color w:val="auto"/>
          <w:kern w:val="0"/>
          <w:sz w:val="24"/>
          <w:szCs w:val="24"/>
          <w:lang w:val="en-US" w:eastAsia="zh-CN" w:bidi="ar"/>
        </w:rPr>
      </w:pPr>
      <w:r>
        <w:rPr>
          <w:rFonts w:hint="default" w:ascii="Times New Roman" w:hAnsi="Times New Roman" w:eastAsia="宋体" w:cs="Times New Roman"/>
          <w:snapToGrid w:val="0"/>
          <w:color w:val="auto"/>
          <w:kern w:val="0"/>
          <w:sz w:val="24"/>
          <w:szCs w:val="24"/>
          <w:lang w:val="en-US" w:eastAsia="zh-CN" w:bidi="ar"/>
        </w:rPr>
        <w:t>当α≤0.027、P</w:t>
      </w:r>
      <w:r>
        <w:rPr>
          <w:rFonts w:hint="default" w:ascii="Times New Roman" w:hAnsi="Times New Roman" w:eastAsia="宋体" w:cs="Times New Roman"/>
          <w:snapToGrid w:val="0"/>
          <w:color w:val="auto"/>
          <w:kern w:val="0"/>
          <w:sz w:val="24"/>
          <w:szCs w:val="24"/>
          <w:vertAlign w:val="subscript"/>
          <w:lang w:val="en-US" w:eastAsia="zh-CN" w:bidi="ar"/>
        </w:rPr>
        <w:t>e</w:t>
      </w:r>
      <w:r>
        <w:rPr>
          <w:rFonts w:hint="default" w:ascii="Times New Roman" w:hAnsi="Times New Roman" w:eastAsia="宋体" w:cs="Times New Roman"/>
          <w:snapToGrid w:val="0"/>
          <w:color w:val="auto"/>
          <w:kern w:val="0"/>
          <w:sz w:val="24"/>
          <w:szCs w:val="24"/>
          <w:lang w:val="en-US" w:eastAsia="zh-CN" w:bidi="ar"/>
        </w:rPr>
        <w:t>≥1时，适用对流降解模型：</w:t>
      </w:r>
    </w:p>
    <w:p w14:paraId="17268A61">
      <w:pPr>
        <w:keepNext w:val="0"/>
        <w:keepLines w:val="0"/>
        <w:pageBreakBefore w:val="0"/>
        <w:widowControl/>
        <w:suppressLineNumbers w:val="0"/>
        <w:wordWrap/>
        <w:overflowPunct/>
        <w:topLinePunct w:val="0"/>
        <w:bidi w:val="0"/>
        <w:adjustRightInd w:val="0"/>
        <w:snapToGrid w:val="0"/>
        <w:spacing w:line="360" w:lineRule="auto"/>
        <w:ind w:firstLine="480" w:firstLineChars="200"/>
        <w:jc w:val="center"/>
        <w:rPr>
          <w:rFonts w:hint="default" w:hAnsi="Times New Roman" w:eastAsia="宋体" w:cs="Times New Roman"/>
          <w:i w:val="0"/>
          <w:snapToGrid w:val="0"/>
          <w:color w:val="auto"/>
          <w:kern w:val="0"/>
          <w:sz w:val="24"/>
          <w:szCs w:val="24"/>
          <w:lang w:val="en-US" w:eastAsia="zh-CN" w:bidi="ar"/>
        </w:rPr>
      </w:pPr>
      <m:oMathPara>
        <m:oMathParaPr>
          <m:jc m:val="center"/>
        </m:oMathParaPr>
        <m:oMath>
          <m:r>
            <m:rPr>
              <m:sty m:val="p"/>
            </m:rPr>
            <w:rPr>
              <w:rFonts w:hint="default" w:ascii="Times New Roman" w:hAnsi="Times New Roman" w:eastAsia="宋体" w:cs="Times New Roman"/>
              <w:snapToGrid w:val="0"/>
              <w:color w:val="auto"/>
              <w:kern w:val="0"/>
              <w:sz w:val="24"/>
              <w:szCs w:val="24"/>
              <w:lang w:val="en-US" w:eastAsia="zh-CN" w:bidi="ar"/>
            </w:rPr>
            <m:t>C=</m:t>
          </m:r>
          <m:sSub>
            <m:sSubPr>
              <m:ctrlPr>
                <w:rPr>
                  <w:rFonts w:hint="default" w:ascii="Cambria Math" w:hAnsi="Cambria Math" w:eastAsia="宋体" w:cs="Times New Roman"/>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C</m:t>
              </m:r>
              <m:ctrlPr>
                <w:rPr>
                  <w:rFonts w:hint="default" w:ascii="Cambria Math" w:hAnsi="Cambria Math" w:eastAsia="宋体" w:cs="Times New Roman"/>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0</m:t>
              </m:r>
              <m:ctrlPr>
                <w:rPr>
                  <w:rFonts w:hint="default" w:ascii="Cambria Math" w:hAnsi="Cambria Math" w:eastAsia="宋体" w:cs="Times New Roman"/>
                  <w:snapToGrid w:val="0"/>
                  <w:color w:val="auto"/>
                  <w:kern w:val="0"/>
                  <w:sz w:val="24"/>
                  <w:szCs w:val="24"/>
                  <w:lang w:val="en-US" w:eastAsia="zh-CN" w:bidi="ar"/>
                </w:rPr>
              </m:ctrlPr>
            </m:sub>
          </m:sSub>
          <m:r>
            <m:rPr>
              <m:sty m:val="p"/>
            </m:rPr>
            <w:rPr>
              <w:rFonts w:hint="default" w:ascii="Times New Roman" w:hAnsi="Times New Roman" w:eastAsia="宋体" w:cs="Times New Roman"/>
              <w:snapToGrid w:val="0"/>
              <w:color w:val="auto"/>
              <w:kern w:val="0"/>
              <w:sz w:val="24"/>
              <w:szCs w:val="24"/>
              <w:lang w:val="en-US" w:eastAsia="zh-CN" w:bidi="ar"/>
            </w:rPr>
            <m:t>exp</m:t>
          </m:r>
          <m:d>
            <m:dPr>
              <m:sepChr m:val=""/>
              <m:ctrlPr>
                <w:rPr>
                  <w:rFonts w:hint="default" w:ascii="Cambria Math" w:hAnsi="Cambria Math" w:eastAsia="宋体" w:cs="Times New Roman"/>
                  <w:snapToGrid w:val="0"/>
                  <w:color w:val="auto"/>
                  <w:kern w:val="0"/>
                  <w:sz w:val="24"/>
                  <w:szCs w:val="24"/>
                  <w:lang w:val="en-US" w:eastAsia="zh-CN" w:bidi="ar"/>
                </w:rPr>
              </m:ctrlPr>
            </m:dPr>
            <m:e>
              <m:r>
                <m:rPr>
                  <m:sty m:val="p"/>
                </m:rPr>
                <w:rPr>
                  <w:rFonts w:hint="default" w:ascii="Times New Roman" w:hAnsi="Times New Roman" w:eastAsia="宋体" w:cs="Times New Roman"/>
                  <w:snapToGrid w:val="0"/>
                  <w:color w:val="auto"/>
                  <w:kern w:val="0"/>
                  <w:sz w:val="24"/>
                  <w:szCs w:val="24"/>
                  <w:lang w:val="en-US" w:eastAsia="zh-CN" w:bidi="ar"/>
                </w:rPr>
                <m:t>−</m:t>
              </m:r>
              <m:f>
                <m:fPr>
                  <m:ctrlPr>
                    <w:rPr>
                      <w:rFonts w:hint="default" w:ascii="Cambria Math" w:hAnsi="Cambria Math" w:eastAsia="宋体" w:cs="Times New Roman"/>
                      <w:snapToGrid w:val="0"/>
                      <w:color w:val="auto"/>
                      <w:kern w:val="0"/>
                      <w:sz w:val="24"/>
                      <w:szCs w:val="24"/>
                      <w:lang w:val="en-US" w:eastAsia="zh-CN" w:bidi="ar"/>
                    </w:rPr>
                  </m:ctrlPr>
                </m:fPr>
                <m:num>
                  <m:r>
                    <m:rPr>
                      <m:sty m:val="p"/>
                    </m:rPr>
                    <w:rPr>
                      <w:rFonts w:hint="default" w:ascii="Times New Roman" w:hAnsi="Times New Roman" w:eastAsia="宋体" w:cs="Times New Roman"/>
                      <w:snapToGrid w:val="0"/>
                      <w:color w:val="auto"/>
                      <w:kern w:val="0"/>
                      <w:sz w:val="24"/>
                      <w:szCs w:val="24"/>
                      <w:lang w:val="en-US" w:eastAsia="zh-CN" w:bidi="ar"/>
                    </w:rPr>
                    <m:t>kx</m:t>
                  </m:r>
                  <m:ctrlPr>
                    <w:rPr>
                      <w:rFonts w:hint="default" w:ascii="Cambria Math" w:hAnsi="Cambria Math" w:eastAsia="宋体" w:cs="Times New Roman"/>
                      <w:snapToGrid w:val="0"/>
                      <w:color w:val="auto"/>
                      <w:kern w:val="0"/>
                      <w:sz w:val="24"/>
                      <w:szCs w:val="24"/>
                      <w:lang w:val="en-US" w:eastAsia="zh-CN" w:bidi="ar"/>
                    </w:rPr>
                  </m:ctrlPr>
                </m:num>
                <m:den>
                  <m:r>
                    <m:rPr>
                      <m:sty m:val="p"/>
                    </m:rPr>
                    <w:rPr>
                      <w:rFonts w:hint="default" w:ascii="Times New Roman" w:hAnsi="Times New Roman" w:eastAsia="宋体" w:cs="Times New Roman"/>
                      <w:snapToGrid w:val="0"/>
                      <w:color w:val="auto"/>
                      <w:kern w:val="0"/>
                      <w:sz w:val="24"/>
                      <w:szCs w:val="24"/>
                      <w:lang w:val="en-US" w:eastAsia="zh-CN" w:bidi="ar"/>
                    </w:rPr>
                    <m:t>u</m:t>
                  </m:r>
                  <m:ctrlPr>
                    <w:rPr>
                      <w:rFonts w:hint="default" w:ascii="Cambria Math" w:hAnsi="Cambria Math" w:eastAsia="宋体" w:cs="Times New Roman"/>
                      <w:snapToGrid w:val="0"/>
                      <w:color w:val="auto"/>
                      <w:kern w:val="0"/>
                      <w:sz w:val="24"/>
                      <w:szCs w:val="24"/>
                      <w:lang w:val="en-US" w:eastAsia="zh-CN" w:bidi="ar"/>
                    </w:rPr>
                  </m:ctrlPr>
                </m:den>
              </m:f>
              <m:ctrlPr>
                <w:rPr>
                  <w:rFonts w:hint="default" w:ascii="Cambria Math" w:hAnsi="Cambria Math" w:eastAsia="宋体" w:cs="Times New Roman"/>
                  <w:snapToGrid w:val="0"/>
                  <w:color w:val="auto"/>
                  <w:kern w:val="0"/>
                  <w:sz w:val="24"/>
                  <w:szCs w:val="24"/>
                  <w:lang w:val="en-US" w:eastAsia="zh-CN" w:bidi="ar"/>
                </w:rPr>
              </m:ctrlPr>
            </m:e>
          </m:d>
          <m:r>
            <m:rPr>
              <m:sty m:val="p"/>
            </m:rPr>
            <w:rPr>
              <w:rFonts w:hint="default" w:ascii="Times New Roman" w:hAnsi="Times New Roman" w:eastAsia="宋体" w:cs="Times New Roman"/>
              <w:snapToGrid w:val="0"/>
              <w:color w:val="auto"/>
              <w:kern w:val="0"/>
              <w:sz w:val="24"/>
              <w:szCs w:val="24"/>
              <w:lang w:val="en-US" w:eastAsia="zh-CN" w:bidi="ar"/>
            </w:rPr>
            <m:t> x≥0</m:t>
          </m:r>
        </m:oMath>
      </m:oMathPara>
    </w:p>
    <w:p w14:paraId="125E6DFB">
      <w:pPr>
        <w:keepNext w:val="0"/>
        <w:keepLines w:val="0"/>
        <w:pageBreakBefore w:val="0"/>
        <w:widowControl/>
        <w:suppressLineNumbers w:val="0"/>
        <w:wordWrap/>
        <w:overflowPunct/>
        <w:topLinePunct w:val="0"/>
        <w:bidi w:val="0"/>
        <w:adjustRightInd w:val="0"/>
        <w:snapToGrid w:val="0"/>
        <w:spacing w:line="360" w:lineRule="auto"/>
        <w:ind w:firstLine="480" w:firstLineChars="200"/>
        <w:jc w:val="left"/>
        <w:rPr>
          <w:rFonts w:hint="default" w:ascii="Times New Roman" w:hAnsi="Times New Roman" w:eastAsia="宋体" w:cs="Times New Roman"/>
          <w:snapToGrid w:val="0"/>
          <w:color w:val="auto"/>
          <w:kern w:val="0"/>
          <w:sz w:val="24"/>
          <w:szCs w:val="24"/>
          <w:lang w:val="en-US" w:eastAsia="zh-CN" w:bidi="ar"/>
        </w:rPr>
      </w:pPr>
      <w:r>
        <w:rPr>
          <w:rFonts w:hint="default" w:ascii="Times New Roman" w:hAnsi="Times New Roman" w:eastAsia="宋体" w:cs="Times New Roman"/>
          <w:snapToGrid w:val="0"/>
          <w:color w:val="auto"/>
          <w:kern w:val="0"/>
          <w:sz w:val="24"/>
          <w:szCs w:val="24"/>
          <w:lang w:val="en-US" w:eastAsia="zh-CN" w:bidi="ar"/>
        </w:rPr>
        <w:t>当α≤0.027、P</w:t>
      </w:r>
      <w:r>
        <w:rPr>
          <w:rFonts w:hint="default" w:ascii="Times New Roman" w:hAnsi="Times New Roman" w:eastAsia="宋体" w:cs="Times New Roman"/>
          <w:snapToGrid w:val="0"/>
          <w:color w:val="auto"/>
          <w:kern w:val="0"/>
          <w:sz w:val="24"/>
          <w:szCs w:val="24"/>
          <w:vertAlign w:val="subscript"/>
          <w:lang w:val="en-US" w:eastAsia="zh-CN" w:bidi="ar"/>
        </w:rPr>
        <w:t>e</w:t>
      </w:r>
      <w:r>
        <w:rPr>
          <w:rFonts w:hint="default" w:ascii="Times New Roman" w:hAnsi="Times New Roman" w:eastAsia="宋体" w:cs="Times New Roman"/>
          <w:snapToGrid w:val="0"/>
          <w:color w:val="auto"/>
          <w:kern w:val="0"/>
          <w:sz w:val="24"/>
          <w:szCs w:val="24"/>
          <w:lang w:val="en-US" w:eastAsia="zh-CN" w:bidi="ar"/>
        </w:rPr>
        <w:t>＜1时，适用对流扩散降解简化模型：</w:t>
      </w:r>
    </w:p>
    <w:p w14:paraId="1082FE9D">
      <w:pPr>
        <w:keepNext w:val="0"/>
        <w:keepLines w:val="0"/>
        <w:pageBreakBefore w:val="0"/>
        <w:widowControl/>
        <w:suppressLineNumbers w:val="0"/>
        <w:wordWrap/>
        <w:overflowPunct/>
        <w:topLinePunct w:val="0"/>
        <w:bidi w:val="0"/>
        <w:adjustRightInd w:val="0"/>
        <w:snapToGrid w:val="0"/>
        <w:spacing w:line="360" w:lineRule="auto"/>
        <w:ind w:firstLine="480" w:firstLineChars="200"/>
        <w:jc w:val="center"/>
        <w:rPr>
          <w:rFonts w:hint="default" w:hAnsi="Times New Roman" w:eastAsia="宋体" w:cs="Times New Roman"/>
          <w:i w:val="0"/>
          <w:snapToGrid w:val="0"/>
          <w:color w:val="auto"/>
          <w:kern w:val="0"/>
          <w:sz w:val="24"/>
          <w:szCs w:val="24"/>
          <w:lang w:val="en-US" w:eastAsia="zh-CN" w:bidi="ar"/>
        </w:rPr>
      </w:pPr>
      <m:oMathPara>
        <m:oMathParaPr>
          <m:jc m:val="center"/>
        </m:oMathParaPr>
        <m:oMath>
          <m:r>
            <m:rPr>
              <m:nor/>
              <m:sty m:val="p"/>
            </m:rPr>
            <w:rPr>
              <w:rFonts w:hint="default" w:ascii="Times New Roman" w:hAnsi="Times New Roman" w:eastAsia="宋体" w:cs="Times New Roman"/>
              <w:b w:val="0"/>
              <w:i w:val="0"/>
              <w:snapToGrid w:val="0"/>
              <w:color w:val="auto"/>
              <w:kern w:val="0"/>
              <w:sz w:val="24"/>
              <w:szCs w:val="24"/>
              <w:lang w:val="en-US" w:eastAsia="zh-CN" w:bidi="ar"/>
            </w:rPr>
            <m:t>C=</m:t>
          </m:r>
          <m:sSub>
            <m:sSubPr>
              <m:ctrlPr>
                <w:rPr>
                  <w:rFonts w:hint="default" w:ascii="Cambria Math" w:hAnsi="Cambria Math" w:eastAsia="宋体" w:cs="Times New Roman"/>
                  <w:i w:val="0"/>
                  <w:snapToGrid w:val="0"/>
                  <w:color w:val="auto"/>
                  <w:kern w:val="0"/>
                  <w:sz w:val="24"/>
                  <w:szCs w:val="24"/>
                  <w:lang w:val="en-US" w:eastAsia="zh-CN" w:bidi="ar"/>
                </w:rPr>
              </m:ctrlPr>
            </m:sSubPr>
            <m:e>
              <m:r>
                <m:rPr>
                  <m:nor/>
                  <m:sty m:val="p"/>
                </m:rPr>
                <w:rPr>
                  <w:rFonts w:hint="default" w:ascii="Times New Roman" w:hAnsi="Times New Roman" w:eastAsia="宋体" w:cs="Times New Roman"/>
                  <w:b w:val="0"/>
                  <w:i w:val="0"/>
                  <w:snapToGrid w:val="0"/>
                  <w:color w:val="auto"/>
                  <w:kern w:val="0"/>
                  <w:sz w:val="24"/>
                  <w:szCs w:val="24"/>
                  <w:lang w:val="en-US" w:eastAsia="zh-CN" w:bidi="ar"/>
                </w:rPr>
                <m:t>C</m:t>
              </m:r>
              <m:ctrlPr>
                <w:rPr>
                  <w:rFonts w:hint="default" w:ascii="Cambria Math" w:hAnsi="Cambria Math" w:eastAsia="宋体" w:cs="Times New Roman"/>
                  <w:i w:val="0"/>
                  <w:snapToGrid w:val="0"/>
                  <w:color w:val="auto"/>
                  <w:kern w:val="0"/>
                  <w:sz w:val="24"/>
                  <w:szCs w:val="24"/>
                  <w:lang w:val="en-US" w:eastAsia="zh-CN" w:bidi="ar"/>
                </w:rPr>
              </m:ctrlPr>
            </m:e>
            <m:sub>
              <m:r>
                <m:rPr>
                  <m:nor/>
                  <m:sty m:val="p"/>
                </m:rPr>
                <w:rPr>
                  <w:rFonts w:hint="default" w:ascii="Times New Roman" w:hAnsi="Times New Roman" w:eastAsia="宋体" w:cs="Times New Roman"/>
                  <w:b w:val="0"/>
                  <w:i w:val="0"/>
                  <w:snapToGrid w:val="0"/>
                  <w:color w:val="auto"/>
                  <w:kern w:val="0"/>
                  <w:sz w:val="24"/>
                  <w:szCs w:val="24"/>
                  <w:lang w:val="en-US" w:eastAsia="zh-CN" w:bidi="ar"/>
                </w:rPr>
                <m:t>0</m:t>
              </m:r>
              <m:ctrlPr>
                <w:rPr>
                  <w:rFonts w:hint="default" w:ascii="Cambria Math" w:hAnsi="Cambria Math" w:eastAsia="宋体" w:cs="Times New Roman"/>
                  <w:i w:val="0"/>
                  <w:snapToGrid w:val="0"/>
                  <w:color w:val="auto"/>
                  <w:kern w:val="0"/>
                  <w:sz w:val="24"/>
                  <w:szCs w:val="24"/>
                  <w:lang w:val="en-US" w:eastAsia="zh-CN" w:bidi="ar"/>
                </w:rPr>
              </m:ctrlPr>
            </m:sub>
          </m:sSub>
          <m:r>
            <m:rPr>
              <m:nor/>
              <m:sty m:val="p"/>
            </m:rPr>
            <w:rPr>
              <w:rFonts w:hint="default" w:ascii="Times New Roman" w:hAnsi="Times New Roman" w:eastAsia="宋体" w:cs="Times New Roman"/>
              <w:b w:val="0"/>
              <w:i w:val="0"/>
              <w:snapToGrid w:val="0"/>
              <w:color w:val="auto"/>
              <w:kern w:val="0"/>
              <w:sz w:val="24"/>
              <w:szCs w:val="24"/>
              <w:lang w:val="en-US" w:eastAsia="zh-CN" w:bidi="ar"/>
            </w:rPr>
            <m:t>exp</m:t>
          </m:r>
          <m:d>
            <m:dPr>
              <m:sepChr m:val=""/>
              <m:ctrlPr>
                <w:rPr>
                  <w:rFonts w:hint="default" w:ascii="Cambria Math" w:hAnsi="Cambria Math" w:eastAsia="宋体" w:cs="Times New Roman"/>
                  <w:i w:val="0"/>
                  <w:snapToGrid w:val="0"/>
                  <w:color w:val="auto"/>
                  <w:kern w:val="0"/>
                  <w:sz w:val="24"/>
                  <w:szCs w:val="24"/>
                  <w:lang w:val="en-US" w:eastAsia="zh-CN" w:bidi="ar"/>
                </w:rPr>
              </m:ctrlPr>
            </m:dPr>
            <m:e>
              <m:f>
                <m:fPr>
                  <m:ctrlPr>
                    <w:rPr>
                      <w:rFonts w:hint="default" w:ascii="Cambria Math" w:hAnsi="Cambria Math" w:eastAsia="宋体" w:cs="Times New Roman"/>
                      <w:i w:val="0"/>
                      <w:snapToGrid w:val="0"/>
                      <w:color w:val="auto"/>
                      <w:kern w:val="0"/>
                      <w:sz w:val="24"/>
                      <w:szCs w:val="24"/>
                      <w:lang w:val="en-US" w:eastAsia="zh-CN" w:bidi="ar"/>
                    </w:rPr>
                  </m:ctrlPr>
                </m:fPr>
                <m:num>
                  <m:r>
                    <m:rPr>
                      <m:nor/>
                      <m:sty m:val="p"/>
                    </m:rPr>
                    <w:rPr>
                      <w:rFonts w:hint="default" w:ascii="Times New Roman" w:hAnsi="Times New Roman" w:eastAsia="宋体" w:cs="Times New Roman"/>
                      <w:b w:val="0"/>
                      <w:i w:val="0"/>
                      <w:snapToGrid w:val="0"/>
                      <w:color w:val="auto"/>
                      <w:kern w:val="0"/>
                      <w:sz w:val="24"/>
                      <w:szCs w:val="24"/>
                      <w:lang w:val="en-US" w:eastAsia="zh-CN" w:bidi="ar"/>
                    </w:rPr>
                    <m:t>ux</m:t>
                  </m:r>
                  <m:ctrlPr>
                    <w:rPr>
                      <w:rFonts w:hint="default" w:ascii="Cambria Math" w:hAnsi="Cambria Math" w:eastAsia="宋体" w:cs="Times New Roman"/>
                      <w:i w:val="0"/>
                      <w:snapToGrid w:val="0"/>
                      <w:color w:val="auto"/>
                      <w:kern w:val="0"/>
                      <w:sz w:val="24"/>
                      <w:szCs w:val="24"/>
                      <w:lang w:val="en-US" w:eastAsia="zh-CN" w:bidi="ar"/>
                    </w:rPr>
                  </m:ctrlPr>
                </m:num>
                <m:den>
                  <m:sSub>
                    <m:sSubPr>
                      <m:ctrlPr>
                        <w:rPr>
                          <w:rFonts w:hint="default" w:ascii="Cambria Math" w:hAnsi="Cambria Math" w:eastAsia="宋体" w:cs="Times New Roman"/>
                          <w:i w:val="0"/>
                          <w:snapToGrid w:val="0"/>
                          <w:color w:val="auto"/>
                          <w:kern w:val="0"/>
                          <w:sz w:val="24"/>
                          <w:szCs w:val="24"/>
                          <w:lang w:val="en-US" w:eastAsia="zh-CN" w:bidi="ar"/>
                        </w:rPr>
                      </m:ctrlPr>
                    </m:sSubPr>
                    <m:e>
                      <m:r>
                        <m:rPr>
                          <m:nor/>
                          <m:sty m:val="p"/>
                        </m:rPr>
                        <w:rPr>
                          <w:rFonts w:hint="default" w:ascii="Times New Roman" w:hAnsi="Times New Roman" w:eastAsia="宋体" w:cs="Times New Roman"/>
                          <w:b w:val="0"/>
                          <w:i w:val="0"/>
                          <w:snapToGrid w:val="0"/>
                          <w:color w:val="auto"/>
                          <w:kern w:val="0"/>
                          <w:sz w:val="24"/>
                          <w:szCs w:val="24"/>
                          <w:lang w:val="en-US" w:eastAsia="zh-CN" w:bidi="ar"/>
                        </w:rPr>
                        <m:t>E</m:t>
                      </m:r>
                      <m:ctrlPr>
                        <w:rPr>
                          <w:rFonts w:hint="default" w:ascii="Cambria Math" w:hAnsi="Cambria Math" w:eastAsia="宋体" w:cs="Times New Roman"/>
                          <w:i w:val="0"/>
                          <w:snapToGrid w:val="0"/>
                          <w:color w:val="auto"/>
                          <w:kern w:val="0"/>
                          <w:sz w:val="24"/>
                          <w:szCs w:val="24"/>
                          <w:lang w:val="en-US" w:eastAsia="zh-CN" w:bidi="ar"/>
                        </w:rPr>
                      </m:ctrlPr>
                    </m:e>
                    <m:sub>
                      <m:r>
                        <m:rPr>
                          <m:nor/>
                          <m:sty m:val="p"/>
                        </m:rPr>
                        <w:rPr>
                          <w:rFonts w:hint="default" w:ascii="Times New Roman" w:hAnsi="Times New Roman" w:eastAsia="宋体" w:cs="Times New Roman"/>
                          <w:b w:val="0"/>
                          <w:i w:val="0"/>
                          <w:snapToGrid w:val="0"/>
                          <w:color w:val="auto"/>
                          <w:kern w:val="0"/>
                          <w:sz w:val="24"/>
                          <w:szCs w:val="24"/>
                          <w:lang w:val="en-US" w:eastAsia="zh-CN" w:bidi="ar"/>
                        </w:rPr>
                        <m:t>x</m:t>
                      </m:r>
                      <m:ctrlPr>
                        <w:rPr>
                          <w:rFonts w:hint="default" w:ascii="Cambria Math" w:hAnsi="Cambria Math" w:eastAsia="宋体" w:cs="Times New Roman"/>
                          <w:i w:val="0"/>
                          <w:snapToGrid w:val="0"/>
                          <w:color w:val="auto"/>
                          <w:kern w:val="0"/>
                          <w:sz w:val="24"/>
                          <w:szCs w:val="24"/>
                          <w:lang w:val="en-US" w:eastAsia="zh-CN" w:bidi="ar"/>
                        </w:rPr>
                      </m:ctrlPr>
                    </m:sub>
                  </m:sSub>
                  <m:ctrlPr>
                    <w:rPr>
                      <w:rFonts w:hint="default" w:ascii="Cambria Math" w:hAnsi="Cambria Math" w:eastAsia="宋体" w:cs="Times New Roman"/>
                      <w:i w:val="0"/>
                      <w:snapToGrid w:val="0"/>
                      <w:color w:val="auto"/>
                      <w:kern w:val="0"/>
                      <w:sz w:val="24"/>
                      <w:szCs w:val="24"/>
                      <w:lang w:val="en-US" w:eastAsia="zh-CN" w:bidi="ar"/>
                    </w:rPr>
                  </m:ctrlPr>
                </m:den>
              </m:f>
              <m:ctrlPr>
                <w:rPr>
                  <w:rFonts w:hint="default" w:ascii="Cambria Math" w:hAnsi="Cambria Math" w:eastAsia="宋体" w:cs="Times New Roman"/>
                  <w:i w:val="0"/>
                  <w:snapToGrid w:val="0"/>
                  <w:color w:val="auto"/>
                  <w:kern w:val="0"/>
                  <w:sz w:val="24"/>
                  <w:szCs w:val="24"/>
                  <w:lang w:val="en-US" w:eastAsia="zh-CN" w:bidi="ar"/>
                </w:rPr>
              </m:ctrlPr>
            </m:e>
          </m:d>
          <m:r>
            <m:rPr>
              <m:sty m:val="p"/>
            </m:rPr>
            <w:rPr>
              <w:rFonts w:hint="default" w:ascii="Times New Roman" w:hAnsi="Times New Roman" w:eastAsia="宋体" w:cs="Times New Roman"/>
              <w:snapToGrid w:val="0"/>
              <w:color w:val="auto"/>
              <w:kern w:val="0"/>
              <w:sz w:val="24"/>
              <w:szCs w:val="24"/>
              <w:lang w:val="en-US" w:eastAsia="zh-CN" w:bidi="ar"/>
            </w:rPr>
            <m:t> x&lt;0</m:t>
          </m:r>
        </m:oMath>
      </m:oMathPara>
    </w:p>
    <w:p w14:paraId="47736E7C">
      <w:pPr>
        <w:keepNext w:val="0"/>
        <w:keepLines w:val="0"/>
        <w:pageBreakBefore w:val="0"/>
        <w:widowControl/>
        <w:suppressLineNumbers w:val="0"/>
        <w:wordWrap/>
        <w:overflowPunct/>
        <w:topLinePunct w:val="0"/>
        <w:bidi w:val="0"/>
        <w:adjustRightInd w:val="0"/>
        <w:snapToGrid w:val="0"/>
        <w:spacing w:line="360" w:lineRule="auto"/>
        <w:ind w:firstLine="480" w:firstLineChars="200"/>
        <w:jc w:val="center"/>
        <w:rPr>
          <w:rFonts w:hint="default" w:hAnsi="Times New Roman" w:eastAsia="宋体" w:cs="Times New Roman"/>
          <w:i w:val="0"/>
          <w:snapToGrid w:val="0"/>
          <w:color w:val="auto"/>
          <w:kern w:val="0"/>
          <w:sz w:val="24"/>
          <w:szCs w:val="24"/>
          <w:lang w:val="en-US" w:eastAsia="zh-CN" w:bidi="ar"/>
        </w:rPr>
      </w:pPr>
      <m:oMathPara>
        <m:oMathParaPr>
          <m:jc m:val="center"/>
        </m:oMathParaPr>
        <m:oMath>
          <m:r>
            <m:rPr>
              <m:nor/>
              <m:sty m:val="p"/>
            </m:rPr>
            <w:rPr>
              <w:rFonts w:hint="default" w:ascii="Times New Roman" w:hAnsi="Times New Roman" w:eastAsia="宋体" w:cs="Times New Roman"/>
              <w:b w:val="0"/>
              <w:i w:val="0"/>
              <w:snapToGrid w:val="0"/>
              <w:color w:val="auto"/>
              <w:kern w:val="0"/>
              <w:sz w:val="24"/>
              <w:szCs w:val="24"/>
              <w:lang w:val="en-US" w:eastAsia="zh-CN" w:bidi="ar"/>
            </w:rPr>
            <m:t>C=</m:t>
          </m:r>
          <m:sSub>
            <m:sSubPr>
              <m:ctrlPr>
                <w:rPr>
                  <w:rFonts w:hint="default" w:ascii="Cambria Math" w:hAnsi="Cambria Math" w:eastAsia="宋体" w:cs="Times New Roman"/>
                  <w:i w:val="0"/>
                  <w:snapToGrid w:val="0"/>
                  <w:color w:val="auto"/>
                  <w:kern w:val="0"/>
                  <w:sz w:val="24"/>
                  <w:szCs w:val="24"/>
                  <w:lang w:val="en-US" w:eastAsia="zh-CN" w:bidi="ar"/>
                </w:rPr>
              </m:ctrlPr>
            </m:sSubPr>
            <m:e>
              <m:r>
                <m:rPr>
                  <m:nor/>
                  <m:sty m:val="p"/>
                </m:rPr>
                <w:rPr>
                  <w:rFonts w:hint="default" w:ascii="Times New Roman" w:hAnsi="Times New Roman" w:eastAsia="宋体" w:cs="Times New Roman"/>
                  <w:b w:val="0"/>
                  <w:i w:val="0"/>
                  <w:snapToGrid w:val="0"/>
                  <w:color w:val="auto"/>
                  <w:kern w:val="0"/>
                  <w:sz w:val="24"/>
                  <w:szCs w:val="24"/>
                  <w:lang w:val="en-US" w:eastAsia="zh-CN" w:bidi="ar"/>
                </w:rPr>
                <m:t>C</m:t>
              </m:r>
              <m:ctrlPr>
                <w:rPr>
                  <w:rFonts w:hint="default" w:ascii="Cambria Math" w:hAnsi="Cambria Math" w:eastAsia="宋体" w:cs="Times New Roman"/>
                  <w:i w:val="0"/>
                  <w:snapToGrid w:val="0"/>
                  <w:color w:val="auto"/>
                  <w:kern w:val="0"/>
                  <w:sz w:val="24"/>
                  <w:szCs w:val="24"/>
                  <w:lang w:val="en-US" w:eastAsia="zh-CN" w:bidi="ar"/>
                </w:rPr>
              </m:ctrlPr>
            </m:e>
            <m:sub>
              <m:r>
                <m:rPr>
                  <m:nor/>
                  <m:sty m:val="p"/>
                </m:rPr>
                <w:rPr>
                  <w:rFonts w:hint="default" w:ascii="Times New Roman" w:hAnsi="Times New Roman" w:eastAsia="宋体" w:cs="Times New Roman"/>
                  <w:b w:val="0"/>
                  <w:i w:val="0"/>
                  <w:snapToGrid w:val="0"/>
                  <w:color w:val="auto"/>
                  <w:kern w:val="0"/>
                  <w:sz w:val="24"/>
                  <w:szCs w:val="24"/>
                  <w:lang w:val="en-US" w:eastAsia="zh-CN" w:bidi="ar"/>
                </w:rPr>
                <m:t>0</m:t>
              </m:r>
              <m:ctrlPr>
                <w:rPr>
                  <w:rFonts w:hint="default" w:ascii="Cambria Math" w:hAnsi="Cambria Math" w:eastAsia="宋体" w:cs="Times New Roman"/>
                  <w:i w:val="0"/>
                  <w:snapToGrid w:val="0"/>
                  <w:color w:val="auto"/>
                  <w:kern w:val="0"/>
                  <w:sz w:val="24"/>
                  <w:szCs w:val="24"/>
                  <w:lang w:val="en-US" w:eastAsia="zh-CN" w:bidi="ar"/>
                </w:rPr>
              </m:ctrlPr>
            </m:sub>
          </m:sSub>
          <m:r>
            <m:rPr>
              <m:nor/>
              <m:sty m:val="p"/>
            </m:rPr>
            <w:rPr>
              <w:rFonts w:hint="default" w:ascii="Times New Roman" w:hAnsi="Times New Roman" w:eastAsia="宋体" w:cs="Times New Roman"/>
              <w:b w:val="0"/>
              <w:i w:val="0"/>
              <w:snapToGrid w:val="0"/>
              <w:color w:val="auto"/>
              <w:kern w:val="0"/>
              <w:sz w:val="24"/>
              <w:szCs w:val="24"/>
              <w:lang w:val="en-US" w:eastAsia="zh-CN" w:bidi="ar"/>
            </w:rPr>
            <m:t>exp</m:t>
          </m:r>
          <m:d>
            <m:dPr>
              <m:sepChr m:val=""/>
              <m:ctrlPr>
                <w:rPr>
                  <w:rFonts w:hint="default" w:ascii="Cambria Math" w:hAnsi="Cambria Math" w:eastAsia="宋体" w:cs="Times New Roman"/>
                  <w:i w:val="0"/>
                  <w:snapToGrid w:val="0"/>
                  <w:color w:val="auto"/>
                  <w:kern w:val="0"/>
                  <w:sz w:val="24"/>
                  <w:szCs w:val="24"/>
                  <w:lang w:val="en-US" w:eastAsia="zh-CN" w:bidi="ar"/>
                </w:rPr>
              </m:ctrlPr>
            </m:dPr>
            <m:e>
              <m:r>
                <m:rPr>
                  <m:nor/>
                  <m:sty m:val="p"/>
                </m:rPr>
                <w:rPr>
                  <w:rFonts w:hint="default" w:ascii="Times New Roman" w:hAnsi="Times New Roman" w:eastAsia="宋体" w:cs="Times New Roman"/>
                  <w:b w:val="0"/>
                  <w:i w:val="0"/>
                  <w:snapToGrid w:val="0"/>
                  <w:color w:val="auto"/>
                  <w:kern w:val="0"/>
                  <w:sz w:val="24"/>
                  <w:szCs w:val="24"/>
                  <w:lang w:val="en-US" w:eastAsia="zh-CN" w:bidi="ar"/>
                </w:rPr>
                <m:t>−</m:t>
              </m:r>
              <m:f>
                <m:fPr>
                  <m:ctrlPr>
                    <w:rPr>
                      <w:rFonts w:hint="default" w:ascii="Cambria Math" w:hAnsi="Cambria Math" w:eastAsia="宋体" w:cs="Times New Roman"/>
                      <w:i w:val="0"/>
                      <w:snapToGrid w:val="0"/>
                      <w:color w:val="auto"/>
                      <w:kern w:val="0"/>
                      <w:sz w:val="24"/>
                      <w:szCs w:val="24"/>
                      <w:lang w:val="en-US" w:eastAsia="zh-CN" w:bidi="ar"/>
                    </w:rPr>
                  </m:ctrlPr>
                </m:fPr>
                <m:num>
                  <m:r>
                    <m:rPr>
                      <m:nor/>
                      <m:sty m:val="p"/>
                    </m:rPr>
                    <w:rPr>
                      <w:rFonts w:hint="default" w:ascii="Times New Roman" w:hAnsi="Times New Roman" w:eastAsia="宋体" w:cs="Times New Roman"/>
                      <w:b w:val="0"/>
                      <w:i w:val="0"/>
                      <w:snapToGrid w:val="0"/>
                      <w:color w:val="auto"/>
                      <w:kern w:val="0"/>
                      <w:sz w:val="24"/>
                      <w:szCs w:val="24"/>
                      <w:lang w:val="en-US" w:eastAsia="zh-CN" w:bidi="ar"/>
                    </w:rPr>
                    <m:t>kx</m:t>
                  </m:r>
                  <m:ctrlPr>
                    <w:rPr>
                      <w:rFonts w:hint="default" w:ascii="Cambria Math" w:hAnsi="Cambria Math" w:eastAsia="宋体" w:cs="Times New Roman"/>
                      <w:i w:val="0"/>
                      <w:snapToGrid w:val="0"/>
                      <w:color w:val="auto"/>
                      <w:kern w:val="0"/>
                      <w:sz w:val="24"/>
                      <w:szCs w:val="24"/>
                      <w:lang w:val="en-US" w:eastAsia="zh-CN" w:bidi="ar"/>
                    </w:rPr>
                  </m:ctrlPr>
                </m:num>
                <m:den>
                  <m:r>
                    <m:rPr>
                      <m:nor/>
                      <m:sty m:val="p"/>
                    </m:rPr>
                    <w:rPr>
                      <w:rFonts w:hint="default" w:ascii="Times New Roman" w:hAnsi="Times New Roman" w:eastAsia="宋体" w:cs="Times New Roman"/>
                      <w:b w:val="0"/>
                      <w:i w:val="0"/>
                      <w:snapToGrid w:val="0"/>
                      <w:color w:val="auto"/>
                      <w:kern w:val="0"/>
                      <w:sz w:val="24"/>
                      <w:szCs w:val="24"/>
                      <w:lang w:val="en-US" w:eastAsia="zh-CN" w:bidi="ar"/>
                    </w:rPr>
                    <m:t>u</m:t>
                  </m:r>
                  <m:ctrlPr>
                    <w:rPr>
                      <w:rFonts w:hint="default" w:ascii="Cambria Math" w:hAnsi="Cambria Math" w:eastAsia="宋体" w:cs="Times New Roman"/>
                      <w:i w:val="0"/>
                      <w:snapToGrid w:val="0"/>
                      <w:color w:val="auto"/>
                      <w:kern w:val="0"/>
                      <w:sz w:val="24"/>
                      <w:szCs w:val="24"/>
                      <w:lang w:val="en-US" w:eastAsia="zh-CN" w:bidi="ar"/>
                    </w:rPr>
                  </m:ctrlPr>
                </m:den>
              </m:f>
              <m:ctrlPr>
                <w:rPr>
                  <w:rFonts w:hint="default" w:ascii="Cambria Math" w:hAnsi="Cambria Math" w:eastAsia="宋体" w:cs="Times New Roman"/>
                  <w:i w:val="0"/>
                  <w:snapToGrid w:val="0"/>
                  <w:color w:val="auto"/>
                  <w:kern w:val="0"/>
                  <w:sz w:val="24"/>
                  <w:szCs w:val="24"/>
                  <w:lang w:val="en-US" w:eastAsia="zh-CN" w:bidi="ar"/>
                </w:rPr>
              </m:ctrlPr>
            </m:e>
          </m:d>
          <m:r>
            <m:rPr>
              <m:nor/>
              <m:sty m:val="p"/>
            </m:rPr>
            <w:rPr>
              <w:rFonts w:hint="default" w:ascii="Times New Roman" w:hAnsi="Times New Roman" w:eastAsia="宋体" w:cs="Times New Roman"/>
              <w:b w:val="0"/>
              <w:i w:val="0"/>
              <w:snapToGrid w:val="0"/>
              <w:color w:val="auto"/>
              <w:kern w:val="0"/>
              <w:sz w:val="24"/>
              <w:szCs w:val="24"/>
              <w:lang w:val="en-US" w:eastAsia="zh-CN" w:bidi="ar"/>
            </w:rPr>
            <m:t> x≥0</m:t>
          </m:r>
        </m:oMath>
      </m:oMathPara>
    </w:p>
    <w:p w14:paraId="3735EFFE">
      <w:pPr>
        <w:keepNext w:val="0"/>
        <w:keepLines w:val="0"/>
        <w:pageBreakBefore w:val="0"/>
        <w:widowControl/>
        <w:suppressLineNumbers w:val="0"/>
        <w:wordWrap/>
        <w:overflowPunct/>
        <w:topLinePunct w:val="0"/>
        <w:bidi w:val="0"/>
        <w:adjustRightInd w:val="0"/>
        <w:snapToGrid w:val="0"/>
        <w:spacing w:line="360" w:lineRule="auto"/>
        <w:ind w:firstLine="480" w:firstLineChars="200"/>
        <w:jc w:val="center"/>
        <w:rPr>
          <w:rFonts w:hint="default" w:hAnsi="Times New Roman" w:eastAsia="宋体" w:cs="Times New Roman"/>
          <w:i w:val="0"/>
          <w:snapToGrid w:val="0"/>
          <w:color w:val="auto"/>
          <w:kern w:val="0"/>
          <w:sz w:val="24"/>
          <w:szCs w:val="24"/>
          <w:lang w:val="en-US" w:eastAsia="zh-CN" w:bidi="ar"/>
        </w:rPr>
      </w:pPr>
      <m:oMathPara>
        <m:oMathParaPr>
          <m:jc m:val="center"/>
        </m:oMathParaPr>
        <m:oMath>
          <m:sSub>
            <m:sSubPr>
              <m:ctrlPr>
                <w:rPr>
                  <w:rFonts w:hint="default" w:ascii="Cambria Math" w:hAnsi="Cambria Math" w:eastAsia="宋体" w:cs="Times New Roman"/>
                  <w:i w:val="0"/>
                  <w:snapToGrid w:val="0"/>
                  <w:color w:val="auto"/>
                  <w:kern w:val="0"/>
                  <w:sz w:val="24"/>
                  <w:szCs w:val="24"/>
                  <w:lang w:val="en-US" w:eastAsia="zh-CN" w:bidi="ar"/>
                </w:rPr>
              </m:ctrlPr>
            </m:sSubPr>
            <m:e>
              <m:r>
                <m:rPr>
                  <m:nor/>
                  <m:sty m:val="p"/>
                </m:rPr>
                <w:rPr>
                  <w:rFonts w:hint="default" w:ascii="Times New Roman" w:hAnsi="Times New Roman" w:eastAsia="宋体" w:cs="Times New Roman"/>
                  <w:b w:val="0"/>
                  <w:i w:val="0"/>
                  <w:snapToGrid w:val="0"/>
                  <w:color w:val="auto"/>
                  <w:kern w:val="0"/>
                  <w:sz w:val="24"/>
                  <w:szCs w:val="24"/>
                  <w:lang w:val="en-US" w:eastAsia="zh-CN" w:bidi="ar"/>
                </w:rPr>
                <m:t>C</m:t>
              </m:r>
              <m:ctrlPr>
                <w:rPr>
                  <w:rFonts w:hint="default" w:ascii="Cambria Math" w:hAnsi="Cambria Math" w:eastAsia="宋体" w:cs="Times New Roman"/>
                  <w:i w:val="0"/>
                  <w:snapToGrid w:val="0"/>
                  <w:color w:val="auto"/>
                  <w:kern w:val="0"/>
                  <w:sz w:val="24"/>
                  <w:szCs w:val="24"/>
                  <w:lang w:val="en-US" w:eastAsia="zh-CN" w:bidi="ar"/>
                </w:rPr>
              </m:ctrlPr>
            </m:e>
            <m:sub>
              <m:r>
                <m:rPr>
                  <m:nor/>
                  <m:sty m:val="p"/>
                </m:rPr>
                <w:rPr>
                  <w:rFonts w:hint="default" w:ascii="Times New Roman" w:hAnsi="Times New Roman" w:eastAsia="宋体" w:cs="Times New Roman"/>
                  <w:b w:val="0"/>
                  <w:i w:val="0"/>
                  <w:snapToGrid w:val="0"/>
                  <w:color w:val="auto"/>
                  <w:kern w:val="0"/>
                  <w:sz w:val="24"/>
                  <w:szCs w:val="24"/>
                  <w:lang w:val="en-US" w:eastAsia="zh-CN" w:bidi="ar"/>
                </w:rPr>
                <m:t>0</m:t>
              </m:r>
              <m:ctrlPr>
                <w:rPr>
                  <w:rFonts w:hint="default" w:ascii="Cambria Math" w:hAnsi="Cambria Math" w:eastAsia="宋体" w:cs="Times New Roman"/>
                  <w:i w:val="0"/>
                  <w:snapToGrid w:val="0"/>
                  <w:color w:val="auto"/>
                  <w:kern w:val="0"/>
                  <w:sz w:val="24"/>
                  <w:szCs w:val="24"/>
                  <w:lang w:val="en-US" w:eastAsia="zh-CN" w:bidi="ar"/>
                </w:rPr>
              </m:ctrlPr>
            </m:sub>
          </m:sSub>
          <m:r>
            <m:rPr>
              <m:nor/>
              <m:sty m:val="p"/>
            </m:rPr>
            <w:rPr>
              <w:rFonts w:hint="default" w:ascii="Times New Roman" w:hAnsi="Times New Roman" w:eastAsia="宋体" w:cs="Times New Roman"/>
              <w:b w:val="0"/>
              <w:i w:val="0"/>
              <w:snapToGrid w:val="0"/>
              <w:color w:val="auto"/>
              <w:kern w:val="0"/>
              <w:sz w:val="24"/>
              <w:szCs w:val="24"/>
              <w:lang w:val="en-US" w:eastAsia="zh-CN" w:bidi="ar"/>
            </w:rPr>
            <m:t>=</m:t>
          </m:r>
          <m:d>
            <m:dPr>
              <m:sepChr m:val=""/>
              <m:ctrlPr>
                <w:rPr>
                  <w:rFonts w:hint="default" w:ascii="Cambria Math" w:hAnsi="Cambria Math" w:eastAsia="宋体" w:cs="Times New Roman"/>
                  <w:i w:val="0"/>
                  <w:snapToGrid w:val="0"/>
                  <w:color w:val="auto"/>
                  <w:kern w:val="0"/>
                  <w:sz w:val="24"/>
                  <w:szCs w:val="24"/>
                  <w:lang w:val="en-US" w:eastAsia="zh-CN" w:bidi="ar"/>
                </w:rPr>
              </m:ctrlPr>
            </m:dPr>
            <m:e>
              <m:sSub>
                <m:sSubPr>
                  <m:ctrlPr>
                    <w:rPr>
                      <w:rFonts w:hint="default" w:ascii="Cambria Math" w:hAnsi="Cambria Math" w:eastAsia="宋体" w:cs="Times New Roman"/>
                      <w:i w:val="0"/>
                      <w:snapToGrid w:val="0"/>
                      <w:color w:val="auto"/>
                      <w:kern w:val="0"/>
                      <w:sz w:val="24"/>
                      <w:szCs w:val="24"/>
                      <w:lang w:val="en-US" w:eastAsia="zh-CN" w:bidi="ar"/>
                    </w:rPr>
                  </m:ctrlPr>
                </m:sSubPr>
                <m:e>
                  <m:r>
                    <m:rPr>
                      <m:nor/>
                      <m:sty m:val="p"/>
                    </m:rPr>
                    <w:rPr>
                      <w:rFonts w:hint="default" w:ascii="Times New Roman" w:hAnsi="Times New Roman" w:eastAsia="宋体" w:cs="Times New Roman"/>
                      <w:b w:val="0"/>
                      <w:i w:val="0"/>
                      <w:snapToGrid w:val="0"/>
                      <w:color w:val="auto"/>
                      <w:kern w:val="0"/>
                      <w:sz w:val="24"/>
                      <w:szCs w:val="24"/>
                      <w:lang w:val="en-US" w:eastAsia="zh-CN" w:bidi="ar"/>
                    </w:rPr>
                    <m:t>C</m:t>
                  </m:r>
                  <m:ctrlPr>
                    <w:rPr>
                      <w:rFonts w:hint="default" w:ascii="Cambria Math" w:hAnsi="Cambria Math" w:eastAsia="宋体" w:cs="Times New Roman"/>
                      <w:i w:val="0"/>
                      <w:snapToGrid w:val="0"/>
                      <w:color w:val="auto"/>
                      <w:kern w:val="0"/>
                      <w:sz w:val="24"/>
                      <w:szCs w:val="24"/>
                      <w:lang w:val="en-US" w:eastAsia="zh-CN" w:bidi="ar"/>
                    </w:rPr>
                  </m:ctrlPr>
                </m:e>
                <m:sub>
                  <m:r>
                    <m:rPr>
                      <m:nor/>
                      <m:sty m:val="p"/>
                    </m:rPr>
                    <w:rPr>
                      <w:rFonts w:hint="default" w:ascii="Times New Roman" w:hAnsi="Times New Roman" w:eastAsia="宋体" w:cs="Times New Roman"/>
                      <w:b w:val="0"/>
                      <w:i w:val="0"/>
                      <w:snapToGrid w:val="0"/>
                      <w:color w:val="auto"/>
                      <w:kern w:val="0"/>
                      <w:sz w:val="24"/>
                      <w:szCs w:val="24"/>
                      <w:lang w:val="en-US" w:eastAsia="zh-CN" w:bidi="ar"/>
                    </w:rPr>
                    <m:t>p</m:t>
                  </m:r>
                  <m:ctrlPr>
                    <w:rPr>
                      <w:rFonts w:hint="default" w:ascii="Cambria Math" w:hAnsi="Cambria Math" w:eastAsia="宋体" w:cs="Times New Roman"/>
                      <w:i w:val="0"/>
                      <w:snapToGrid w:val="0"/>
                      <w:color w:val="auto"/>
                      <w:kern w:val="0"/>
                      <w:sz w:val="24"/>
                      <w:szCs w:val="24"/>
                      <w:lang w:val="en-US" w:eastAsia="zh-CN" w:bidi="ar"/>
                    </w:rPr>
                  </m:ctrlPr>
                </m:sub>
              </m:sSub>
              <m:sSub>
                <m:sSubPr>
                  <m:ctrlPr>
                    <w:rPr>
                      <w:rFonts w:hint="default" w:ascii="Cambria Math" w:hAnsi="Cambria Math" w:eastAsia="宋体" w:cs="Times New Roman"/>
                      <w:i w:val="0"/>
                      <w:snapToGrid w:val="0"/>
                      <w:color w:val="auto"/>
                      <w:kern w:val="0"/>
                      <w:sz w:val="24"/>
                      <w:szCs w:val="24"/>
                      <w:lang w:val="en-US" w:eastAsia="zh-CN" w:bidi="ar"/>
                    </w:rPr>
                  </m:ctrlPr>
                </m:sSubPr>
                <m:e>
                  <m:r>
                    <m:rPr>
                      <m:nor/>
                      <m:sty m:val="p"/>
                    </m:rPr>
                    <w:rPr>
                      <w:rFonts w:hint="default" w:ascii="Times New Roman" w:hAnsi="Times New Roman" w:eastAsia="宋体" w:cs="Times New Roman"/>
                      <w:b w:val="0"/>
                      <w:i w:val="0"/>
                      <w:snapToGrid w:val="0"/>
                      <w:color w:val="auto"/>
                      <w:kern w:val="0"/>
                      <w:sz w:val="24"/>
                      <w:szCs w:val="24"/>
                      <w:lang w:val="en-US" w:eastAsia="zh-CN" w:bidi="ar"/>
                    </w:rPr>
                    <m:t>Q</m:t>
                  </m:r>
                  <m:ctrlPr>
                    <w:rPr>
                      <w:rFonts w:hint="default" w:ascii="Cambria Math" w:hAnsi="Cambria Math" w:eastAsia="宋体" w:cs="Times New Roman"/>
                      <w:i w:val="0"/>
                      <w:snapToGrid w:val="0"/>
                      <w:color w:val="auto"/>
                      <w:kern w:val="0"/>
                      <w:sz w:val="24"/>
                      <w:szCs w:val="24"/>
                      <w:lang w:val="en-US" w:eastAsia="zh-CN" w:bidi="ar"/>
                    </w:rPr>
                  </m:ctrlPr>
                </m:e>
                <m:sub>
                  <m:r>
                    <m:rPr>
                      <m:nor/>
                      <m:sty m:val="p"/>
                    </m:rPr>
                    <w:rPr>
                      <w:rFonts w:hint="default" w:ascii="Times New Roman" w:hAnsi="Times New Roman" w:eastAsia="宋体" w:cs="Times New Roman"/>
                      <w:b w:val="0"/>
                      <w:i w:val="0"/>
                      <w:snapToGrid w:val="0"/>
                      <w:color w:val="auto"/>
                      <w:kern w:val="0"/>
                      <w:sz w:val="24"/>
                      <w:szCs w:val="24"/>
                      <w:lang w:val="en-US" w:eastAsia="zh-CN" w:bidi="ar"/>
                    </w:rPr>
                    <m:t>p</m:t>
                  </m:r>
                  <m:ctrlPr>
                    <w:rPr>
                      <w:rFonts w:hint="default" w:ascii="Cambria Math" w:hAnsi="Cambria Math" w:eastAsia="宋体" w:cs="Times New Roman"/>
                      <w:i w:val="0"/>
                      <w:snapToGrid w:val="0"/>
                      <w:color w:val="auto"/>
                      <w:kern w:val="0"/>
                      <w:sz w:val="24"/>
                      <w:szCs w:val="24"/>
                      <w:lang w:val="en-US" w:eastAsia="zh-CN" w:bidi="ar"/>
                    </w:rPr>
                  </m:ctrlPr>
                </m:sub>
              </m:sSub>
              <m:r>
                <m:rPr>
                  <m:nor/>
                  <m:sty m:val="p"/>
                </m:rPr>
                <w:rPr>
                  <w:rFonts w:hint="default" w:ascii="Times New Roman" w:hAnsi="Times New Roman" w:eastAsia="宋体" w:cs="Times New Roman"/>
                  <w:b w:val="0"/>
                  <w:i w:val="0"/>
                  <w:snapToGrid w:val="0"/>
                  <w:color w:val="auto"/>
                  <w:kern w:val="0"/>
                  <w:sz w:val="24"/>
                  <w:szCs w:val="24"/>
                  <w:lang w:val="en-US" w:eastAsia="zh-CN" w:bidi="ar"/>
                </w:rPr>
                <m:t>+</m:t>
              </m:r>
              <m:sSub>
                <m:sSubPr>
                  <m:ctrlPr>
                    <w:rPr>
                      <w:rFonts w:hint="default" w:ascii="Cambria Math" w:hAnsi="Cambria Math" w:eastAsia="宋体" w:cs="Times New Roman"/>
                      <w:i w:val="0"/>
                      <w:snapToGrid w:val="0"/>
                      <w:color w:val="auto"/>
                      <w:kern w:val="0"/>
                      <w:sz w:val="24"/>
                      <w:szCs w:val="24"/>
                      <w:lang w:val="en-US" w:eastAsia="zh-CN" w:bidi="ar"/>
                    </w:rPr>
                  </m:ctrlPr>
                </m:sSubPr>
                <m:e>
                  <m:r>
                    <m:rPr>
                      <m:nor/>
                      <m:sty m:val="p"/>
                    </m:rPr>
                    <w:rPr>
                      <w:rFonts w:hint="default" w:ascii="Times New Roman" w:hAnsi="Times New Roman" w:eastAsia="宋体" w:cs="Times New Roman"/>
                      <w:b w:val="0"/>
                      <w:i w:val="0"/>
                      <w:snapToGrid w:val="0"/>
                      <w:color w:val="auto"/>
                      <w:kern w:val="0"/>
                      <w:sz w:val="24"/>
                      <w:szCs w:val="24"/>
                      <w:lang w:val="en-US" w:eastAsia="zh-CN" w:bidi="ar"/>
                    </w:rPr>
                    <m:t>C</m:t>
                  </m:r>
                  <m:ctrlPr>
                    <w:rPr>
                      <w:rFonts w:hint="default" w:ascii="Cambria Math" w:hAnsi="Cambria Math" w:eastAsia="宋体" w:cs="Times New Roman"/>
                      <w:i w:val="0"/>
                      <w:snapToGrid w:val="0"/>
                      <w:color w:val="auto"/>
                      <w:kern w:val="0"/>
                      <w:sz w:val="24"/>
                      <w:szCs w:val="24"/>
                      <w:lang w:val="en-US" w:eastAsia="zh-CN" w:bidi="ar"/>
                    </w:rPr>
                  </m:ctrlPr>
                </m:e>
                <m:sub>
                  <m:r>
                    <m:rPr>
                      <m:nor/>
                      <m:sty m:val="p"/>
                    </m:rPr>
                    <w:rPr>
                      <w:rFonts w:hint="default" w:ascii="Times New Roman" w:hAnsi="Times New Roman" w:eastAsia="宋体" w:cs="Times New Roman"/>
                      <w:b w:val="0"/>
                      <w:i w:val="0"/>
                      <w:snapToGrid w:val="0"/>
                      <w:color w:val="auto"/>
                      <w:kern w:val="0"/>
                      <w:sz w:val="24"/>
                      <w:szCs w:val="24"/>
                      <w:lang w:val="en-US" w:eastAsia="zh-CN" w:bidi="ar"/>
                    </w:rPr>
                    <m:t>h</m:t>
                  </m:r>
                  <m:ctrlPr>
                    <w:rPr>
                      <w:rFonts w:hint="default" w:ascii="Cambria Math" w:hAnsi="Cambria Math" w:eastAsia="宋体" w:cs="Times New Roman"/>
                      <w:i w:val="0"/>
                      <w:snapToGrid w:val="0"/>
                      <w:color w:val="auto"/>
                      <w:kern w:val="0"/>
                      <w:sz w:val="24"/>
                      <w:szCs w:val="24"/>
                      <w:lang w:val="en-US" w:eastAsia="zh-CN" w:bidi="ar"/>
                    </w:rPr>
                  </m:ctrlPr>
                </m:sub>
              </m:sSub>
              <m:sSub>
                <m:sSubPr>
                  <m:ctrlPr>
                    <w:rPr>
                      <w:rFonts w:hint="default" w:ascii="Cambria Math" w:hAnsi="Cambria Math" w:eastAsia="宋体" w:cs="Times New Roman"/>
                      <w:i w:val="0"/>
                      <w:snapToGrid w:val="0"/>
                      <w:color w:val="auto"/>
                      <w:kern w:val="0"/>
                      <w:sz w:val="24"/>
                      <w:szCs w:val="24"/>
                      <w:lang w:val="en-US" w:eastAsia="zh-CN" w:bidi="ar"/>
                    </w:rPr>
                  </m:ctrlPr>
                </m:sSubPr>
                <m:e>
                  <m:r>
                    <m:rPr>
                      <m:nor/>
                      <m:sty m:val="p"/>
                    </m:rPr>
                    <w:rPr>
                      <w:rFonts w:hint="default" w:ascii="Times New Roman" w:hAnsi="Times New Roman" w:eastAsia="宋体" w:cs="Times New Roman"/>
                      <w:b w:val="0"/>
                      <w:i w:val="0"/>
                      <w:snapToGrid w:val="0"/>
                      <w:color w:val="auto"/>
                      <w:kern w:val="0"/>
                      <w:sz w:val="24"/>
                      <w:szCs w:val="24"/>
                      <w:lang w:val="en-US" w:eastAsia="zh-CN" w:bidi="ar"/>
                    </w:rPr>
                    <m:t>Q</m:t>
                  </m:r>
                  <m:ctrlPr>
                    <w:rPr>
                      <w:rFonts w:hint="default" w:ascii="Cambria Math" w:hAnsi="Cambria Math" w:eastAsia="宋体" w:cs="Times New Roman"/>
                      <w:i w:val="0"/>
                      <w:snapToGrid w:val="0"/>
                      <w:color w:val="auto"/>
                      <w:kern w:val="0"/>
                      <w:sz w:val="24"/>
                      <w:szCs w:val="24"/>
                      <w:lang w:val="en-US" w:eastAsia="zh-CN" w:bidi="ar"/>
                    </w:rPr>
                  </m:ctrlPr>
                </m:e>
                <m:sub>
                  <m:r>
                    <m:rPr>
                      <m:nor/>
                      <m:sty m:val="p"/>
                    </m:rPr>
                    <w:rPr>
                      <w:rFonts w:hint="default" w:ascii="Times New Roman" w:hAnsi="Times New Roman" w:eastAsia="宋体" w:cs="Times New Roman"/>
                      <w:b w:val="0"/>
                      <w:i w:val="0"/>
                      <w:snapToGrid w:val="0"/>
                      <w:color w:val="auto"/>
                      <w:kern w:val="0"/>
                      <w:sz w:val="24"/>
                      <w:szCs w:val="24"/>
                      <w:lang w:val="en-US" w:eastAsia="zh-CN" w:bidi="ar"/>
                    </w:rPr>
                    <m:t>h</m:t>
                  </m:r>
                  <m:ctrlPr>
                    <w:rPr>
                      <w:rFonts w:hint="default" w:ascii="Cambria Math" w:hAnsi="Cambria Math" w:eastAsia="宋体" w:cs="Times New Roman"/>
                      <w:i w:val="0"/>
                      <w:snapToGrid w:val="0"/>
                      <w:color w:val="auto"/>
                      <w:kern w:val="0"/>
                      <w:sz w:val="24"/>
                      <w:szCs w:val="24"/>
                      <w:lang w:val="en-US" w:eastAsia="zh-CN" w:bidi="ar"/>
                    </w:rPr>
                  </m:ctrlPr>
                </m:sub>
              </m:sSub>
              <m:ctrlPr>
                <w:rPr>
                  <w:rFonts w:hint="default" w:ascii="Cambria Math" w:hAnsi="Cambria Math" w:eastAsia="宋体" w:cs="Times New Roman"/>
                  <w:i w:val="0"/>
                  <w:snapToGrid w:val="0"/>
                  <w:color w:val="auto"/>
                  <w:kern w:val="0"/>
                  <w:sz w:val="24"/>
                  <w:szCs w:val="24"/>
                  <w:lang w:val="en-US" w:eastAsia="zh-CN" w:bidi="ar"/>
                </w:rPr>
              </m:ctrlPr>
            </m:e>
          </m:d>
          <m:r>
            <m:rPr>
              <m:nor/>
              <m:sty m:val="p"/>
            </m:rPr>
            <w:rPr>
              <w:rFonts w:hint="default" w:ascii="Times New Roman" w:hAnsi="Times New Roman" w:eastAsia="宋体" w:cs="Times New Roman"/>
              <w:b w:val="0"/>
              <w:i w:val="0"/>
              <w:snapToGrid w:val="0"/>
              <w:color w:val="auto"/>
              <w:kern w:val="0"/>
              <w:sz w:val="24"/>
              <w:szCs w:val="24"/>
              <w:lang w:val="en-US" w:eastAsia="zh-CN" w:bidi="ar"/>
            </w:rPr>
            <m:t>/</m:t>
          </m:r>
          <m:d>
            <m:dPr>
              <m:sepChr m:val=""/>
              <m:ctrlPr>
                <w:rPr>
                  <w:rFonts w:hint="default" w:ascii="Cambria Math" w:hAnsi="Cambria Math" w:eastAsia="宋体" w:cs="Times New Roman"/>
                  <w:i w:val="0"/>
                  <w:snapToGrid w:val="0"/>
                  <w:color w:val="auto"/>
                  <w:kern w:val="0"/>
                  <w:sz w:val="24"/>
                  <w:szCs w:val="24"/>
                  <w:lang w:val="en-US" w:eastAsia="zh-CN" w:bidi="ar"/>
                </w:rPr>
              </m:ctrlPr>
            </m:dPr>
            <m:e>
              <m:sSub>
                <m:sSubPr>
                  <m:ctrlPr>
                    <w:rPr>
                      <w:rFonts w:hint="default" w:ascii="Cambria Math" w:hAnsi="Cambria Math" w:eastAsia="宋体" w:cs="Times New Roman"/>
                      <w:i w:val="0"/>
                      <w:snapToGrid w:val="0"/>
                      <w:color w:val="auto"/>
                      <w:kern w:val="0"/>
                      <w:sz w:val="24"/>
                      <w:szCs w:val="24"/>
                      <w:lang w:val="en-US" w:eastAsia="zh-CN" w:bidi="ar"/>
                    </w:rPr>
                  </m:ctrlPr>
                </m:sSubPr>
                <m:e>
                  <m:r>
                    <m:rPr>
                      <m:nor/>
                      <m:sty m:val="p"/>
                    </m:rPr>
                    <w:rPr>
                      <w:rFonts w:hint="default" w:ascii="Times New Roman" w:hAnsi="Times New Roman" w:eastAsia="宋体" w:cs="Times New Roman"/>
                      <w:b w:val="0"/>
                      <w:i w:val="0"/>
                      <w:snapToGrid w:val="0"/>
                      <w:color w:val="auto"/>
                      <w:kern w:val="0"/>
                      <w:sz w:val="24"/>
                      <w:szCs w:val="24"/>
                      <w:lang w:val="en-US" w:eastAsia="zh-CN" w:bidi="ar"/>
                    </w:rPr>
                    <m:t>Q</m:t>
                  </m:r>
                  <m:ctrlPr>
                    <w:rPr>
                      <w:rFonts w:hint="default" w:ascii="Cambria Math" w:hAnsi="Cambria Math" w:eastAsia="宋体" w:cs="Times New Roman"/>
                      <w:i w:val="0"/>
                      <w:snapToGrid w:val="0"/>
                      <w:color w:val="auto"/>
                      <w:kern w:val="0"/>
                      <w:sz w:val="24"/>
                      <w:szCs w:val="24"/>
                      <w:lang w:val="en-US" w:eastAsia="zh-CN" w:bidi="ar"/>
                    </w:rPr>
                  </m:ctrlPr>
                </m:e>
                <m:sub>
                  <m:r>
                    <m:rPr>
                      <m:nor/>
                      <m:sty m:val="p"/>
                    </m:rPr>
                    <w:rPr>
                      <w:rFonts w:hint="default" w:ascii="Times New Roman" w:hAnsi="Times New Roman" w:eastAsia="宋体" w:cs="Times New Roman"/>
                      <w:b w:val="0"/>
                      <w:i w:val="0"/>
                      <w:snapToGrid w:val="0"/>
                      <w:color w:val="auto"/>
                      <w:kern w:val="0"/>
                      <w:sz w:val="24"/>
                      <w:szCs w:val="24"/>
                      <w:lang w:val="en-US" w:eastAsia="zh-CN" w:bidi="ar"/>
                    </w:rPr>
                    <m:t>p</m:t>
                  </m:r>
                  <m:ctrlPr>
                    <w:rPr>
                      <w:rFonts w:hint="default" w:ascii="Cambria Math" w:hAnsi="Cambria Math" w:eastAsia="宋体" w:cs="Times New Roman"/>
                      <w:i w:val="0"/>
                      <w:snapToGrid w:val="0"/>
                      <w:color w:val="auto"/>
                      <w:kern w:val="0"/>
                      <w:sz w:val="24"/>
                      <w:szCs w:val="24"/>
                      <w:lang w:val="en-US" w:eastAsia="zh-CN" w:bidi="ar"/>
                    </w:rPr>
                  </m:ctrlPr>
                </m:sub>
              </m:sSub>
              <m:r>
                <m:rPr>
                  <m:nor/>
                  <m:sty m:val="p"/>
                </m:rPr>
                <w:rPr>
                  <w:rFonts w:hint="default" w:ascii="Times New Roman" w:hAnsi="Times New Roman" w:eastAsia="宋体" w:cs="Times New Roman"/>
                  <w:b w:val="0"/>
                  <w:i w:val="0"/>
                  <w:snapToGrid w:val="0"/>
                  <w:color w:val="auto"/>
                  <w:kern w:val="0"/>
                  <w:sz w:val="24"/>
                  <w:szCs w:val="24"/>
                  <w:lang w:val="en-US" w:eastAsia="zh-CN" w:bidi="ar"/>
                </w:rPr>
                <m:t>+</m:t>
              </m:r>
              <m:sSub>
                <m:sSubPr>
                  <m:ctrlPr>
                    <w:rPr>
                      <w:rFonts w:hint="default" w:ascii="Cambria Math" w:hAnsi="Cambria Math" w:eastAsia="宋体" w:cs="Times New Roman"/>
                      <w:i w:val="0"/>
                      <w:snapToGrid w:val="0"/>
                      <w:color w:val="auto"/>
                      <w:kern w:val="0"/>
                      <w:sz w:val="24"/>
                      <w:szCs w:val="24"/>
                      <w:lang w:val="en-US" w:eastAsia="zh-CN" w:bidi="ar"/>
                    </w:rPr>
                  </m:ctrlPr>
                </m:sSubPr>
                <m:e>
                  <m:r>
                    <m:rPr>
                      <m:nor/>
                      <m:sty m:val="p"/>
                    </m:rPr>
                    <w:rPr>
                      <w:rFonts w:hint="default" w:ascii="Times New Roman" w:hAnsi="Times New Roman" w:eastAsia="宋体" w:cs="Times New Roman"/>
                      <w:b w:val="0"/>
                      <w:i w:val="0"/>
                      <w:snapToGrid w:val="0"/>
                      <w:color w:val="auto"/>
                      <w:kern w:val="0"/>
                      <w:sz w:val="24"/>
                      <w:szCs w:val="24"/>
                      <w:lang w:val="en-US" w:eastAsia="zh-CN" w:bidi="ar"/>
                    </w:rPr>
                    <m:t>Q</m:t>
                  </m:r>
                  <m:ctrlPr>
                    <w:rPr>
                      <w:rFonts w:hint="default" w:ascii="Cambria Math" w:hAnsi="Cambria Math" w:eastAsia="宋体" w:cs="Times New Roman"/>
                      <w:i w:val="0"/>
                      <w:snapToGrid w:val="0"/>
                      <w:color w:val="auto"/>
                      <w:kern w:val="0"/>
                      <w:sz w:val="24"/>
                      <w:szCs w:val="24"/>
                      <w:lang w:val="en-US" w:eastAsia="zh-CN" w:bidi="ar"/>
                    </w:rPr>
                  </m:ctrlPr>
                </m:e>
                <m:sub>
                  <m:r>
                    <m:rPr>
                      <m:nor/>
                      <m:sty m:val="p"/>
                    </m:rPr>
                    <w:rPr>
                      <w:rFonts w:hint="default" w:ascii="Times New Roman" w:hAnsi="Times New Roman" w:eastAsia="宋体" w:cs="Times New Roman"/>
                      <w:b w:val="0"/>
                      <w:i w:val="0"/>
                      <w:snapToGrid w:val="0"/>
                      <w:color w:val="auto"/>
                      <w:kern w:val="0"/>
                      <w:sz w:val="24"/>
                      <w:szCs w:val="24"/>
                      <w:lang w:val="en-US" w:eastAsia="zh-CN" w:bidi="ar"/>
                    </w:rPr>
                    <m:t>h</m:t>
                  </m:r>
                  <m:ctrlPr>
                    <w:rPr>
                      <w:rFonts w:hint="default" w:ascii="Cambria Math" w:hAnsi="Cambria Math" w:eastAsia="宋体" w:cs="Times New Roman"/>
                      <w:i w:val="0"/>
                      <w:snapToGrid w:val="0"/>
                      <w:color w:val="auto"/>
                      <w:kern w:val="0"/>
                      <w:sz w:val="24"/>
                      <w:szCs w:val="24"/>
                      <w:lang w:val="en-US" w:eastAsia="zh-CN" w:bidi="ar"/>
                    </w:rPr>
                  </m:ctrlPr>
                </m:sub>
              </m:sSub>
              <m:ctrlPr>
                <w:rPr>
                  <w:rFonts w:hint="default" w:ascii="Cambria Math" w:hAnsi="Cambria Math" w:eastAsia="宋体" w:cs="Times New Roman"/>
                  <w:i w:val="0"/>
                  <w:snapToGrid w:val="0"/>
                  <w:color w:val="auto"/>
                  <w:kern w:val="0"/>
                  <w:sz w:val="24"/>
                  <w:szCs w:val="24"/>
                  <w:lang w:val="en-US" w:eastAsia="zh-CN" w:bidi="ar"/>
                </w:rPr>
              </m:ctrlPr>
            </m:e>
          </m:d>
        </m:oMath>
      </m:oMathPara>
    </w:p>
    <w:p w14:paraId="420F249B">
      <w:pPr>
        <w:keepNext w:val="0"/>
        <w:keepLines w:val="0"/>
        <w:pageBreakBefore w:val="0"/>
        <w:widowControl/>
        <w:suppressLineNumbers w:val="0"/>
        <w:wordWrap/>
        <w:overflowPunct/>
        <w:topLinePunct w:val="0"/>
        <w:bidi w:val="0"/>
        <w:adjustRightInd w:val="0"/>
        <w:snapToGrid w:val="0"/>
        <w:spacing w:line="360" w:lineRule="auto"/>
        <w:ind w:firstLine="480" w:firstLineChars="200"/>
        <w:jc w:val="left"/>
        <w:rPr>
          <w:rFonts w:hint="default" w:ascii="Times New Roman" w:hAnsi="Times New Roman" w:eastAsia="宋体" w:cs="Times New Roman"/>
          <w:snapToGrid w:val="0"/>
          <w:color w:val="auto"/>
          <w:kern w:val="0"/>
          <w:sz w:val="24"/>
          <w:szCs w:val="24"/>
          <w:lang w:val="en-US" w:eastAsia="zh-CN" w:bidi="ar"/>
        </w:rPr>
      </w:pPr>
      <w:r>
        <w:rPr>
          <w:rFonts w:hint="default" w:ascii="Times New Roman" w:hAnsi="Times New Roman" w:eastAsia="宋体" w:cs="Times New Roman"/>
          <w:snapToGrid w:val="0"/>
          <w:color w:val="auto"/>
          <w:kern w:val="0"/>
          <w:sz w:val="24"/>
          <w:szCs w:val="24"/>
          <w:lang w:val="en-US" w:eastAsia="zh-CN" w:bidi="ar"/>
        </w:rPr>
        <w:t>当0.027＜α≤380时，适用对流扩散降解模型：</w:t>
      </w:r>
    </w:p>
    <w:p w14:paraId="27EC049C">
      <w:pPr>
        <w:keepNext w:val="0"/>
        <w:keepLines w:val="0"/>
        <w:pageBreakBefore w:val="0"/>
        <w:widowControl/>
        <w:suppressLineNumbers w:val="0"/>
        <w:wordWrap/>
        <w:overflowPunct/>
        <w:topLinePunct w:val="0"/>
        <w:bidi w:val="0"/>
        <w:adjustRightInd w:val="0"/>
        <w:snapToGrid w:val="0"/>
        <w:spacing w:line="360" w:lineRule="auto"/>
        <w:ind w:firstLine="480" w:firstLineChars="200"/>
        <w:jc w:val="center"/>
        <w:rPr>
          <w:rFonts w:hint="default" w:hAnsi="Times New Roman" w:eastAsia="宋体" w:cs="Times New Roman"/>
          <w:i w:val="0"/>
          <w:snapToGrid w:val="0"/>
          <w:color w:val="auto"/>
          <w:kern w:val="0"/>
          <w:sz w:val="24"/>
          <w:szCs w:val="24"/>
          <w:lang w:val="en-US" w:eastAsia="zh-CN" w:bidi="ar"/>
        </w:rPr>
      </w:pPr>
      <m:oMathPara>
        <m:oMathParaPr>
          <m:jc m:val="center"/>
        </m:oMathParaPr>
        <m:oMath>
          <m:r>
            <m:rPr>
              <m:sty m:val="p"/>
            </m:rPr>
            <w:rPr>
              <w:rFonts w:hint="default" w:ascii="Times New Roman" w:hAnsi="Times New Roman" w:eastAsia="宋体" w:cs="Times New Roman"/>
              <w:snapToGrid w:val="0"/>
              <w:color w:val="auto"/>
              <w:kern w:val="0"/>
              <w:sz w:val="24"/>
              <w:szCs w:val="24"/>
              <w:lang w:val="en-US" w:eastAsia="zh-CN" w:bidi="ar"/>
            </w:rPr>
            <m:t>C</m:t>
          </m:r>
          <m:d>
            <m:dPr>
              <m:sepChr m:val=""/>
              <m:ctrlPr>
                <w:rPr>
                  <w:rFonts w:hint="default" w:ascii="Cambria Math" w:hAnsi="Cambria Math" w:eastAsia="宋体" w:cs="Times New Roman"/>
                  <w:snapToGrid w:val="0"/>
                  <w:color w:val="auto"/>
                  <w:kern w:val="0"/>
                  <w:sz w:val="24"/>
                  <w:szCs w:val="24"/>
                  <w:lang w:val="en-US" w:eastAsia="zh-CN" w:bidi="ar"/>
                </w:rPr>
              </m:ctrlPr>
            </m:dPr>
            <m:e>
              <m:r>
                <m:rPr>
                  <m:sty m:val="p"/>
                </m:rPr>
                <w:rPr>
                  <w:rFonts w:hint="default" w:ascii="Times New Roman" w:hAnsi="Times New Roman" w:eastAsia="宋体" w:cs="Times New Roman"/>
                  <w:snapToGrid w:val="0"/>
                  <w:color w:val="auto"/>
                  <w:kern w:val="0"/>
                  <w:sz w:val="24"/>
                  <w:szCs w:val="24"/>
                  <w:lang w:val="en-US" w:eastAsia="zh-CN" w:bidi="ar"/>
                </w:rPr>
                <m:t>x</m:t>
              </m:r>
              <m:ctrlPr>
                <w:rPr>
                  <w:rFonts w:hint="default" w:ascii="Cambria Math" w:hAnsi="Cambria Math" w:eastAsia="宋体" w:cs="Times New Roman"/>
                  <w:snapToGrid w:val="0"/>
                  <w:color w:val="auto"/>
                  <w:kern w:val="0"/>
                  <w:sz w:val="24"/>
                  <w:szCs w:val="24"/>
                  <w:lang w:val="en-US" w:eastAsia="zh-CN" w:bidi="ar"/>
                </w:rPr>
              </m:ctrlPr>
            </m:e>
          </m:d>
          <m:r>
            <m:rPr>
              <m:sty m:val="p"/>
            </m:rPr>
            <w:rPr>
              <w:rFonts w:hint="default" w:ascii="Times New Roman" w:hAnsi="Times New Roman" w:eastAsia="宋体" w:cs="Times New Roman"/>
              <w:snapToGrid w:val="0"/>
              <w:color w:val="auto"/>
              <w:kern w:val="0"/>
              <w:sz w:val="24"/>
              <w:szCs w:val="24"/>
              <w:lang w:val="en-US" w:eastAsia="zh-CN" w:bidi="ar"/>
            </w:rPr>
            <m:t>=</m:t>
          </m:r>
          <m:sSub>
            <m:sSubPr>
              <m:ctrlPr>
                <w:rPr>
                  <w:rFonts w:hint="default" w:ascii="Cambria Math" w:hAnsi="Cambria Math" w:eastAsia="宋体" w:cs="Times New Roman"/>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C</m:t>
              </m:r>
              <m:ctrlPr>
                <w:rPr>
                  <w:rFonts w:hint="default" w:ascii="Cambria Math" w:hAnsi="Cambria Math" w:eastAsia="宋体" w:cs="Times New Roman"/>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0</m:t>
              </m:r>
              <m:ctrlPr>
                <w:rPr>
                  <w:rFonts w:hint="default" w:ascii="Cambria Math" w:hAnsi="Cambria Math" w:eastAsia="宋体" w:cs="Times New Roman"/>
                  <w:snapToGrid w:val="0"/>
                  <w:color w:val="auto"/>
                  <w:kern w:val="0"/>
                  <w:sz w:val="24"/>
                  <w:szCs w:val="24"/>
                  <w:lang w:val="en-US" w:eastAsia="zh-CN" w:bidi="ar"/>
                </w:rPr>
              </m:ctrlPr>
            </m:sub>
          </m:sSub>
          <m:r>
            <m:rPr>
              <m:sty m:val="p"/>
            </m:rPr>
            <w:rPr>
              <w:rFonts w:hint="default" w:ascii="Times New Roman" w:hAnsi="Times New Roman" w:eastAsia="宋体" w:cs="Times New Roman"/>
              <w:snapToGrid w:val="0"/>
              <w:color w:val="auto"/>
              <w:kern w:val="0"/>
              <w:sz w:val="24"/>
              <w:szCs w:val="24"/>
              <w:lang w:val="en-US" w:eastAsia="zh-CN" w:bidi="ar"/>
            </w:rPr>
            <m:t>exp</m:t>
          </m:r>
          <m:d>
            <m:dPr>
              <m:begChr m:val="["/>
              <m:sepChr m:val=""/>
              <m:endChr m:val="]"/>
              <m:ctrlPr>
                <w:rPr>
                  <w:rFonts w:hint="default" w:ascii="Cambria Math" w:hAnsi="Cambria Math" w:eastAsia="宋体" w:cs="Times New Roman"/>
                  <w:snapToGrid w:val="0"/>
                  <w:color w:val="auto"/>
                  <w:kern w:val="0"/>
                  <w:sz w:val="24"/>
                  <w:szCs w:val="24"/>
                  <w:lang w:val="en-US" w:eastAsia="zh-CN" w:bidi="ar"/>
                </w:rPr>
              </m:ctrlPr>
            </m:dPr>
            <m:e>
              <m:f>
                <m:fPr>
                  <m:ctrlPr>
                    <w:rPr>
                      <w:rFonts w:hint="default" w:ascii="Cambria Math" w:hAnsi="Cambria Math" w:eastAsia="宋体" w:cs="Times New Roman"/>
                      <w:snapToGrid w:val="0"/>
                      <w:color w:val="auto"/>
                      <w:kern w:val="0"/>
                      <w:sz w:val="24"/>
                      <w:szCs w:val="24"/>
                      <w:lang w:val="en-US" w:eastAsia="zh-CN" w:bidi="ar"/>
                    </w:rPr>
                  </m:ctrlPr>
                </m:fPr>
                <m:num>
                  <m:r>
                    <m:rPr>
                      <m:sty m:val="p"/>
                    </m:rPr>
                    <w:rPr>
                      <w:rFonts w:hint="default" w:ascii="Times New Roman" w:hAnsi="Times New Roman" w:eastAsia="宋体" w:cs="Times New Roman"/>
                      <w:snapToGrid w:val="0"/>
                      <w:color w:val="auto"/>
                      <w:kern w:val="0"/>
                      <w:sz w:val="24"/>
                      <w:szCs w:val="24"/>
                      <w:lang w:val="en-US" w:eastAsia="zh-CN" w:bidi="ar"/>
                    </w:rPr>
                    <m:t>ux</m:t>
                  </m:r>
                  <m:ctrlPr>
                    <w:rPr>
                      <w:rFonts w:hint="default" w:ascii="Cambria Math" w:hAnsi="Cambria Math" w:eastAsia="宋体" w:cs="Times New Roman"/>
                      <w:snapToGrid w:val="0"/>
                      <w:color w:val="auto"/>
                      <w:kern w:val="0"/>
                      <w:sz w:val="24"/>
                      <w:szCs w:val="24"/>
                      <w:lang w:val="en-US" w:eastAsia="zh-CN" w:bidi="ar"/>
                    </w:rPr>
                  </m:ctrlPr>
                </m:num>
                <m:den>
                  <m:r>
                    <m:rPr>
                      <m:sty m:val="p"/>
                    </m:rPr>
                    <w:rPr>
                      <w:rFonts w:hint="default" w:ascii="Times New Roman" w:hAnsi="Times New Roman" w:eastAsia="宋体" w:cs="Times New Roman"/>
                      <w:snapToGrid w:val="0"/>
                      <w:color w:val="auto"/>
                      <w:kern w:val="0"/>
                      <w:sz w:val="24"/>
                      <w:szCs w:val="24"/>
                      <w:lang w:val="en-US" w:eastAsia="zh-CN" w:bidi="ar"/>
                    </w:rPr>
                    <m:t>2</m:t>
                  </m:r>
                  <m:sSub>
                    <m:sSubPr>
                      <m:ctrlPr>
                        <w:rPr>
                          <w:rFonts w:hint="default" w:ascii="Cambria Math" w:hAnsi="Cambria Math" w:eastAsia="宋体" w:cs="Times New Roman"/>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E</m:t>
                      </m:r>
                      <m:ctrlPr>
                        <w:rPr>
                          <w:rFonts w:hint="default" w:ascii="Cambria Math" w:hAnsi="Cambria Math" w:eastAsia="宋体" w:cs="Times New Roman"/>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x</m:t>
                      </m:r>
                      <m:ctrlPr>
                        <w:rPr>
                          <w:rFonts w:hint="default" w:ascii="Cambria Math" w:hAnsi="Cambria Math" w:eastAsia="宋体" w:cs="Times New Roman"/>
                          <w:snapToGrid w:val="0"/>
                          <w:color w:val="auto"/>
                          <w:kern w:val="0"/>
                          <w:sz w:val="24"/>
                          <w:szCs w:val="24"/>
                          <w:lang w:val="en-US" w:eastAsia="zh-CN" w:bidi="ar"/>
                        </w:rPr>
                      </m:ctrlPr>
                    </m:sub>
                  </m:sSub>
                  <m:ctrlPr>
                    <w:rPr>
                      <w:rFonts w:hint="default" w:ascii="Cambria Math" w:hAnsi="Cambria Math" w:eastAsia="宋体" w:cs="Times New Roman"/>
                      <w:snapToGrid w:val="0"/>
                      <w:color w:val="auto"/>
                      <w:kern w:val="0"/>
                      <w:sz w:val="24"/>
                      <w:szCs w:val="24"/>
                      <w:lang w:val="en-US" w:eastAsia="zh-CN" w:bidi="ar"/>
                    </w:rPr>
                  </m:ctrlPr>
                </m:den>
              </m:f>
              <m:d>
                <m:dPr>
                  <m:sepChr m:val=""/>
                  <m:ctrlPr>
                    <w:rPr>
                      <w:rFonts w:hint="default" w:ascii="Cambria Math" w:hAnsi="Cambria Math" w:eastAsia="宋体" w:cs="Times New Roman"/>
                      <w:snapToGrid w:val="0"/>
                      <w:color w:val="auto"/>
                      <w:kern w:val="0"/>
                      <w:sz w:val="24"/>
                      <w:szCs w:val="24"/>
                      <w:lang w:val="en-US" w:eastAsia="zh-CN" w:bidi="ar"/>
                    </w:rPr>
                  </m:ctrlPr>
                </m:dPr>
                <m:e>
                  <m:r>
                    <m:rPr>
                      <m:sty m:val="p"/>
                    </m:rPr>
                    <w:rPr>
                      <w:rFonts w:hint="default" w:ascii="Times New Roman" w:hAnsi="Times New Roman" w:eastAsia="宋体" w:cs="Times New Roman"/>
                      <w:snapToGrid w:val="0"/>
                      <w:color w:val="auto"/>
                      <w:kern w:val="0"/>
                      <w:sz w:val="24"/>
                      <w:szCs w:val="24"/>
                      <w:lang w:val="en-US" w:eastAsia="zh-CN" w:bidi="ar"/>
                    </w:rPr>
                    <m:t>1+</m:t>
                  </m:r>
                  <m:rad>
                    <m:radPr>
                      <m:degHide m:val="1"/>
                      <m:ctrlPr>
                        <w:rPr>
                          <w:rFonts w:hint="default" w:ascii="Cambria Math" w:hAnsi="Cambria Math" w:eastAsia="宋体" w:cs="Times New Roman"/>
                          <w:snapToGrid w:val="0"/>
                          <w:color w:val="auto"/>
                          <w:kern w:val="0"/>
                          <w:sz w:val="24"/>
                          <w:szCs w:val="24"/>
                          <w:lang w:val="en-US" w:eastAsia="zh-CN" w:bidi="ar"/>
                        </w:rPr>
                      </m:ctrlPr>
                    </m:radPr>
                    <m:deg>
                      <m:ctrlPr>
                        <w:rPr>
                          <w:rFonts w:hint="default" w:ascii="Cambria Math" w:hAnsi="Cambria Math" w:eastAsia="宋体" w:cs="Times New Roman"/>
                          <w:snapToGrid w:val="0"/>
                          <w:color w:val="auto"/>
                          <w:kern w:val="0"/>
                          <w:sz w:val="24"/>
                          <w:szCs w:val="24"/>
                          <w:lang w:val="en-US" w:eastAsia="zh-CN" w:bidi="ar"/>
                        </w:rPr>
                      </m:ctrlPr>
                    </m:deg>
                    <m:e>
                      <m:r>
                        <m:rPr>
                          <m:sty m:val="p"/>
                        </m:rPr>
                        <w:rPr>
                          <w:rFonts w:hint="default" w:ascii="Times New Roman" w:hAnsi="Times New Roman" w:eastAsia="宋体" w:cs="Times New Roman"/>
                          <w:snapToGrid w:val="0"/>
                          <w:color w:val="auto"/>
                          <w:kern w:val="0"/>
                          <w:sz w:val="24"/>
                          <w:szCs w:val="24"/>
                          <w:lang w:val="en-US" w:eastAsia="zh-CN" w:bidi="ar"/>
                        </w:rPr>
                        <m:t>1+4α</m:t>
                      </m:r>
                      <m:ctrlPr>
                        <w:rPr>
                          <w:rFonts w:hint="default" w:ascii="Cambria Math" w:hAnsi="Cambria Math" w:eastAsia="宋体" w:cs="Times New Roman"/>
                          <w:snapToGrid w:val="0"/>
                          <w:color w:val="auto"/>
                          <w:kern w:val="0"/>
                          <w:sz w:val="24"/>
                          <w:szCs w:val="24"/>
                          <w:lang w:val="en-US" w:eastAsia="zh-CN" w:bidi="ar"/>
                        </w:rPr>
                      </m:ctrlPr>
                    </m:e>
                  </m:rad>
                  <m:ctrlPr>
                    <w:rPr>
                      <w:rFonts w:hint="default" w:ascii="Cambria Math" w:hAnsi="Cambria Math" w:eastAsia="宋体" w:cs="Times New Roman"/>
                      <w:snapToGrid w:val="0"/>
                      <w:color w:val="auto"/>
                      <w:kern w:val="0"/>
                      <w:sz w:val="24"/>
                      <w:szCs w:val="24"/>
                      <w:lang w:val="en-US" w:eastAsia="zh-CN" w:bidi="ar"/>
                    </w:rPr>
                  </m:ctrlPr>
                </m:e>
              </m:d>
              <m:ctrlPr>
                <w:rPr>
                  <w:rFonts w:hint="default" w:ascii="Cambria Math" w:hAnsi="Cambria Math" w:eastAsia="宋体" w:cs="Times New Roman"/>
                  <w:snapToGrid w:val="0"/>
                  <w:color w:val="auto"/>
                  <w:kern w:val="0"/>
                  <w:sz w:val="24"/>
                  <w:szCs w:val="24"/>
                  <w:lang w:val="en-US" w:eastAsia="zh-CN" w:bidi="ar"/>
                </w:rPr>
              </m:ctrlPr>
            </m:e>
          </m:d>
          <m:r>
            <m:rPr>
              <m:sty m:val="p"/>
            </m:rPr>
            <w:rPr>
              <w:rFonts w:hint="default" w:ascii="Times New Roman" w:hAnsi="Times New Roman" w:eastAsia="宋体" w:cs="Times New Roman"/>
              <w:snapToGrid w:val="0"/>
              <w:color w:val="auto"/>
              <w:kern w:val="0"/>
              <w:sz w:val="24"/>
              <w:szCs w:val="24"/>
              <w:lang w:val="en-US" w:eastAsia="zh-CN" w:bidi="ar"/>
            </w:rPr>
            <m:t> x&lt;0</m:t>
          </m:r>
        </m:oMath>
      </m:oMathPara>
    </w:p>
    <w:p w14:paraId="210A1E36">
      <w:pPr>
        <w:keepNext w:val="0"/>
        <w:keepLines w:val="0"/>
        <w:pageBreakBefore w:val="0"/>
        <w:widowControl/>
        <w:suppressLineNumbers w:val="0"/>
        <w:wordWrap/>
        <w:overflowPunct/>
        <w:topLinePunct w:val="0"/>
        <w:bidi w:val="0"/>
        <w:adjustRightInd w:val="0"/>
        <w:snapToGrid w:val="0"/>
        <w:spacing w:line="360" w:lineRule="auto"/>
        <w:ind w:firstLine="480" w:firstLineChars="200"/>
        <w:jc w:val="center"/>
        <w:rPr>
          <w:rFonts w:hint="default" w:hAnsi="Times New Roman" w:eastAsia="宋体" w:cs="Times New Roman"/>
          <w:i w:val="0"/>
          <w:snapToGrid w:val="0"/>
          <w:color w:val="auto"/>
          <w:kern w:val="0"/>
          <w:sz w:val="24"/>
          <w:szCs w:val="24"/>
          <w:lang w:val="en-US" w:eastAsia="zh-CN" w:bidi="ar"/>
        </w:rPr>
      </w:pPr>
      <m:oMathPara>
        <m:oMathParaPr>
          <m:jc m:val="center"/>
        </m:oMathParaPr>
        <m:oMath>
          <m:r>
            <m:rPr>
              <m:sty m:val="p"/>
            </m:rPr>
            <w:rPr>
              <w:rFonts w:hint="default" w:ascii="Times New Roman" w:hAnsi="Times New Roman" w:eastAsia="宋体" w:cs="Times New Roman"/>
              <w:snapToGrid w:val="0"/>
              <w:color w:val="auto"/>
              <w:kern w:val="0"/>
              <w:sz w:val="24"/>
              <w:szCs w:val="24"/>
              <w:lang w:val="en-US" w:eastAsia="zh-CN" w:bidi="ar"/>
            </w:rPr>
            <m:t>C</m:t>
          </m:r>
          <m:d>
            <m:dPr>
              <m:sepChr m:val=""/>
              <m:ctrlPr>
                <w:rPr>
                  <w:rFonts w:hint="default" w:ascii="Cambria Math" w:hAnsi="Cambria Math" w:eastAsia="宋体" w:cs="Times New Roman"/>
                  <w:i w:val="0"/>
                  <w:snapToGrid w:val="0"/>
                  <w:color w:val="auto"/>
                  <w:kern w:val="0"/>
                  <w:sz w:val="24"/>
                  <w:szCs w:val="24"/>
                  <w:lang w:val="en-US" w:eastAsia="zh-CN" w:bidi="ar"/>
                </w:rPr>
              </m:ctrlPr>
            </m:dPr>
            <m:e>
              <m:r>
                <m:rPr>
                  <m:sty m:val="p"/>
                </m:rPr>
                <w:rPr>
                  <w:rFonts w:hint="default" w:ascii="Times New Roman" w:hAnsi="Times New Roman" w:eastAsia="宋体" w:cs="Times New Roman"/>
                  <w:snapToGrid w:val="0"/>
                  <w:color w:val="auto"/>
                  <w:kern w:val="0"/>
                  <w:sz w:val="24"/>
                  <w:szCs w:val="24"/>
                  <w:lang w:val="en-US" w:eastAsia="zh-CN" w:bidi="ar"/>
                </w:rPr>
                <m:t>x</m:t>
              </m:r>
              <m:ctrlPr>
                <w:rPr>
                  <w:rFonts w:hint="default" w:ascii="Cambria Math" w:hAnsi="Cambria Math" w:eastAsia="宋体" w:cs="Times New Roman"/>
                  <w:i w:val="0"/>
                  <w:snapToGrid w:val="0"/>
                  <w:color w:val="auto"/>
                  <w:kern w:val="0"/>
                  <w:sz w:val="24"/>
                  <w:szCs w:val="24"/>
                  <w:lang w:val="en-US" w:eastAsia="zh-CN" w:bidi="ar"/>
                </w:rPr>
              </m:ctrlPr>
            </m:e>
          </m:d>
          <m:r>
            <m:rPr>
              <m:sty m:val="p"/>
            </m:rPr>
            <w:rPr>
              <w:rFonts w:hint="default" w:ascii="Times New Roman" w:hAnsi="Times New Roman" w:eastAsia="宋体" w:cs="Times New Roman"/>
              <w:snapToGrid w:val="0"/>
              <w:color w:val="auto"/>
              <w:kern w:val="0"/>
              <w:sz w:val="24"/>
              <w:szCs w:val="24"/>
              <w:lang w:val="en-US" w:eastAsia="zh-CN" w:bidi="ar"/>
            </w:rPr>
            <m:t>=</m:t>
          </m:r>
          <m:sSub>
            <m:sSubPr>
              <m:ctrlPr>
                <w:rPr>
                  <w:rFonts w:hint="default" w:ascii="Cambria Math" w:hAnsi="Cambria Math" w:eastAsia="宋体" w:cs="Times New Roman"/>
                  <w:i w:val="0"/>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C</m:t>
              </m:r>
              <m:ctrlPr>
                <w:rPr>
                  <w:rFonts w:hint="default" w:ascii="Cambria Math" w:hAnsi="Cambria Math" w:eastAsia="宋体" w:cs="Times New Roman"/>
                  <w:i w:val="0"/>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0</m:t>
              </m:r>
              <m:ctrlPr>
                <w:rPr>
                  <w:rFonts w:hint="default" w:ascii="Cambria Math" w:hAnsi="Cambria Math" w:eastAsia="宋体" w:cs="Times New Roman"/>
                  <w:i w:val="0"/>
                  <w:snapToGrid w:val="0"/>
                  <w:color w:val="auto"/>
                  <w:kern w:val="0"/>
                  <w:sz w:val="24"/>
                  <w:szCs w:val="24"/>
                  <w:lang w:val="en-US" w:eastAsia="zh-CN" w:bidi="ar"/>
                </w:rPr>
              </m:ctrlPr>
            </m:sub>
          </m:sSub>
          <m:r>
            <m:rPr>
              <m:sty m:val="p"/>
            </m:rPr>
            <w:rPr>
              <w:rFonts w:hint="default" w:ascii="Times New Roman" w:hAnsi="Times New Roman" w:eastAsia="宋体" w:cs="Times New Roman"/>
              <w:snapToGrid w:val="0"/>
              <w:color w:val="auto"/>
              <w:kern w:val="0"/>
              <w:sz w:val="24"/>
              <w:szCs w:val="24"/>
              <w:lang w:val="en-US" w:eastAsia="zh-CN" w:bidi="ar"/>
            </w:rPr>
            <m:t>exp</m:t>
          </m:r>
          <m:d>
            <m:dPr>
              <m:begChr m:val="["/>
              <m:sepChr m:val=""/>
              <m:endChr m:val="]"/>
              <m:ctrlPr>
                <w:rPr>
                  <w:rFonts w:hint="default" w:ascii="Cambria Math" w:hAnsi="Cambria Math" w:eastAsia="宋体" w:cs="Times New Roman"/>
                  <w:i w:val="0"/>
                  <w:snapToGrid w:val="0"/>
                  <w:color w:val="auto"/>
                  <w:kern w:val="0"/>
                  <w:sz w:val="24"/>
                  <w:szCs w:val="24"/>
                  <w:lang w:val="en-US" w:eastAsia="zh-CN" w:bidi="ar"/>
                </w:rPr>
              </m:ctrlPr>
            </m:dPr>
            <m:e>
              <m:f>
                <m:fPr>
                  <m:ctrlPr>
                    <w:rPr>
                      <w:rFonts w:hint="default" w:ascii="Cambria Math" w:hAnsi="Cambria Math" w:eastAsia="宋体" w:cs="Times New Roman"/>
                      <w:i w:val="0"/>
                      <w:snapToGrid w:val="0"/>
                      <w:color w:val="auto"/>
                      <w:kern w:val="0"/>
                      <w:sz w:val="24"/>
                      <w:szCs w:val="24"/>
                      <w:lang w:val="en-US" w:eastAsia="zh-CN" w:bidi="ar"/>
                    </w:rPr>
                  </m:ctrlPr>
                </m:fPr>
                <m:num>
                  <m:r>
                    <m:rPr>
                      <m:sty m:val="p"/>
                    </m:rPr>
                    <w:rPr>
                      <w:rFonts w:hint="default" w:ascii="Times New Roman" w:hAnsi="Times New Roman" w:eastAsia="宋体" w:cs="Times New Roman"/>
                      <w:snapToGrid w:val="0"/>
                      <w:color w:val="auto"/>
                      <w:kern w:val="0"/>
                      <w:sz w:val="24"/>
                      <w:szCs w:val="24"/>
                      <w:lang w:val="en-US" w:eastAsia="zh-CN" w:bidi="ar"/>
                    </w:rPr>
                    <m:t>ux</m:t>
                  </m:r>
                  <m:ctrlPr>
                    <w:rPr>
                      <w:rFonts w:hint="default" w:ascii="Cambria Math" w:hAnsi="Cambria Math" w:eastAsia="宋体" w:cs="Times New Roman"/>
                      <w:i w:val="0"/>
                      <w:snapToGrid w:val="0"/>
                      <w:color w:val="auto"/>
                      <w:kern w:val="0"/>
                      <w:sz w:val="24"/>
                      <w:szCs w:val="24"/>
                      <w:lang w:val="en-US" w:eastAsia="zh-CN" w:bidi="ar"/>
                    </w:rPr>
                  </m:ctrlPr>
                </m:num>
                <m:den>
                  <m:r>
                    <m:rPr>
                      <m:sty m:val="p"/>
                    </m:rPr>
                    <w:rPr>
                      <w:rFonts w:hint="default" w:ascii="Times New Roman" w:hAnsi="Times New Roman" w:eastAsia="宋体" w:cs="Times New Roman"/>
                      <w:snapToGrid w:val="0"/>
                      <w:color w:val="auto"/>
                      <w:kern w:val="0"/>
                      <w:sz w:val="24"/>
                      <w:szCs w:val="24"/>
                      <w:lang w:val="en-US" w:eastAsia="zh-CN" w:bidi="ar"/>
                    </w:rPr>
                    <m:t>2</m:t>
                  </m:r>
                  <m:sSub>
                    <m:sSubPr>
                      <m:ctrlPr>
                        <w:rPr>
                          <w:rFonts w:hint="default" w:ascii="Cambria Math" w:hAnsi="Cambria Math" w:eastAsia="宋体" w:cs="Times New Roman"/>
                          <w:i w:val="0"/>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E</m:t>
                      </m:r>
                      <m:ctrlPr>
                        <w:rPr>
                          <w:rFonts w:hint="default" w:ascii="Cambria Math" w:hAnsi="Cambria Math" w:eastAsia="宋体" w:cs="Times New Roman"/>
                          <w:i w:val="0"/>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x</m:t>
                      </m:r>
                      <m:ctrlPr>
                        <w:rPr>
                          <w:rFonts w:hint="default" w:ascii="Cambria Math" w:hAnsi="Cambria Math" w:eastAsia="宋体" w:cs="Times New Roman"/>
                          <w:i w:val="0"/>
                          <w:snapToGrid w:val="0"/>
                          <w:color w:val="auto"/>
                          <w:kern w:val="0"/>
                          <w:sz w:val="24"/>
                          <w:szCs w:val="24"/>
                          <w:lang w:val="en-US" w:eastAsia="zh-CN" w:bidi="ar"/>
                        </w:rPr>
                      </m:ctrlPr>
                    </m:sub>
                  </m:sSub>
                  <m:ctrlPr>
                    <w:rPr>
                      <w:rFonts w:hint="default" w:ascii="Cambria Math" w:hAnsi="Cambria Math" w:eastAsia="宋体" w:cs="Times New Roman"/>
                      <w:i w:val="0"/>
                      <w:snapToGrid w:val="0"/>
                      <w:color w:val="auto"/>
                      <w:kern w:val="0"/>
                      <w:sz w:val="24"/>
                      <w:szCs w:val="24"/>
                      <w:lang w:val="en-US" w:eastAsia="zh-CN" w:bidi="ar"/>
                    </w:rPr>
                  </m:ctrlPr>
                </m:den>
              </m:f>
              <m:d>
                <m:dPr>
                  <m:sepChr m:val=""/>
                  <m:ctrlPr>
                    <w:rPr>
                      <w:rFonts w:hint="default" w:ascii="Cambria Math" w:hAnsi="Cambria Math" w:eastAsia="宋体" w:cs="Times New Roman"/>
                      <w:i w:val="0"/>
                      <w:snapToGrid w:val="0"/>
                      <w:color w:val="auto"/>
                      <w:kern w:val="0"/>
                      <w:sz w:val="24"/>
                      <w:szCs w:val="24"/>
                      <w:lang w:val="en-US" w:eastAsia="zh-CN" w:bidi="ar"/>
                    </w:rPr>
                  </m:ctrlPr>
                </m:dPr>
                <m:e>
                  <m:r>
                    <m:rPr>
                      <m:sty m:val="p"/>
                    </m:rPr>
                    <w:rPr>
                      <w:rFonts w:hint="default" w:ascii="Times New Roman" w:hAnsi="Times New Roman" w:eastAsia="宋体" w:cs="Times New Roman"/>
                      <w:snapToGrid w:val="0"/>
                      <w:color w:val="auto"/>
                      <w:kern w:val="0"/>
                      <w:sz w:val="24"/>
                      <w:szCs w:val="24"/>
                      <w:lang w:val="en-US" w:eastAsia="zh-CN" w:bidi="ar"/>
                    </w:rPr>
                    <m:t>1−</m:t>
                  </m:r>
                  <m:rad>
                    <m:radPr>
                      <m:degHide m:val="1"/>
                      <m:ctrlPr>
                        <w:rPr>
                          <w:rFonts w:hint="default" w:ascii="Cambria Math" w:hAnsi="Cambria Math" w:eastAsia="宋体" w:cs="Times New Roman"/>
                          <w:i w:val="0"/>
                          <w:snapToGrid w:val="0"/>
                          <w:color w:val="auto"/>
                          <w:kern w:val="0"/>
                          <w:sz w:val="24"/>
                          <w:szCs w:val="24"/>
                          <w:lang w:val="en-US" w:eastAsia="zh-CN" w:bidi="ar"/>
                        </w:rPr>
                      </m:ctrlPr>
                    </m:radPr>
                    <m:deg>
                      <m:ctrlPr>
                        <w:rPr>
                          <w:rFonts w:hint="default" w:ascii="Cambria Math" w:hAnsi="Cambria Math" w:eastAsia="宋体" w:cs="Times New Roman"/>
                          <w:i w:val="0"/>
                          <w:snapToGrid w:val="0"/>
                          <w:color w:val="auto"/>
                          <w:kern w:val="0"/>
                          <w:sz w:val="24"/>
                          <w:szCs w:val="24"/>
                          <w:lang w:val="en-US" w:eastAsia="zh-CN" w:bidi="ar"/>
                        </w:rPr>
                      </m:ctrlPr>
                    </m:deg>
                    <m:e>
                      <m:r>
                        <m:rPr>
                          <m:sty m:val="p"/>
                        </m:rPr>
                        <w:rPr>
                          <w:rFonts w:hint="default" w:ascii="Times New Roman" w:hAnsi="Times New Roman" w:eastAsia="宋体" w:cs="Times New Roman"/>
                          <w:snapToGrid w:val="0"/>
                          <w:color w:val="auto"/>
                          <w:kern w:val="0"/>
                          <w:sz w:val="24"/>
                          <w:szCs w:val="24"/>
                          <w:lang w:val="en-US" w:eastAsia="zh-CN" w:bidi="ar"/>
                        </w:rPr>
                        <m:t>1+4α</m:t>
                      </m:r>
                      <m:ctrlPr>
                        <w:rPr>
                          <w:rFonts w:hint="default" w:ascii="Cambria Math" w:hAnsi="Cambria Math" w:eastAsia="宋体" w:cs="Times New Roman"/>
                          <w:i w:val="0"/>
                          <w:snapToGrid w:val="0"/>
                          <w:color w:val="auto"/>
                          <w:kern w:val="0"/>
                          <w:sz w:val="24"/>
                          <w:szCs w:val="24"/>
                          <w:lang w:val="en-US" w:eastAsia="zh-CN" w:bidi="ar"/>
                        </w:rPr>
                      </m:ctrlPr>
                    </m:e>
                  </m:rad>
                  <m:ctrlPr>
                    <w:rPr>
                      <w:rFonts w:hint="default" w:ascii="Cambria Math" w:hAnsi="Cambria Math" w:eastAsia="宋体" w:cs="Times New Roman"/>
                      <w:i w:val="0"/>
                      <w:snapToGrid w:val="0"/>
                      <w:color w:val="auto"/>
                      <w:kern w:val="0"/>
                      <w:sz w:val="24"/>
                      <w:szCs w:val="24"/>
                      <w:lang w:val="en-US" w:eastAsia="zh-CN" w:bidi="ar"/>
                    </w:rPr>
                  </m:ctrlPr>
                </m:e>
              </m:d>
              <m:ctrlPr>
                <w:rPr>
                  <w:rFonts w:hint="default" w:ascii="Cambria Math" w:hAnsi="Cambria Math" w:eastAsia="宋体" w:cs="Times New Roman"/>
                  <w:i w:val="0"/>
                  <w:snapToGrid w:val="0"/>
                  <w:color w:val="auto"/>
                  <w:kern w:val="0"/>
                  <w:sz w:val="24"/>
                  <w:szCs w:val="24"/>
                  <w:lang w:val="en-US" w:eastAsia="zh-CN" w:bidi="ar"/>
                </w:rPr>
              </m:ctrlPr>
            </m:e>
          </m:d>
          <m:r>
            <m:rPr>
              <m:sty m:val="p"/>
            </m:rPr>
            <w:rPr>
              <w:rFonts w:hint="default" w:ascii="Times New Roman" w:hAnsi="Times New Roman" w:eastAsia="宋体" w:cs="Times New Roman"/>
              <w:snapToGrid w:val="0"/>
              <w:color w:val="auto"/>
              <w:kern w:val="0"/>
              <w:sz w:val="24"/>
              <w:szCs w:val="24"/>
              <w:lang w:val="en-US" w:eastAsia="zh-CN" w:bidi="ar"/>
            </w:rPr>
            <m:t> x≥0</m:t>
          </m:r>
        </m:oMath>
      </m:oMathPara>
    </w:p>
    <w:p w14:paraId="441F8161">
      <w:pPr>
        <w:keepNext w:val="0"/>
        <w:keepLines w:val="0"/>
        <w:pageBreakBefore w:val="0"/>
        <w:widowControl/>
        <w:suppressLineNumbers w:val="0"/>
        <w:wordWrap/>
        <w:overflowPunct/>
        <w:topLinePunct w:val="0"/>
        <w:bidi w:val="0"/>
        <w:adjustRightInd w:val="0"/>
        <w:snapToGrid w:val="0"/>
        <w:spacing w:line="360" w:lineRule="auto"/>
        <w:ind w:firstLine="480" w:firstLineChars="200"/>
        <w:jc w:val="center"/>
        <w:rPr>
          <w:rFonts w:hint="default" w:hAnsi="Times New Roman" w:eastAsia="宋体" w:cs="Times New Roman"/>
          <w:i w:val="0"/>
          <w:snapToGrid w:val="0"/>
          <w:color w:val="auto"/>
          <w:kern w:val="0"/>
          <w:sz w:val="24"/>
          <w:szCs w:val="24"/>
          <w:lang w:val="en-US" w:eastAsia="zh-CN" w:bidi="ar"/>
        </w:rPr>
      </w:pPr>
      <m:oMathPara>
        <m:oMathParaPr>
          <m:jc m:val="center"/>
        </m:oMathParaPr>
        <m:oMath>
          <m:sSub>
            <m:sSubPr>
              <m:ctrlPr>
                <w:rPr>
                  <w:rFonts w:hint="default" w:ascii="Cambria Math" w:hAnsi="Cambria Math" w:eastAsia="宋体" w:cs="Times New Roman"/>
                  <w:i w:val="0"/>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C</m:t>
              </m:r>
              <m:ctrlPr>
                <w:rPr>
                  <w:rFonts w:hint="default" w:ascii="Cambria Math" w:hAnsi="Cambria Math" w:eastAsia="宋体" w:cs="Times New Roman"/>
                  <w:i w:val="0"/>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0</m:t>
              </m:r>
              <m:ctrlPr>
                <w:rPr>
                  <w:rFonts w:hint="default" w:ascii="Cambria Math" w:hAnsi="Cambria Math" w:eastAsia="宋体" w:cs="Times New Roman"/>
                  <w:i w:val="0"/>
                  <w:snapToGrid w:val="0"/>
                  <w:color w:val="auto"/>
                  <w:kern w:val="0"/>
                  <w:sz w:val="24"/>
                  <w:szCs w:val="24"/>
                  <w:lang w:val="en-US" w:eastAsia="zh-CN" w:bidi="ar"/>
                </w:rPr>
              </m:ctrlPr>
            </m:sub>
          </m:sSub>
          <m:r>
            <m:rPr>
              <m:sty m:val="p"/>
            </m:rPr>
            <w:rPr>
              <w:rFonts w:hint="default" w:ascii="Times New Roman" w:hAnsi="Times New Roman" w:eastAsia="宋体" w:cs="Times New Roman"/>
              <w:snapToGrid w:val="0"/>
              <w:color w:val="auto"/>
              <w:kern w:val="0"/>
              <w:sz w:val="24"/>
              <w:szCs w:val="24"/>
              <w:lang w:val="en-US" w:eastAsia="zh-CN" w:bidi="ar"/>
            </w:rPr>
            <m:t>=</m:t>
          </m:r>
          <m:d>
            <m:dPr>
              <m:sepChr m:val=""/>
              <m:ctrlPr>
                <w:rPr>
                  <w:rFonts w:hint="default" w:ascii="Cambria Math" w:hAnsi="Cambria Math" w:eastAsia="宋体" w:cs="Times New Roman"/>
                  <w:i w:val="0"/>
                  <w:snapToGrid w:val="0"/>
                  <w:color w:val="auto"/>
                  <w:kern w:val="0"/>
                  <w:sz w:val="24"/>
                  <w:szCs w:val="24"/>
                  <w:lang w:val="en-US" w:eastAsia="zh-CN" w:bidi="ar"/>
                </w:rPr>
              </m:ctrlPr>
            </m:dPr>
            <m:e>
              <m:sSub>
                <m:sSubPr>
                  <m:ctrlPr>
                    <w:rPr>
                      <w:rFonts w:hint="default" w:ascii="Cambria Math" w:hAnsi="Cambria Math" w:eastAsia="宋体" w:cs="Times New Roman"/>
                      <w:i w:val="0"/>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C</m:t>
                  </m:r>
                  <m:ctrlPr>
                    <w:rPr>
                      <w:rFonts w:hint="default" w:ascii="Cambria Math" w:hAnsi="Cambria Math" w:eastAsia="宋体" w:cs="Times New Roman"/>
                      <w:i w:val="0"/>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p</m:t>
                  </m:r>
                  <m:ctrlPr>
                    <w:rPr>
                      <w:rFonts w:hint="default" w:ascii="Cambria Math" w:hAnsi="Cambria Math" w:eastAsia="宋体" w:cs="Times New Roman"/>
                      <w:i w:val="0"/>
                      <w:snapToGrid w:val="0"/>
                      <w:color w:val="auto"/>
                      <w:kern w:val="0"/>
                      <w:sz w:val="24"/>
                      <w:szCs w:val="24"/>
                      <w:lang w:val="en-US" w:eastAsia="zh-CN" w:bidi="ar"/>
                    </w:rPr>
                  </m:ctrlPr>
                </m:sub>
              </m:sSub>
              <m:sSub>
                <m:sSubPr>
                  <m:ctrlPr>
                    <w:rPr>
                      <w:rFonts w:hint="default" w:ascii="Cambria Math" w:hAnsi="Cambria Math" w:eastAsia="宋体" w:cs="Times New Roman"/>
                      <w:i w:val="0"/>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Q</m:t>
                  </m:r>
                  <m:ctrlPr>
                    <w:rPr>
                      <w:rFonts w:hint="default" w:ascii="Cambria Math" w:hAnsi="Cambria Math" w:eastAsia="宋体" w:cs="Times New Roman"/>
                      <w:i w:val="0"/>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p</m:t>
                  </m:r>
                  <m:ctrlPr>
                    <w:rPr>
                      <w:rFonts w:hint="default" w:ascii="Cambria Math" w:hAnsi="Cambria Math" w:eastAsia="宋体" w:cs="Times New Roman"/>
                      <w:i w:val="0"/>
                      <w:snapToGrid w:val="0"/>
                      <w:color w:val="auto"/>
                      <w:kern w:val="0"/>
                      <w:sz w:val="24"/>
                      <w:szCs w:val="24"/>
                      <w:lang w:val="en-US" w:eastAsia="zh-CN" w:bidi="ar"/>
                    </w:rPr>
                  </m:ctrlPr>
                </m:sub>
              </m:sSub>
              <m:r>
                <m:rPr>
                  <m:sty m:val="p"/>
                </m:rPr>
                <w:rPr>
                  <w:rFonts w:hint="default" w:ascii="Times New Roman" w:hAnsi="Times New Roman" w:eastAsia="宋体" w:cs="Times New Roman"/>
                  <w:snapToGrid w:val="0"/>
                  <w:color w:val="auto"/>
                  <w:kern w:val="0"/>
                  <w:sz w:val="24"/>
                  <w:szCs w:val="24"/>
                  <w:lang w:val="en-US" w:eastAsia="zh-CN" w:bidi="ar"/>
                </w:rPr>
                <m:t>+</m:t>
              </m:r>
              <m:sSub>
                <m:sSubPr>
                  <m:ctrlPr>
                    <w:rPr>
                      <w:rFonts w:hint="default" w:ascii="Cambria Math" w:hAnsi="Cambria Math" w:eastAsia="宋体" w:cs="Times New Roman"/>
                      <w:i w:val="0"/>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C</m:t>
                  </m:r>
                  <m:ctrlPr>
                    <w:rPr>
                      <w:rFonts w:hint="default" w:ascii="Cambria Math" w:hAnsi="Cambria Math" w:eastAsia="宋体" w:cs="Times New Roman"/>
                      <w:i w:val="0"/>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h</m:t>
                  </m:r>
                  <m:ctrlPr>
                    <w:rPr>
                      <w:rFonts w:hint="default" w:ascii="Cambria Math" w:hAnsi="Cambria Math" w:eastAsia="宋体" w:cs="Times New Roman"/>
                      <w:i w:val="0"/>
                      <w:snapToGrid w:val="0"/>
                      <w:color w:val="auto"/>
                      <w:kern w:val="0"/>
                      <w:sz w:val="24"/>
                      <w:szCs w:val="24"/>
                      <w:lang w:val="en-US" w:eastAsia="zh-CN" w:bidi="ar"/>
                    </w:rPr>
                  </m:ctrlPr>
                </m:sub>
              </m:sSub>
              <m:sSub>
                <m:sSubPr>
                  <m:ctrlPr>
                    <w:rPr>
                      <w:rFonts w:hint="default" w:ascii="Cambria Math" w:hAnsi="Cambria Math" w:eastAsia="宋体" w:cs="Times New Roman"/>
                      <w:i w:val="0"/>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Q</m:t>
                  </m:r>
                  <m:ctrlPr>
                    <w:rPr>
                      <w:rFonts w:hint="default" w:ascii="Cambria Math" w:hAnsi="Cambria Math" w:eastAsia="宋体" w:cs="Times New Roman"/>
                      <w:i w:val="0"/>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h</m:t>
                  </m:r>
                  <m:ctrlPr>
                    <w:rPr>
                      <w:rFonts w:hint="default" w:ascii="Cambria Math" w:hAnsi="Cambria Math" w:eastAsia="宋体" w:cs="Times New Roman"/>
                      <w:i w:val="0"/>
                      <w:snapToGrid w:val="0"/>
                      <w:color w:val="auto"/>
                      <w:kern w:val="0"/>
                      <w:sz w:val="24"/>
                      <w:szCs w:val="24"/>
                      <w:lang w:val="en-US" w:eastAsia="zh-CN" w:bidi="ar"/>
                    </w:rPr>
                  </m:ctrlPr>
                </m:sub>
              </m:sSub>
              <m:ctrlPr>
                <w:rPr>
                  <w:rFonts w:hint="default" w:ascii="Cambria Math" w:hAnsi="Cambria Math" w:eastAsia="宋体" w:cs="Times New Roman"/>
                  <w:i w:val="0"/>
                  <w:snapToGrid w:val="0"/>
                  <w:color w:val="auto"/>
                  <w:kern w:val="0"/>
                  <w:sz w:val="24"/>
                  <w:szCs w:val="24"/>
                  <w:lang w:val="en-US" w:eastAsia="zh-CN" w:bidi="ar"/>
                </w:rPr>
              </m:ctrlPr>
            </m:e>
          </m:d>
          <m:r>
            <m:rPr>
              <m:sty m:val="p"/>
            </m:rPr>
            <w:rPr>
              <w:rFonts w:hint="default" w:ascii="Times New Roman" w:hAnsi="Times New Roman" w:eastAsia="宋体" w:cs="Times New Roman"/>
              <w:snapToGrid w:val="0"/>
              <w:color w:val="auto"/>
              <w:kern w:val="0"/>
              <w:sz w:val="24"/>
              <w:szCs w:val="24"/>
              <w:lang w:val="en-US" w:eastAsia="zh-CN" w:bidi="ar"/>
            </w:rPr>
            <m:t>/</m:t>
          </m:r>
          <m:d>
            <m:dPr>
              <m:begChr m:val="["/>
              <m:sepChr m:val=""/>
              <m:endChr m:val="]"/>
              <m:ctrlPr>
                <w:rPr>
                  <w:rFonts w:hint="default" w:ascii="Cambria Math" w:hAnsi="Cambria Math" w:eastAsia="宋体" w:cs="Times New Roman"/>
                  <w:i w:val="0"/>
                  <w:snapToGrid w:val="0"/>
                  <w:color w:val="auto"/>
                  <w:kern w:val="0"/>
                  <w:sz w:val="24"/>
                  <w:szCs w:val="24"/>
                  <w:lang w:val="en-US" w:eastAsia="zh-CN" w:bidi="ar"/>
                </w:rPr>
              </m:ctrlPr>
            </m:dPr>
            <m:e>
              <m:d>
                <m:dPr>
                  <m:sepChr m:val=""/>
                  <m:ctrlPr>
                    <w:rPr>
                      <w:rFonts w:hint="default" w:ascii="Cambria Math" w:hAnsi="Cambria Math" w:eastAsia="宋体" w:cs="Times New Roman"/>
                      <w:i w:val="0"/>
                      <w:snapToGrid w:val="0"/>
                      <w:color w:val="auto"/>
                      <w:kern w:val="0"/>
                      <w:sz w:val="24"/>
                      <w:szCs w:val="24"/>
                      <w:lang w:val="en-US" w:eastAsia="zh-CN" w:bidi="ar"/>
                    </w:rPr>
                  </m:ctrlPr>
                </m:dPr>
                <m:e>
                  <m:sSub>
                    <m:sSubPr>
                      <m:ctrlPr>
                        <w:rPr>
                          <w:rFonts w:hint="default" w:ascii="Cambria Math" w:hAnsi="Cambria Math" w:eastAsia="宋体" w:cs="Times New Roman"/>
                          <w:i w:val="0"/>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Q</m:t>
                      </m:r>
                      <m:ctrlPr>
                        <w:rPr>
                          <w:rFonts w:hint="default" w:ascii="Cambria Math" w:hAnsi="Cambria Math" w:eastAsia="宋体" w:cs="Times New Roman"/>
                          <w:i w:val="0"/>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p</m:t>
                      </m:r>
                      <m:ctrlPr>
                        <w:rPr>
                          <w:rFonts w:hint="default" w:ascii="Cambria Math" w:hAnsi="Cambria Math" w:eastAsia="宋体" w:cs="Times New Roman"/>
                          <w:i w:val="0"/>
                          <w:snapToGrid w:val="0"/>
                          <w:color w:val="auto"/>
                          <w:kern w:val="0"/>
                          <w:sz w:val="24"/>
                          <w:szCs w:val="24"/>
                          <w:lang w:val="en-US" w:eastAsia="zh-CN" w:bidi="ar"/>
                        </w:rPr>
                      </m:ctrlPr>
                    </m:sub>
                  </m:sSub>
                  <m:r>
                    <m:rPr>
                      <m:sty m:val="p"/>
                    </m:rPr>
                    <w:rPr>
                      <w:rFonts w:hint="default" w:ascii="Times New Roman" w:hAnsi="Times New Roman" w:eastAsia="宋体" w:cs="Times New Roman"/>
                      <w:snapToGrid w:val="0"/>
                      <w:color w:val="auto"/>
                      <w:kern w:val="0"/>
                      <w:sz w:val="24"/>
                      <w:szCs w:val="24"/>
                      <w:lang w:val="en-US" w:eastAsia="zh-CN" w:bidi="ar"/>
                    </w:rPr>
                    <m:t>+</m:t>
                  </m:r>
                  <m:sSub>
                    <m:sSubPr>
                      <m:ctrlPr>
                        <w:rPr>
                          <w:rFonts w:hint="default" w:ascii="Cambria Math" w:hAnsi="Cambria Math" w:eastAsia="宋体" w:cs="Times New Roman"/>
                          <w:i w:val="0"/>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Q</m:t>
                      </m:r>
                      <m:ctrlPr>
                        <w:rPr>
                          <w:rFonts w:hint="default" w:ascii="Cambria Math" w:hAnsi="Cambria Math" w:eastAsia="宋体" w:cs="Times New Roman"/>
                          <w:i w:val="0"/>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h</m:t>
                      </m:r>
                      <m:ctrlPr>
                        <w:rPr>
                          <w:rFonts w:hint="default" w:ascii="Cambria Math" w:hAnsi="Cambria Math" w:eastAsia="宋体" w:cs="Times New Roman"/>
                          <w:i w:val="0"/>
                          <w:snapToGrid w:val="0"/>
                          <w:color w:val="auto"/>
                          <w:kern w:val="0"/>
                          <w:sz w:val="24"/>
                          <w:szCs w:val="24"/>
                          <w:lang w:val="en-US" w:eastAsia="zh-CN" w:bidi="ar"/>
                        </w:rPr>
                      </m:ctrlPr>
                    </m:sub>
                  </m:sSub>
                  <m:ctrlPr>
                    <w:rPr>
                      <w:rFonts w:hint="default" w:ascii="Cambria Math" w:hAnsi="Cambria Math" w:eastAsia="宋体" w:cs="Times New Roman"/>
                      <w:i w:val="0"/>
                      <w:snapToGrid w:val="0"/>
                      <w:color w:val="auto"/>
                      <w:kern w:val="0"/>
                      <w:sz w:val="24"/>
                      <w:szCs w:val="24"/>
                      <w:lang w:val="en-US" w:eastAsia="zh-CN" w:bidi="ar"/>
                    </w:rPr>
                  </m:ctrlPr>
                </m:e>
              </m:d>
              <m:rad>
                <m:radPr>
                  <m:degHide m:val="1"/>
                  <m:ctrlPr>
                    <w:rPr>
                      <w:rFonts w:hint="default" w:ascii="Cambria Math" w:hAnsi="Cambria Math" w:eastAsia="宋体" w:cs="Times New Roman"/>
                      <w:i w:val="0"/>
                      <w:snapToGrid w:val="0"/>
                      <w:color w:val="auto"/>
                      <w:kern w:val="0"/>
                      <w:sz w:val="24"/>
                      <w:szCs w:val="24"/>
                      <w:lang w:val="en-US" w:eastAsia="zh-CN" w:bidi="ar"/>
                    </w:rPr>
                  </m:ctrlPr>
                </m:radPr>
                <m:deg>
                  <m:ctrlPr>
                    <w:rPr>
                      <w:rFonts w:hint="default" w:ascii="Cambria Math" w:hAnsi="Cambria Math" w:eastAsia="宋体" w:cs="Times New Roman"/>
                      <w:i w:val="0"/>
                      <w:snapToGrid w:val="0"/>
                      <w:color w:val="auto"/>
                      <w:kern w:val="0"/>
                      <w:sz w:val="24"/>
                      <w:szCs w:val="24"/>
                      <w:lang w:val="en-US" w:eastAsia="zh-CN" w:bidi="ar"/>
                    </w:rPr>
                  </m:ctrlPr>
                </m:deg>
                <m:e>
                  <m:r>
                    <m:rPr>
                      <m:sty m:val="p"/>
                    </m:rPr>
                    <w:rPr>
                      <w:rFonts w:hint="default" w:ascii="Times New Roman" w:hAnsi="Times New Roman" w:eastAsia="宋体" w:cs="Times New Roman"/>
                      <w:snapToGrid w:val="0"/>
                      <w:color w:val="auto"/>
                      <w:kern w:val="0"/>
                      <w:sz w:val="24"/>
                      <w:szCs w:val="24"/>
                      <w:lang w:val="en-US" w:eastAsia="zh-CN" w:bidi="ar"/>
                    </w:rPr>
                    <m:t>1+4α</m:t>
                  </m:r>
                  <m:ctrlPr>
                    <w:rPr>
                      <w:rFonts w:hint="default" w:ascii="Cambria Math" w:hAnsi="Cambria Math" w:eastAsia="宋体" w:cs="Times New Roman"/>
                      <w:i w:val="0"/>
                      <w:snapToGrid w:val="0"/>
                      <w:color w:val="auto"/>
                      <w:kern w:val="0"/>
                      <w:sz w:val="24"/>
                      <w:szCs w:val="24"/>
                      <w:lang w:val="en-US" w:eastAsia="zh-CN" w:bidi="ar"/>
                    </w:rPr>
                  </m:ctrlPr>
                </m:e>
              </m:rad>
              <m:ctrlPr>
                <w:rPr>
                  <w:rFonts w:hint="default" w:ascii="Cambria Math" w:hAnsi="Cambria Math" w:eastAsia="宋体" w:cs="Times New Roman"/>
                  <w:i w:val="0"/>
                  <w:snapToGrid w:val="0"/>
                  <w:color w:val="auto"/>
                  <w:kern w:val="0"/>
                  <w:sz w:val="24"/>
                  <w:szCs w:val="24"/>
                  <w:lang w:val="en-US" w:eastAsia="zh-CN" w:bidi="ar"/>
                </w:rPr>
              </m:ctrlPr>
            </m:e>
          </m:d>
        </m:oMath>
      </m:oMathPara>
    </w:p>
    <w:p w14:paraId="77ACCDA3">
      <w:pPr>
        <w:keepNext w:val="0"/>
        <w:keepLines w:val="0"/>
        <w:pageBreakBefore w:val="0"/>
        <w:widowControl/>
        <w:suppressLineNumbers w:val="0"/>
        <w:wordWrap/>
        <w:overflowPunct/>
        <w:topLinePunct w:val="0"/>
        <w:bidi w:val="0"/>
        <w:adjustRightInd w:val="0"/>
        <w:snapToGrid w:val="0"/>
        <w:spacing w:line="360" w:lineRule="auto"/>
        <w:ind w:firstLine="480" w:firstLineChars="200"/>
        <w:jc w:val="left"/>
        <w:rPr>
          <w:rFonts w:hint="default" w:ascii="Times New Roman" w:hAnsi="Times New Roman" w:eastAsia="宋体" w:cs="Times New Roman"/>
          <w:snapToGrid w:val="0"/>
          <w:color w:val="auto"/>
          <w:kern w:val="0"/>
          <w:sz w:val="24"/>
          <w:szCs w:val="24"/>
          <w:lang w:val="en-US" w:eastAsia="zh-CN" w:bidi="ar"/>
        </w:rPr>
      </w:pPr>
      <w:r>
        <w:rPr>
          <w:rFonts w:hint="default" w:ascii="Times New Roman" w:hAnsi="Times New Roman" w:eastAsia="宋体" w:cs="Times New Roman"/>
          <w:snapToGrid w:val="0"/>
          <w:color w:val="auto"/>
          <w:kern w:val="0"/>
          <w:sz w:val="24"/>
          <w:szCs w:val="24"/>
          <w:lang w:val="en-US" w:eastAsia="zh-CN" w:bidi="ar"/>
        </w:rPr>
        <w:t>当α＞380时，适用扩散降解模型：</w:t>
      </w:r>
    </w:p>
    <w:p w14:paraId="454213FA">
      <w:pPr>
        <w:keepNext w:val="0"/>
        <w:keepLines w:val="0"/>
        <w:pageBreakBefore w:val="0"/>
        <w:widowControl/>
        <w:suppressLineNumbers w:val="0"/>
        <w:wordWrap/>
        <w:overflowPunct/>
        <w:topLinePunct w:val="0"/>
        <w:bidi w:val="0"/>
        <w:adjustRightInd w:val="0"/>
        <w:snapToGrid w:val="0"/>
        <w:spacing w:line="360" w:lineRule="auto"/>
        <w:ind w:firstLine="480" w:firstLineChars="200"/>
        <w:jc w:val="center"/>
        <w:rPr>
          <w:rFonts w:hint="default" w:hAnsi="Times New Roman" w:eastAsia="宋体" w:cs="Times New Roman"/>
          <w:i w:val="0"/>
          <w:snapToGrid w:val="0"/>
          <w:color w:val="auto"/>
          <w:kern w:val="0"/>
          <w:sz w:val="24"/>
          <w:szCs w:val="24"/>
          <w:lang w:val="en-US" w:eastAsia="zh-CN" w:bidi="ar"/>
        </w:rPr>
      </w:pPr>
      <m:oMathPara>
        <m:oMathParaPr>
          <m:jc m:val="center"/>
        </m:oMathParaPr>
        <m:oMath>
          <m:r>
            <m:rPr>
              <m:sty m:val="p"/>
            </m:rPr>
            <w:rPr>
              <w:rFonts w:hint="default" w:ascii="Times New Roman" w:hAnsi="Times New Roman" w:eastAsia="宋体" w:cs="Times New Roman"/>
              <w:snapToGrid w:val="0"/>
              <w:color w:val="auto"/>
              <w:kern w:val="0"/>
              <w:sz w:val="24"/>
              <w:szCs w:val="24"/>
              <w:lang w:val="en-US" w:eastAsia="zh-CN" w:bidi="ar"/>
            </w:rPr>
            <m:t>C=</m:t>
          </m:r>
          <m:sSub>
            <m:sSubPr>
              <m:ctrlPr>
                <w:rPr>
                  <w:rFonts w:hint="default" w:ascii="Cambria Math" w:hAnsi="Cambria Math" w:eastAsia="宋体" w:cs="Times New Roman"/>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C</m:t>
              </m:r>
              <m:ctrlPr>
                <w:rPr>
                  <w:rFonts w:hint="default" w:ascii="Cambria Math" w:hAnsi="Cambria Math" w:eastAsia="宋体" w:cs="Times New Roman"/>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0</m:t>
              </m:r>
              <m:ctrlPr>
                <w:rPr>
                  <w:rFonts w:hint="default" w:ascii="Cambria Math" w:hAnsi="Cambria Math" w:eastAsia="宋体" w:cs="Times New Roman"/>
                  <w:snapToGrid w:val="0"/>
                  <w:color w:val="auto"/>
                  <w:kern w:val="0"/>
                  <w:sz w:val="24"/>
                  <w:szCs w:val="24"/>
                  <w:lang w:val="en-US" w:eastAsia="zh-CN" w:bidi="ar"/>
                </w:rPr>
              </m:ctrlPr>
            </m:sub>
          </m:sSub>
          <m:r>
            <m:rPr>
              <m:sty m:val="p"/>
            </m:rPr>
            <w:rPr>
              <w:rFonts w:hint="default" w:ascii="Times New Roman" w:hAnsi="Times New Roman" w:eastAsia="宋体" w:cs="Times New Roman"/>
              <w:snapToGrid w:val="0"/>
              <w:color w:val="auto"/>
              <w:kern w:val="0"/>
              <w:sz w:val="24"/>
              <w:szCs w:val="24"/>
              <w:lang w:val="en-US" w:eastAsia="zh-CN" w:bidi="ar"/>
            </w:rPr>
            <m:t>exp</m:t>
          </m:r>
          <m:d>
            <m:dPr>
              <m:sepChr m:val=""/>
              <m:ctrlPr>
                <w:rPr>
                  <w:rFonts w:hint="default" w:ascii="Cambria Math" w:hAnsi="Cambria Math" w:eastAsia="宋体" w:cs="Times New Roman"/>
                  <w:snapToGrid w:val="0"/>
                  <w:color w:val="auto"/>
                  <w:kern w:val="0"/>
                  <w:sz w:val="24"/>
                  <w:szCs w:val="24"/>
                  <w:lang w:val="en-US" w:eastAsia="zh-CN" w:bidi="ar"/>
                </w:rPr>
              </m:ctrlPr>
            </m:dPr>
            <m:e>
              <m:r>
                <m:rPr>
                  <m:sty m:val="p"/>
                </m:rPr>
                <w:rPr>
                  <w:rFonts w:hint="default" w:ascii="Times New Roman" w:hAnsi="Times New Roman" w:eastAsia="宋体" w:cs="Times New Roman"/>
                  <w:snapToGrid w:val="0"/>
                  <w:color w:val="auto"/>
                  <w:kern w:val="0"/>
                  <w:sz w:val="24"/>
                  <w:szCs w:val="24"/>
                  <w:lang w:val="en-US" w:eastAsia="zh-CN" w:bidi="ar"/>
                </w:rPr>
                <m:t>x</m:t>
              </m:r>
              <m:rad>
                <m:radPr>
                  <m:degHide m:val="1"/>
                  <m:ctrlPr>
                    <w:rPr>
                      <w:rFonts w:hint="default" w:ascii="Cambria Math" w:hAnsi="Cambria Math" w:eastAsia="宋体" w:cs="Times New Roman"/>
                      <w:snapToGrid w:val="0"/>
                      <w:color w:val="auto"/>
                      <w:kern w:val="0"/>
                      <w:sz w:val="24"/>
                      <w:szCs w:val="24"/>
                      <w:lang w:val="en-US" w:eastAsia="zh-CN" w:bidi="ar"/>
                    </w:rPr>
                  </m:ctrlPr>
                </m:radPr>
                <m:deg>
                  <m:ctrlPr>
                    <w:rPr>
                      <w:rFonts w:hint="default" w:ascii="Cambria Math" w:hAnsi="Cambria Math" w:eastAsia="宋体" w:cs="Times New Roman"/>
                      <w:snapToGrid w:val="0"/>
                      <w:color w:val="auto"/>
                      <w:kern w:val="0"/>
                      <w:sz w:val="24"/>
                      <w:szCs w:val="24"/>
                      <w:lang w:val="en-US" w:eastAsia="zh-CN" w:bidi="ar"/>
                    </w:rPr>
                  </m:ctrlPr>
                </m:deg>
                <m:e>
                  <m:f>
                    <m:fPr>
                      <m:ctrlPr>
                        <w:rPr>
                          <w:rFonts w:hint="default" w:ascii="Cambria Math" w:hAnsi="Cambria Math" w:eastAsia="宋体" w:cs="Times New Roman"/>
                          <w:snapToGrid w:val="0"/>
                          <w:color w:val="auto"/>
                          <w:kern w:val="0"/>
                          <w:sz w:val="24"/>
                          <w:szCs w:val="24"/>
                          <w:lang w:val="en-US" w:eastAsia="zh-CN" w:bidi="ar"/>
                        </w:rPr>
                      </m:ctrlPr>
                    </m:fPr>
                    <m:num>
                      <m:r>
                        <m:rPr>
                          <m:sty m:val="p"/>
                        </m:rPr>
                        <w:rPr>
                          <w:rFonts w:hint="default" w:ascii="Times New Roman" w:hAnsi="Times New Roman" w:eastAsia="宋体" w:cs="Times New Roman"/>
                          <w:snapToGrid w:val="0"/>
                          <w:color w:val="auto"/>
                          <w:kern w:val="0"/>
                          <w:sz w:val="24"/>
                          <w:szCs w:val="24"/>
                          <w:lang w:val="en-US" w:eastAsia="zh-CN" w:bidi="ar"/>
                        </w:rPr>
                        <m:t>k</m:t>
                      </m:r>
                      <m:ctrlPr>
                        <w:rPr>
                          <w:rFonts w:hint="default" w:ascii="Cambria Math" w:hAnsi="Cambria Math" w:eastAsia="宋体" w:cs="Times New Roman"/>
                          <w:snapToGrid w:val="0"/>
                          <w:color w:val="auto"/>
                          <w:kern w:val="0"/>
                          <w:sz w:val="24"/>
                          <w:szCs w:val="24"/>
                          <w:lang w:val="en-US" w:eastAsia="zh-CN" w:bidi="ar"/>
                        </w:rPr>
                      </m:ctrlPr>
                    </m:num>
                    <m:den>
                      <m:sSub>
                        <m:sSubPr>
                          <m:ctrlPr>
                            <w:rPr>
                              <w:rFonts w:hint="default" w:ascii="Cambria Math" w:hAnsi="Cambria Math" w:eastAsia="宋体" w:cs="Times New Roman"/>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E</m:t>
                          </m:r>
                          <m:ctrlPr>
                            <w:rPr>
                              <w:rFonts w:hint="default" w:ascii="Cambria Math" w:hAnsi="Cambria Math" w:eastAsia="宋体" w:cs="Times New Roman"/>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x</m:t>
                          </m:r>
                          <m:ctrlPr>
                            <w:rPr>
                              <w:rFonts w:hint="default" w:ascii="Cambria Math" w:hAnsi="Cambria Math" w:eastAsia="宋体" w:cs="Times New Roman"/>
                              <w:snapToGrid w:val="0"/>
                              <w:color w:val="auto"/>
                              <w:kern w:val="0"/>
                              <w:sz w:val="24"/>
                              <w:szCs w:val="24"/>
                              <w:lang w:val="en-US" w:eastAsia="zh-CN" w:bidi="ar"/>
                            </w:rPr>
                          </m:ctrlPr>
                        </m:sub>
                      </m:sSub>
                      <m:ctrlPr>
                        <w:rPr>
                          <w:rFonts w:hint="default" w:ascii="Cambria Math" w:hAnsi="Cambria Math" w:eastAsia="宋体" w:cs="Times New Roman"/>
                          <w:snapToGrid w:val="0"/>
                          <w:color w:val="auto"/>
                          <w:kern w:val="0"/>
                          <w:sz w:val="24"/>
                          <w:szCs w:val="24"/>
                          <w:lang w:val="en-US" w:eastAsia="zh-CN" w:bidi="ar"/>
                        </w:rPr>
                      </m:ctrlPr>
                    </m:den>
                  </m:f>
                  <m:ctrlPr>
                    <w:rPr>
                      <w:rFonts w:hint="default" w:ascii="Cambria Math" w:hAnsi="Cambria Math" w:eastAsia="宋体" w:cs="Times New Roman"/>
                      <w:snapToGrid w:val="0"/>
                      <w:color w:val="auto"/>
                      <w:kern w:val="0"/>
                      <w:sz w:val="24"/>
                      <w:szCs w:val="24"/>
                      <w:lang w:val="en-US" w:eastAsia="zh-CN" w:bidi="ar"/>
                    </w:rPr>
                  </m:ctrlPr>
                </m:e>
              </m:rad>
              <m:ctrlPr>
                <w:rPr>
                  <w:rFonts w:hint="default" w:ascii="Cambria Math" w:hAnsi="Cambria Math" w:eastAsia="宋体" w:cs="Times New Roman"/>
                  <w:snapToGrid w:val="0"/>
                  <w:color w:val="auto"/>
                  <w:kern w:val="0"/>
                  <w:sz w:val="24"/>
                  <w:szCs w:val="24"/>
                  <w:lang w:val="en-US" w:eastAsia="zh-CN" w:bidi="ar"/>
                </w:rPr>
              </m:ctrlPr>
            </m:e>
          </m:d>
          <m:r>
            <m:rPr>
              <m:sty m:val="p"/>
            </m:rPr>
            <w:rPr>
              <w:rFonts w:hint="default" w:ascii="Times New Roman" w:hAnsi="Times New Roman" w:eastAsia="宋体" w:cs="Times New Roman"/>
              <w:snapToGrid w:val="0"/>
              <w:color w:val="auto"/>
              <w:kern w:val="0"/>
              <w:sz w:val="24"/>
              <w:szCs w:val="24"/>
              <w:lang w:val="en-US" w:eastAsia="zh-CN" w:bidi="ar"/>
            </w:rPr>
            <m:t> x&lt;0</m:t>
          </m:r>
        </m:oMath>
      </m:oMathPara>
    </w:p>
    <w:p w14:paraId="383321A7">
      <w:pPr>
        <w:keepNext w:val="0"/>
        <w:keepLines w:val="0"/>
        <w:pageBreakBefore w:val="0"/>
        <w:widowControl/>
        <w:suppressLineNumbers w:val="0"/>
        <w:wordWrap/>
        <w:overflowPunct/>
        <w:topLinePunct w:val="0"/>
        <w:bidi w:val="0"/>
        <w:adjustRightInd w:val="0"/>
        <w:snapToGrid w:val="0"/>
        <w:spacing w:line="360" w:lineRule="auto"/>
        <w:ind w:firstLine="480" w:firstLineChars="200"/>
        <w:jc w:val="center"/>
        <w:rPr>
          <w:rFonts w:hint="default" w:hAnsi="Times New Roman" w:eastAsia="宋体" w:cs="Times New Roman"/>
          <w:i w:val="0"/>
          <w:snapToGrid w:val="0"/>
          <w:color w:val="auto"/>
          <w:kern w:val="0"/>
          <w:sz w:val="24"/>
          <w:szCs w:val="24"/>
          <w:lang w:val="en-US" w:eastAsia="zh-CN" w:bidi="ar"/>
        </w:rPr>
      </w:pPr>
      <m:oMathPara>
        <m:oMathParaPr>
          <m:jc m:val="center"/>
        </m:oMathParaPr>
        <m:oMath>
          <m:r>
            <m:rPr>
              <m:sty m:val="p"/>
            </m:rPr>
            <w:rPr>
              <w:rFonts w:hint="default" w:ascii="Times New Roman" w:hAnsi="Times New Roman" w:eastAsia="宋体" w:cs="Times New Roman"/>
              <w:snapToGrid w:val="0"/>
              <w:color w:val="auto"/>
              <w:kern w:val="0"/>
              <w:sz w:val="24"/>
              <w:szCs w:val="24"/>
              <w:lang w:val="en-US" w:eastAsia="zh-CN" w:bidi="ar"/>
            </w:rPr>
            <m:t>C=</m:t>
          </m:r>
          <m:sSub>
            <m:sSubPr>
              <m:ctrlPr>
                <w:rPr>
                  <w:rFonts w:hint="default" w:ascii="Cambria Math" w:hAnsi="Cambria Math" w:eastAsia="宋体" w:cs="Times New Roman"/>
                  <w:i w:val="0"/>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C</m:t>
              </m:r>
              <m:ctrlPr>
                <w:rPr>
                  <w:rFonts w:hint="default" w:ascii="Cambria Math" w:hAnsi="Cambria Math" w:eastAsia="宋体" w:cs="Times New Roman"/>
                  <w:i w:val="0"/>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0</m:t>
              </m:r>
              <m:ctrlPr>
                <w:rPr>
                  <w:rFonts w:hint="default" w:ascii="Cambria Math" w:hAnsi="Cambria Math" w:eastAsia="宋体" w:cs="Times New Roman"/>
                  <w:i w:val="0"/>
                  <w:snapToGrid w:val="0"/>
                  <w:color w:val="auto"/>
                  <w:kern w:val="0"/>
                  <w:sz w:val="24"/>
                  <w:szCs w:val="24"/>
                  <w:lang w:val="en-US" w:eastAsia="zh-CN" w:bidi="ar"/>
                </w:rPr>
              </m:ctrlPr>
            </m:sub>
          </m:sSub>
          <m:r>
            <m:rPr>
              <m:sty m:val="p"/>
            </m:rPr>
            <w:rPr>
              <w:rFonts w:hint="default" w:ascii="Times New Roman" w:hAnsi="Times New Roman" w:eastAsia="宋体" w:cs="Times New Roman"/>
              <w:snapToGrid w:val="0"/>
              <w:color w:val="auto"/>
              <w:kern w:val="0"/>
              <w:sz w:val="24"/>
              <w:szCs w:val="24"/>
              <w:lang w:val="en-US" w:eastAsia="zh-CN" w:bidi="ar"/>
            </w:rPr>
            <m:t>exp</m:t>
          </m:r>
          <m:d>
            <m:dPr>
              <m:sepChr m:val=""/>
              <m:ctrlPr>
                <w:rPr>
                  <w:rFonts w:hint="default" w:ascii="Cambria Math" w:hAnsi="Cambria Math" w:eastAsia="宋体" w:cs="Times New Roman"/>
                  <w:i w:val="0"/>
                  <w:snapToGrid w:val="0"/>
                  <w:color w:val="auto"/>
                  <w:kern w:val="0"/>
                  <w:sz w:val="24"/>
                  <w:szCs w:val="24"/>
                  <w:lang w:val="en-US" w:eastAsia="zh-CN" w:bidi="ar"/>
                </w:rPr>
              </m:ctrlPr>
            </m:dPr>
            <m:e>
              <m:r>
                <m:rPr>
                  <m:sty m:val="p"/>
                </m:rPr>
                <w:rPr>
                  <w:rFonts w:hint="default" w:ascii="Times New Roman" w:hAnsi="Times New Roman" w:eastAsia="宋体" w:cs="Times New Roman"/>
                  <w:snapToGrid w:val="0"/>
                  <w:color w:val="auto"/>
                  <w:kern w:val="0"/>
                  <w:sz w:val="24"/>
                  <w:szCs w:val="24"/>
                  <w:lang w:val="en-US" w:eastAsia="zh-CN" w:bidi="ar"/>
                </w:rPr>
                <m:t>−x</m:t>
              </m:r>
              <m:rad>
                <m:radPr>
                  <m:degHide m:val="1"/>
                  <m:ctrlPr>
                    <w:rPr>
                      <w:rFonts w:hint="default" w:ascii="Cambria Math" w:hAnsi="Cambria Math" w:eastAsia="宋体" w:cs="Times New Roman"/>
                      <w:i w:val="0"/>
                      <w:snapToGrid w:val="0"/>
                      <w:color w:val="auto"/>
                      <w:kern w:val="0"/>
                      <w:sz w:val="24"/>
                      <w:szCs w:val="24"/>
                      <w:lang w:val="en-US" w:eastAsia="zh-CN" w:bidi="ar"/>
                    </w:rPr>
                  </m:ctrlPr>
                </m:radPr>
                <m:deg>
                  <m:ctrlPr>
                    <w:rPr>
                      <w:rFonts w:hint="default" w:ascii="Cambria Math" w:hAnsi="Cambria Math" w:eastAsia="宋体" w:cs="Times New Roman"/>
                      <w:i w:val="0"/>
                      <w:snapToGrid w:val="0"/>
                      <w:color w:val="auto"/>
                      <w:kern w:val="0"/>
                      <w:sz w:val="24"/>
                      <w:szCs w:val="24"/>
                      <w:lang w:val="en-US" w:eastAsia="zh-CN" w:bidi="ar"/>
                    </w:rPr>
                  </m:ctrlPr>
                </m:deg>
                <m:e>
                  <m:f>
                    <m:fPr>
                      <m:ctrlPr>
                        <w:rPr>
                          <w:rFonts w:hint="default" w:ascii="Cambria Math" w:hAnsi="Cambria Math" w:eastAsia="宋体" w:cs="Times New Roman"/>
                          <w:i w:val="0"/>
                          <w:snapToGrid w:val="0"/>
                          <w:color w:val="auto"/>
                          <w:kern w:val="0"/>
                          <w:sz w:val="24"/>
                          <w:szCs w:val="24"/>
                          <w:lang w:val="en-US" w:eastAsia="zh-CN" w:bidi="ar"/>
                        </w:rPr>
                      </m:ctrlPr>
                    </m:fPr>
                    <m:num>
                      <m:r>
                        <m:rPr>
                          <m:sty m:val="p"/>
                        </m:rPr>
                        <w:rPr>
                          <w:rFonts w:hint="default" w:ascii="Times New Roman" w:hAnsi="Times New Roman" w:eastAsia="宋体" w:cs="Times New Roman"/>
                          <w:snapToGrid w:val="0"/>
                          <w:color w:val="auto"/>
                          <w:kern w:val="0"/>
                          <w:sz w:val="24"/>
                          <w:szCs w:val="24"/>
                          <w:lang w:val="en-US" w:eastAsia="zh-CN" w:bidi="ar"/>
                        </w:rPr>
                        <m:t>k</m:t>
                      </m:r>
                      <m:ctrlPr>
                        <w:rPr>
                          <w:rFonts w:hint="default" w:ascii="Cambria Math" w:hAnsi="Cambria Math" w:eastAsia="宋体" w:cs="Times New Roman"/>
                          <w:i w:val="0"/>
                          <w:snapToGrid w:val="0"/>
                          <w:color w:val="auto"/>
                          <w:kern w:val="0"/>
                          <w:sz w:val="24"/>
                          <w:szCs w:val="24"/>
                          <w:lang w:val="en-US" w:eastAsia="zh-CN" w:bidi="ar"/>
                        </w:rPr>
                      </m:ctrlPr>
                    </m:num>
                    <m:den>
                      <m:sSub>
                        <m:sSubPr>
                          <m:ctrlPr>
                            <w:rPr>
                              <w:rFonts w:hint="default" w:ascii="Cambria Math" w:hAnsi="Cambria Math" w:eastAsia="宋体" w:cs="Times New Roman"/>
                              <w:i w:val="0"/>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E</m:t>
                          </m:r>
                          <m:ctrlPr>
                            <w:rPr>
                              <w:rFonts w:hint="default" w:ascii="Cambria Math" w:hAnsi="Cambria Math" w:eastAsia="宋体" w:cs="Times New Roman"/>
                              <w:i w:val="0"/>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x</m:t>
                          </m:r>
                          <m:ctrlPr>
                            <w:rPr>
                              <w:rFonts w:hint="default" w:ascii="Cambria Math" w:hAnsi="Cambria Math" w:eastAsia="宋体" w:cs="Times New Roman"/>
                              <w:i w:val="0"/>
                              <w:snapToGrid w:val="0"/>
                              <w:color w:val="auto"/>
                              <w:kern w:val="0"/>
                              <w:sz w:val="24"/>
                              <w:szCs w:val="24"/>
                              <w:lang w:val="en-US" w:eastAsia="zh-CN" w:bidi="ar"/>
                            </w:rPr>
                          </m:ctrlPr>
                        </m:sub>
                      </m:sSub>
                      <m:ctrlPr>
                        <w:rPr>
                          <w:rFonts w:hint="default" w:ascii="Cambria Math" w:hAnsi="Cambria Math" w:eastAsia="宋体" w:cs="Times New Roman"/>
                          <w:i w:val="0"/>
                          <w:snapToGrid w:val="0"/>
                          <w:color w:val="auto"/>
                          <w:kern w:val="0"/>
                          <w:sz w:val="24"/>
                          <w:szCs w:val="24"/>
                          <w:lang w:val="en-US" w:eastAsia="zh-CN" w:bidi="ar"/>
                        </w:rPr>
                      </m:ctrlPr>
                    </m:den>
                  </m:f>
                  <m:ctrlPr>
                    <w:rPr>
                      <w:rFonts w:hint="default" w:ascii="Cambria Math" w:hAnsi="Cambria Math" w:eastAsia="宋体" w:cs="Times New Roman"/>
                      <w:i w:val="0"/>
                      <w:snapToGrid w:val="0"/>
                      <w:color w:val="auto"/>
                      <w:kern w:val="0"/>
                      <w:sz w:val="24"/>
                      <w:szCs w:val="24"/>
                      <w:lang w:val="en-US" w:eastAsia="zh-CN" w:bidi="ar"/>
                    </w:rPr>
                  </m:ctrlPr>
                </m:e>
              </m:rad>
              <m:ctrlPr>
                <w:rPr>
                  <w:rFonts w:hint="default" w:ascii="Cambria Math" w:hAnsi="Cambria Math" w:eastAsia="宋体" w:cs="Times New Roman"/>
                  <w:i w:val="0"/>
                  <w:snapToGrid w:val="0"/>
                  <w:color w:val="auto"/>
                  <w:kern w:val="0"/>
                  <w:sz w:val="24"/>
                  <w:szCs w:val="24"/>
                  <w:lang w:val="en-US" w:eastAsia="zh-CN" w:bidi="ar"/>
                </w:rPr>
              </m:ctrlPr>
            </m:e>
          </m:d>
          <m:r>
            <m:rPr>
              <m:sty m:val="p"/>
            </m:rPr>
            <w:rPr>
              <w:rFonts w:hint="default" w:ascii="Times New Roman" w:hAnsi="Times New Roman" w:eastAsia="宋体" w:cs="Times New Roman"/>
              <w:snapToGrid w:val="0"/>
              <w:color w:val="auto"/>
              <w:kern w:val="0"/>
              <w:sz w:val="24"/>
              <w:szCs w:val="24"/>
              <w:lang w:val="en-US" w:eastAsia="zh-CN" w:bidi="ar"/>
            </w:rPr>
            <m:t> x≥0</m:t>
          </m:r>
        </m:oMath>
      </m:oMathPara>
    </w:p>
    <w:p w14:paraId="404929D9">
      <w:pPr>
        <w:keepNext w:val="0"/>
        <w:keepLines w:val="0"/>
        <w:pageBreakBefore w:val="0"/>
        <w:widowControl/>
        <w:suppressLineNumbers w:val="0"/>
        <w:wordWrap/>
        <w:overflowPunct/>
        <w:topLinePunct w:val="0"/>
        <w:bidi w:val="0"/>
        <w:adjustRightInd w:val="0"/>
        <w:snapToGrid w:val="0"/>
        <w:spacing w:line="360" w:lineRule="auto"/>
        <w:ind w:firstLine="480" w:firstLineChars="200"/>
        <w:jc w:val="center"/>
        <w:rPr>
          <w:rFonts w:hint="default" w:hAnsi="Cambria Math" w:eastAsia="宋体" w:cs="Times New Roman"/>
          <w:i w:val="0"/>
          <w:snapToGrid w:val="0"/>
          <w:color w:val="auto"/>
          <w:kern w:val="0"/>
          <w:sz w:val="24"/>
          <w:szCs w:val="24"/>
          <w:lang w:val="en-US" w:eastAsia="zh-CN" w:bidi="ar"/>
        </w:rPr>
      </w:pPr>
      <m:oMathPara>
        <m:oMathParaPr>
          <m:jc m:val="center"/>
        </m:oMathParaPr>
        <m:oMath>
          <m:sSub>
            <m:sSubPr>
              <m:ctrlPr>
                <w:rPr>
                  <w:rFonts w:hint="default" w:ascii="Cambria Math" w:hAnsi="Cambria Math" w:eastAsia="宋体" w:cs="Times New Roman"/>
                  <w:i w:val="0"/>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C</m:t>
              </m:r>
              <m:ctrlPr>
                <w:rPr>
                  <w:rFonts w:hint="default" w:ascii="Cambria Math" w:hAnsi="Cambria Math" w:eastAsia="宋体" w:cs="Times New Roman"/>
                  <w:i w:val="0"/>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0</m:t>
              </m:r>
              <m:ctrlPr>
                <w:rPr>
                  <w:rFonts w:hint="default" w:ascii="Cambria Math" w:hAnsi="Cambria Math" w:eastAsia="宋体" w:cs="Times New Roman"/>
                  <w:i w:val="0"/>
                  <w:snapToGrid w:val="0"/>
                  <w:color w:val="auto"/>
                  <w:kern w:val="0"/>
                  <w:sz w:val="24"/>
                  <w:szCs w:val="24"/>
                  <w:lang w:val="en-US" w:eastAsia="zh-CN" w:bidi="ar"/>
                </w:rPr>
              </m:ctrlPr>
            </m:sub>
          </m:sSub>
          <m:r>
            <m:rPr>
              <m:sty m:val="p"/>
            </m:rPr>
            <w:rPr>
              <w:rFonts w:hint="default" w:ascii="Times New Roman" w:hAnsi="Times New Roman" w:eastAsia="宋体" w:cs="Times New Roman"/>
              <w:snapToGrid w:val="0"/>
              <w:color w:val="auto"/>
              <w:kern w:val="0"/>
              <w:sz w:val="24"/>
              <w:szCs w:val="24"/>
              <w:lang w:val="en-US" w:eastAsia="zh-CN" w:bidi="ar"/>
            </w:rPr>
            <m:t>=</m:t>
          </m:r>
          <m:d>
            <m:dPr>
              <m:sepChr m:val=""/>
              <m:ctrlPr>
                <w:rPr>
                  <w:rFonts w:hint="default" w:ascii="Cambria Math" w:hAnsi="Cambria Math" w:eastAsia="宋体" w:cs="Times New Roman"/>
                  <w:i w:val="0"/>
                  <w:snapToGrid w:val="0"/>
                  <w:color w:val="auto"/>
                  <w:kern w:val="0"/>
                  <w:sz w:val="24"/>
                  <w:szCs w:val="24"/>
                  <w:lang w:val="en-US" w:eastAsia="zh-CN" w:bidi="ar"/>
                </w:rPr>
              </m:ctrlPr>
            </m:dPr>
            <m:e>
              <m:sSub>
                <m:sSubPr>
                  <m:ctrlPr>
                    <w:rPr>
                      <w:rFonts w:hint="default" w:ascii="Cambria Math" w:hAnsi="Cambria Math" w:eastAsia="宋体" w:cs="Times New Roman"/>
                      <w:i w:val="0"/>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C</m:t>
                  </m:r>
                  <m:ctrlPr>
                    <w:rPr>
                      <w:rFonts w:hint="default" w:ascii="Cambria Math" w:hAnsi="Cambria Math" w:eastAsia="宋体" w:cs="Times New Roman"/>
                      <w:i w:val="0"/>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p</m:t>
                  </m:r>
                  <m:ctrlPr>
                    <w:rPr>
                      <w:rFonts w:hint="default" w:ascii="Cambria Math" w:hAnsi="Cambria Math" w:eastAsia="宋体" w:cs="Times New Roman"/>
                      <w:i w:val="0"/>
                      <w:snapToGrid w:val="0"/>
                      <w:color w:val="auto"/>
                      <w:kern w:val="0"/>
                      <w:sz w:val="24"/>
                      <w:szCs w:val="24"/>
                      <w:lang w:val="en-US" w:eastAsia="zh-CN" w:bidi="ar"/>
                    </w:rPr>
                  </m:ctrlPr>
                </m:sub>
              </m:sSub>
              <m:sSub>
                <m:sSubPr>
                  <m:ctrlPr>
                    <w:rPr>
                      <w:rFonts w:hint="default" w:ascii="Cambria Math" w:hAnsi="Cambria Math" w:eastAsia="宋体" w:cs="Times New Roman"/>
                      <w:i w:val="0"/>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Q</m:t>
                  </m:r>
                  <m:ctrlPr>
                    <w:rPr>
                      <w:rFonts w:hint="default" w:ascii="Cambria Math" w:hAnsi="Cambria Math" w:eastAsia="宋体" w:cs="Times New Roman"/>
                      <w:i w:val="0"/>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p</m:t>
                  </m:r>
                  <m:ctrlPr>
                    <w:rPr>
                      <w:rFonts w:hint="default" w:ascii="Cambria Math" w:hAnsi="Cambria Math" w:eastAsia="宋体" w:cs="Times New Roman"/>
                      <w:i w:val="0"/>
                      <w:snapToGrid w:val="0"/>
                      <w:color w:val="auto"/>
                      <w:kern w:val="0"/>
                      <w:sz w:val="24"/>
                      <w:szCs w:val="24"/>
                      <w:lang w:val="en-US" w:eastAsia="zh-CN" w:bidi="ar"/>
                    </w:rPr>
                  </m:ctrlPr>
                </m:sub>
              </m:sSub>
              <m:r>
                <m:rPr>
                  <m:sty m:val="p"/>
                </m:rPr>
                <w:rPr>
                  <w:rFonts w:hint="default" w:ascii="Times New Roman" w:hAnsi="Times New Roman" w:eastAsia="宋体" w:cs="Times New Roman"/>
                  <w:snapToGrid w:val="0"/>
                  <w:color w:val="auto"/>
                  <w:kern w:val="0"/>
                  <w:sz w:val="24"/>
                  <w:szCs w:val="24"/>
                  <w:lang w:val="en-US" w:eastAsia="zh-CN" w:bidi="ar"/>
                </w:rPr>
                <m:t>+</m:t>
              </m:r>
              <m:sSub>
                <m:sSubPr>
                  <m:ctrlPr>
                    <w:rPr>
                      <w:rFonts w:hint="default" w:ascii="Cambria Math" w:hAnsi="Cambria Math" w:eastAsia="宋体" w:cs="Times New Roman"/>
                      <w:i w:val="0"/>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C</m:t>
                  </m:r>
                  <m:ctrlPr>
                    <w:rPr>
                      <w:rFonts w:hint="default" w:ascii="Cambria Math" w:hAnsi="Cambria Math" w:eastAsia="宋体" w:cs="Times New Roman"/>
                      <w:i w:val="0"/>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h</m:t>
                  </m:r>
                  <m:ctrlPr>
                    <w:rPr>
                      <w:rFonts w:hint="default" w:ascii="Cambria Math" w:hAnsi="Cambria Math" w:eastAsia="宋体" w:cs="Times New Roman"/>
                      <w:i w:val="0"/>
                      <w:snapToGrid w:val="0"/>
                      <w:color w:val="auto"/>
                      <w:kern w:val="0"/>
                      <w:sz w:val="24"/>
                      <w:szCs w:val="24"/>
                      <w:lang w:val="en-US" w:eastAsia="zh-CN" w:bidi="ar"/>
                    </w:rPr>
                  </m:ctrlPr>
                </m:sub>
              </m:sSub>
              <m:sSub>
                <m:sSubPr>
                  <m:ctrlPr>
                    <w:rPr>
                      <w:rFonts w:hint="default" w:ascii="Cambria Math" w:hAnsi="Cambria Math" w:eastAsia="宋体" w:cs="Times New Roman"/>
                      <w:i w:val="0"/>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Q</m:t>
                  </m:r>
                  <m:ctrlPr>
                    <w:rPr>
                      <w:rFonts w:hint="default" w:ascii="Cambria Math" w:hAnsi="Cambria Math" w:eastAsia="宋体" w:cs="Times New Roman"/>
                      <w:i w:val="0"/>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h</m:t>
                  </m:r>
                  <m:ctrlPr>
                    <w:rPr>
                      <w:rFonts w:hint="default" w:ascii="Cambria Math" w:hAnsi="Cambria Math" w:eastAsia="宋体" w:cs="Times New Roman"/>
                      <w:i w:val="0"/>
                      <w:snapToGrid w:val="0"/>
                      <w:color w:val="auto"/>
                      <w:kern w:val="0"/>
                      <w:sz w:val="24"/>
                      <w:szCs w:val="24"/>
                      <w:lang w:val="en-US" w:eastAsia="zh-CN" w:bidi="ar"/>
                    </w:rPr>
                  </m:ctrlPr>
                </m:sub>
              </m:sSub>
              <m:ctrlPr>
                <w:rPr>
                  <w:rFonts w:hint="default" w:ascii="Cambria Math" w:hAnsi="Cambria Math" w:eastAsia="宋体" w:cs="Times New Roman"/>
                  <w:i w:val="0"/>
                  <w:snapToGrid w:val="0"/>
                  <w:color w:val="auto"/>
                  <w:kern w:val="0"/>
                  <w:sz w:val="24"/>
                  <w:szCs w:val="24"/>
                  <w:lang w:val="en-US" w:eastAsia="zh-CN" w:bidi="ar"/>
                </w:rPr>
              </m:ctrlPr>
            </m:e>
          </m:d>
          <m:r>
            <m:rPr>
              <m:sty m:val="p"/>
            </m:rPr>
            <w:rPr>
              <w:rFonts w:hint="default" w:ascii="Times New Roman" w:hAnsi="Times New Roman" w:eastAsia="宋体" w:cs="Times New Roman"/>
              <w:snapToGrid w:val="0"/>
              <w:color w:val="auto"/>
              <w:kern w:val="0"/>
              <w:sz w:val="24"/>
              <w:szCs w:val="24"/>
              <w:lang w:val="en-US" w:eastAsia="zh-CN" w:bidi="ar"/>
            </w:rPr>
            <m:t>/</m:t>
          </m:r>
          <m:d>
            <m:dPr>
              <m:sepChr m:val=""/>
              <m:ctrlPr>
                <w:rPr>
                  <w:rFonts w:hint="default" w:ascii="Cambria Math" w:hAnsi="Cambria Math" w:eastAsia="宋体" w:cs="Times New Roman"/>
                  <w:i w:val="0"/>
                  <w:snapToGrid w:val="0"/>
                  <w:color w:val="auto"/>
                  <w:kern w:val="0"/>
                  <w:sz w:val="24"/>
                  <w:szCs w:val="24"/>
                  <w:lang w:val="en-US" w:eastAsia="zh-CN" w:bidi="ar"/>
                </w:rPr>
              </m:ctrlPr>
            </m:dPr>
            <m:e>
              <m:r>
                <m:rPr>
                  <m:sty m:val="p"/>
                </m:rPr>
                <w:rPr>
                  <w:rFonts w:hint="default" w:ascii="Times New Roman" w:hAnsi="Times New Roman" w:eastAsia="宋体" w:cs="Times New Roman"/>
                  <w:snapToGrid w:val="0"/>
                  <w:color w:val="auto"/>
                  <w:kern w:val="0"/>
                  <w:sz w:val="24"/>
                  <w:szCs w:val="24"/>
                  <w:lang w:val="en-US" w:eastAsia="zh-CN" w:bidi="ar"/>
                </w:rPr>
                <m:t>2A</m:t>
              </m:r>
              <m:rad>
                <m:radPr>
                  <m:degHide m:val="1"/>
                  <m:ctrlPr>
                    <w:rPr>
                      <w:rFonts w:hint="default" w:ascii="Cambria Math" w:hAnsi="Cambria Math" w:eastAsia="宋体" w:cs="Times New Roman"/>
                      <w:i w:val="0"/>
                      <w:snapToGrid w:val="0"/>
                      <w:color w:val="auto"/>
                      <w:kern w:val="0"/>
                      <w:sz w:val="24"/>
                      <w:szCs w:val="24"/>
                      <w:lang w:val="en-US" w:eastAsia="zh-CN" w:bidi="ar"/>
                    </w:rPr>
                  </m:ctrlPr>
                </m:radPr>
                <m:deg>
                  <m:ctrlPr>
                    <w:rPr>
                      <w:rFonts w:hint="default" w:ascii="Cambria Math" w:hAnsi="Cambria Math" w:eastAsia="宋体" w:cs="Times New Roman"/>
                      <w:i w:val="0"/>
                      <w:snapToGrid w:val="0"/>
                      <w:color w:val="auto"/>
                      <w:kern w:val="0"/>
                      <w:sz w:val="24"/>
                      <w:szCs w:val="24"/>
                      <w:lang w:val="en-US" w:eastAsia="zh-CN" w:bidi="ar"/>
                    </w:rPr>
                  </m:ctrlPr>
                </m:deg>
                <m:e>
                  <m:r>
                    <m:rPr>
                      <m:sty m:val="p"/>
                    </m:rPr>
                    <w:rPr>
                      <w:rFonts w:hint="default" w:ascii="Times New Roman" w:hAnsi="Times New Roman" w:eastAsia="宋体" w:cs="Times New Roman"/>
                      <w:snapToGrid w:val="0"/>
                      <w:color w:val="auto"/>
                      <w:kern w:val="0"/>
                      <w:sz w:val="24"/>
                      <w:szCs w:val="24"/>
                      <w:lang w:val="en-US" w:eastAsia="zh-CN" w:bidi="ar"/>
                    </w:rPr>
                    <m:t>k</m:t>
                  </m:r>
                  <m:sSub>
                    <m:sSubPr>
                      <m:ctrlPr>
                        <w:rPr>
                          <w:rFonts w:hint="default" w:ascii="Cambria Math" w:hAnsi="Cambria Math" w:eastAsia="宋体" w:cs="Times New Roman"/>
                          <w:i w:val="0"/>
                          <w:snapToGrid w:val="0"/>
                          <w:color w:val="auto"/>
                          <w:kern w:val="0"/>
                          <w:sz w:val="24"/>
                          <w:szCs w:val="24"/>
                          <w:lang w:val="en-US" w:eastAsia="zh-CN" w:bidi="ar"/>
                        </w:rPr>
                      </m:ctrlPr>
                    </m:sSubPr>
                    <m:e>
                      <m:r>
                        <m:rPr>
                          <m:sty m:val="p"/>
                        </m:rPr>
                        <w:rPr>
                          <w:rFonts w:hint="default" w:ascii="Times New Roman" w:hAnsi="Times New Roman" w:eastAsia="宋体" w:cs="Times New Roman"/>
                          <w:snapToGrid w:val="0"/>
                          <w:color w:val="auto"/>
                          <w:kern w:val="0"/>
                          <w:sz w:val="24"/>
                          <w:szCs w:val="24"/>
                          <w:lang w:val="en-US" w:eastAsia="zh-CN" w:bidi="ar"/>
                        </w:rPr>
                        <m:t>E</m:t>
                      </m:r>
                      <m:ctrlPr>
                        <w:rPr>
                          <w:rFonts w:hint="default" w:ascii="Cambria Math" w:hAnsi="Cambria Math" w:eastAsia="宋体" w:cs="Times New Roman"/>
                          <w:i w:val="0"/>
                          <w:snapToGrid w:val="0"/>
                          <w:color w:val="auto"/>
                          <w:kern w:val="0"/>
                          <w:sz w:val="24"/>
                          <w:szCs w:val="24"/>
                          <w:lang w:val="en-US" w:eastAsia="zh-CN" w:bidi="ar"/>
                        </w:rPr>
                      </m:ctrlPr>
                    </m:e>
                    <m:sub>
                      <m:r>
                        <m:rPr>
                          <m:sty m:val="p"/>
                        </m:rPr>
                        <w:rPr>
                          <w:rFonts w:hint="default" w:ascii="Times New Roman" w:hAnsi="Times New Roman" w:eastAsia="宋体" w:cs="Times New Roman"/>
                          <w:snapToGrid w:val="0"/>
                          <w:color w:val="auto"/>
                          <w:kern w:val="0"/>
                          <w:sz w:val="24"/>
                          <w:szCs w:val="24"/>
                          <w:lang w:val="en-US" w:eastAsia="zh-CN" w:bidi="ar"/>
                        </w:rPr>
                        <m:t>x</m:t>
                      </m:r>
                      <m:ctrlPr>
                        <w:rPr>
                          <w:rFonts w:hint="default" w:ascii="Cambria Math" w:hAnsi="Cambria Math" w:eastAsia="宋体" w:cs="Times New Roman"/>
                          <w:i w:val="0"/>
                          <w:snapToGrid w:val="0"/>
                          <w:color w:val="auto"/>
                          <w:kern w:val="0"/>
                          <w:sz w:val="24"/>
                          <w:szCs w:val="24"/>
                          <w:lang w:val="en-US" w:eastAsia="zh-CN" w:bidi="ar"/>
                        </w:rPr>
                      </m:ctrlPr>
                    </m:sub>
                  </m:sSub>
                  <m:ctrlPr>
                    <w:rPr>
                      <w:rFonts w:hint="default" w:ascii="Cambria Math" w:hAnsi="Cambria Math" w:eastAsia="宋体" w:cs="Times New Roman"/>
                      <w:i w:val="0"/>
                      <w:snapToGrid w:val="0"/>
                      <w:color w:val="auto"/>
                      <w:kern w:val="0"/>
                      <w:sz w:val="24"/>
                      <w:szCs w:val="24"/>
                      <w:lang w:val="en-US" w:eastAsia="zh-CN" w:bidi="ar"/>
                    </w:rPr>
                  </m:ctrlPr>
                </m:e>
              </m:rad>
              <m:ctrlPr>
                <w:rPr>
                  <w:rFonts w:hint="default" w:ascii="Cambria Math" w:hAnsi="Cambria Math" w:eastAsia="宋体" w:cs="Times New Roman"/>
                  <w:i w:val="0"/>
                  <w:snapToGrid w:val="0"/>
                  <w:color w:val="auto"/>
                  <w:kern w:val="0"/>
                  <w:sz w:val="24"/>
                  <w:szCs w:val="24"/>
                  <w:lang w:val="en-US" w:eastAsia="zh-CN" w:bidi="ar"/>
                </w:rPr>
              </m:ctrlPr>
            </m:e>
          </m:d>
        </m:oMath>
      </m:oMathPara>
    </w:p>
    <w:p w14:paraId="1D2D3DC0">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t>式中：</w:t>
      </w:r>
      <w:r>
        <w:rPr>
          <w:rFonts w:hint="default" w:ascii="Times New Roman" w:hAnsi="Times New Roman" w:eastAsia="宋体" w:cs="Times New Roman"/>
          <w:snapToGrid w:val="0"/>
          <w:color w:val="auto"/>
          <w:kern w:val="0"/>
          <w:sz w:val="24"/>
          <w:szCs w:val="24"/>
          <w:lang w:val="en-US" w:eastAsia="zh-CN" w:bidi="ar"/>
        </w:rPr>
        <w:t>α</w:t>
      </w:r>
      <w:r>
        <w:rPr>
          <w:rFonts w:hint="default" w:ascii="Times New Roman" w:hAnsi="Times New Roman" w:eastAsia="宋体" w:cs="Times New Roman"/>
          <w:snapToGrid w:val="0"/>
          <w:color w:val="auto"/>
          <w:spacing w:val="-5"/>
          <w:kern w:val="0"/>
          <w:sz w:val="24"/>
          <w:szCs w:val="24"/>
          <w:lang w:val="en-US" w:eastAsia="zh-CN" w:bidi="ar-SA"/>
        </w:rPr>
        <w:t>——O’Connor数，量纲为1，表征物质离散降解通量与移流通量比值；</w:t>
      </w:r>
    </w:p>
    <w:p w14:paraId="5D058C5B">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t>P</w:t>
      </w:r>
      <w:r>
        <w:rPr>
          <w:rFonts w:hint="default" w:ascii="Times New Roman" w:hAnsi="Times New Roman" w:eastAsia="宋体" w:cs="Times New Roman"/>
          <w:snapToGrid w:val="0"/>
          <w:color w:val="auto"/>
          <w:spacing w:val="-5"/>
          <w:kern w:val="0"/>
          <w:sz w:val="24"/>
          <w:szCs w:val="24"/>
          <w:vertAlign w:val="subscript"/>
          <w:lang w:val="en-US" w:eastAsia="zh-CN" w:bidi="ar-SA"/>
        </w:rPr>
        <w:t>e</w:t>
      </w:r>
      <w:r>
        <w:rPr>
          <w:rFonts w:hint="default" w:ascii="Times New Roman" w:hAnsi="Times New Roman" w:eastAsia="宋体" w:cs="Times New Roman"/>
          <w:snapToGrid w:val="0"/>
          <w:color w:val="auto"/>
          <w:spacing w:val="-5"/>
          <w:kern w:val="0"/>
          <w:sz w:val="24"/>
          <w:szCs w:val="24"/>
          <w:lang w:val="en-US" w:eastAsia="zh-CN" w:bidi="ar-SA"/>
        </w:rPr>
        <w:t>——贝克来数，量纲为1，表征物质移流通量与离散通量比值；</w:t>
      </w:r>
    </w:p>
    <w:p w14:paraId="18C9C9F8">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eastAsia" w:ascii="Times New Roman" w:hAnsi="Times New Roman" w:eastAsia="宋体" w:cs="Times New Roman"/>
          <w:snapToGrid w:val="0"/>
          <w:color w:val="auto"/>
          <w:spacing w:val="-5"/>
          <w:kern w:val="0"/>
          <w:sz w:val="24"/>
          <w:szCs w:val="24"/>
          <w:lang w:val="en-US" w:eastAsia="zh-CN" w:bidi="ar-SA"/>
        </w:rPr>
        <w:t>C</w:t>
      </w:r>
      <w:r>
        <w:rPr>
          <w:rFonts w:hint="eastAsia" w:ascii="Times New Roman" w:hAnsi="Times New Roman" w:eastAsia="宋体" w:cs="Times New Roman"/>
          <w:snapToGrid w:val="0"/>
          <w:color w:val="auto"/>
          <w:spacing w:val="-5"/>
          <w:kern w:val="0"/>
          <w:sz w:val="24"/>
          <w:szCs w:val="24"/>
          <w:vertAlign w:val="subscript"/>
          <w:lang w:val="en-US" w:eastAsia="zh-CN" w:bidi="ar-SA"/>
        </w:rPr>
        <w:t>0</w:t>
      </w:r>
      <w:r>
        <w:rPr>
          <w:rFonts w:hint="default" w:ascii="Times New Roman" w:hAnsi="Times New Roman" w:eastAsia="宋体" w:cs="Times New Roman"/>
          <w:snapToGrid w:val="0"/>
          <w:color w:val="auto"/>
          <w:spacing w:val="-5"/>
          <w:kern w:val="0"/>
          <w:sz w:val="24"/>
          <w:szCs w:val="24"/>
          <w:lang w:val="en-US" w:eastAsia="zh-CN" w:bidi="ar-SA"/>
        </w:rPr>
        <w:t>——河流排放口初始断面混合浓度，mg/L；</w:t>
      </w:r>
    </w:p>
    <w:p w14:paraId="0D827164">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eastAsia"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t>x——河流沿程坐标，m。x=0指排放口处，x</w:t>
      </w:r>
      <w:r>
        <w:rPr>
          <w:rFonts w:hint="eastAsia" w:ascii="Times New Roman" w:hAnsi="Times New Roman" w:eastAsia="宋体" w:cs="Times New Roman"/>
          <w:snapToGrid w:val="0"/>
          <w:color w:val="auto"/>
          <w:spacing w:val="-5"/>
          <w:kern w:val="0"/>
          <w:sz w:val="24"/>
          <w:szCs w:val="24"/>
          <w:lang w:val="en-US" w:eastAsia="zh-CN" w:bidi="ar-SA"/>
        </w:rPr>
        <w:t>＞</w:t>
      </w:r>
      <w:r>
        <w:rPr>
          <w:rFonts w:hint="default" w:ascii="Times New Roman" w:hAnsi="Times New Roman" w:eastAsia="宋体" w:cs="Times New Roman"/>
          <w:snapToGrid w:val="0"/>
          <w:color w:val="auto"/>
          <w:spacing w:val="-5"/>
          <w:kern w:val="0"/>
          <w:sz w:val="24"/>
          <w:szCs w:val="24"/>
          <w:lang w:val="en-US" w:eastAsia="zh-CN" w:bidi="ar-SA"/>
        </w:rPr>
        <w:t>0指排放口下游段，x</w:t>
      </w:r>
      <w:r>
        <w:rPr>
          <w:rFonts w:hint="eastAsia" w:ascii="Times New Roman" w:hAnsi="Times New Roman" w:eastAsia="宋体" w:cs="Times New Roman"/>
          <w:snapToGrid w:val="0"/>
          <w:color w:val="auto"/>
          <w:spacing w:val="-5"/>
          <w:kern w:val="0"/>
          <w:sz w:val="24"/>
          <w:szCs w:val="24"/>
          <w:lang w:val="en-US" w:eastAsia="zh-CN" w:bidi="ar-SA"/>
        </w:rPr>
        <w:t>＜</w:t>
      </w:r>
      <w:r>
        <w:rPr>
          <w:rFonts w:hint="default" w:ascii="Times New Roman" w:hAnsi="Times New Roman" w:eastAsia="宋体" w:cs="Times New Roman"/>
          <w:snapToGrid w:val="0"/>
          <w:color w:val="auto"/>
          <w:spacing w:val="-5"/>
          <w:kern w:val="0"/>
          <w:sz w:val="24"/>
          <w:szCs w:val="24"/>
          <w:lang w:val="en-US" w:eastAsia="zh-CN" w:bidi="ar-SA"/>
        </w:rPr>
        <w:t>0指排放口上游段</w:t>
      </w:r>
      <w:r>
        <w:rPr>
          <w:rFonts w:hint="eastAsia" w:ascii="Times New Roman" w:hAnsi="Times New Roman" w:eastAsia="宋体" w:cs="Times New Roman"/>
          <w:snapToGrid w:val="0"/>
          <w:color w:val="auto"/>
          <w:spacing w:val="-5"/>
          <w:kern w:val="0"/>
          <w:sz w:val="24"/>
          <w:szCs w:val="24"/>
          <w:lang w:val="en-US" w:eastAsia="zh-CN" w:bidi="ar-SA"/>
        </w:rPr>
        <w:t>。</w:t>
      </w:r>
    </w:p>
    <w:p w14:paraId="7FE8FD9D">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eastAsia" w:ascii="Times New Roman" w:hAnsi="Times New Roman" w:eastAsia="宋体" w:cs="Times New Roman"/>
          <w:snapToGrid w:val="0"/>
          <w:color w:val="auto"/>
          <w:spacing w:val="-5"/>
          <w:kern w:val="0"/>
          <w:sz w:val="24"/>
          <w:szCs w:val="24"/>
          <w:lang w:val="en-US" w:eastAsia="zh-CN" w:bidi="ar-SA"/>
        </w:rPr>
        <w:t>根据表4-1参数，求得红光沟采用的纵向一维水质模型的α为0.017＜0.027，P</w:t>
      </w:r>
      <w:r>
        <w:rPr>
          <w:rFonts w:hint="eastAsia" w:ascii="Times New Roman" w:hAnsi="Times New Roman" w:eastAsia="宋体" w:cs="Times New Roman"/>
          <w:snapToGrid w:val="0"/>
          <w:color w:val="auto"/>
          <w:spacing w:val="-5"/>
          <w:kern w:val="0"/>
          <w:sz w:val="24"/>
          <w:szCs w:val="24"/>
          <w:vertAlign w:val="subscript"/>
          <w:lang w:val="en-US" w:eastAsia="zh-CN" w:bidi="ar-SA"/>
        </w:rPr>
        <w:t>e</w:t>
      </w:r>
      <w:r>
        <w:rPr>
          <w:rFonts w:hint="eastAsia" w:ascii="Times New Roman" w:hAnsi="Times New Roman" w:eastAsia="宋体" w:cs="Times New Roman"/>
          <w:snapToGrid w:val="0"/>
          <w:color w:val="auto"/>
          <w:spacing w:val="-5"/>
          <w:kern w:val="0"/>
          <w:sz w:val="24"/>
          <w:szCs w:val="24"/>
          <w:lang w:val="en-US" w:eastAsia="zh-CN" w:bidi="ar-SA"/>
        </w:rPr>
        <w:t>为48.2，满足α≤0.027、Pe≥1时，适用对流降解模型。</w:t>
      </w:r>
    </w:p>
    <w:p w14:paraId="1E81AC76">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fldChar w:fldCharType="begin"/>
      </w:r>
      <w:r>
        <w:rPr>
          <w:rFonts w:hint="default" w:ascii="Times New Roman" w:hAnsi="Times New Roman" w:eastAsia="宋体" w:cs="Times New Roman"/>
          <w:snapToGrid w:val="0"/>
          <w:color w:val="auto"/>
          <w:spacing w:val="-5"/>
          <w:kern w:val="0"/>
          <w:sz w:val="24"/>
          <w:szCs w:val="24"/>
          <w:lang w:val="en-US" w:eastAsia="zh-CN" w:bidi="ar-SA"/>
        </w:rPr>
        <w:instrText xml:space="preserve"> = 2 \* GB2 \* MERGEFORMAT </w:instrText>
      </w:r>
      <w:r>
        <w:rPr>
          <w:rFonts w:hint="default" w:ascii="Times New Roman" w:hAnsi="Times New Roman" w:eastAsia="宋体" w:cs="Times New Roman"/>
          <w:snapToGrid w:val="0"/>
          <w:color w:val="auto"/>
          <w:spacing w:val="-5"/>
          <w:kern w:val="0"/>
          <w:sz w:val="24"/>
          <w:szCs w:val="24"/>
          <w:lang w:val="en-US" w:eastAsia="zh-CN" w:bidi="ar-SA"/>
        </w:rPr>
        <w:fldChar w:fldCharType="separate"/>
      </w:r>
      <w:r>
        <w:rPr>
          <w:rFonts w:hint="eastAsia" w:ascii="Times New Roman" w:hAnsi="Times New Roman" w:eastAsia="宋体" w:cs="Times New Roman"/>
          <w:snapToGrid w:val="0"/>
          <w:color w:val="auto"/>
          <w:spacing w:val="-5"/>
          <w:kern w:val="0"/>
          <w:sz w:val="24"/>
          <w:szCs w:val="24"/>
          <w:lang w:val="en-US" w:eastAsia="zh-CN" w:bidi="ar-SA"/>
        </w:rPr>
        <w:t>⑵</w:t>
      </w:r>
      <w:r>
        <w:rPr>
          <w:rFonts w:hint="default" w:ascii="Times New Roman" w:hAnsi="Times New Roman" w:eastAsia="宋体" w:cs="Times New Roman"/>
          <w:snapToGrid w:val="0"/>
          <w:color w:val="auto"/>
          <w:spacing w:val="-5"/>
          <w:kern w:val="0"/>
          <w:sz w:val="24"/>
          <w:szCs w:val="24"/>
          <w:lang w:val="en-US" w:eastAsia="zh-CN" w:bidi="ar-SA"/>
        </w:rPr>
        <w:fldChar w:fldCharType="end"/>
      </w:r>
      <w:r>
        <w:rPr>
          <w:rFonts w:hint="default" w:ascii="Times New Roman" w:hAnsi="Times New Roman" w:eastAsia="宋体" w:cs="Times New Roman"/>
          <w:snapToGrid w:val="0"/>
          <w:color w:val="auto"/>
          <w:spacing w:val="-5"/>
          <w:kern w:val="0"/>
          <w:sz w:val="24"/>
          <w:szCs w:val="24"/>
          <w:lang w:val="en-US" w:eastAsia="zh-CN" w:bidi="ar-SA"/>
        </w:rPr>
        <w:t>平面二维连续稳定排放模型</w:t>
      </w:r>
    </w:p>
    <w:p w14:paraId="688A6C3B">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color w:val="auto"/>
          <w:sz w:val="24"/>
          <w:szCs w:val="24"/>
        </w:rPr>
        <w:drawing>
          <wp:inline distT="0" distB="0" distL="114300" distR="114300">
            <wp:extent cx="2933700" cy="49530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70"/>
                    <a:stretch>
                      <a:fillRect/>
                    </a:stretch>
                  </pic:blipFill>
                  <pic:spPr>
                    <a:xfrm>
                      <a:off x="0" y="0"/>
                      <a:ext cx="2933700" cy="495300"/>
                    </a:xfrm>
                    <a:prstGeom prst="rect">
                      <a:avLst/>
                    </a:prstGeom>
                    <a:noFill/>
                    <a:ln>
                      <a:noFill/>
                    </a:ln>
                  </pic:spPr>
                </pic:pic>
              </a:graphicData>
            </a:graphic>
          </wp:inline>
        </w:drawing>
      </w:r>
    </w:p>
    <w:p w14:paraId="4399903C">
      <w:pPr>
        <w:keepNext w:val="0"/>
        <w:keepLines w:val="0"/>
        <w:pageBreakBefore w:val="0"/>
        <w:widowControl/>
        <w:suppressLineNumbers w:val="0"/>
        <w:wordWrap/>
        <w:overflowPunct/>
        <w:topLinePunct w:val="0"/>
        <w:bidi w:val="0"/>
        <w:adjustRightInd w:val="0"/>
        <w:snapToGrid w:val="0"/>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0"/>
          <w:sz w:val="24"/>
          <w:szCs w:val="24"/>
          <w:lang w:val="en-US" w:eastAsia="zh-CN" w:bidi="ar"/>
        </w:rPr>
        <w:t xml:space="preserve">式中：C（x，y）—纵向距离 x、横向距离 y 点的污染物浓度，mg/L； </w:t>
      </w:r>
    </w:p>
    <w:p w14:paraId="488CF7E0">
      <w:pPr>
        <w:keepNext w:val="0"/>
        <w:keepLines w:val="0"/>
        <w:pageBreakBefore w:val="0"/>
        <w:widowControl/>
        <w:suppressLineNumbers w:val="0"/>
        <w:wordWrap/>
        <w:overflowPunct/>
        <w:topLinePunct w:val="0"/>
        <w:bidi w:val="0"/>
        <w:adjustRightInd w:val="0"/>
        <w:snapToGrid w:val="0"/>
        <w:spacing w:line="360" w:lineRule="auto"/>
        <w:ind w:firstLine="720" w:firstLineChars="3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0"/>
          <w:sz w:val="24"/>
          <w:szCs w:val="24"/>
          <w:lang w:val="en-US" w:eastAsia="zh-CN" w:bidi="ar"/>
        </w:rPr>
        <w:t xml:space="preserve">Ch—河流上游污染物浓度，mg/L； </w:t>
      </w:r>
    </w:p>
    <w:p w14:paraId="46943EBE">
      <w:pPr>
        <w:keepNext w:val="0"/>
        <w:keepLines w:val="0"/>
        <w:pageBreakBefore w:val="0"/>
        <w:widowControl/>
        <w:suppressLineNumbers w:val="0"/>
        <w:wordWrap/>
        <w:overflowPunct/>
        <w:topLinePunct w:val="0"/>
        <w:bidi w:val="0"/>
        <w:adjustRightInd w:val="0"/>
        <w:snapToGrid w:val="0"/>
        <w:spacing w:line="360" w:lineRule="auto"/>
        <w:ind w:firstLine="720" w:firstLineChars="3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0"/>
          <w:sz w:val="24"/>
          <w:szCs w:val="24"/>
          <w:lang w:val="en-US" w:eastAsia="zh-CN" w:bidi="ar"/>
        </w:rPr>
        <w:t xml:space="preserve">m—污染物排放速率，g/s； </w:t>
      </w:r>
    </w:p>
    <w:p w14:paraId="007D2CE7">
      <w:pPr>
        <w:keepNext w:val="0"/>
        <w:keepLines w:val="0"/>
        <w:pageBreakBefore w:val="0"/>
        <w:widowControl/>
        <w:suppressLineNumbers w:val="0"/>
        <w:wordWrap/>
        <w:overflowPunct/>
        <w:topLinePunct w:val="0"/>
        <w:bidi w:val="0"/>
        <w:adjustRightInd w:val="0"/>
        <w:snapToGrid w:val="0"/>
        <w:spacing w:line="360" w:lineRule="auto"/>
        <w:ind w:firstLine="720" w:firstLineChars="3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0"/>
          <w:sz w:val="24"/>
          <w:szCs w:val="24"/>
          <w:lang w:val="en-US" w:eastAsia="zh-CN" w:bidi="ar"/>
        </w:rPr>
        <w:t xml:space="preserve">h—断面水深，m； </w:t>
      </w:r>
    </w:p>
    <w:p w14:paraId="57DA71E7">
      <w:pPr>
        <w:keepNext w:val="0"/>
        <w:keepLines w:val="0"/>
        <w:pageBreakBefore w:val="0"/>
        <w:widowControl/>
        <w:suppressLineNumbers w:val="0"/>
        <w:wordWrap/>
        <w:overflowPunct/>
        <w:topLinePunct w:val="0"/>
        <w:bidi w:val="0"/>
        <w:adjustRightInd w:val="0"/>
        <w:snapToGrid w:val="0"/>
        <w:spacing w:line="360" w:lineRule="auto"/>
        <w:ind w:firstLine="720" w:firstLineChars="3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0"/>
          <w:sz w:val="24"/>
          <w:szCs w:val="24"/>
          <w:lang w:val="en-US" w:eastAsia="zh-CN" w:bidi="ar"/>
        </w:rPr>
        <w:t xml:space="preserve">π—圆周率。 </w:t>
      </w:r>
    </w:p>
    <w:p w14:paraId="4AB6C720">
      <w:pPr>
        <w:keepNext w:val="0"/>
        <w:keepLines w:val="0"/>
        <w:pageBreakBefore w:val="0"/>
        <w:widowControl/>
        <w:suppressLineNumbers w:val="0"/>
        <w:wordWrap/>
        <w:overflowPunct/>
        <w:topLinePunct w:val="0"/>
        <w:bidi w:val="0"/>
        <w:adjustRightInd w:val="0"/>
        <w:snapToGrid w:val="0"/>
        <w:spacing w:line="360" w:lineRule="auto"/>
        <w:ind w:firstLine="720" w:firstLineChars="3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0"/>
          <w:sz w:val="24"/>
          <w:szCs w:val="24"/>
          <w:lang w:val="en-US" w:eastAsia="zh-CN" w:bidi="ar"/>
        </w:rPr>
        <w:t xml:space="preserve">u—断面流速，m/s； </w:t>
      </w:r>
    </w:p>
    <w:p w14:paraId="134E8BFF">
      <w:pPr>
        <w:keepNext w:val="0"/>
        <w:keepLines w:val="0"/>
        <w:pageBreakBefore w:val="0"/>
        <w:widowControl/>
        <w:suppressLineNumbers w:val="0"/>
        <w:wordWrap/>
        <w:overflowPunct/>
        <w:topLinePunct w:val="0"/>
        <w:bidi w:val="0"/>
        <w:adjustRightInd w:val="0"/>
        <w:snapToGrid w:val="0"/>
        <w:spacing w:line="360" w:lineRule="auto"/>
        <w:ind w:firstLine="720" w:firstLineChars="3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0"/>
          <w:sz w:val="24"/>
          <w:szCs w:val="24"/>
          <w:lang w:val="en-US" w:eastAsia="zh-CN" w:bidi="ar"/>
        </w:rPr>
        <w:t xml:space="preserve">x—笛卡尔坐标系 X 向的坐标，m； </w:t>
      </w:r>
    </w:p>
    <w:p w14:paraId="175BFDA9">
      <w:pPr>
        <w:keepNext w:val="0"/>
        <w:keepLines w:val="0"/>
        <w:pageBreakBefore w:val="0"/>
        <w:widowControl/>
        <w:suppressLineNumbers w:val="0"/>
        <w:wordWrap/>
        <w:overflowPunct/>
        <w:topLinePunct w:val="0"/>
        <w:bidi w:val="0"/>
        <w:adjustRightInd w:val="0"/>
        <w:snapToGrid w:val="0"/>
        <w:spacing w:line="360" w:lineRule="auto"/>
        <w:ind w:firstLine="720" w:firstLineChars="3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0"/>
          <w:sz w:val="24"/>
          <w:szCs w:val="24"/>
          <w:lang w:val="en-US" w:eastAsia="zh-CN" w:bidi="ar"/>
        </w:rPr>
        <w:t xml:space="preserve">y—笛卡尔坐标系 Y 向的坐标，m； </w:t>
      </w:r>
    </w:p>
    <w:p w14:paraId="4F21284F">
      <w:pPr>
        <w:keepNext w:val="0"/>
        <w:keepLines w:val="0"/>
        <w:pageBreakBefore w:val="0"/>
        <w:widowControl/>
        <w:suppressLineNumbers w:val="0"/>
        <w:wordWrap/>
        <w:overflowPunct/>
        <w:topLinePunct w:val="0"/>
        <w:bidi w:val="0"/>
        <w:adjustRightInd w:val="0"/>
        <w:snapToGrid w:val="0"/>
        <w:spacing w:line="360" w:lineRule="auto"/>
        <w:ind w:firstLine="720" w:firstLineChars="3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0"/>
          <w:sz w:val="24"/>
          <w:szCs w:val="24"/>
          <w:lang w:val="en-US" w:eastAsia="zh-CN" w:bidi="ar"/>
        </w:rPr>
        <w:t xml:space="preserve">k—污染物综合衰减系数，1/s； </w:t>
      </w:r>
    </w:p>
    <w:p w14:paraId="342EB5E7">
      <w:pPr>
        <w:keepNext w:val="0"/>
        <w:keepLines w:val="0"/>
        <w:pageBreakBefore w:val="0"/>
        <w:widowControl/>
        <w:suppressLineNumbers w:val="0"/>
        <w:wordWrap/>
        <w:overflowPunct/>
        <w:topLinePunct w:val="0"/>
        <w:bidi w:val="0"/>
        <w:adjustRightInd w:val="0"/>
        <w:snapToGrid w:val="0"/>
        <w:spacing w:line="360" w:lineRule="auto"/>
        <w:ind w:firstLine="720" w:firstLineChars="3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0"/>
          <w:sz w:val="24"/>
          <w:szCs w:val="24"/>
          <w:lang w:val="en-US" w:eastAsia="zh-CN" w:bidi="ar"/>
        </w:rPr>
        <w:t>E</w:t>
      </w:r>
      <w:r>
        <w:rPr>
          <w:rFonts w:hint="default" w:ascii="Times New Roman" w:hAnsi="Times New Roman" w:eastAsia="宋体" w:cs="Times New Roman"/>
          <w:snapToGrid w:val="0"/>
          <w:color w:val="auto"/>
          <w:kern w:val="0"/>
          <w:sz w:val="24"/>
          <w:szCs w:val="24"/>
          <w:vertAlign w:val="subscript"/>
          <w:lang w:val="en-US" w:eastAsia="zh-CN" w:bidi="ar"/>
        </w:rPr>
        <w:t>y</w:t>
      </w:r>
      <w:r>
        <w:rPr>
          <w:rFonts w:hint="default" w:ascii="Times New Roman" w:hAnsi="Times New Roman" w:eastAsia="宋体" w:cs="Times New Roman"/>
          <w:snapToGrid w:val="0"/>
          <w:color w:val="auto"/>
          <w:kern w:val="0"/>
          <w:sz w:val="24"/>
          <w:szCs w:val="24"/>
          <w:lang w:val="en-US" w:eastAsia="zh-CN" w:bidi="ar"/>
        </w:rPr>
        <w:t>—污染物横向扩散系数，m</w:t>
      </w:r>
      <w:r>
        <w:rPr>
          <w:rFonts w:hint="default" w:ascii="Times New Roman" w:hAnsi="Times New Roman" w:eastAsia="宋体" w:cs="Times New Roman"/>
          <w:snapToGrid w:val="0"/>
          <w:color w:val="auto"/>
          <w:kern w:val="0"/>
          <w:sz w:val="24"/>
          <w:szCs w:val="24"/>
          <w:vertAlign w:val="superscript"/>
          <w:lang w:val="en-US" w:eastAsia="zh-CN" w:bidi="ar"/>
        </w:rPr>
        <w:t>2</w:t>
      </w:r>
      <w:r>
        <w:rPr>
          <w:rFonts w:hint="default" w:ascii="Times New Roman" w:hAnsi="Times New Roman" w:eastAsia="宋体" w:cs="Times New Roman"/>
          <w:snapToGrid w:val="0"/>
          <w:color w:val="auto"/>
          <w:kern w:val="0"/>
          <w:sz w:val="24"/>
          <w:szCs w:val="24"/>
          <w:lang w:val="en-US" w:eastAsia="zh-CN" w:bidi="ar"/>
        </w:rPr>
        <w:t xml:space="preserve">/s </w:t>
      </w:r>
    </w:p>
    <w:p w14:paraId="0DDD01C9">
      <w:pPr>
        <w:keepNext w:val="0"/>
        <w:keepLines w:val="0"/>
        <w:pageBreakBefore w:val="0"/>
        <w:widowControl/>
        <w:suppressLineNumbers w:val="0"/>
        <w:wordWrap/>
        <w:overflowPunct/>
        <w:topLinePunct w:val="0"/>
        <w:bidi w:val="0"/>
        <w:adjustRightInd w:val="0"/>
        <w:snapToGrid w:val="0"/>
        <w:spacing w:line="360" w:lineRule="auto"/>
        <w:ind w:firstLine="720" w:firstLineChars="3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0"/>
          <w:sz w:val="24"/>
          <w:szCs w:val="24"/>
          <w:lang w:val="en-US" w:eastAsia="zh-CN" w:bidi="ar"/>
        </w:rPr>
        <w:t xml:space="preserve">其中，Ey 采用泰勒（Taylor）法进行计算： </w:t>
      </w:r>
    </w:p>
    <w:p w14:paraId="361FD13B">
      <w:pPr>
        <w:keepNext w:val="0"/>
        <w:keepLines w:val="0"/>
        <w:pageBreakBefore w:val="0"/>
        <w:widowControl/>
        <w:suppressLineNumbers w:val="0"/>
        <w:wordWrap/>
        <w:overflowPunct/>
        <w:topLinePunct w:val="0"/>
        <w:bidi w:val="0"/>
        <w:adjustRightInd w:val="0"/>
        <w:snapToGrid w:val="0"/>
        <w:spacing w:line="360" w:lineRule="auto"/>
        <w:ind w:firstLine="720" w:firstLineChars="30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i/>
          <w:iCs/>
          <w:snapToGrid w:val="0"/>
          <w:color w:val="auto"/>
          <w:kern w:val="0"/>
          <w:sz w:val="24"/>
          <w:szCs w:val="24"/>
          <w:lang w:val="en-US" w:eastAsia="zh-CN" w:bidi="ar"/>
        </w:rPr>
        <w:t>Ey =</w:t>
      </w:r>
      <w:r>
        <w:rPr>
          <w:rFonts w:hint="default" w:ascii="Times New Roman" w:hAnsi="Times New Roman" w:eastAsia="宋体" w:cs="Times New Roman"/>
          <w:snapToGrid w:val="0"/>
          <w:color w:val="auto"/>
          <w:kern w:val="0"/>
          <w:sz w:val="24"/>
          <w:szCs w:val="24"/>
          <w:lang w:val="en-US" w:eastAsia="zh-CN" w:bidi="ar"/>
        </w:rPr>
        <w:t>(0.058</w:t>
      </w:r>
      <w:r>
        <w:rPr>
          <w:rFonts w:hint="default" w:ascii="Times New Roman" w:hAnsi="Times New Roman" w:eastAsia="宋体" w:cs="Times New Roman"/>
          <w:i/>
          <w:iCs/>
          <w:snapToGrid w:val="0"/>
          <w:color w:val="auto"/>
          <w:kern w:val="0"/>
          <w:sz w:val="24"/>
          <w:szCs w:val="24"/>
          <w:lang w:val="en-US" w:eastAsia="zh-CN" w:bidi="ar"/>
        </w:rPr>
        <w:t>H +</w:t>
      </w:r>
      <w:r>
        <w:rPr>
          <w:rFonts w:hint="default" w:ascii="Times New Roman" w:hAnsi="Times New Roman" w:eastAsia="宋体" w:cs="Times New Roman"/>
          <w:snapToGrid w:val="0"/>
          <w:color w:val="auto"/>
          <w:kern w:val="0"/>
          <w:sz w:val="24"/>
          <w:szCs w:val="24"/>
          <w:lang w:val="en-US" w:eastAsia="zh-CN" w:bidi="ar"/>
        </w:rPr>
        <w:t>0.0065</w:t>
      </w:r>
      <w:r>
        <w:rPr>
          <w:rFonts w:hint="default" w:ascii="Times New Roman" w:hAnsi="Times New Roman" w:eastAsia="宋体" w:cs="Times New Roman"/>
          <w:i/>
          <w:iCs/>
          <w:snapToGrid w:val="0"/>
          <w:color w:val="auto"/>
          <w:kern w:val="0"/>
          <w:sz w:val="24"/>
          <w:szCs w:val="24"/>
          <w:lang w:val="en-US" w:eastAsia="zh-CN" w:bidi="ar"/>
        </w:rPr>
        <w:t>B</w:t>
      </w:r>
      <w:r>
        <w:rPr>
          <w:rFonts w:hint="default" w:ascii="Times New Roman" w:hAnsi="Times New Roman" w:eastAsia="宋体" w:cs="Times New Roman"/>
          <w:snapToGrid w:val="0"/>
          <w:color w:val="auto"/>
          <w:kern w:val="0"/>
          <w:sz w:val="24"/>
          <w:szCs w:val="24"/>
          <w:lang w:val="en-US" w:eastAsia="zh-CN" w:bidi="ar"/>
        </w:rPr>
        <w:t>) (</w:t>
      </w:r>
      <w:r>
        <w:rPr>
          <w:rFonts w:hint="default" w:ascii="Times New Roman" w:hAnsi="Times New Roman" w:eastAsia="宋体" w:cs="Times New Roman"/>
          <w:i/>
          <w:iCs/>
          <w:snapToGrid w:val="0"/>
          <w:color w:val="auto"/>
          <w:kern w:val="0"/>
          <w:sz w:val="24"/>
          <w:szCs w:val="24"/>
          <w:lang w:val="en-US" w:eastAsia="zh-CN" w:bidi="ar"/>
        </w:rPr>
        <w:t>gHI</w:t>
      </w:r>
      <w:r>
        <w:rPr>
          <w:rFonts w:hint="default" w:ascii="Times New Roman" w:hAnsi="Times New Roman" w:eastAsia="宋体" w:cs="Times New Roman"/>
          <w:snapToGrid w:val="0"/>
          <w:color w:val="auto"/>
          <w:kern w:val="0"/>
          <w:sz w:val="24"/>
          <w:szCs w:val="24"/>
          <w:lang w:val="en-US" w:eastAsia="zh-CN" w:bidi="ar"/>
        </w:rPr>
        <w:t xml:space="preserve">) </w:t>
      </w:r>
      <w:r>
        <w:rPr>
          <w:rFonts w:hint="default" w:ascii="Times New Roman" w:hAnsi="Times New Roman" w:eastAsia="宋体" w:cs="Times New Roman"/>
          <w:snapToGrid w:val="0"/>
          <w:color w:val="auto"/>
          <w:kern w:val="0"/>
          <w:sz w:val="24"/>
          <w:szCs w:val="24"/>
          <w:vertAlign w:val="superscript"/>
          <w:lang w:val="en-US" w:eastAsia="zh-CN" w:bidi="ar"/>
        </w:rPr>
        <w:t>1/2</w:t>
      </w:r>
    </w:p>
    <w:p w14:paraId="15FF9CE3">
      <w:pPr>
        <w:keepNext w:val="0"/>
        <w:keepLines w:val="0"/>
        <w:pageBreakBefore w:val="0"/>
        <w:widowControl/>
        <w:suppressLineNumbers w:val="0"/>
        <w:wordWrap/>
        <w:overflowPunct/>
        <w:topLinePunct w:val="0"/>
        <w:bidi w:val="0"/>
        <w:adjustRightInd w:val="0"/>
        <w:snapToGrid w:val="0"/>
        <w:spacing w:line="360" w:lineRule="auto"/>
        <w:ind w:firstLine="720" w:firstLineChars="3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0"/>
          <w:sz w:val="24"/>
          <w:szCs w:val="24"/>
          <w:lang w:val="en-US" w:eastAsia="zh-CN" w:bidi="ar"/>
        </w:rPr>
        <w:t xml:space="preserve">式中：g—重力加速度，9.81m/s； </w:t>
      </w:r>
    </w:p>
    <w:p w14:paraId="2A3E8413">
      <w:pPr>
        <w:keepNext w:val="0"/>
        <w:keepLines w:val="0"/>
        <w:pageBreakBefore w:val="0"/>
        <w:widowControl/>
        <w:suppressLineNumbers w:val="0"/>
        <w:wordWrap/>
        <w:overflowPunct/>
        <w:topLinePunct w:val="0"/>
        <w:bidi w:val="0"/>
        <w:adjustRightInd w:val="0"/>
        <w:snapToGrid w:val="0"/>
        <w:spacing w:line="360" w:lineRule="auto"/>
        <w:ind w:firstLine="720" w:firstLineChars="3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0"/>
          <w:sz w:val="24"/>
          <w:szCs w:val="24"/>
          <w:lang w:val="en-US" w:eastAsia="zh-CN" w:bidi="ar"/>
        </w:rPr>
        <w:t xml:space="preserve">H—平均水深，m； </w:t>
      </w:r>
    </w:p>
    <w:p w14:paraId="465AD86F">
      <w:pPr>
        <w:keepNext w:val="0"/>
        <w:keepLines w:val="0"/>
        <w:pageBreakBefore w:val="0"/>
        <w:widowControl/>
        <w:suppressLineNumbers w:val="0"/>
        <w:wordWrap/>
        <w:overflowPunct/>
        <w:topLinePunct w:val="0"/>
        <w:bidi w:val="0"/>
        <w:adjustRightInd w:val="0"/>
        <w:snapToGrid w:val="0"/>
        <w:spacing w:line="360" w:lineRule="auto"/>
        <w:ind w:firstLine="720" w:firstLineChars="3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0"/>
          <w:sz w:val="24"/>
          <w:szCs w:val="24"/>
          <w:lang w:val="en-US" w:eastAsia="zh-CN" w:bidi="ar"/>
        </w:rPr>
        <w:t xml:space="preserve">B—水面宽度，m； </w:t>
      </w:r>
    </w:p>
    <w:p w14:paraId="1E91DDC3">
      <w:pPr>
        <w:keepNext w:val="0"/>
        <w:keepLines w:val="0"/>
        <w:pageBreakBefore w:val="0"/>
        <w:widowControl/>
        <w:suppressLineNumbers w:val="0"/>
        <w:wordWrap/>
        <w:overflowPunct/>
        <w:topLinePunct w:val="0"/>
        <w:bidi w:val="0"/>
        <w:adjustRightInd w:val="0"/>
        <w:snapToGrid w:val="0"/>
        <w:spacing w:line="360" w:lineRule="auto"/>
        <w:ind w:firstLine="720" w:firstLineChars="3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0"/>
          <w:sz w:val="24"/>
          <w:szCs w:val="24"/>
          <w:lang w:val="en-US" w:eastAsia="zh-CN" w:bidi="ar"/>
        </w:rPr>
        <w:t>I—河流坡度，‰</w:t>
      </w:r>
    </w:p>
    <w:p w14:paraId="2ECA5B37">
      <w:pPr>
        <w:keepNext w:val="0"/>
        <w:keepLines w:val="0"/>
        <w:pageBreakBefore w:val="0"/>
        <w:widowControl/>
        <w:suppressLineNumbers w:val="0"/>
        <w:wordWrap/>
        <w:overflowPunct/>
        <w:topLinePunct w:val="0"/>
        <w:bidi w:val="0"/>
        <w:adjustRightInd w:val="0"/>
        <w:snapToGrid w:val="0"/>
        <w:spacing w:line="360" w:lineRule="auto"/>
        <w:ind w:firstLine="720" w:firstLineChars="3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0"/>
          <w:sz w:val="24"/>
          <w:szCs w:val="24"/>
          <w:lang w:val="en-US" w:eastAsia="zh-CN" w:bidi="ar"/>
        </w:rPr>
        <w:t>污染混合区纵向最大长度用下式计算：</w:t>
      </w:r>
    </w:p>
    <w:p w14:paraId="46F426B5">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drawing>
          <wp:inline distT="0" distB="0" distL="114300" distR="114300">
            <wp:extent cx="1057275" cy="533400"/>
            <wp:effectExtent l="0" t="0" r="9525" b="0"/>
            <wp:docPr id="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
                    <pic:cNvPicPr>
                      <a:picLocks noChangeAspect="1"/>
                    </pic:cNvPicPr>
                  </pic:nvPicPr>
                  <pic:blipFill>
                    <a:blip r:embed="rId71"/>
                    <a:stretch>
                      <a:fillRect/>
                    </a:stretch>
                  </pic:blipFill>
                  <pic:spPr>
                    <a:xfrm>
                      <a:off x="0" y="0"/>
                      <a:ext cx="1057275" cy="533400"/>
                    </a:xfrm>
                    <a:prstGeom prst="rect">
                      <a:avLst/>
                    </a:prstGeom>
                    <a:noFill/>
                    <a:ln>
                      <a:noFill/>
                    </a:ln>
                  </pic:spPr>
                </pic:pic>
              </a:graphicData>
            </a:graphic>
          </wp:inline>
        </w:drawing>
      </w:r>
    </w:p>
    <w:p w14:paraId="6943C29C">
      <w:pPr>
        <w:keepNext w:val="0"/>
        <w:keepLines w:val="0"/>
        <w:pageBreakBefore w:val="0"/>
        <w:widowControl/>
        <w:suppressLineNumbers w:val="0"/>
        <w:wordWrap/>
        <w:overflowPunct/>
        <w:topLinePunct w:val="0"/>
        <w:bidi w:val="0"/>
        <w:adjustRightInd w:val="0"/>
        <w:snapToGrid w:val="0"/>
        <w:spacing w:line="360" w:lineRule="auto"/>
        <w:ind w:firstLine="720" w:firstLineChars="3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0"/>
          <w:sz w:val="24"/>
          <w:szCs w:val="24"/>
          <w:lang w:val="en-US" w:eastAsia="zh-CN" w:bidi="ar"/>
        </w:rPr>
        <w:t>污染混合区横向最大长度用下式计算：</w:t>
      </w:r>
    </w:p>
    <w:p w14:paraId="1943A014">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drawing>
          <wp:inline distT="0" distB="0" distL="114300" distR="114300">
            <wp:extent cx="866775" cy="466725"/>
            <wp:effectExtent l="0" t="0" r="9525" b="9525"/>
            <wp:docPr id="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
                    <pic:cNvPicPr>
                      <a:picLocks noChangeAspect="1"/>
                    </pic:cNvPicPr>
                  </pic:nvPicPr>
                  <pic:blipFill>
                    <a:blip r:embed="rId72"/>
                    <a:stretch>
                      <a:fillRect/>
                    </a:stretch>
                  </pic:blipFill>
                  <pic:spPr>
                    <a:xfrm>
                      <a:off x="0" y="0"/>
                      <a:ext cx="866775" cy="466725"/>
                    </a:xfrm>
                    <a:prstGeom prst="rect">
                      <a:avLst/>
                    </a:prstGeom>
                    <a:noFill/>
                    <a:ln>
                      <a:noFill/>
                    </a:ln>
                  </pic:spPr>
                </pic:pic>
              </a:graphicData>
            </a:graphic>
          </wp:inline>
        </w:drawing>
      </w:r>
    </w:p>
    <w:p w14:paraId="5E1EBAAA">
      <w:pPr>
        <w:keepNext w:val="0"/>
        <w:keepLines w:val="0"/>
        <w:pageBreakBefore w:val="0"/>
        <w:widowControl/>
        <w:suppressLineNumbers w:val="0"/>
        <w:wordWrap/>
        <w:overflowPunct/>
        <w:topLinePunct w:val="0"/>
        <w:bidi w:val="0"/>
        <w:adjustRightInd w:val="0"/>
        <w:snapToGrid w:val="0"/>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snapToGrid w:val="0"/>
          <w:color w:val="auto"/>
          <w:kern w:val="0"/>
          <w:sz w:val="24"/>
          <w:szCs w:val="24"/>
          <w:lang w:val="en-US" w:eastAsia="zh-CN" w:bidi="ar"/>
        </w:rPr>
        <w:t xml:space="preserve">式中：Ca——允许升高浓度，Ca=Cs-Ch，mg/L </w:t>
      </w:r>
    </w:p>
    <w:p w14:paraId="23D8525D">
      <w:pPr>
        <w:ind w:firstLine="1200" w:firstLineChars="500"/>
        <w:rPr>
          <w:rFonts w:hint="default" w:ascii="Times New Roman" w:hAnsi="Times New Roman" w:eastAsia="宋体" w:cs="Times New Roman"/>
          <w:color w:val="auto"/>
          <w:lang w:val="en-US" w:eastAsia="zh-CN"/>
        </w:rPr>
      </w:pPr>
      <w:r>
        <w:rPr>
          <w:rFonts w:hint="default" w:ascii="Times New Roman" w:hAnsi="Times New Roman" w:eastAsia="宋体" w:cs="Times New Roman"/>
          <w:snapToGrid w:val="0"/>
          <w:color w:val="auto"/>
          <w:kern w:val="0"/>
          <w:sz w:val="24"/>
          <w:szCs w:val="24"/>
          <w:lang w:val="en-US" w:eastAsia="zh-CN" w:bidi="ar"/>
        </w:rPr>
        <w:t xml:space="preserve">Cs——水功能区所执行的污染物浓度标准限值。 </w:t>
      </w:r>
    </w:p>
    <w:p w14:paraId="082EBB5E">
      <w:pPr>
        <w:pStyle w:val="8"/>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20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eastAsia" w:ascii="Times New Roman" w:hAnsi="Times New Roman" w:eastAsia="宋体" w:cs="Times New Roman"/>
          <w:snapToGrid w:val="0"/>
          <w:color w:val="auto"/>
          <w:spacing w:val="-5"/>
          <w:kern w:val="0"/>
          <w:sz w:val="24"/>
          <w:szCs w:val="24"/>
          <w:lang w:val="en-US" w:eastAsia="zh-CN" w:bidi="ar-SA"/>
        </w:rPr>
        <w:t>2</w:t>
      </w:r>
      <w:r>
        <w:rPr>
          <w:rFonts w:hint="default" w:ascii="Times New Roman" w:hAnsi="Times New Roman" w:eastAsia="宋体" w:cs="Times New Roman"/>
          <w:snapToGrid w:val="0"/>
          <w:color w:val="auto"/>
          <w:spacing w:val="-5"/>
          <w:kern w:val="0"/>
          <w:sz w:val="24"/>
          <w:szCs w:val="24"/>
          <w:lang w:val="en-US" w:eastAsia="zh-CN" w:bidi="ar-SA"/>
        </w:rPr>
        <w:t>、模型概化</w:t>
      </w:r>
    </w:p>
    <w:p w14:paraId="6244D540">
      <w:pPr>
        <w:pStyle w:val="8"/>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20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fldChar w:fldCharType="begin"/>
      </w:r>
      <w:r>
        <w:rPr>
          <w:rFonts w:hint="default" w:ascii="Times New Roman" w:hAnsi="Times New Roman" w:eastAsia="宋体" w:cs="Times New Roman"/>
          <w:snapToGrid w:val="0"/>
          <w:color w:val="auto"/>
          <w:spacing w:val="-5"/>
          <w:kern w:val="0"/>
          <w:sz w:val="24"/>
          <w:szCs w:val="24"/>
          <w:lang w:val="en-US" w:eastAsia="zh-CN" w:bidi="ar-SA"/>
        </w:rPr>
        <w:instrText xml:space="preserve"> = 1 \* GB3 \* MERGEFORMAT </w:instrText>
      </w:r>
      <w:r>
        <w:rPr>
          <w:rFonts w:hint="default" w:ascii="Times New Roman" w:hAnsi="Times New Roman" w:eastAsia="宋体" w:cs="Times New Roman"/>
          <w:snapToGrid w:val="0"/>
          <w:color w:val="auto"/>
          <w:spacing w:val="-5"/>
          <w:kern w:val="0"/>
          <w:sz w:val="24"/>
          <w:szCs w:val="24"/>
          <w:lang w:val="en-US" w:eastAsia="zh-CN" w:bidi="ar-SA"/>
        </w:rPr>
        <w:fldChar w:fldCharType="separate"/>
      </w:r>
      <w:r>
        <w:rPr>
          <w:rFonts w:hint="default" w:ascii="Times New Roman" w:hAnsi="Times New Roman" w:eastAsia="宋体" w:cs="Times New Roman"/>
          <w:snapToGrid w:val="0"/>
          <w:color w:val="auto"/>
          <w:spacing w:val="-5"/>
          <w:kern w:val="0"/>
          <w:sz w:val="24"/>
          <w:szCs w:val="24"/>
          <w:lang w:val="en-US" w:eastAsia="zh-CN" w:bidi="ar-SA"/>
        </w:rPr>
        <w:t>①</w:t>
      </w:r>
      <w:r>
        <w:rPr>
          <w:rFonts w:hint="default" w:ascii="Times New Roman" w:hAnsi="Times New Roman" w:eastAsia="宋体" w:cs="Times New Roman"/>
          <w:snapToGrid w:val="0"/>
          <w:color w:val="auto"/>
          <w:spacing w:val="-5"/>
          <w:kern w:val="0"/>
          <w:sz w:val="24"/>
          <w:szCs w:val="24"/>
          <w:lang w:val="en-US" w:eastAsia="zh-CN" w:bidi="ar-SA"/>
        </w:rPr>
        <w:fldChar w:fldCharType="end"/>
      </w:r>
      <w:r>
        <w:rPr>
          <w:rFonts w:hint="default" w:ascii="Times New Roman" w:hAnsi="Times New Roman" w:eastAsia="宋体" w:cs="Times New Roman"/>
          <w:snapToGrid w:val="0"/>
          <w:color w:val="auto"/>
          <w:spacing w:val="-5"/>
          <w:kern w:val="0"/>
          <w:sz w:val="24"/>
          <w:szCs w:val="24"/>
          <w:lang w:val="en-US" w:eastAsia="zh-CN" w:bidi="ar-SA"/>
        </w:rPr>
        <w:t>穆棱河预测河段及河口内控制断面的宽深比为60/1.1≈54.5＞20，视为矩形河段；</w:t>
      </w:r>
    </w:p>
    <w:p w14:paraId="3F6E85A0">
      <w:pPr>
        <w:pStyle w:val="8"/>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20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fldChar w:fldCharType="begin"/>
      </w:r>
      <w:r>
        <w:rPr>
          <w:rFonts w:hint="default" w:ascii="Times New Roman" w:hAnsi="Times New Roman" w:eastAsia="宋体" w:cs="Times New Roman"/>
          <w:snapToGrid w:val="0"/>
          <w:color w:val="auto"/>
          <w:spacing w:val="-5"/>
          <w:kern w:val="0"/>
          <w:sz w:val="24"/>
          <w:szCs w:val="24"/>
          <w:lang w:val="en-US" w:eastAsia="zh-CN" w:bidi="ar-SA"/>
        </w:rPr>
        <w:instrText xml:space="preserve"> = 2 \* GB3 \* MERGEFORMAT </w:instrText>
      </w:r>
      <w:r>
        <w:rPr>
          <w:rFonts w:hint="default" w:ascii="Times New Roman" w:hAnsi="Times New Roman" w:eastAsia="宋体" w:cs="Times New Roman"/>
          <w:snapToGrid w:val="0"/>
          <w:color w:val="auto"/>
          <w:spacing w:val="-5"/>
          <w:kern w:val="0"/>
          <w:sz w:val="24"/>
          <w:szCs w:val="24"/>
          <w:lang w:val="en-US" w:eastAsia="zh-CN" w:bidi="ar-SA"/>
        </w:rPr>
        <w:fldChar w:fldCharType="separate"/>
      </w:r>
      <w:r>
        <w:rPr>
          <w:rFonts w:hint="default" w:ascii="Times New Roman" w:hAnsi="Times New Roman" w:eastAsia="宋体" w:cs="Times New Roman"/>
          <w:snapToGrid w:val="0"/>
          <w:color w:val="auto"/>
          <w:spacing w:val="-5"/>
          <w:kern w:val="0"/>
          <w:sz w:val="24"/>
          <w:szCs w:val="24"/>
          <w:lang w:val="en-US" w:eastAsia="zh-CN" w:bidi="ar-SA"/>
        </w:rPr>
        <w:t>②</w:t>
      </w:r>
      <w:r>
        <w:rPr>
          <w:rFonts w:hint="default" w:ascii="Times New Roman" w:hAnsi="Times New Roman" w:eastAsia="宋体" w:cs="Times New Roman"/>
          <w:snapToGrid w:val="0"/>
          <w:color w:val="auto"/>
          <w:spacing w:val="-5"/>
          <w:kern w:val="0"/>
          <w:sz w:val="24"/>
          <w:szCs w:val="24"/>
          <w:lang w:val="en-US" w:eastAsia="zh-CN" w:bidi="ar-SA"/>
        </w:rPr>
        <w:fldChar w:fldCharType="end"/>
      </w:r>
      <w:r>
        <w:rPr>
          <w:rFonts w:hint="default" w:ascii="Times New Roman" w:hAnsi="Times New Roman" w:eastAsia="宋体" w:cs="Times New Roman"/>
          <w:snapToGrid w:val="0"/>
          <w:color w:val="auto"/>
          <w:spacing w:val="-5"/>
          <w:kern w:val="0"/>
          <w:sz w:val="24"/>
          <w:szCs w:val="24"/>
          <w:lang w:val="en-US" w:eastAsia="zh-CN" w:bidi="ar-SA"/>
        </w:rPr>
        <w:t>穆棱河预测河段弯曲系数为</w:t>
      </w:r>
      <w:r>
        <w:rPr>
          <w:rFonts w:hint="eastAsia" w:ascii="Times New Roman" w:hAnsi="Times New Roman" w:eastAsia="宋体" w:cs="Times New Roman"/>
          <w:snapToGrid w:val="0"/>
          <w:color w:val="auto"/>
          <w:spacing w:val="-5"/>
          <w:kern w:val="0"/>
          <w:sz w:val="24"/>
          <w:szCs w:val="24"/>
          <w:lang w:val="en-US" w:eastAsia="zh-CN" w:bidi="ar-SA"/>
        </w:rPr>
        <w:t>109.4</w:t>
      </w:r>
      <w:r>
        <w:rPr>
          <w:rFonts w:hint="default" w:ascii="Times New Roman" w:hAnsi="Times New Roman" w:eastAsia="宋体" w:cs="Times New Roman"/>
          <w:snapToGrid w:val="0"/>
          <w:color w:val="auto"/>
          <w:spacing w:val="-5"/>
          <w:kern w:val="0"/>
          <w:sz w:val="24"/>
          <w:szCs w:val="24"/>
          <w:lang w:val="en-US" w:eastAsia="zh-CN" w:bidi="ar-SA"/>
        </w:rPr>
        <w:t>/</w:t>
      </w:r>
      <w:r>
        <w:rPr>
          <w:rFonts w:hint="eastAsia" w:ascii="Times New Roman" w:hAnsi="Times New Roman" w:eastAsia="宋体" w:cs="Times New Roman"/>
          <w:snapToGrid w:val="0"/>
          <w:color w:val="auto"/>
          <w:spacing w:val="-5"/>
          <w:kern w:val="0"/>
          <w:sz w:val="24"/>
          <w:szCs w:val="24"/>
          <w:lang w:val="en-US" w:eastAsia="zh-CN" w:bidi="ar-SA"/>
        </w:rPr>
        <w:t>86.9</w:t>
      </w:r>
      <w:r>
        <w:rPr>
          <w:rFonts w:hint="default" w:ascii="Times New Roman" w:hAnsi="Times New Roman" w:eastAsia="宋体" w:cs="Times New Roman"/>
          <w:snapToGrid w:val="0"/>
          <w:color w:val="auto"/>
          <w:spacing w:val="-5"/>
          <w:kern w:val="0"/>
          <w:sz w:val="24"/>
          <w:szCs w:val="24"/>
          <w:lang w:val="en-US" w:eastAsia="zh-CN" w:bidi="ar-SA"/>
        </w:rPr>
        <w:t>=1.</w:t>
      </w:r>
      <w:r>
        <w:rPr>
          <w:rFonts w:hint="eastAsia" w:ascii="Times New Roman" w:hAnsi="Times New Roman" w:eastAsia="宋体" w:cs="Times New Roman"/>
          <w:snapToGrid w:val="0"/>
          <w:color w:val="auto"/>
          <w:spacing w:val="-5"/>
          <w:kern w:val="0"/>
          <w:sz w:val="24"/>
          <w:szCs w:val="24"/>
          <w:lang w:val="en-US" w:eastAsia="zh-CN" w:bidi="ar-SA"/>
        </w:rPr>
        <w:t>26</w:t>
      </w:r>
      <w:r>
        <w:rPr>
          <w:rFonts w:hint="default" w:ascii="Times New Roman" w:hAnsi="Times New Roman" w:eastAsia="宋体" w:cs="Times New Roman"/>
          <w:snapToGrid w:val="0"/>
          <w:color w:val="auto"/>
          <w:spacing w:val="-5"/>
          <w:kern w:val="0"/>
          <w:sz w:val="24"/>
          <w:szCs w:val="24"/>
          <w:lang w:val="en-US" w:eastAsia="zh-CN" w:bidi="ar-SA"/>
        </w:rPr>
        <w:t>＜1.3，可概化为平直河段。</w:t>
      </w:r>
    </w:p>
    <w:p w14:paraId="41FA6BD0">
      <w:pPr>
        <w:pStyle w:val="8"/>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20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eastAsia" w:ascii="Times New Roman" w:hAnsi="Times New Roman" w:eastAsia="宋体" w:cs="Times New Roman"/>
          <w:snapToGrid w:val="0"/>
          <w:color w:val="auto"/>
          <w:spacing w:val="-5"/>
          <w:kern w:val="0"/>
          <w:sz w:val="24"/>
          <w:szCs w:val="24"/>
          <w:lang w:val="en-US" w:eastAsia="zh-CN" w:bidi="ar-SA"/>
        </w:rPr>
        <w:t>3</w:t>
      </w:r>
      <w:r>
        <w:rPr>
          <w:rFonts w:hint="default" w:ascii="Times New Roman" w:hAnsi="Times New Roman" w:eastAsia="宋体" w:cs="Times New Roman"/>
          <w:snapToGrid w:val="0"/>
          <w:color w:val="auto"/>
          <w:spacing w:val="-5"/>
          <w:kern w:val="0"/>
          <w:sz w:val="24"/>
          <w:szCs w:val="24"/>
          <w:lang w:val="en-US" w:eastAsia="zh-CN" w:bidi="ar-SA"/>
        </w:rPr>
        <w:t>、模型水动力及水质参数确定</w:t>
      </w:r>
    </w:p>
    <w:p w14:paraId="6DCB4DEC">
      <w:pPr>
        <w:pStyle w:val="8"/>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20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fldChar w:fldCharType="begin"/>
      </w:r>
      <w:r>
        <w:rPr>
          <w:rFonts w:hint="default" w:ascii="Times New Roman" w:hAnsi="Times New Roman" w:eastAsia="宋体" w:cs="Times New Roman"/>
          <w:snapToGrid w:val="0"/>
          <w:color w:val="auto"/>
          <w:spacing w:val="-5"/>
          <w:kern w:val="0"/>
          <w:sz w:val="24"/>
          <w:szCs w:val="24"/>
          <w:lang w:val="en-US" w:eastAsia="zh-CN" w:bidi="ar-SA"/>
        </w:rPr>
        <w:instrText xml:space="preserve"> = 1 \* GB3 \* MERGEFORMAT </w:instrText>
      </w:r>
      <w:r>
        <w:rPr>
          <w:rFonts w:hint="default" w:ascii="Times New Roman" w:hAnsi="Times New Roman" w:eastAsia="宋体" w:cs="Times New Roman"/>
          <w:snapToGrid w:val="0"/>
          <w:color w:val="auto"/>
          <w:spacing w:val="-5"/>
          <w:kern w:val="0"/>
          <w:sz w:val="24"/>
          <w:szCs w:val="24"/>
          <w:lang w:val="en-US" w:eastAsia="zh-CN" w:bidi="ar-SA"/>
        </w:rPr>
        <w:fldChar w:fldCharType="separate"/>
      </w:r>
      <w:r>
        <w:rPr>
          <w:rFonts w:hint="default" w:ascii="Times New Roman" w:hAnsi="Times New Roman" w:eastAsia="宋体" w:cs="Times New Roman"/>
          <w:snapToGrid w:val="0"/>
          <w:color w:val="auto"/>
          <w:spacing w:val="-5"/>
          <w:kern w:val="0"/>
          <w:sz w:val="24"/>
          <w:szCs w:val="24"/>
          <w:lang w:val="en-US" w:eastAsia="zh-CN" w:bidi="ar-SA"/>
        </w:rPr>
        <w:t>①</w:t>
      </w:r>
      <w:r>
        <w:rPr>
          <w:rFonts w:hint="default" w:ascii="Times New Roman" w:hAnsi="Times New Roman" w:eastAsia="宋体" w:cs="Times New Roman"/>
          <w:snapToGrid w:val="0"/>
          <w:color w:val="auto"/>
          <w:spacing w:val="-5"/>
          <w:kern w:val="0"/>
          <w:sz w:val="24"/>
          <w:szCs w:val="24"/>
          <w:lang w:val="en-US" w:eastAsia="zh-CN" w:bidi="ar-SA"/>
        </w:rPr>
        <w:fldChar w:fldCharType="end"/>
      </w:r>
      <w:r>
        <w:rPr>
          <w:rFonts w:hint="default" w:ascii="Times New Roman" w:hAnsi="Times New Roman" w:eastAsia="宋体" w:cs="Times New Roman"/>
          <w:snapToGrid w:val="0"/>
          <w:color w:val="auto"/>
          <w:spacing w:val="-5"/>
          <w:kern w:val="0"/>
          <w:sz w:val="24"/>
          <w:szCs w:val="24"/>
          <w:lang w:val="en-US" w:eastAsia="zh-CN" w:bidi="ar-SA"/>
        </w:rPr>
        <w:t>水动力参数</w:t>
      </w:r>
    </w:p>
    <w:p w14:paraId="0A215042">
      <w:pPr>
        <w:jc w:val="center"/>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snapToGrid w:val="0"/>
          <w:color w:val="auto"/>
          <w:spacing w:val="-5"/>
          <w:kern w:val="0"/>
          <w:sz w:val="24"/>
          <w:szCs w:val="24"/>
          <w:lang w:val="en-US" w:eastAsia="zh-CN" w:bidi="ar-SA"/>
        </w:rPr>
        <w:t>表</w:t>
      </w:r>
      <w:r>
        <w:rPr>
          <w:rFonts w:hint="eastAsia" w:ascii="Times New Roman" w:hAnsi="Times New Roman" w:eastAsia="宋体" w:cs="Times New Roman"/>
          <w:b/>
          <w:bCs/>
          <w:snapToGrid w:val="0"/>
          <w:color w:val="auto"/>
          <w:spacing w:val="-5"/>
          <w:kern w:val="0"/>
          <w:sz w:val="24"/>
          <w:szCs w:val="24"/>
          <w:lang w:val="en-US" w:eastAsia="zh-CN" w:bidi="ar-SA"/>
        </w:rPr>
        <w:t>4-1</w:t>
      </w:r>
      <w:r>
        <w:rPr>
          <w:rFonts w:hint="default" w:ascii="Times New Roman" w:hAnsi="Times New Roman" w:eastAsia="宋体" w:cs="Times New Roman"/>
          <w:b/>
          <w:bCs/>
          <w:snapToGrid w:val="0"/>
          <w:color w:val="auto"/>
          <w:spacing w:val="-5"/>
          <w:kern w:val="0"/>
          <w:sz w:val="24"/>
          <w:szCs w:val="24"/>
          <w:lang w:val="en-US" w:eastAsia="zh-CN" w:bidi="ar-SA"/>
        </w:rPr>
        <w:t xml:space="preserve"> 河流数学模型水动力参数</w:t>
      </w:r>
    </w:p>
    <w:tbl>
      <w:tblPr>
        <w:tblStyle w:val="36"/>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314"/>
        <w:gridCol w:w="2315"/>
        <w:gridCol w:w="2318"/>
        <w:gridCol w:w="2334"/>
      </w:tblGrid>
      <w:tr w14:paraId="15F4E2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314" w:type="dxa"/>
            <w:tcBorders>
              <w:tl2br w:val="nil"/>
              <w:tr2bl w:val="nil"/>
            </w:tcBorders>
            <w:vAlign w:val="center"/>
          </w:tcPr>
          <w:p w14:paraId="362FF7D7">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r>
              <w:rPr>
                <w:rFonts w:hint="eastAsia" w:ascii="Times New Roman" w:hAnsi="Times New Roman" w:eastAsia="宋体" w:cs="Times New Roman"/>
                <w:b/>
                <w:bCs/>
                <w:color w:val="auto"/>
                <w:vertAlign w:val="baseline"/>
                <w:lang w:val="en-US" w:eastAsia="zh-CN"/>
              </w:rPr>
              <w:t>预测河段</w:t>
            </w:r>
          </w:p>
        </w:tc>
        <w:tc>
          <w:tcPr>
            <w:tcW w:w="2315" w:type="dxa"/>
            <w:tcBorders>
              <w:tl2br w:val="nil"/>
              <w:tr2bl w:val="nil"/>
            </w:tcBorders>
            <w:vAlign w:val="center"/>
          </w:tcPr>
          <w:p w14:paraId="4299D262">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b/>
                <w:bCs/>
                <w:color w:val="auto"/>
                <w:vertAlign w:val="baseline"/>
                <w:lang w:val="en-US" w:eastAsia="zh-CN"/>
              </w:rPr>
              <w:t>参数</w:t>
            </w:r>
          </w:p>
        </w:tc>
        <w:tc>
          <w:tcPr>
            <w:tcW w:w="2318" w:type="dxa"/>
            <w:tcBorders>
              <w:tl2br w:val="nil"/>
              <w:tr2bl w:val="nil"/>
            </w:tcBorders>
            <w:vAlign w:val="center"/>
          </w:tcPr>
          <w:p w14:paraId="763B6DD0">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b/>
                <w:bCs/>
                <w:color w:val="auto"/>
                <w:vertAlign w:val="baseline"/>
                <w:lang w:val="en-US" w:eastAsia="zh-CN"/>
              </w:rPr>
              <w:t>单位</w:t>
            </w:r>
          </w:p>
        </w:tc>
        <w:tc>
          <w:tcPr>
            <w:tcW w:w="2334" w:type="dxa"/>
            <w:tcBorders>
              <w:tl2br w:val="nil"/>
              <w:tr2bl w:val="nil"/>
            </w:tcBorders>
            <w:vAlign w:val="center"/>
          </w:tcPr>
          <w:p w14:paraId="1C4446AE">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b/>
                <w:bCs/>
                <w:color w:val="auto"/>
                <w:vertAlign w:val="baseline"/>
                <w:lang w:val="en-US" w:eastAsia="zh-CN"/>
              </w:rPr>
              <w:t>枯水期</w:t>
            </w:r>
          </w:p>
        </w:tc>
      </w:tr>
      <w:tr w14:paraId="5F7E1C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314" w:type="dxa"/>
            <w:vMerge w:val="restart"/>
            <w:tcBorders>
              <w:tl2br w:val="nil"/>
              <w:tr2bl w:val="nil"/>
            </w:tcBorders>
            <w:vAlign w:val="center"/>
          </w:tcPr>
          <w:p w14:paraId="0AC9310E">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r>
              <w:rPr>
                <w:rFonts w:hint="eastAsia" w:ascii="Times New Roman" w:hAnsi="Times New Roman" w:eastAsia="宋体" w:cs="Times New Roman"/>
                <w:b w:val="0"/>
                <w:bCs w:val="0"/>
                <w:color w:val="auto"/>
                <w:vertAlign w:val="baseline"/>
                <w:lang w:val="en-US" w:eastAsia="zh-CN"/>
              </w:rPr>
              <w:t>红光沟</w:t>
            </w:r>
          </w:p>
        </w:tc>
        <w:tc>
          <w:tcPr>
            <w:tcW w:w="2315" w:type="dxa"/>
            <w:tcBorders>
              <w:tl2br w:val="nil"/>
              <w:tr2bl w:val="nil"/>
            </w:tcBorders>
            <w:vAlign w:val="center"/>
          </w:tcPr>
          <w:p w14:paraId="0C077235">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color w:val="auto"/>
                <w:vertAlign w:val="baseline"/>
                <w:lang w:val="en-US" w:eastAsia="zh-CN"/>
              </w:rPr>
              <w:t>平均河宽B</w:t>
            </w:r>
          </w:p>
        </w:tc>
        <w:tc>
          <w:tcPr>
            <w:tcW w:w="2318" w:type="dxa"/>
            <w:tcBorders>
              <w:tl2br w:val="nil"/>
              <w:tr2bl w:val="nil"/>
            </w:tcBorders>
            <w:vAlign w:val="center"/>
          </w:tcPr>
          <w:p w14:paraId="74E3743E">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color w:val="auto"/>
                <w:vertAlign w:val="baseline"/>
                <w:lang w:val="en-US" w:eastAsia="zh-CN"/>
              </w:rPr>
              <w:t>m</w:t>
            </w:r>
          </w:p>
        </w:tc>
        <w:tc>
          <w:tcPr>
            <w:tcW w:w="2334" w:type="dxa"/>
            <w:tcBorders>
              <w:tl2br w:val="nil"/>
              <w:tr2bl w:val="nil"/>
            </w:tcBorders>
            <w:vAlign w:val="center"/>
          </w:tcPr>
          <w:p w14:paraId="41A6A3D9">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val="0"/>
                <w:bCs w:val="0"/>
                <w:color w:val="auto"/>
                <w:vertAlign w:val="baseline"/>
                <w:lang w:val="en-US" w:eastAsia="zh-CN"/>
              </w:rPr>
            </w:pPr>
            <w:r>
              <w:rPr>
                <w:rFonts w:hint="eastAsia" w:ascii="Times New Roman" w:hAnsi="Times New Roman" w:eastAsia="宋体" w:cs="Times New Roman"/>
                <w:b w:val="0"/>
                <w:bCs w:val="0"/>
                <w:color w:val="auto"/>
                <w:vertAlign w:val="baseline"/>
                <w:lang w:val="en-US" w:eastAsia="zh-CN"/>
              </w:rPr>
              <w:t>8</w:t>
            </w:r>
          </w:p>
        </w:tc>
      </w:tr>
      <w:tr w14:paraId="604184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314" w:type="dxa"/>
            <w:vMerge w:val="continue"/>
            <w:tcBorders>
              <w:tl2br w:val="nil"/>
              <w:tr2bl w:val="nil"/>
            </w:tcBorders>
            <w:vAlign w:val="center"/>
          </w:tcPr>
          <w:p w14:paraId="4C866A2D">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p>
        </w:tc>
        <w:tc>
          <w:tcPr>
            <w:tcW w:w="2315" w:type="dxa"/>
            <w:tcBorders>
              <w:tl2br w:val="nil"/>
              <w:tr2bl w:val="nil"/>
            </w:tcBorders>
            <w:vAlign w:val="center"/>
          </w:tcPr>
          <w:p w14:paraId="4150583D">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color w:val="auto"/>
                <w:vertAlign w:val="baseline"/>
                <w:lang w:val="en-US" w:eastAsia="zh-CN"/>
              </w:rPr>
              <w:t>排放口到岸边的距离a</w:t>
            </w:r>
          </w:p>
        </w:tc>
        <w:tc>
          <w:tcPr>
            <w:tcW w:w="2318" w:type="dxa"/>
            <w:tcBorders>
              <w:tl2br w:val="nil"/>
              <w:tr2bl w:val="nil"/>
            </w:tcBorders>
            <w:vAlign w:val="center"/>
          </w:tcPr>
          <w:p w14:paraId="7B89ACF2">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color w:val="auto"/>
                <w:vertAlign w:val="baseline"/>
                <w:lang w:val="en-US" w:eastAsia="zh-CN"/>
              </w:rPr>
              <w:t>m</w:t>
            </w:r>
          </w:p>
        </w:tc>
        <w:tc>
          <w:tcPr>
            <w:tcW w:w="2334" w:type="dxa"/>
            <w:tcBorders>
              <w:tl2br w:val="nil"/>
              <w:tr2bl w:val="nil"/>
            </w:tcBorders>
            <w:vAlign w:val="center"/>
          </w:tcPr>
          <w:p w14:paraId="26C6373A">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val="0"/>
                <w:bCs w:val="0"/>
                <w:color w:val="auto"/>
                <w:vertAlign w:val="baseline"/>
                <w:lang w:val="en-US" w:eastAsia="zh-CN"/>
              </w:rPr>
            </w:pPr>
            <w:r>
              <w:rPr>
                <w:rFonts w:hint="eastAsia" w:ascii="Times New Roman" w:hAnsi="Times New Roman" w:eastAsia="宋体" w:cs="Times New Roman"/>
                <w:b w:val="0"/>
                <w:bCs w:val="0"/>
                <w:color w:val="auto"/>
                <w:vertAlign w:val="baseline"/>
                <w:lang w:val="en-US" w:eastAsia="zh-CN"/>
              </w:rPr>
              <w:t>0</w:t>
            </w:r>
          </w:p>
        </w:tc>
      </w:tr>
      <w:tr w14:paraId="229285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314" w:type="dxa"/>
            <w:vMerge w:val="continue"/>
            <w:tcBorders>
              <w:tl2br w:val="nil"/>
              <w:tr2bl w:val="nil"/>
            </w:tcBorders>
            <w:vAlign w:val="center"/>
          </w:tcPr>
          <w:p w14:paraId="0414A4C0">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p>
        </w:tc>
        <w:tc>
          <w:tcPr>
            <w:tcW w:w="2315" w:type="dxa"/>
            <w:tcBorders>
              <w:tl2br w:val="nil"/>
              <w:tr2bl w:val="nil"/>
            </w:tcBorders>
            <w:vAlign w:val="center"/>
          </w:tcPr>
          <w:p w14:paraId="33FEE2A0">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color w:val="auto"/>
                <w:vertAlign w:val="baseline"/>
                <w:lang w:val="en-US" w:eastAsia="zh-CN"/>
              </w:rPr>
              <w:t>平均水深H</w:t>
            </w:r>
          </w:p>
        </w:tc>
        <w:tc>
          <w:tcPr>
            <w:tcW w:w="2318" w:type="dxa"/>
            <w:tcBorders>
              <w:tl2br w:val="nil"/>
              <w:tr2bl w:val="nil"/>
            </w:tcBorders>
            <w:vAlign w:val="center"/>
          </w:tcPr>
          <w:p w14:paraId="11D36033">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color w:val="auto"/>
                <w:vertAlign w:val="baseline"/>
                <w:lang w:val="en-US" w:eastAsia="zh-CN"/>
              </w:rPr>
              <w:t>m</w:t>
            </w:r>
          </w:p>
        </w:tc>
        <w:tc>
          <w:tcPr>
            <w:tcW w:w="2334" w:type="dxa"/>
            <w:tcBorders>
              <w:tl2br w:val="nil"/>
              <w:tr2bl w:val="nil"/>
            </w:tcBorders>
            <w:vAlign w:val="center"/>
          </w:tcPr>
          <w:p w14:paraId="38C5AD9D">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r>
              <w:rPr>
                <w:rFonts w:hint="eastAsia" w:ascii="Times New Roman" w:hAnsi="Times New Roman" w:eastAsia="宋体" w:cs="Times New Roman"/>
                <w:b w:val="0"/>
                <w:bCs w:val="0"/>
                <w:color w:val="auto"/>
                <w:vertAlign w:val="baseline"/>
                <w:lang w:val="en-US" w:eastAsia="zh-CN"/>
              </w:rPr>
              <w:t>0.1</w:t>
            </w:r>
          </w:p>
        </w:tc>
      </w:tr>
      <w:tr w14:paraId="0A1A69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314" w:type="dxa"/>
            <w:vMerge w:val="continue"/>
            <w:tcBorders>
              <w:tl2br w:val="nil"/>
              <w:tr2bl w:val="nil"/>
            </w:tcBorders>
            <w:vAlign w:val="center"/>
          </w:tcPr>
          <w:p w14:paraId="0083C48A">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p>
        </w:tc>
        <w:tc>
          <w:tcPr>
            <w:tcW w:w="2315" w:type="dxa"/>
            <w:tcBorders>
              <w:tl2br w:val="nil"/>
              <w:tr2bl w:val="nil"/>
            </w:tcBorders>
            <w:vAlign w:val="center"/>
          </w:tcPr>
          <w:p w14:paraId="2E0CB895">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color w:val="auto"/>
                <w:vertAlign w:val="baseline"/>
                <w:lang w:val="en-US" w:eastAsia="zh-CN"/>
              </w:rPr>
              <w:t>平均流速u</w:t>
            </w:r>
          </w:p>
        </w:tc>
        <w:tc>
          <w:tcPr>
            <w:tcW w:w="2318" w:type="dxa"/>
            <w:tcBorders>
              <w:tl2br w:val="nil"/>
              <w:tr2bl w:val="nil"/>
            </w:tcBorders>
            <w:vAlign w:val="center"/>
          </w:tcPr>
          <w:p w14:paraId="61FD9C31">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color w:val="auto"/>
                <w:vertAlign w:val="baseline"/>
                <w:lang w:val="en-US" w:eastAsia="zh-CN"/>
              </w:rPr>
              <w:t>m/s</w:t>
            </w:r>
          </w:p>
        </w:tc>
        <w:tc>
          <w:tcPr>
            <w:tcW w:w="2334" w:type="dxa"/>
            <w:tcBorders>
              <w:tl2br w:val="nil"/>
              <w:tr2bl w:val="nil"/>
            </w:tcBorders>
            <w:vAlign w:val="center"/>
          </w:tcPr>
          <w:p w14:paraId="56E54F1B">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r>
              <w:rPr>
                <w:rFonts w:hint="eastAsia" w:ascii="Times New Roman" w:hAnsi="Times New Roman" w:eastAsia="宋体" w:cs="Times New Roman"/>
                <w:b w:val="0"/>
                <w:bCs w:val="0"/>
                <w:color w:val="auto"/>
                <w:vertAlign w:val="baseline"/>
                <w:lang w:val="en-US" w:eastAsia="zh-CN"/>
              </w:rPr>
              <w:t>0.1</w:t>
            </w:r>
          </w:p>
        </w:tc>
      </w:tr>
      <w:tr w14:paraId="741EDD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314" w:type="dxa"/>
            <w:vMerge w:val="continue"/>
            <w:tcBorders>
              <w:tl2br w:val="nil"/>
              <w:tr2bl w:val="nil"/>
            </w:tcBorders>
            <w:vAlign w:val="center"/>
          </w:tcPr>
          <w:p w14:paraId="3C35C927">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p>
        </w:tc>
        <w:tc>
          <w:tcPr>
            <w:tcW w:w="2315" w:type="dxa"/>
            <w:tcBorders>
              <w:tl2br w:val="nil"/>
              <w:tr2bl w:val="nil"/>
            </w:tcBorders>
            <w:vAlign w:val="center"/>
          </w:tcPr>
          <w:p w14:paraId="43822992">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eastAsia" w:ascii="Times New Roman" w:hAnsi="Times New Roman" w:eastAsia="宋体" w:cs="Times New Roman"/>
                <w:color w:val="auto"/>
                <w:vertAlign w:val="baseline"/>
                <w:lang w:val="en-US" w:eastAsia="zh-CN"/>
              </w:rPr>
              <w:t>水力坡度</w:t>
            </w:r>
          </w:p>
        </w:tc>
        <w:tc>
          <w:tcPr>
            <w:tcW w:w="2318" w:type="dxa"/>
            <w:tcBorders>
              <w:tl2br w:val="nil"/>
              <w:tr2bl w:val="nil"/>
            </w:tcBorders>
            <w:vAlign w:val="center"/>
          </w:tcPr>
          <w:p w14:paraId="7157587B">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eastAsia" w:ascii="Times New Roman" w:hAnsi="Times New Roman" w:eastAsia="宋体" w:cs="Times New Roman"/>
                <w:color w:val="auto"/>
                <w:vertAlign w:val="baseline"/>
                <w:lang w:val="en-US" w:eastAsia="zh-CN"/>
              </w:rPr>
              <w:t>/</w:t>
            </w:r>
          </w:p>
        </w:tc>
        <w:tc>
          <w:tcPr>
            <w:tcW w:w="2334" w:type="dxa"/>
            <w:tcBorders>
              <w:tl2br w:val="nil"/>
              <w:tr2bl w:val="nil"/>
            </w:tcBorders>
            <w:vAlign w:val="center"/>
          </w:tcPr>
          <w:p w14:paraId="6CF5FC99">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val="0"/>
                <w:bCs w:val="0"/>
                <w:color w:val="auto"/>
                <w:vertAlign w:val="baseline"/>
                <w:lang w:val="en-US" w:eastAsia="zh-CN"/>
              </w:rPr>
            </w:pPr>
            <w:r>
              <w:rPr>
                <w:rFonts w:hint="eastAsia" w:ascii="Times New Roman" w:hAnsi="Times New Roman" w:eastAsia="宋体" w:cs="Times New Roman"/>
                <w:b w:val="0"/>
                <w:bCs w:val="0"/>
                <w:color w:val="auto"/>
                <w:vertAlign w:val="baseline"/>
                <w:lang w:val="en-US" w:eastAsia="zh-CN"/>
              </w:rPr>
              <w:t>0.8‰</w:t>
            </w:r>
          </w:p>
        </w:tc>
      </w:tr>
      <w:tr w14:paraId="409CD0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2314" w:type="dxa"/>
            <w:vMerge w:val="restart"/>
            <w:tcBorders>
              <w:tl2br w:val="nil"/>
              <w:tr2bl w:val="nil"/>
            </w:tcBorders>
            <w:vAlign w:val="center"/>
          </w:tcPr>
          <w:p w14:paraId="0DA611F6">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eastAsia" w:ascii="Times New Roman" w:hAnsi="Times New Roman" w:eastAsia="宋体" w:cs="Times New Roman"/>
                <w:color w:val="auto"/>
                <w:vertAlign w:val="baseline"/>
                <w:lang w:val="en-US" w:eastAsia="zh-CN"/>
              </w:rPr>
              <w:t>穆棱河</w:t>
            </w:r>
          </w:p>
        </w:tc>
        <w:tc>
          <w:tcPr>
            <w:tcW w:w="2315" w:type="dxa"/>
            <w:tcBorders>
              <w:tl2br w:val="nil"/>
              <w:tr2bl w:val="nil"/>
            </w:tcBorders>
            <w:vAlign w:val="center"/>
          </w:tcPr>
          <w:p w14:paraId="5A9FBE08">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平均河宽B</w:t>
            </w:r>
          </w:p>
        </w:tc>
        <w:tc>
          <w:tcPr>
            <w:tcW w:w="2318" w:type="dxa"/>
            <w:tcBorders>
              <w:tl2br w:val="nil"/>
              <w:tr2bl w:val="nil"/>
            </w:tcBorders>
            <w:vAlign w:val="center"/>
          </w:tcPr>
          <w:p w14:paraId="7D72CA89">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vertAlign w:val="baseline"/>
                <w:lang w:val="en-US" w:eastAsia="zh-CN"/>
              </w:rPr>
              <w:t>m</w:t>
            </w:r>
          </w:p>
        </w:tc>
        <w:tc>
          <w:tcPr>
            <w:tcW w:w="2334" w:type="dxa"/>
            <w:tcBorders>
              <w:tl2br w:val="nil"/>
              <w:tr2bl w:val="nil"/>
            </w:tcBorders>
            <w:vAlign w:val="center"/>
          </w:tcPr>
          <w:p w14:paraId="39DAC0F4">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60</w:t>
            </w:r>
          </w:p>
        </w:tc>
      </w:tr>
      <w:tr w14:paraId="7196AC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2314" w:type="dxa"/>
            <w:vMerge w:val="continue"/>
            <w:tcBorders>
              <w:tl2br w:val="nil"/>
              <w:tr2bl w:val="nil"/>
            </w:tcBorders>
            <w:vAlign w:val="center"/>
          </w:tcPr>
          <w:p w14:paraId="0CB0F552">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p>
        </w:tc>
        <w:tc>
          <w:tcPr>
            <w:tcW w:w="2315" w:type="dxa"/>
            <w:tcBorders>
              <w:tl2br w:val="nil"/>
              <w:tr2bl w:val="nil"/>
            </w:tcBorders>
            <w:vAlign w:val="center"/>
          </w:tcPr>
          <w:p w14:paraId="4D0227C4">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排放口到岸边的距离a</w:t>
            </w:r>
          </w:p>
        </w:tc>
        <w:tc>
          <w:tcPr>
            <w:tcW w:w="2318" w:type="dxa"/>
            <w:tcBorders>
              <w:tl2br w:val="nil"/>
              <w:tr2bl w:val="nil"/>
            </w:tcBorders>
            <w:vAlign w:val="center"/>
          </w:tcPr>
          <w:p w14:paraId="54C710D0">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m</w:t>
            </w:r>
          </w:p>
        </w:tc>
        <w:tc>
          <w:tcPr>
            <w:tcW w:w="2334" w:type="dxa"/>
            <w:tcBorders>
              <w:tl2br w:val="nil"/>
              <w:tr2bl w:val="nil"/>
            </w:tcBorders>
            <w:vAlign w:val="center"/>
          </w:tcPr>
          <w:p w14:paraId="221AF059">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0</w:t>
            </w:r>
          </w:p>
        </w:tc>
      </w:tr>
      <w:tr w14:paraId="069EE9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2314" w:type="dxa"/>
            <w:vMerge w:val="continue"/>
            <w:tcBorders>
              <w:tl2br w:val="nil"/>
              <w:tr2bl w:val="nil"/>
            </w:tcBorders>
            <w:vAlign w:val="center"/>
          </w:tcPr>
          <w:p w14:paraId="5F0FB4B7">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p>
        </w:tc>
        <w:tc>
          <w:tcPr>
            <w:tcW w:w="2315" w:type="dxa"/>
            <w:tcBorders>
              <w:tl2br w:val="nil"/>
              <w:tr2bl w:val="nil"/>
            </w:tcBorders>
            <w:vAlign w:val="center"/>
          </w:tcPr>
          <w:p w14:paraId="509A28FC">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vertAlign w:val="baseline"/>
                <w:lang w:val="en-US" w:eastAsia="zh-CN"/>
              </w:rPr>
              <w:t>平均水深H</w:t>
            </w:r>
          </w:p>
        </w:tc>
        <w:tc>
          <w:tcPr>
            <w:tcW w:w="2318" w:type="dxa"/>
            <w:tcBorders>
              <w:tl2br w:val="nil"/>
              <w:tr2bl w:val="nil"/>
            </w:tcBorders>
            <w:vAlign w:val="center"/>
          </w:tcPr>
          <w:p w14:paraId="0FC43218">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m</w:t>
            </w:r>
          </w:p>
        </w:tc>
        <w:tc>
          <w:tcPr>
            <w:tcW w:w="2334" w:type="dxa"/>
            <w:tcBorders>
              <w:tl2br w:val="nil"/>
              <w:tr2bl w:val="nil"/>
            </w:tcBorders>
            <w:vAlign w:val="center"/>
          </w:tcPr>
          <w:p w14:paraId="5629355E">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1.1</w:t>
            </w:r>
          </w:p>
        </w:tc>
      </w:tr>
      <w:tr w14:paraId="5A688F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314" w:type="dxa"/>
            <w:vMerge w:val="continue"/>
            <w:tcBorders>
              <w:tl2br w:val="nil"/>
              <w:tr2bl w:val="nil"/>
            </w:tcBorders>
            <w:vAlign w:val="center"/>
          </w:tcPr>
          <w:p w14:paraId="319F5948">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p>
        </w:tc>
        <w:tc>
          <w:tcPr>
            <w:tcW w:w="2315" w:type="dxa"/>
            <w:tcBorders>
              <w:tl2br w:val="nil"/>
              <w:tr2bl w:val="nil"/>
            </w:tcBorders>
            <w:vAlign w:val="center"/>
          </w:tcPr>
          <w:p w14:paraId="005FEAB5">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平均流速u</w:t>
            </w:r>
          </w:p>
        </w:tc>
        <w:tc>
          <w:tcPr>
            <w:tcW w:w="2318" w:type="dxa"/>
            <w:tcBorders>
              <w:tl2br w:val="nil"/>
              <w:tr2bl w:val="nil"/>
            </w:tcBorders>
            <w:vAlign w:val="center"/>
          </w:tcPr>
          <w:p w14:paraId="750B2B52">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m/s</w:t>
            </w:r>
          </w:p>
        </w:tc>
        <w:tc>
          <w:tcPr>
            <w:tcW w:w="2334" w:type="dxa"/>
            <w:tcBorders>
              <w:tl2br w:val="nil"/>
              <w:tr2bl w:val="nil"/>
            </w:tcBorders>
            <w:vAlign w:val="center"/>
          </w:tcPr>
          <w:p w14:paraId="1F474806">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0.</w:t>
            </w:r>
            <w:r>
              <w:rPr>
                <w:rFonts w:hint="eastAsia" w:ascii="Times New Roman" w:hAnsi="Times New Roman" w:eastAsia="宋体" w:cs="Times New Roman"/>
                <w:color w:val="auto"/>
                <w:vertAlign w:val="baseline"/>
                <w:lang w:val="en-US" w:eastAsia="zh-CN"/>
              </w:rPr>
              <w:t>4</w:t>
            </w:r>
          </w:p>
        </w:tc>
      </w:tr>
      <w:tr w14:paraId="53B738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314" w:type="dxa"/>
            <w:vMerge w:val="continue"/>
            <w:tcBorders>
              <w:tl2br w:val="nil"/>
              <w:tr2bl w:val="nil"/>
            </w:tcBorders>
            <w:vAlign w:val="center"/>
          </w:tcPr>
          <w:p w14:paraId="16AD3D23">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p>
        </w:tc>
        <w:tc>
          <w:tcPr>
            <w:tcW w:w="2315" w:type="dxa"/>
            <w:tcBorders>
              <w:tl2br w:val="nil"/>
              <w:tr2bl w:val="nil"/>
            </w:tcBorders>
            <w:vAlign w:val="center"/>
          </w:tcPr>
          <w:p w14:paraId="5673F36A">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eastAsia" w:ascii="Times New Roman" w:hAnsi="Times New Roman" w:eastAsia="宋体" w:cs="Times New Roman"/>
                <w:color w:val="auto"/>
                <w:vertAlign w:val="baseline"/>
                <w:lang w:val="en-US" w:eastAsia="zh-CN"/>
              </w:rPr>
              <w:t>水力坡度</w:t>
            </w:r>
          </w:p>
        </w:tc>
        <w:tc>
          <w:tcPr>
            <w:tcW w:w="2318" w:type="dxa"/>
            <w:tcBorders>
              <w:tl2br w:val="nil"/>
              <w:tr2bl w:val="nil"/>
            </w:tcBorders>
            <w:vAlign w:val="center"/>
          </w:tcPr>
          <w:p w14:paraId="388499CE">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eastAsia" w:ascii="Times New Roman" w:hAnsi="Times New Roman" w:eastAsia="宋体" w:cs="Times New Roman"/>
                <w:color w:val="auto"/>
                <w:vertAlign w:val="baseline"/>
                <w:lang w:val="en-US" w:eastAsia="zh-CN"/>
              </w:rPr>
              <w:t>/</w:t>
            </w:r>
          </w:p>
        </w:tc>
        <w:tc>
          <w:tcPr>
            <w:tcW w:w="2334" w:type="dxa"/>
            <w:tcBorders>
              <w:tl2br w:val="nil"/>
              <w:tr2bl w:val="nil"/>
            </w:tcBorders>
            <w:vAlign w:val="center"/>
          </w:tcPr>
          <w:p w14:paraId="34EFE0D6">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eastAsia" w:ascii="Times New Roman" w:hAnsi="Times New Roman" w:eastAsia="宋体" w:cs="Times New Roman"/>
                <w:b w:val="0"/>
                <w:bCs w:val="0"/>
                <w:color w:val="auto"/>
                <w:vertAlign w:val="baseline"/>
                <w:lang w:val="en-US" w:eastAsia="zh-CN"/>
              </w:rPr>
              <w:t>1‰</w:t>
            </w:r>
          </w:p>
        </w:tc>
      </w:tr>
    </w:tbl>
    <w:p w14:paraId="6E6B8595">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fldChar w:fldCharType="begin"/>
      </w:r>
      <w:r>
        <w:rPr>
          <w:rFonts w:hint="default" w:ascii="Times New Roman" w:hAnsi="Times New Roman" w:eastAsia="宋体" w:cs="Times New Roman"/>
          <w:snapToGrid w:val="0"/>
          <w:color w:val="auto"/>
          <w:spacing w:val="-5"/>
          <w:kern w:val="0"/>
          <w:sz w:val="24"/>
          <w:szCs w:val="24"/>
          <w:lang w:val="en-US" w:eastAsia="zh-CN" w:bidi="ar-SA"/>
        </w:rPr>
        <w:instrText xml:space="preserve"> = 2 \* GB3 \* MERGEFORMAT </w:instrText>
      </w:r>
      <w:r>
        <w:rPr>
          <w:rFonts w:hint="default" w:ascii="Times New Roman" w:hAnsi="Times New Roman" w:eastAsia="宋体" w:cs="Times New Roman"/>
          <w:snapToGrid w:val="0"/>
          <w:color w:val="auto"/>
          <w:spacing w:val="-5"/>
          <w:kern w:val="0"/>
          <w:sz w:val="24"/>
          <w:szCs w:val="24"/>
          <w:lang w:val="en-US" w:eastAsia="zh-CN" w:bidi="ar-SA"/>
        </w:rPr>
        <w:fldChar w:fldCharType="separate"/>
      </w:r>
      <w:r>
        <w:rPr>
          <w:rFonts w:hint="default" w:ascii="Times New Roman" w:hAnsi="Times New Roman" w:eastAsia="宋体" w:cs="Times New Roman"/>
          <w:snapToGrid w:val="0"/>
          <w:color w:val="auto"/>
          <w:spacing w:val="-5"/>
          <w:kern w:val="0"/>
          <w:sz w:val="24"/>
          <w:szCs w:val="24"/>
          <w:lang w:val="en-US" w:eastAsia="zh-CN" w:bidi="ar-SA"/>
        </w:rPr>
        <w:t>②</w:t>
      </w:r>
      <w:r>
        <w:rPr>
          <w:rFonts w:hint="default" w:ascii="Times New Roman" w:hAnsi="Times New Roman" w:eastAsia="宋体" w:cs="Times New Roman"/>
          <w:snapToGrid w:val="0"/>
          <w:color w:val="auto"/>
          <w:spacing w:val="-5"/>
          <w:kern w:val="0"/>
          <w:sz w:val="24"/>
          <w:szCs w:val="24"/>
          <w:lang w:val="en-US" w:eastAsia="zh-CN" w:bidi="ar-SA"/>
        </w:rPr>
        <w:fldChar w:fldCharType="end"/>
      </w:r>
      <w:r>
        <w:rPr>
          <w:rFonts w:hint="default" w:ascii="Times New Roman" w:hAnsi="Times New Roman" w:eastAsia="宋体" w:cs="Times New Roman"/>
          <w:snapToGrid w:val="0"/>
          <w:color w:val="auto"/>
          <w:spacing w:val="-5"/>
          <w:kern w:val="0"/>
          <w:sz w:val="24"/>
          <w:szCs w:val="24"/>
          <w:lang w:val="en-US" w:eastAsia="zh-CN" w:bidi="ar-SA"/>
        </w:rPr>
        <w:t>水质参数</w:t>
      </w:r>
    </w:p>
    <w:p w14:paraId="0A94E3C8">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eastAsia" w:ascii="Times New Roman" w:hAnsi="Times New Roman" w:eastAsia="宋体" w:cs="Times New Roman"/>
          <w:snapToGrid w:val="0"/>
          <w:color w:val="auto"/>
          <w:spacing w:val="-5"/>
          <w:kern w:val="0"/>
          <w:sz w:val="24"/>
          <w:szCs w:val="24"/>
          <w:lang w:val="en-US" w:eastAsia="zh-CN" w:bidi="ar-SA"/>
        </w:rPr>
      </w:pPr>
      <w:r>
        <w:rPr>
          <w:rFonts w:hint="eastAsia" w:ascii="Times New Roman" w:hAnsi="Times New Roman" w:eastAsia="宋体" w:cs="Times New Roman"/>
          <w:snapToGrid w:val="0"/>
          <w:color w:val="auto"/>
          <w:spacing w:val="-5"/>
          <w:kern w:val="0"/>
          <w:sz w:val="24"/>
          <w:szCs w:val="24"/>
          <w:lang w:val="en-US" w:eastAsia="zh-CN" w:bidi="ar-SA"/>
        </w:rPr>
        <w:t>纵向衰减系数Ex根据《水域纳污能力计算规程》（GB/T25173-2010）中的爱尔德公式计算：</w:t>
      </w:r>
    </w:p>
    <w:p w14:paraId="2AEE0920">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default" w:ascii="Times New Roman" w:hAnsi="Times New Roman" w:eastAsia="宋体" w:cs="Times New Roman"/>
          <w:snapToGrid w:val="0"/>
          <w:color w:val="auto"/>
          <w:spacing w:val="-5"/>
          <w:kern w:val="0"/>
          <w:sz w:val="24"/>
          <w:szCs w:val="24"/>
          <w:lang w:val="en-US" w:eastAsia="zh-CN" w:bidi="ar-SA"/>
        </w:rPr>
      </w:pPr>
      <m:oMathPara>
        <m:oMath>
          <m:sSub>
            <m:sSubPr>
              <m:ctrlPr>
                <w:rPr>
                  <w:rFonts w:hint="default" w:ascii="Cambria Math" w:hAnsi="Cambria Math" w:cs="Times New Roman"/>
                  <w:i/>
                  <w:snapToGrid w:val="0"/>
                  <w:color w:val="auto"/>
                  <w:spacing w:val="-5"/>
                  <w:kern w:val="0"/>
                  <w:sz w:val="24"/>
                  <w:szCs w:val="24"/>
                  <w:lang w:val="en-US" w:bidi="ar-SA"/>
                </w:rPr>
              </m:ctrlPr>
            </m:sSubPr>
            <m:e>
              <m:r>
                <m:rPr>
                  <m:nor/>
                </m:rPr>
                <w:rPr>
                  <w:rFonts w:hint="default" w:ascii="Times New Roman" w:hAnsi="Times New Roman" w:eastAsia="宋体" w:cs="Times New Roman"/>
                  <w:i/>
                  <w:snapToGrid w:val="0"/>
                  <w:color w:val="auto"/>
                  <w:spacing w:val="-5"/>
                  <w:kern w:val="0"/>
                  <w:sz w:val="24"/>
                  <w:szCs w:val="24"/>
                  <w:lang w:val="en-US" w:eastAsia="zh-CN" w:bidi="ar-SA"/>
                </w:rPr>
                <m:t>E</m:t>
              </m:r>
              <m:ctrlPr>
                <w:rPr>
                  <w:rFonts w:hint="default" w:ascii="Cambria Math" w:hAnsi="Cambria Math" w:cs="Times New Roman"/>
                  <w:i/>
                  <w:snapToGrid w:val="0"/>
                  <w:color w:val="auto"/>
                  <w:spacing w:val="-5"/>
                  <w:kern w:val="0"/>
                  <w:sz w:val="24"/>
                  <w:szCs w:val="24"/>
                  <w:lang w:val="en-US" w:bidi="ar-SA"/>
                </w:rPr>
              </m:ctrlPr>
            </m:e>
            <m:sub>
              <m:r>
                <m:rPr>
                  <m:nor/>
                </m:rPr>
                <w:rPr>
                  <w:rFonts w:hint="default" w:ascii="Times New Roman" w:hAnsi="Times New Roman" w:eastAsia="宋体" w:cs="Times New Roman"/>
                  <w:i/>
                  <w:snapToGrid w:val="0"/>
                  <w:color w:val="auto"/>
                  <w:spacing w:val="-5"/>
                  <w:kern w:val="0"/>
                  <w:sz w:val="24"/>
                  <w:szCs w:val="24"/>
                  <w:lang w:val="en-US" w:eastAsia="zh-CN" w:bidi="ar-SA"/>
                </w:rPr>
                <m:t>x</m:t>
              </m:r>
              <m:ctrlPr>
                <w:rPr>
                  <w:rFonts w:hint="default" w:ascii="Cambria Math" w:hAnsi="Cambria Math" w:cs="Times New Roman"/>
                  <w:i/>
                  <w:snapToGrid w:val="0"/>
                  <w:color w:val="auto"/>
                  <w:spacing w:val="-5"/>
                  <w:kern w:val="0"/>
                  <w:sz w:val="24"/>
                  <w:szCs w:val="24"/>
                  <w:lang w:val="en-US" w:bidi="ar-SA"/>
                </w:rPr>
              </m:ctrlPr>
            </m:sub>
          </m:sSub>
          <m:r>
            <m:rPr>
              <m:nor/>
              <m:sty m:val="p"/>
            </m:rPr>
            <w:rPr>
              <w:rFonts w:hint="default" w:ascii="Times New Roman" w:hAnsi="Times New Roman" w:eastAsia="宋体" w:cs="Times New Roman"/>
              <w:b w:val="0"/>
              <w:i w:val="0"/>
              <w:snapToGrid w:val="0"/>
              <w:color w:val="auto"/>
              <w:spacing w:val="-5"/>
              <w:kern w:val="0"/>
              <w:sz w:val="24"/>
              <w:szCs w:val="24"/>
              <w:lang w:val="en-US" w:eastAsia="zh-CN" w:bidi="ar-SA"/>
            </w:rPr>
            <m:t>=5.93</m:t>
          </m:r>
          <m:r>
            <m:rPr>
              <m:nor/>
            </m:rPr>
            <w:rPr>
              <w:rFonts w:hint="default" w:ascii="Times New Roman" w:hAnsi="Times New Roman" w:eastAsia="宋体" w:cs="Times New Roman"/>
              <w:i/>
              <w:snapToGrid w:val="0"/>
              <w:color w:val="auto"/>
              <w:spacing w:val="-5"/>
              <w:kern w:val="0"/>
              <w:sz w:val="24"/>
              <w:szCs w:val="24"/>
              <w:lang w:val="en-US" w:eastAsia="zh-CN" w:bidi="ar-SA"/>
            </w:rPr>
            <m:t>H</m:t>
          </m:r>
          <m:rad>
            <m:radPr>
              <m:degHide m:val="1"/>
              <m:ctrlPr>
                <w:rPr>
                  <w:rFonts w:hint="default" w:ascii="Cambria Math" w:hAnsi="Cambria Math" w:eastAsia="宋体" w:cs="Times New Roman"/>
                  <w:i/>
                  <w:snapToGrid w:val="0"/>
                  <w:color w:val="auto"/>
                  <w:spacing w:val="-5"/>
                  <w:kern w:val="0"/>
                  <w:sz w:val="24"/>
                  <w:szCs w:val="24"/>
                  <w:lang w:val="en-US" w:eastAsia="zh-CN" w:bidi="ar-SA"/>
                </w:rPr>
              </m:ctrlPr>
            </m:radPr>
            <m:deg>
              <m:ctrlPr>
                <w:rPr>
                  <w:rFonts w:hint="default" w:ascii="Cambria Math" w:hAnsi="Cambria Math" w:eastAsia="宋体" w:cs="Times New Roman"/>
                  <w:i/>
                  <w:snapToGrid w:val="0"/>
                  <w:color w:val="auto"/>
                  <w:spacing w:val="-5"/>
                  <w:kern w:val="0"/>
                  <w:sz w:val="24"/>
                  <w:szCs w:val="24"/>
                  <w:lang w:val="en-US" w:eastAsia="zh-CN" w:bidi="ar-SA"/>
                </w:rPr>
              </m:ctrlPr>
            </m:deg>
            <m:e>
              <m:r>
                <m:rPr>
                  <m:nor/>
                </m:rPr>
                <w:rPr>
                  <w:rFonts w:hint="default" w:ascii="Times New Roman" w:hAnsi="Times New Roman" w:eastAsia="宋体" w:cs="Times New Roman"/>
                  <w:i/>
                  <w:snapToGrid w:val="0"/>
                  <w:color w:val="auto"/>
                  <w:spacing w:val="-5"/>
                  <w:kern w:val="0"/>
                  <w:sz w:val="24"/>
                  <w:szCs w:val="24"/>
                  <w:lang w:val="en-US" w:eastAsia="zh-CN" w:bidi="ar-SA"/>
                </w:rPr>
                <m:t>gHJ</m:t>
              </m:r>
              <m:ctrlPr>
                <w:rPr>
                  <w:rFonts w:hint="default" w:ascii="Cambria Math" w:hAnsi="Cambria Math" w:eastAsia="宋体" w:cs="Times New Roman"/>
                  <w:i/>
                  <w:snapToGrid w:val="0"/>
                  <w:color w:val="auto"/>
                  <w:spacing w:val="-5"/>
                  <w:kern w:val="0"/>
                  <w:sz w:val="24"/>
                  <w:szCs w:val="24"/>
                  <w:lang w:val="en-US" w:eastAsia="zh-CN" w:bidi="ar-SA"/>
                </w:rPr>
              </m:ctrlPr>
            </m:e>
          </m:rad>
        </m:oMath>
      </m:oMathPara>
    </w:p>
    <w:p w14:paraId="1B144C2C">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eastAsia" w:ascii="Times New Roman" w:hAnsi="Times New Roman" w:eastAsia="宋体" w:cs="Times New Roman"/>
          <w:snapToGrid w:val="0"/>
          <w:color w:val="auto"/>
          <w:spacing w:val="-5"/>
          <w:kern w:val="0"/>
          <w:sz w:val="24"/>
          <w:szCs w:val="24"/>
          <w:lang w:val="en-US" w:eastAsia="zh-CN" w:bidi="ar-SA"/>
        </w:rPr>
      </w:pPr>
      <w:r>
        <w:rPr>
          <w:rFonts w:hint="eastAsia" w:ascii="Times New Roman" w:hAnsi="Times New Roman" w:eastAsia="宋体" w:cs="Times New Roman"/>
          <w:snapToGrid w:val="0"/>
          <w:color w:val="auto"/>
          <w:spacing w:val="-5"/>
          <w:kern w:val="0"/>
          <w:sz w:val="24"/>
          <w:szCs w:val="24"/>
          <w:lang w:val="en-US" w:eastAsia="zh-CN" w:bidi="ar-SA"/>
        </w:rPr>
        <w:t>横向衰减系数Ey根据《水域纳污能力计算规程》（GB/T25173-2010）中费休公式：</w:t>
      </w:r>
    </w:p>
    <w:p w14:paraId="4A2241B7">
      <w:pPr>
        <w:jc w:val="center"/>
        <w:rPr>
          <w:rFonts w:hint="default" w:hAnsi="Cambria Math" w:cs="Times New Roman" w:eastAsiaTheme="minorEastAsia"/>
          <w:i w:val="0"/>
          <w:color w:val="auto"/>
          <w:sz w:val="24"/>
          <w:szCs w:val="24"/>
          <w:lang w:val="en-US" w:eastAsia="zh-CN"/>
        </w:rPr>
      </w:pPr>
      <m:oMathPara>
        <m:oMath>
          <m:sSub>
            <m:sSubPr>
              <m:ctrlPr>
                <w:rPr>
                  <w:rFonts w:hint="default" w:ascii="Cambria Math" w:hAnsi="Cambria Math" w:cs="Times New Roman" w:eastAsiaTheme="minorEastAsia"/>
                  <w:i/>
                  <w:color w:val="auto"/>
                  <w:sz w:val="24"/>
                  <w:szCs w:val="24"/>
                  <w:lang w:val="en-US"/>
                </w:rPr>
              </m:ctrlPr>
            </m:sSubPr>
            <m:e>
              <m:r>
                <m:rPr>
                  <m:nor/>
                </m:rPr>
                <w:rPr>
                  <w:rFonts w:hint="default" w:ascii="Times New Roman" w:hAnsi="Times New Roman" w:cs="Times New Roman" w:eastAsiaTheme="minorEastAsia"/>
                  <w:i/>
                  <w:color w:val="auto"/>
                  <w:sz w:val="24"/>
                  <w:szCs w:val="24"/>
                  <w:lang w:val="en-US" w:eastAsia="zh-CN"/>
                </w:rPr>
                <m:t>E</m:t>
              </m:r>
              <m:ctrlPr>
                <w:rPr>
                  <w:rFonts w:hint="default" w:ascii="Cambria Math" w:hAnsi="Cambria Math" w:cs="Times New Roman" w:eastAsiaTheme="minorEastAsia"/>
                  <w:i/>
                  <w:color w:val="auto"/>
                  <w:sz w:val="24"/>
                  <w:szCs w:val="24"/>
                  <w:lang w:val="en-US"/>
                </w:rPr>
              </m:ctrlPr>
            </m:e>
            <m:sub>
              <m:r>
                <m:rPr>
                  <m:nor/>
                </m:rPr>
                <w:rPr>
                  <w:rFonts w:hint="default" w:ascii="Times New Roman" w:hAnsi="Times New Roman" w:cs="Times New Roman" w:eastAsiaTheme="minorEastAsia"/>
                  <w:i/>
                  <w:color w:val="auto"/>
                  <w:sz w:val="24"/>
                  <w:szCs w:val="24"/>
                  <w:lang w:val="en-US" w:eastAsia="zh-CN"/>
                </w:rPr>
                <m:t>y</m:t>
              </m:r>
              <m:ctrlPr>
                <w:rPr>
                  <w:rFonts w:hint="default" w:ascii="Cambria Math" w:hAnsi="Cambria Math" w:cs="Times New Roman" w:eastAsiaTheme="minorEastAsia"/>
                  <w:i/>
                  <w:color w:val="auto"/>
                  <w:sz w:val="24"/>
                  <w:szCs w:val="24"/>
                  <w:lang w:val="en-US"/>
                </w:rPr>
              </m:ctrlPr>
            </m:sub>
          </m:sSub>
          <m:r>
            <m:rPr>
              <m:nor/>
              <m:sty m:val="p"/>
            </m:rPr>
            <w:rPr>
              <w:rFonts w:hint="default" w:ascii="Times New Roman" w:hAnsi="Times New Roman" w:cs="Times New Roman" w:eastAsiaTheme="minorEastAsia"/>
              <w:b w:val="0"/>
              <w:i w:val="0"/>
              <w:color w:val="auto"/>
              <w:sz w:val="24"/>
              <w:szCs w:val="24"/>
              <w:lang w:val="en-US" w:eastAsia="zh-CN"/>
            </w:rPr>
            <m:t>=</m:t>
          </m:r>
          <m:d>
            <m:dPr>
              <m:ctrlPr>
                <w:rPr>
                  <w:rFonts w:hint="default" w:ascii="Cambria Math" w:hAnsi="Cambria Math" w:cs="Times New Roman" w:eastAsiaTheme="minorEastAsia"/>
                  <w:i/>
                  <w:color w:val="auto"/>
                  <w:sz w:val="24"/>
                  <w:szCs w:val="24"/>
                  <w:lang w:val="en-US" w:eastAsia="zh-CN"/>
                </w:rPr>
              </m:ctrlPr>
            </m:dPr>
            <m:e>
              <m:r>
                <m:rPr>
                  <m:nor/>
                  <m:sty m:val="p"/>
                </m:rPr>
                <w:rPr>
                  <w:rFonts w:hint="default" w:ascii="Times New Roman" w:hAnsi="Times New Roman" w:cs="Times New Roman" w:eastAsiaTheme="minorEastAsia"/>
                  <w:b w:val="0"/>
                  <w:i w:val="0"/>
                  <w:color w:val="auto"/>
                  <w:sz w:val="24"/>
                  <w:szCs w:val="24"/>
                  <w:lang w:val="en-US" w:eastAsia="zh-CN"/>
                </w:rPr>
                <m:t>0.1~0.2</m:t>
              </m:r>
              <m:ctrlPr>
                <w:rPr>
                  <w:rFonts w:hint="default" w:ascii="Cambria Math" w:hAnsi="Cambria Math" w:cs="Times New Roman" w:eastAsiaTheme="minorEastAsia"/>
                  <w:i/>
                  <w:color w:val="auto"/>
                  <w:sz w:val="24"/>
                  <w:szCs w:val="24"/>
                  <w:lang w:val="en-US" w:eastAsia="zh-CN"/>
                </w:rPr>
              </m:ctrlPr>
            </m:e>
          </m:d>
          <m:r>
            <m:rPr>
              <m:nor/>
            </m:rPr>
            <w:rPr>
              <w:rFonts w:hint="default" w:ascii="Times New Roman" w:hAnsi="Times New Roman" w:cs="Times New Roman" w:eastAsiaTheme="minorEastAsia"/>
              <w:i/>
              <w:color w:val="auto"/>
              <w:sz w:val="24"/>
              <w:szCs w:val="24"/>
              <w:lang w:val="en-US" w:eastAsia="zh-CN"/>
            </w:rPr>
            <m:t>H</m:t>
          </m:r>
          <m:rad>
            <m:radPr>
              <m:degHide m:val="1"/>
              <m:ctrlPr>
                <w:rPr>
                  <w:rFonts w:hint="default" w:ascii="Cambria Math" w:hAnsi="Cambria Math" w:cs="Times New Roman" w:eastAsiaTheme="minorEastAsia"/>
                  <w:i/>
                  <w:color w:val="auto"/>
                  <w:sz w:val="24"/>
                  <w:szCs w:val="24"/>
                  <w:lang w:val="en-US" w:eastAsia="zh-CN"/>
                </w:rPr>
              </m:ctrlPr>
            </m:radPr>
            <m:deg>
              <m:ctrlPr>
                <w:rPr>
                  <w:rFonts w:hint="default" w:ascii="Cambria Math" w:hAnsi="Cambria Math" w:cs="Times New Roman" w:eastAsiaTheme="minorEastAsia"/>
                  <w:i/>
                  <w:color w:val="auto"/>
                  <w:sz w:val="24"/>
                  <w:szCs w:val="24"/>
                  <w:lang w:val="en-US" w:eastAsia="zh-CN"/>
                </w:rPr>
              </m:ctrlPr>
            </m:deg>
            <m:e>
              <m:r>
                <m:rPr>
                  <m:nor/>
                </m:rPr>
                <w:rPr>
                  <w:rFonts w:hint="default" w:ascii="Times New Roman" w:hAnsi="Times New Roman" w:cs="Times New Roman" w:eastAsiaTheme="minorEastAsia"/>
                  <w:i/>
                  <w:color w:val="auto"/>
                  <w:sz w:val="24"/>
                  <w:szCs w:val="24"/>
                  <w:lang w:val="en-US" w:eastAsia="zh-CN"/>
                </w:rPr>
                <m:t>gHJ</m:t>
              </m:r>
              <m:ctrlPr>
                <w:rPr>
                  <w:rFonts w:hint="default" w:ascii="Cambria Math" w:hAnsi="Cambria Math" w:cs="Times New Roman" w:eastAsiaTheme="minorEastAsia"/>
                  <w:i/>
                  <w:color w:val="auto"/>
                  <w:sz w:val="24"/>
                  <w:szCs w:val="24"/>
                  <w:lang w:val="en-US" w:eastAsia="zh-CN"/>
                </w:rPr>
              </m:ctrlPr>
            </m:e>
          </m:rad>
        </m:oMath>
      </m:oMathPara>
    </w:p>
    <w:p w14:paraId="562A975A">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eastAsia" w:ascii="Times New Roman" w:hAnsi="Times New Roman" w:eastAsia="宋体" w:cs="Times New Roman"/>
          <w:snapToGrid w:val="0"/>
          <w:color w:val="auto"/>
          <w:spacing w:val="-5"/>
          <w:kern w:val="0"/>
          <w:sz w:val="24"/>
          <w:szCs w:val="24"/>
          <w:lang w:val="en-US" w:eastAsia="zh-CN" w:bidi="ar-SA"/>
        </w:rPr>
      </w:pPr>
      <w:r>
        <w:rPr>
          <w:rFonts w:hint="eastAsia" w:ascii="Times New Roman" w:hAnsi="Times New Roman" w:eastAsia="宋体" w:cs="Times New Roman"/>
          <w:snapToGrid w:val="0"/>
          <w:color w:val="auto"/>
          <w:spacing w:val="-5"/>
          <w:kern w:val="0"/>
          <w:sz w:val="24"/>
          <w:szCs w:val="24"/>
          <w:lang w:val="en-US" w:eastAsia="zh-CN" w:bidi="ar-SA"/>
        </w:rPr>
        <w:t>综合衰减系数K根据《水域纳污能力计算规程》（GB/T25173-2010）中实测法：</w:t>
      </w:r>
    </w:p>
    <w:p w14:paraId="0FE20179">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default" w:ascii="Times New Roman" w:hAnsi="Times New Roman" w:eastAsia="宋体" w:cs="Times New Roman"/>
          <w:snapToGrid w:val="0"/>
          <w:color w:val="auto"/>
          <w:spacing w:val="-5"/>
          <w:kern w:val="0"/>
          <w:sz w:val="24"/>
          <w:szCs w:val="24"/>
          <w:lang w:val="en-US" w:eastAsia="zh-CN" w:bidi="ar-SA"/>
        </w:rPr>
      </w:pPr>
      <m:oMathPara>
        <m:oMath>
          <m:r>
            <m:rPr>
              <m:nor/>
            </m:rPr>
            <w:rPr>
              <w:rFonts w:hint="default" w:ascii="Times New Roman" w:hAnsi="Times New Roman" w:eastAsia="宋体" w:cs="Times New Roman"/>
              <w:i/>
              <w:snapToGrid w:val="0"/>
              <w:color w:val="auto"/>
              <w:spacing w:val="-5"/>
              <w:kern w:val="0"/>
              <w:sz w:val="24"/>
              <w:szCs w:val="24"/>
              <w:lang w:val="en-US" w:eastAsia="zh-CN" w:bidi="ar-SA"/>
            </w:rPr>
            <m:t>K</m:t>
          </m:r>
          <m:r>
            <m:rPr>
              <m:nor/>
              <m:sty m:val="p"/>
            </m:rPr>
            <w:rPr>
              <w:rFonts w:hint="default" w:ascii="Times New Roman" w:hAnsi="Times New Roman" w:eastAsia="宋体" w:cs="Times New Roman"/>
              <w:b w:val="0"/>
              <w:i w:val="0"/>
              <w:snapToGrid w:val="0"/>
              <w:color w:val="auto"/>
              <w:spacing w:val="-5"/>
              <w:kern w:val="0"/>
              <w:sz w:val="24"/>
              <w:szCs w:val="24"/>
              <w:lang w:val="en-US" w:eastAsia="zh-CN" w:bidi="ar-SA"/>
            </w:rPr>
            <m:t>=</m:t>
          </m:r>
          <m:f>
            <m:fPr>
              <m:ctrlPr>
                <w:rPr>
                  <w:rFonts w:hint="default" w:ascii="Cambria Math" w:hAnsi="Cambria Math" w:eastAsia="宋体" w:cs="Times New Roman"/>
                  <w:i w:val="0"/>
                  <w:snapToGrid w:val="0"/>
                  <w:color w:val="auto"/>
                  <w:spacing w:val="-5"/>
                  <w:kern w:val="0"/>
                  <w:sz w:val="24"/>
                  <w:szCs w:val="24"/>
                  <w:lang w:val="en-US" w:eastAsia="zh-CN" w:bidi="ar-SA"/>
                </w:rPr>
              </m:ctrlPr>
            </m:fPr>
            <m:num>
              <m:r>
                <m:rPr>
                  <m:nor/>
                  <m:sty m:val="p"/>
                </m:rPr>
                <w:rPr>
                  <w:rFonts w:hint="default" w:ascii="Times New Roman" w:hAnsi="Times New Roman" w:eastAsia="宋体" w:cs="Times New Roman"/>
                  <w:b w:val="0"/>
                  <w:i w:val="0"/>
                  <w:snapToGrid w:val="0"/>
                  <w:color w:val="auto"/>
                  <w:spacing w:val="-5"/>
                  <w:kern w:val="0"/>
                  <w:sz w:val="24"/>
                  <w:szCs w:val="24"/>
                  <w:lang w:val="en-US" w:eastAsia="zh-CN" w:bidi="ar-SA"/>
                </w:rPr>
                <m:t>u</m:t>
              </m:r>
              <m:ctrlPr>
                <w:rPr>
                  <w:rFonts w:hint="default" w:ascii="Cambria Math" w:hAnsi="Cambria Math" w:eastAsia="宋体" w:cs="Times New Roman"/>
                  <w:snapToGrid w:val="0"/>
                  <w:color w:val="auto"/>
                  <w:spacing w:val="-5"/>
                  <w:kern w:val="0"/>
                  <w:sz w:val="24"/>
                  <w:szCs w:val="24"/>
                  <w:lang w:val="en-US" w:eastAsia="zh-CN" w:bidi="ar-SA"/>
                </w:rPr>
              </m:ctrlPr>
            </m:num>
            <m:den>
              <m:r>
                <m:rPr>
                  <m:nor/>
                  <m:sty m:val="p"/>
                </m:rPr>
                <w:rPr>
                  <w:rFonts w:hint="default" w:ascii="Times New Roman" w:hAnsi="Times New Roman" w:cs="Times New Roman"/>
                  <w:b w:val="0"/>
                  <w:i w:val="0"/>
                  <w:snapToGrid w:val="0"/>
                  <w:color w:val="auto"/>
                  <w:spacing w:val="-5"/>
                  <w:kern w:val="0"/>
                  <w:sz w:val="24"/>
                  <w:szCs w:val="24"/>
                  <w:lang w:val="en-US" w:bidi="ar-SA"/>
                </w:rPr>
                <m:t>∆</m:t>
              </m:r>
              <m:r>
                <m:rPr>
                  <m:nor/>
                  <m:sty m:val="p"/>
                </m:rPr>
                <w:rPr>
                  <w:rFonts w:hint="default" w:ascii="Times New Roman" w:hAnsi="Times New Roman" w:eastAsia="宋体" w:cs="Times New Roman"/>
                  <w:b w:val="0"/>
                  <w:i w:val="0"/>
                  <w:snapToGrid w:val="0"/>
                  <w:color w:val="auto"/>
                  <w:spacing w:val="-5"/>
                  <w:kern w:val="0"/>
                  <w:sz w:val="24"/>
                  <w:szCs w:val="24"/>
                  <w:lang w:val="en-US" w:eastAsia="zh-CN" w:bidi="ar-SA"/>
                </w:rPr>
                <m:t>x</m:t>
              </m:r>
              <m:ctrlPr>
                <w:rPr>
                  <w:rFonts w:hint="default" w:ascii="Cambria Math" w:hAnsi="Cambria Math" w:eastAsia="宋体" w:cs="Times New Roman"/>
                  <w:i w:val="0"/>
                  <w:snapToGrid w:val="0"/>
                  <w:color w:val="auto"/>
                  <w:spacing w:val="-5"/>
                  <w:kern w:val="0"/>
                  <w:sz w:val="24"/>
                  <w:szCs w:val="24"/>
                  <w:lang w:val="en-US" w:eastAsia="zh-CN" w:bidi="ar-SA"/>
                </w:rPr>
              </m:ctrlPr>
            </m:den>
          </m:f>
          <m:func>
            <m:funcPr>
              <m:ctrlPr>
                <w:rPr>
                  <w:rFonts w:hint="default" w:ascii="Cambria Math" w:hAnsi="Cambria Math" w:eastAsia="宋体" w:cs="Times New Roman"/>
                  <w:snapToGrid w:val="0"/>
                  <w:color w:val="auto"/>
                  <w:spacing w:val="-5"/>
                  <w:kern w:val="0"/>
                  <w:sz w:val="24"/>
                  <w:szCs w:val="24"/>
                  <w:lang w:val="en-US" w:eastAsia="zh-CN" w:bidi="ar-SA"/>
                </w:rPr>
              </m:ctrlPr>
            </m:funcPr>
            <m:fName>
              <m:r>
                <m:rPr>
                  <m:nor/>
                  <m:sty m:val="p"/>
                </m:rPr>
                <w:rPr>
                  <w:rFonts w:hint="default" w:ascii="Times New Roman" w:hAnsi="Times New Roman" w:cs="Times New Roman"/>
                  <w:b w:val="0"/>
                  <w:i w:val="0"/>
                  <w:snapToGrid w:val="0"/>
                  <w:color w:val="auto"/>
                  <w:spacing w:val="-5"/>
                  <w:kern w:val="0"/>
                  <w:sz w:val="24"/>
                  <w:szCs w:val="24"/>
                  <w:lang w:val="en-US" w:bidi="ar-SA"/>
                </w:rPr>
                <m:t>ln</m:t>
              </m:r>
              <m:ctrlPr>
                <w:rPr>
                  <w:rFonts w:hint="default" w:ascii="Cambria Math" w:hAnsi="Cambria Math" w:eastAsia="宋体" w:cs="Times New Roman"/>
                  <w:i w:val="0"/>
                  <w:snapToGrid w:val="0"/>
                  <w:color w:val="auto"/>
                  <w:spacing w:val="-5"/>
                  <w:kern w:val="0"/>
                  <w:sz w:val="24"/>
                  <w:szCs w:val="24"/>
                  <w:lang w:val="en-US" w:eastAsia="zh-CN" w:bidi="ar-SA"/>
                </w:rPr>
              </m:ctrlPr>
            </m:fName>
            <m:e>
              <m:f>
                <m:fPr>
                  <m:ctrlPr>
                    <w:rPr>
                      <w:rFonts w:hint="default" w:ascii="Cambria Math" w:hAnsi="Cambria Math" w:eastAsia="宋体" w:cs="Times New Roman"/>
                      <w:i w:val="0"/>
                      <w:snapToGrid w:val="0"/>
                      <w:color w:val="auto"/>
                      <w:spacing w:val="-5"/>
                      <w:kern w:val="0"/>
                      <w:sz w:val="24"/>
                      <w:szCs w:val="24"/>
                      <w:lang w:val="en-US" w:eastAsia="zh-CN" w:bidi="ar-SA"/>
                    </w:rPr>
                  </m:ctrlPr>
                </m:fPr>
                <m:num>
                  <m:sSub>
                    <m:sSubPr>
                      <m:ctrlPr>
                        <w:rPr>
                          <w:rFonts w:hint="default" w:ascii="Cambria Math" w:hAnsi="Cambria Math" w:eastAsia="宋体" w:cs="Times New Roman"/>
                          <w:i w:val="0"/>
                          <w:snapToGrid w:val="0"/>
                          <w:color w:val="auto"/>
                          <w:spacing w:val="-5"/>
                          <w:kern w:val="0"/>
                          <w:sz w:val="24"/>
                          <w:szCs w:val="24"/>
                          <w:lang w:val="en-US" w:eastAsia="zh-CN" w:bidi="ar-SA"/>
                        </w:rPr>
                      </m:ctrlPr>
                    </m:sSubPr>
                    <m:e>
                      <m:r>
                        <m:rPr>
                          <m:nor/>
                          <m:sty m:val="p"/>
                        </m:rPr>
                        <w:rPr>
                          <w:rFonts w:hint="default" w:ascii="Times New Roman" w:hAnsi="Times New Roman" w:eastAsia="宋体" w:cs="Times New Roman"/>
                          <w:b w:val="0"/>
                          <w:i w:val="0"/>
                          <w:snapToGrid w:val="0"/>
                          <w:color w:val="auto"/>
                          <w:spacing w:val="-5"/>
                          <w:kern w:val="0"/>
                          <w:sz w:val="24"/>
                          <w:szCs w:val="24"/>
                          <w:lang w:val="en-US" w:eastAsia="zh-CN" w:bidi="ar-SA"/>
                        </w:rPr>
                        <m:t>C</m:t>
                      </m:r>
                      <m:ctrlPr>
                        <w:rPr>
                          <w:rFonts w:hint="default" w:ascii="Cambria Math" w:hAnsi="Cambria Math" w:eastAsia="宋体" w:cs="Times New Roman"/>
                          <w:i w:val="0"/>
                          <w:snapToGrid w:val="0"/>
                          <w:color w:val="auto"/>
                          <w:spacing w:val="-5"/>
                          <w:kern w:val="0"/>
                          <w:sz w:val="24"/>
                          <w:szCs w:val="24"/>
                          <w:lang w:val="en-US" w:eastAsia="zh-CN" w:bidi="ar-SA"/>
                        </w:rPr>
                      </m:ctrlPr>
                    </m:e>
                    <m:sub>
                      <m:r>
                        <m:rPr>
                          <m:nor/>
                          <m:sty m:val="p"/>
                        </m:rPr>
                        <w:rPr>
                          <w:rFonts w:hint="default" w:ascii="Times New Roman" w:hAnsi="Times New Roman" w:eastAsia="宋体" w:cs="Times New Roman"/>
                          <w:b w:val="0"/>
                          <w:i w:val="0"/>
                          <w:snapToGrid w:val="0"/>
                          <w:color w:val="auto"/>
                          <w:spacing w:val="-5"/>
                          <w:kern w:val="0"/>
                          <w:sz w:val="24"/>
                          <w:szCs w:val="24"/>
                          <w:lang w:val="en-US" w:eastAsia="zh-CN" w:bidi="ar-SA"/>
                        </w:rPr>
                        <m:t>A</m:t>
                      </m:r>
                      <m:ctrlPr>
                        <w:rPr>
                          <w:rFonts w:hint="default" w:ascii="Cambria Math" w:hAnsi="Cambria Math" w:eastAsia="宋体" w:cs="Times New Roman"/>
                          <w:i w:val="0"/>
                          <w:snapToGrid w:val="0"/>
                          <w:color w:val="auto"/>
                          <w:spacing w:val="-5"/>
                          <w:kern w:val="0"/>
                          <w:sz w:val="24"/>
                          <w:szCs w:val="24"/>
                          <w:lang w:val="en-US" w:eastAsia="zh-CN" w:bidi="ar-SA"/>
                        </w:rPr>
                      </m:ctrlPr>
                    </m:sub>
                  </m:sSub>
                  <m:ctrlPr>
                    <w:rPr>
                      <w:rFonts w:hint="default" w:ascii="Cambria Math" w:hAnsi="Cambria Math" w:eastAsia="宋体" w:cs="Times New Roman"/>
                      <w:i w:val="0"/>
                      <w:snapToGrid w:val="0"/>
                      <w:color w:val="auto"/>
                      <w:spacing w:val="-5"/>
                      <w:kern w:val="0"/>
                      <w:sz w:val="24"/>
                      <w:szCs w:val="24"/>
                      <w:lang w:val="en-US" w:eastAsia="zh-CN" w:bidi="ar-SA"/>
                    </w:rPr>
                  </m:ctrlPr>
                </m:num>
                <m:den>
                  <m:sSub>
                    <m:sSubPr>
                      <m:ctrlPr>
                        <w:rPr>
                          <w:rFonts w:hint="default" w:ascii="Cambria Math" w:hAnsi="Cambria Math" w:eastAsia="宋体" w:cs="Times New Roman"/>
                          <w:i w:val="0"/>
                          <w:snapToGrid w:val="0"/>
                          <w:color w:val="auto"/>
                          <w:spacing w:val="-5"/>
                          <w:kern w:val="0"/>
                          <w:sz w:val="24"/>
                          <w:szCs w:val="24"/>
                          <w:lang w:val="en-US" w:eastAsia="zh-CN" w:bidi="ar-SA"/>
                        </w:rPr>
                      </m:ctrlPr>
                    </m:sSubPr>
                    <m:e>
                      <m:r>
                        <m:rPr>
                          <m:nor/>
                          <m:sty m:val="p"/>
                        </m:rPr>
                        <w:rPr>
                          <w:rFonts w:hint="default" w:ascii="Times New Roman" w:hAnsi="Times New Roman" w:eastAsia="宋体" w:cs="Times New Roman"/>
                          <w:b w:val="0"/>
                          <w:i w:val="0"/>
                          <w:snapToGrid w:val="0"/>
                          <w:color w:val="auto"/>
                          <w:spacing w:val="-5"/>
                          <w:kern w:val="0"/>
                          <w:sz w:val="24"/>
                          <w:szCs w:val="24"/>
                          <w:lang w:val="en-US" w:eastAsia="zh-CN" w:bidi="ar-SA"/>
                        </w:rPr>
                        <m:t>C</m:t>
                      </m:r>
                      <m:ctrlPr>
                        <w:rPr>
                          <w:rFonts w:hint="default" w:ascii="Cambria Math" w:hAnsi="Cambria Math" w:eastAsia="宋体" w:cs="Times New Roman"/>
                          <w:i w:val="0"/>
                          <w:snapToGrid w:val="0"/>
                          <w:color w:val="auto"/>
                          <w:spacing w:val="-5"/>
                          <w:kern w:val="0"/>
                          <w:sz w:val="24"/>
                          <w:szCs w:val="24"/>
                          <w:lang w:val="en-US" w:eastAsia="zh-CN" w:bidi="ar-SA"/>
                        </w:rPr>
                      </m:ctrlPr>
                    </m:e>
                    <m:sub>
                      <m:r>
                        <m:rPr>
                          <m:nor/>
                          <m:sty m:val="p"/>
                        </m:rPr>
                        <w:rPr>
                          <w:rFonts w:hint="default" w:ascii="Times New Roman" w:hAnsi="Times New Roman" w:eastAsia="宋体" w:cs="Times New Roman"/>
                          <w:b w:val="0"/>
                          <w:i w:val="0"/>
                          <w:snapToGrid w:val="0"/>
                          <w:color w:val="auto"/>
                          <w:spacing w:val="-5"/>
                          <w:kern w:val="0"/>
                          <w:sz w:val="24"/>
                          <w:szCs w:val="24"/>
                          <w:lang w:val="en-US" w:eastAsia="zh-CN" w:bidi="ar-SA"/>
                        </w:rPr>
                        <m:t>B</m:t>
                      </m:r>
                      <m:ctrlPr>
                        <w:rPr>
                          <w:rFonts w:hint="default" w:ascii="Cambria Math" w:hAnsi="Cambria Math" w:eastAsia="宋体" w:cs="Times New Roman"/>
                          <w:i w:val="0"/>
                          <w:snapToGrid w:val="0"/>
                          <w:color w:val="auto"/>
                          <w:spacing w:val="-5"/>
                          <w:kern w:val="0"/>
                          <w:sz w:val="24"/>
                          <w:szCs w:val="24"/>
                          <w:lang w:val="en-US" w:eastAsia="zh-CN" w:bidi="ar-SA"/>
                        </w:rPr>
                      </m:ctrlPr>
                    </m:sub>
                  </m:sSub>
                  <m:ctrlPr>
                    <w:rPr>
                      <w:rFonts w:hint="default" w:ascii="Cambria Math" w:hAnsi="Cambria Math" w:eastAsia="宋体" w:cs="Times New Roman"/>
                      <w:i w:val="0"/>
                      <w:snapToGrid w:val="0"/>
                      <w:color w:val="auto"/>
                      <w:spacing w:val="-5"/>
                      <w:kern w:val="0"/>
                      <w:sz w:val="24"/>
                      <w:szCs w:val="24"/>
                      <w:lang w:val="en-US" w:eastAsia="zh-CN" w:bidi="ar-SA"/>
                    </w:rPr>
                  </m:ctrlPr>
                </m:den>
              </m:f>
              <m:ctrlPr>
                <w:rPr>
                  <w:rFonts w:hint="default" w:ascii="Cambria Math" w:hAnsi="Cambria Math" w:eastAsia="宋体" w:cs="Times New Roman"/>
                  <w:i w:val="0"/>
                  <w:snapToGrid w:val="0"/>
                  <w:color w:val="auto"/>
                  <w:spacing w:val="-5"/>
                  <w:kern w:val="0"/>
                  <w:sz w:val="24"/>
                  <w:szCs w:val="24"/>
                  <w:lang w:val="en-US" w:eastAsia="zh-CN" w:bidi="ar-SA"/>
                </w:rPr>
              </m:ctrlPr>
            </m:e>
          </m:func>
        </m:oMath>
      </m:oMathPara>
    </w:p>
    <w:p w14:paraId="53718C00">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eastAsia" w:ascii="Times New Roman" w:hAnsi="Times New Roman" w:eastAsia="宋体" w:cs="Times New Roman"/>
          <w:snapToGrid w:val="0"/>
          <w:color w:val="auto"/>
          <w:spacing w:val="-5"/>
          <w:kern w:val="0"/>
          <w:sz w:val="24"/>
          <w:szCs w:val="24"/>
          <w:lang w:val="en-US" w:eastAsia="zh-CN" w:bidi="ar-SA"/>
        </w:rPr>
        <w:t>计算得到预测河段水质参数如下：</w:t>
      </w:r>
    </w:p>
    <w:p w14:paraId="572ACA86">
      <w:pPr>
        <w:jc w:val="center"/>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snapToGrid w:val="0"/>
          <w:color w:val="auto"/>
          <w:spacing w:val="-5"/>
          <w:kern w:val="0"/>
          <w:sz w:val="24"/>
          <w:szCs w:val="24"/>
          <w:lang w:val="en-US" w:eastAsia="zh-CN" w:bidi="ar-SA"/>
        </w:rPr>
        <w:t>表4</w:t>
      </w:r>
      <w:r>
        <w:rPr>
          <w:rFonts w:hint="eastAsia" w:ascii="Times New Roman" w:hAnsi="Times New Roman" w:eastAsia="宋体" w:cs="Times New Roman"/>
          <w:b/>
          <w:bCs/>
          <w:snapToGrid w:val="0"/>
          <w:color w:val="auto"/>
          <w:spacing w:val="-5"/>
          <w:kern w:val="0"/>
          <w:sz w:val="24"/>
          <w:szCs w:val="24"/>
          <w:lang w:val="en-US" w:eastAsia="zh-CN" w:bidi="ar-SA"/>
        </w:rPr>
        <w:t>-2</w:t>
      </w:r>
      <w:r>
        <w:rPr>
          <w:rFonts w:hint="default" w:ascii="Times New Roman" w:hAnsi="Times New Roman" w:eastAsia="宋体" w:cs="Times New Roman"/>
          <w:b/>
          <w:bCs/>
          <w:snapToGrid w:val="0"/>
          <w:color w:val="auto"/>
          <w:spacing w:val="-5"/>
          <w:kern w:val="0"/>
          <w:sz w:val="24"/>
          <w:szCs w:val="24"/>
          <w:lang w:val="en-US" w:eastAsia="zh-CN" w:bidi="ar-SA"/>
        </w:rPr>
        <w:t>河流数学模型水动力参数</w:t>
      </w:r>
    </w:p>
    <w:tbl>
      <w:tblPr>
        <w:tblStyle w:val="3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1"/>
        <w:gridCol w:w="2279"/>
        <w:gridCol w:w="2319"/>
        <w:gridCol w:w="2419"/>
      </w:tblGrid>
      <w:tr w14:paraId="71D4F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271" w:type="dxa"/>
            <w:tcBorders>
              <w:top w:val="single" w:color="auto" w:sz="12" w:space="0"/>
              <w:left w:val="nil"/>
            </w:tcBorders>
            <w:vAlign w:val="center"/>
          </w:tcPr>
          <w:p w14:paraId="40FA1D7C">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r>
              <w:rPr>
                <w:rFonts w:hint="eastAsia" w:ascii="Times New Roman" w:hAnsi="Times New Roman" w:eastAsia="宋体" w:cs="Times New Roman"/>
                <w:b/>
                <w:bCs/>
                <w:color w:val="auto"/>
                <w:vertAlign w:val="baseline"/>
                <w:lang w:val="en-US" w:eastAsia="zh-CN"/>
              </w:rPr>
              <w:t>预测河段</w:t>
            </w:r>
          </w:p>
        </w:tc>
        <w:tc>
          <w:tcPr>
            <w:tcW w:w="2279" w:type="dxa"/>
            <w:tcBorders>
              <w:top w:val="single" w:color="auto" w:sz="12" w:space="0"/>
              <w:left w:val="nil"/>
            </w:tcBorders>
            <w:vAlign w:val="center"/>
          </w:tcPr>
          <w:p w14:paraId="091C89C4">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b/>
                <w:bCs/>
                <w:color w:val="auto"/>
                <w:vertAlign w:val="baseline"/>
                <w:lang w:val="en-US" w:eastAsia="zh-CN"/>
              </w:rPr>
              <w:t>参数</w:t>
            </w:r>
          </w:p>
        </w:tc>
        <w:tc>
          <w:tcPr>
            <w:tcW w:w="2319" w:type="dxa"/>
            <w:tcBorders>
              <w:top w:val="single" w:color="auto" w:sz="12" w:space="0"/>
            </w:tcBorders>
            <w:vAlign w:val="center"/>
          </w:tcPr>
          <w:p w14:paraId="43260056">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b/>
                <w:bCs/>
                <w:color w:val="auto"/>
                <w:vertAlign w:val="baseline"/>
                <w:lang w:val="en-US" w:eastAsia="zh-CN"/>
              </w:rPr>
              <w:t>单位</w:t>
            </w:r>
          </w:p>
        </w:tc>
        <w:tc>
          <w:tcPr>
            <w:tcW w:w="2419" w:type="dxa"/>
            <w:tcBorders>
              <w:top w:val="single" w:color="auto" w:sz="12" w:space="0"/>
              <w:right w:val="nil"/>
            </w:tcBorders>
            <w:vAlign w:val="center"/>
          </w:tcPr>
          <w:p w14:paraId="763816B7">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b/>
                <w:bCs/>
                <w:color w:val="auto"/>
                <w:vertAlign w:val="baseline"/>
                <w:lang w:val="en-US" w:eastAsia="zh-CN"/>
              </w:rPr>
              <w:t>枯水期</w:t>
            </w:r>
          </w:p>
        </w:tc>
      </w:tr>
      <w:tr w14:paraId="2B251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2271" w:type="dxa"/>
            <w:vMerge w:val="restart"/>
            <w:tcBorders>
              <w:left w:val="nil"/>
            </w:tcBorders>
            <w:vAlign w:val="center"/>
          </w:tcPr>
          <w:p w14:paraId="7C60700E">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vertAlign w:val="baseline"/>
                <w:lang w:val="en-US" w:eastAsia="zh-CN"/>
              </w:rPr>
            </w:pPr>
            <w:r>
              <w:rPr>
                <w:rFonts w:hint="eastAsia" w:ascii="Times New Roman" w:hAnsi="Times New Roman" w:eastAsia="宋体" w:cs="Times New Roman"/>
                <w:color w:val="auto"/>
                <w:highlight w:val="none"/>
                <w:vertAlign w:val="baseline"/>
                <w:lang w:val="en-US" w:eastAsia="zh-CN"/>
              </w:rPr>
              <w:t>红光沟</w:t>
            </w:r>
          </w:p>
        </w:tc>
        <w:tc>
          <w:tcPr>
            <w:tcW w:w="2279" w:type="dxa"/>
            <w:tcBorders>
              <w:left w:val="nil"/>
            </w:tcBorders>
            <w:vAlign w:val="center"/>
          </w:tcPr>
          <w:p w14:paraId="41480F99">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vertAlign w:val="baseline"/>
                <w:lang w:val="en-US" w:eastAsia="zh-CN"/>
              </w:rPr>
            </w:pPr>
            <w:r>
              <w:rPr>
                <w:rFonts w:hint="eastAsia" w:ascii="Times New Roman" w:hAnsi="Times New Roman" w:eastAsia="宋体" w:cs="Times New Roman"/>
                <w:color w:val="auto"/>
                <w:highlight w:val="none"/>
                <w:vertAlign w:val="baseline"/>
                <w:lang w:val="en-US" w:eastAsia="zh-CN"/>
              </w:rPr>
              <w:t>纵向</w:t>
            </w:r>
            <w:r>
              <w:rPr>
                <w:rFonts w:hint="default" w:ascii="Times New Roman" w:hAnsi="Times New Roman" w:eastAsia="宋体" w:cs="Times New Roman"/>
                <w:color w:val="auto"/>
                <w:highlight w:val="none"/>
                <w:vertAlign w:val="baseline"/>
                <w:lang w:val="en-US" w:eastAsia="zh-CN"/>
              </w:rPr>
              <w:t>衰减系数</w:t>
            </w:r>
            <w:r>
              <w:rPr>
                <w:rFonts w:hint="eastAsia" w:ascii="Times New Roman" w:hAnsi="Times New Roman" w:eastAsia="宋体" w:cs="Times New Roman"/>
                <w:color w:val="auto"/>
                <w:highlight w:val="none"/>
                <w:vertAlign w:val="baseline"/>
                <w:lang w:val="en-US" w:eastAsia="zh-CN"/>
              </w:rPr>
              <w:t>Ex</w:t>
            </w:r>
          </w:p>
        </w:tc>
        <w:tc>
          <w:tcPr>
            <w:tcW w:w="2319" w:type="dxa"/>
            <w:vAlign w:val="center"/>
          </w:tcPr>
          <w:p w14:paraId="6C49B5BF">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snapToGrid w:val="0"/>
                <w:color w:val="auto"/>
                <w:spacing w:val="-5"/>
                <w:kern w:val="0"/>
                <w:sz w:val="21"/>
                <w:szCs w:val="21"/>
                <w:lang w:val="en-US" w:eastAsia="zh-CN" w:bidi="ar-SA"/>
              </w:rPr>
              <w:t>m</w:t>
            </w:r>
            <w:r>
              <w:rPr>
                <w:rFonts w:hint="default" w:ascii="Times New Roman" w:hAnsi="Times New Roman" w:eastAsia="宋体" w:cs="Times New Roman"/>
                <w:snapToGrid w:val="0"/>
                <w:color w:val="auto"/>
                <w:spacing w:val="-5"/>
                <w:kern w:val="0"/>
                <w:sz w:val="21"/>
                <w:szCs w:val="21"/>
                <w:vertAlign w:val="superscript"/>
                <w:lang w:val="en-US" w:eastAsia="zh-CN" w:bidi="ar-SA"/>
              </w:rPr>
              <w:t>2</w:t>
            </w:r>
            <w:r>
              <w:rPr>
                <w:rFonts w:hint="default" w:ascii="Times New Roman" w:hAnsi="Times New Roman" w:eastAsia="宋体" w:cs="Times New Roman"/>
                <w:snapToGrid w:val="0"/>
                <w:color w:val="auto"/>
                <w:spacing w:val="-5"/>
                <w:kern w:val="0"/>
                <w:sz w:val="21"/>
                <w:szCs w:val="21"/>
                <w:lang w:val="en-US" w:eastAsia="zh-CN" w:bidi="ar-SA"/>
              </w:rPr>
              <w:t>/s</w:t>
            </w:r>
          </w:p>
        </w:tc>
        <w:tc>
          <w:tcPr>
            <w:tcW w:w="2419" w:type="dxa"/>
            <w:tcBorders>
              <w:right w:val="nil"/>
            </w:tcBorders>
            <w:vAlign w:val="center"/>
          </w:tcPr>
          <w:p w14:paraId="4D594979">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eastAsia" w:ascii="Times New Roman" w:hAnsi="Times New Roman" w:eastAsia="宋体" w:cs="Times New Roman"/>
                <w:color w:val="auto"/>
                <w:vertAlign w:val="baseline"/>
                <w:lang w:val="en-US" w:eastAsia="zh-CN"/>
              </w:rPr>
              <w:t>0.016</w:t>
            </w:r>
          </w:p>
        </w:tc>
      </w:tr>
      <w:tr w14:paraId="7F35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2271" w:type="dxa"/>
            <w:vMerge w:val="continue"/>
            <w:tcBorders>
              <w:left w:val="nil"/>
            </w:tcBorders>
            <w:vAlign w:val="center"/>
          </w:tcPr>
          <w:p w14:paraId="45D3A2F6">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p>
        </w:tc>
        <w:tc>
          <w:tcPr>
            <w:tcW w:w="2279" w:type="dxa"/>
            <w:tcBorders>
              <w:left w:val="nil"/>
            </w:tcBorders>
            <w:vAlign w:val="center"/>
          </w:tcPr>
          <w:p w14:paraId="6C7554F2">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横向扩散系数Ey</w:t>
            </w:r>
          </w:p>
        </w:tc>
        <w:tc>
          <w:tcPr>
            <w:tcW w:w="2319" w:type="dxa"/>
            <w:vAlign w:val="center"/>
          </w:tcPr>
          <w:p w14:paraId="7D061699">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snapToGrid w:val="0"/>
                <w:color w:val="auto"/>
                <w:spacing w:val="-5"/>
                <w:kern w:val="0"/>
                <w:sz w:val="21"/>
                <w:szCs w:val="21"/>
                <w:lang w:val="en-US" w:eastAsia="zh-CN" w:bidi="ar-SA"/>
              </w:rPr>
              <w:t>m</w:t>
            </w:r>
            <w:r>
              <w:rPr>
                <w:rFonts w:hint="default" w:ascii="Times New Roman" w:hAnsi="Times New Roman" w:eastAsia="宋体" w:cs="Times New Roman"/>
                <w:snapToGrid w:val="0"/>
                <w:color w:val="auto"/>
                <w:spacing w:val="-5"/>
                <w:kern w:val="0"/>
                <w:sz w:val="21"/>
                <w:szCs w:val="21"/>
                <w:vertAlign w:val="superscript"/>
                <w:lang w:val="en-US" w:eastAsia="zh-CN" w:bidi="ar-SA"/>
              </w:rPr>
              <w:t>2</w:t>
            </w:r>
            <w:r>
              <w:rPr>
                <w:rFonts w:hint="default" w:ascii="Times New Roman" w:hAnsi="Times New Roman" w:eastAsia="宋体" w:cs="Times New Roman"/>
                <w:snapToGrid w:val="0"/>
                <w:color w:val="auto"/>
                <w:spacing w:val="-5"/>
                <w:kern w:val="0"/>
                <w:sz w:val="21"/>
                <w:szCs w:val="21"/>
                <w:lang w:val="en-US" w:eastAsia="zh-CN" w:bidi="ar-SA"/>
              </w:rPr>
              <w:t>/s</w:t>
            </w:r>
          </w:p>
        </w:tc>
        <w:tc>
          <w:tcPr>
            <w:tcW w:w="2419" w:type="dxa"/>
            <w:tcBorders>
              <w:right w:val="nil"/>
            </w:tcBorders>
            <w:vAlign w:val="center"/>
          </w:tcPr>
          <w:p w14:paraId="0B72C77E">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eastAsia" w:ascii="Times New Roman" w:hAnsi="Times New Roman" w:eastAsia="宋体" w:cs="Times New Roman"/>
                <w:color w:val="auto"/>
                <w:vertAlign w:val="baseline"/>
                <w:lang w:val="en-US" w:eastAsia="zh-CN"/>
              </w:rPr>
              <w:t>0.00028</w:t>
            </w:r>
          </w:p>
        </w:tc>
      </w:tr>
      <w:tr w14:paraId="64FB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2271" w:type="dxa"/>
            <w:vMerge w:val="continue"/>
            <w:tcBorders>
              <w:left w:val="nil"/>
            </w:tcBorders>
            <w:vAlign w:val="center"/>
          </w:tcPr>
          <w:p w14:paraId="43E69734">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color w:val="auto"/>
                <w:vertAlign w:val="baseline"/>
                <w:lang w:val="en-US" w:eastAsia="zh-CN"/>
              </w:rPr>
            </w:pPr>
          </w:p>
        </w:tc>
        <w:tc>
          <w:tcPr>
            <w:tcW w:w="2279" w:type="dxa"/>
            <w:tcBorders>
              <w:left w:val="nil"/>
            </w:tcBorders>
            <w:vAlign w:val="center"/>
          </w:tcPr>
          <w:p w14:paraId="5217F4C1">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eastAsia" w:ascii="Times New Roman" w:hAnsi="Times New Roman" w:eastAsia="宋体" w:cs="Times New Roman"/>
                <w:color w:val="auto"/>
                <w:vertAlign w:val="baseline"/>
                <w:lang w:val="en-US" w:eastAsia="zh-CN"/>
              </w:rPr>
              <w:t>综合衰减系数K</w:t>
            </w:r>
          </w:p>
        </w:tc>
        <w:tc>
          <w:tcPr>
            <w:tcW w:w="2319" w:type="dxa"/>
            <w:vAlign w:val="center"/>
          </w:tcPr>
          <w:p w14:paraId="44657ABB">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spacing w:val="-5"/>
                <w:kern w:val="0"/>
                <w:sz w:val="21"/>
                <w:szCs w:val="21"/>
                <w:lang w:val="en-US" w:eastAsia="zh-CN" w:bidi="ar-SA"/>
              </w:rPr>
            </w:pPr>
            <w:r>
              <w:rPr>
                <w:rFonts w:hint="default" w:ascii="Times New Roman" w:hAnsi="Times New Roman" w:eastAsia="宋体" w:cs="Times New Roman"/>
                <w:snapToGrid w:val="0"/>
                <w:color w:val="auto"/>
                <w:spacing w:val="-5"/>
                <w:kern w:val="0"/>
                <w:sz w:val="21"/>
                <w:szCs w:val="21"/>
                <w:lang w:val="en-US" w:eastAsia="zh-CN" w:bidi="ar-SA"/>
              </w:rPr>
              <w:t>1/s</w:t>
            </w:r>
          </w:p>
        </w:tc>
        <w:tc>
          <w:tcPr>
            <w:tcW w:w="2419" w:type="dxa"/>
            <w:tcBorders>
              <w:right w:val="nil"/>
            </w:tcBorders>
            <w:vAlign w:val="center"/>
          </w:tcPr>
          <w:p w14:paraId="7C21EE47">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eastAsia" w:ascii="Times New Roman" w:hAnsi="Times New Roman" w:eastAsia="宋体" w:cs="Times New Roman"/>
                <w:color w:val="auto"/>
                <w:vertAlign w:val="baseline"/>
                <w:lang w:val="en-US" w:eastAsia="zh-CN"/>
              </w:rPr>
              <w:t>0.00003</w:t>
            </w:r>
          </w:p>
        </w:tc>
      </w:tr>
      <w:tr w14:paraId="04C4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2271" w:type="dxa"/>
            <w:vMerge w:val="restart"/>
            <w:tcBorders>
              <w:left w:val="nil"/>
            </w:tcBorders>
            <w:vAlign w:val="center"/>
          </w:tcPr>
          <w:p w14:paraId="7450063F">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highlight w:val="none"/>
                <w:vertAlign w:val="baseline"/>
                <w:lang w:val="en-US" w:eastAsia="zh-CN"/>
              </w:rPr>
            </w:pPr>
            <w:r>
              <w:rPr>
                <w:rFonts w:hint="eastAsia" w:ascii="Times New Roman" w:hAnsi="Times New Roman" w:eastAsia="宋体" w:cs="Times New Roman"/>
                <w:color w:val="auto"/>
                <w:highlight w:val="none"/>
                <w:vertAlign w:val="baseline"/>
                <w:lang w:val="en-US" w:eastAsia="zh-CN"/>
              </w:rPr>
              <w:t>穆棱河</w:t>
            </w:r>
          </w:p>
        </w:tc>
        <w:tc>
          <w:tcPr>
            <w:tcW w:w="2279" w:type="dxa"/>
            <w:tcBorders>
              <w:left w:val="nil"/>
            </w:tcBorders>
            <w:vAlign w:val="center"/>
          </w:tcPr>
          <w:p w14:paraId="1515BCA9">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eastAsia" w:ascii="Times New Roman" w:hAnsi="Times New Roman" w:eastAsia="宋体" w:cs="Times New Roman"/>
                <w:color w:val="auto"/>
                <w:highlight w:val="none"/>
                <w:vertAlign w:val="baseline"/>
                <w:lang w:val="en-US" w:eastAsia="zh-CN"/>
              </w:rPr>
              <w:t>纵向</w:t>
            </w:r>
            <w:r>
              <w:rPr>
                <w:rFonts w:hint="default" w:ascii="Times New Roman" w:hAnsi="Times New Roman" w:eastAsia="宋体" w:cs="Times New Roman"/>
                <w:color w:val="auto"/>
                <w:highlight w:val="none"/>
                <w:vertAlign w:val="baseline"/>
                <w:lang w:val="en-US" w:eastAsia="zh-CN"/>
              </w:rPr>
              <w:t>衰减系数</w:t>
            </w:r>
            <w:r>
              <w:rPr>
                <w:rFonts w:hint="eastAsia" w:ascii="Times New Roman" w:hAnsi="Times New Roman" w:eastAsia="宋体" w:cs="Times New Roman"/>
                <w:color w:val="auto"/>
                <w:highlight w:val="none"/>
                <w:vertAlign w:val="baseline"/>
                <w:lang w:val="en-US" w:eastAsia="zh-CN"/>
              </w:rPr>
              <w:t>Ex</w:t>
            </w:r>
          </w:p>
        </w:tc>
        <w:tc>
          <w:tcPr>
            <w:tcW w:w="2319" w:type="dxa"/>
            <w:vAlign w:val="center"/>
          </w:tcPr>
          <w:p w14:paraId="1B5E7563">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spacing w:val="-5"/>
                <w:kern w:val="0"/>
                <w:sz w:val="21"/>
                <w:szCs w:val="21"/>
                <w:lang w:val="en-US" w:eastAsia="zh-CN" w:bidi="ar-SA"/>
              </w:rPr>
            </w:pPr>
            <w:r>
              <w:rPr>
                <w:rFonts w:hint="default" w:ascii="Times New Roman" w:hAnsi="Times New Roman" w:eastAsia="宋体" w:cs="Times New Roman"/>
                <w:snapToGrid w:val="0"/>
                <w:color w:val="auto"/>
                <w:spacing w:val="-5"/>
                <w:kern w:val="0"/>
                <w:sz w:val="21"/>
                <w:szCs w:val="21"/>
                <w:lang w:val="en-US" w:eastAsia="zh-CN" w:bidi="ar-SA"/>
              </w:rPr>
              <w:t>m</w:t>
            </w:r>
            <w:r>
              <w:rPr>
                <w:rFonts w:hint="default" w:ascii="Times New Roman" w:hAnsi="Times New Roman" w:eastAsia="宋体" w:cs="Times New Roman"/>
                <w:snapToGrid w:val="0"/>
                <w:color w:val="auto"/>
                <w:spacing w:val="-5"/>
                <w:kern w:val="0"/>
                <w:sz w:val="21"/>
                <w:szCs w:val="21"/>
                <w:vertAlign w:val="superscript"/>
                <w:lang w:val="en-US" w:eastAsia="zh-CN" w:bidi="ar-SA"/>
              </w:rPr>
              <w:t>2</w:t>
            </w:r>
            <w:r>
              <w:rPr>
                <w:rFonts w:hint="default" w:ascii="Times New Roman" w:hAnsi="Times New Roman" w:eastAsia="宋体" w:cs="Times New Roman"/>
                <w:snapToGrid w:val="0"/>
                <w:color w:val="auto"/>
                <w:spacing w:val="-5"/>
                <w:kern w:val="0"/>
                <w:sz w:val="21"/>
                <w:szCs w:val="21"/>
                <w:lang w:val="en-US" w:eastAsia="zh-CN" w:bidi="ar-SA"/>
              </w:rPr>
              <w:t>/s</w:t>
            </w:r>
          </w:p>
        </w:tc>
        <w:tc>
          <w:tcPr>
            <w:tcW w:w="2419" w:type="dxa"/>
            <w:tcBorders>
              <w:right w:val="nil"/>
            </w:tcBorders>
            <w:vAlign w:val="center"/>
          </w:tcPr>
          <w:p w14:paraId="39719DBD">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eastAsia" w:ascii="Times New Roman" w:hAnsi="Times New Roman" w:eastAsia="宋体" w:cs="Times New Roman"/>
                <w:color w:val="auto"/>
                <w:vertAlign w:val="baseline"/>
                <w:lang w:val="en-US" w:eastAsia="zh-CN"/>
              </w:rPr>
              <w:t>0.68</w:t>
            </w:r>
          </w:p>
        </w:tc>
      </w:tr>
      <w:tr w14:paraId="64BCE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2271" w:type="dxa"/>
            <w:vMerge w:val="continue"/>
            <w:tcBorders>
              <w:left w:val="nil"/>
            </w:tcBorders>
            <w:vAlign w:val="center"/>
          </w:tcPr>
          <w:p w14:paraId="10C3ECF8">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p>
        </w:tc>
        <w:tc>
          <w:tcPr>
            <w:tcW w:w="2279" w:type="dxa"/>
            <w:tcBorders>
              <w:left w:val="nil"/>
            </w:tcBorders>
            <w:vAlign w:val="center"/>
          </w:tcPr>
          <w:p w14:paraId="70AAB8EE">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横向扩散系数Ey</w:t>
            </w:r>
          </w:p>
        </w:tc>
        <w:tc>
          <w:tcPr>
            <w:tcW w:w="2319" w:type="dxa"/>
            <w:vAlign w:val="center"/>
          </w:tcPr>
          <w:p w14:paraId="0D03F094">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spacing w:val="-5"/>
                <w:kern w:val="0"/>
                <w:sz w:val="21"/>
                <w:szCs w:val="21"/>
                <w:lang w:val="en-US" w:eastAsia="zh-CN" w:bidi="ar-SA"/>
              </w:rPr>
            </w:pPr>
            <w:r>
              <w:rPr>
                <w:rFonts w:hint="default" w:ascii="Times New Roman" w:hAnsi="Times New Roman" w:eastAsia="宋体" w:cs="Times New Roman"/>
                <w:snapToGrid w:val="0"/>
                <w:color w:val="auto"/>
                <w:spacing w:val="-5"/>
                <w:kern w:val="0"/>
                <w:sz w:val="21"/>
                <w:szCs w:val="21"/>
                <w:lang w:val="en-US" w:eastAsia="zh-CN" w:bidi="ar-SA"/>
              </w:rPr>
              <w:t>m</w:t>
            </w:r>
            <w:r>
              <w:rPr>
                <w:rFonts w:hint="default" w:ascii="Times New Roman" w:hAnsi="Times New Roman" w:eastAsia="宋体" w:cs="Times New Roman"/>
                <w:snapToGrid w:val="0"/>
                <w:color w:val="auto"/>
                <w:spacing w:val="-5"/>
                <w:kern w:val="0"/>
                <w:sz w:val="21"/>
                <w:szCs w:val="21"/>
                <w:vertAlign w:val="superscript"/>
                <w:lang w:val="en-US" w:eastAsia="zh-CN" w:bidi="ar-SA"/>
              </w:rPr>
              <w:t>2</w:t>
            </w:r>
            <w:r>
              <w:rPr>
                <w:rFonts w:hint="default" w:ascii="Times New Roman" w:hAnsi="Times New Roman" w:eastAsia="宋体" w:cs="Times New Roman"/>
                <w:snapToGrid w:val="0"/>
                <w:color w:val="auto"/>
                <w:spacing w:val="-5"/>
                <w:kern w:val="0"/>
                <w:sz w:val="21"/>
                <w:szCs w:val="21"/>
                <w:lang w:val="en-US" w:eastAsia="zh-CN" w:bidi="ar-SA"/>
              </w:rPr>
              <w:t>/s</w:t>
            </w:r>
          </w:p>
        </w:tc>
        <w:tc>
          <w:tcPr>
            <w:tcW w:w="2419" w:type="dxa"/>
            <w:tcBorders>
              <w:right w:val="nil"/>
            </w:tcBorders>
            <w:vAlign w:val="center"/>
          </w:tcPr>
          <w:p w14:paraId="602617CE">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eastAsia" w:ascii="Times New Roman" w:hAnsi="Times New Roman" w:eastAsia="宋体" w:cs="Times New Roman"/>
                <w:color w:val="auto"/>
                <w:vertAlign w:val="baseline"/>
                <w:lang w:val="en-US" w:eastAsia="zh-CN"/>
              </w:rPr>
              <w:t>0.012</w:t>
            </w:r>
          </w:p>
        </w:tc>
      </w:tr>
      <w:tr w14:paraId="5F5A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2271" w:type="dxa"/>
            <w:vMerge w:val="continue"/>
            <w:tcBorders>
              <w:left w:val="nil"/>
            </w:tcBorders>
            <w:vAlign w:val="center"/>
          </w:tcPr>
          <w:p w14:paraId="4E6A1B28">
            <w:pPr>
              <w:keepNext w:val="0"/>
              <w:keepLines w:val="0"/>
              <w:widowControl w:val="0"/>
              <w:suppressLineNumbers w:val="0"/>
              <w:bidi w:val="0"/>
              <w:spacing w:before="0" w:beforeAutospacing="0" w:after="0" w:afterAutospacing="0"/>
              <w:ind w:left="0" w:right="0"/>
              <w:jc w:val="center"/>
              <w:rPr>
                <w:rFonts w:hint="eastAsia" w:ascii="Times New Roman" w:hAnsi="Times New Roman" w:eastAsia="宋体" w:cs="Times New Roman"/>
                <w:color w:val="auto"/>
                <w:vertAlign w:val="baseline"/>
                <w:lang w:val="en-US" w:eastAsia="zh-CN"/>
              </w:rPr>
            </w:pPr>
          </w:p>
        </w:tc>
        <w:tc>
          <w:tcPr>
            <w:tcW w:w="2279" w:type="dxa"/>
            <w:tcBorders>
              <w:left w:val="nil"/>
            </w:tcBorders>
            <w:vAlign w:val="center"/>
          </w:tcPr>
          <w:p w14:paraId="5A0262C6">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eastAsia" w:ascii="Times New Roman" w:hAnsi="Times New Roman" w:eastAsia="宋体" w:cs="Times New Roman"/>
                <w:color w:val="auto"/>
                <w:vertAlign w:val="baseline"/>
                <w:lang w:val="en-US" w:eastAsia="zh-CN"/>
              </w:rPr>
              <w:t>综合衰减系数K</w:t>
            </w:r>
          </w:p>
        </w:tc>
        <w:tc>
          <w:tcPr>
            <w:tcW w:w="2319" w:type="dxa"/>
            <w:vAlign w:val="center"/>
          </w:tcPr>
          <w:p w14:paraId="128F34AE">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snapToGrid w:val="0"/>
                <w:color w:val="auto"/>
                <w:spacing w:val="-5"/>
                <w:kern w:val="0"/>
                <w:sz w:val="21"/>
                <w:szCs w:val="21"/>
                <w:lang w:val="en-US" w:eastAsia="zh-CN" w:bidi="ar-SA"/>
              </w:rPr>
            </w:pPr>
            <w:r>
              <w:rPr>
                <w:rFonts w:hint="default" w:ascii="Times New Roman" w:hAnsi="Times New Roman" w:eastAsia="宋体" w:cs="Times New Roman"/>
                <w:snapToGrid w:val="0"/>
                <w:color w:val="auto"/>
                <w:spacing w:val="-5"/>
                <w:kern w:val="0"/>
                <w:sz w:val="21"/>
                <w:szCs w:val="21"/>
                <w:lang w:val="en-US" w:eastAsia="zh-CN" w:bidi="ar-SA"/>
              </w:rPr>
              <w:t>1/s</w:t>
            </w:r>
          </w:p>
        </w:tc>
        <w:tc>
          <w:tcPr>
            <w:tcW w:w="2419" w:type="dxa"/>
            <w:tcBorders>
              <w:right w:val="nil"/>
            </w:tcBorders>
            <w:vAlign w:val="center"/>
          </w:tcPr>
          <w:p w14:paraId="039023C8">
            <w:pPr>
              <w:keepNext w:val="0"/>
              <w:keepLines w:val="0"/>
              <w:widowControl w:val="0"/>
              <w:suppressLineNumbers w:val="0"/>
              <w:bidi w:val="0"/>
              <w:spacing w:before="0" w:beforeAutospacing="0" w:after="0" w:afterAutospacing="0"/>
              <w:ind w:left="0" w:right="0"/>
              <w:jc w:val="center"/>
              <w:rPr>
                <w:rFonts w:hint="default" w:ascii="Times New Roman" w:hAnsi="Times New Roman" w:eastAsia="宋体" w:cs="Times New Roman"/>
                <w:color w:val="auto"/>
                <w:vertAlign w:val="baseline"/>
                <w:lang w:val="en-US" w:eastAsia="zh-CN"/>
              </w:rPr>
            </w:pPr>
            <w:r>
              <w:rPr>
                <w:rFonts w:hint="eastAsia" w:ascii="Times New Roman" w:hAnsi="Times New Roman" w:eastAsia="宋体" w:cs="Times New Roman"/>
                <w:color w:val="auto"/>
                <w:vertAlign w:val="baseline"/>
                <w:lang w:val="en-US" w:eastAsia="zh-CN"/>
              </w:rPr>
              <w:t>0.00003</w:t>
            </w:r>
          </w:p>
        </w:tc>
      </w:tr>
    </w:tbl>
    <w:p w14:paraId="54AE75EA">
      <w:pPr>
        <w:pStyle w:val="5"/>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0" w:firstLineChars="0"/>
        <w:jc w:val="left"/>
        <w:textAlignment w:val="baseline"/>
        <w:outlineLvl w:val="2"/>
        <w:rPr>
          <w:rFonts w:hint="default" w:ascii="Times New Roman" w:hAnsi="Times New Roman" w:eastAsia="宋体" w:cs="Times New Roman"/>
          <w:b/>
          <w:bCs w:val="0"/>
          <w:i w:val="0"/>
          <w:snapToGrid w:val="0"/>
          <w:color w:val="auto"/>
          <w:kern w:val="0"/>
          <w:sz w:val="30"/>
          <w:szCs w:val="30"/>
          <w:lang w:val="en-US" w:eastAsia="zh-CN"/>
        </w:rPr>
      </w:pPr>
      <w:r>
        <w:rPr>
          <w:rFonts w:hint="default" w:ascii="Times New Roman" w:hAnsi="Times New Roman" w:eastAsia="宋体" w:cs="Times New Roman"/>
          <w:b/>
          <w:bCs w:val="0"/>
          <w:i w:val="0"/>
          <w:snapToGrid w:val="0"/>
          <w:color w:val="auto"/>
          <w:kern w:val="0"/>
          <w:sz w:val="30"/>
          <w:szCs w:val="30"/>
          <w:lang w:val="en-US" w:eastAsia="zh-CN"/>
        </w:rPr>
        <w:t>4.8地表水影响预测</w:t>
      </w:r>
    </w:p>
    <w:p w14:paraId="2B914F49">
      <w:pPr>
        <w:pStyle w:val="5"/>
        <w:keepNext/>
        <w:keepLines/>
        <w:pageBreakBefore w:val="0"/>
        <w:widowControl w:val="0"/>
        <w:numPr>
          <w:ilvl w:val="2"/>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eastAsia="宋体" w:cs="Times New Roman"/>
          <w:color w:val="auto"/>
          <w:sz w:val="24"/>
          <w:szCs w:val="40"/>
          <w:lang w:val="en-US" w:eastAsia="zh-CN"/>
        </w:rPr>
      </w:pPr>
      <w:r>
        <w:rPr>
          <w:rFonts w:hint="default" w:ascii="Times New Roman" w:hAnsi="Times New Roman" w:eastAsia="宋体" w:cs="Times New Roman"/>
          <w:color w:val="auto"/>
          <w:sz w:val="24"/>
          <w:szCs w:val="40"/>
          <w:lang w:val="en-US" w:eastAsia="zh-CN"/>
        </w:rPr>
        <w:t>4.8.1、</w:t>
      </w:r>
      <w:r>
        <w:rPr>
          <w:rFonts w:hint="eastAsia" w:ascii="Times New Roman" w:hAnsi="Times New Roman" w:eastAsia="宋体" w:cs="Times New Roman"/>
          <w:color w:val="auto"/>
          <w:sz w:val="24"/>
          <w:szCs w:val="40"/>
          <w:lang w:val="en-US" w:eastAsia="zh-CN"/>
        </w:rPr>
        <w:t>红光沟</w:t>
      </w:r>
      <w:r>
        <w:rPr>
          <w:rFonts w:hint="default" w:ascii="Times New Roman" w:hAnsi="Times New Roman" w:eastAsia="宋体" w:cs="Times New Roman"/>
          <w:color w:val="auto"/>
          <w:sz w:val="24"/>
          <w:szCs w:val="40"/>
          <w:lang w:val="en-US" w:eastAsia="zh-CN"/>
        </w:rPr>
        <w:t>混合过程段长度估算</w:t>
      </w:r>
    </w:p>
    <w:p w14:paraId="72D4151B">
      <w:pPr>
        <w:rPr>
          <w:rFonts w:hint="default" w:ascii="Times New Roman" w:hAnsi="Times New Roman" w:eastAsia="宋体" w:cs="Times New Roman"/>
          <w:i w:val="0"/>
          <w:color w:val="auto"/>
        </w:rPr>
      </w:pPr>
      <m:oMathPara>
        <m:oMathParaPr>
          <m:jc m:val="center"/>
        </m:oMathParaPr>
        <m:oMath>
          <m:sSub>
            <m:sSubPr>
              <m:ctrlPr>
                <w:rPr>
                  <w:rFonts w:hint="default" w:ascii="Cambria Math" w:hAnsi="Cambria Math" w:eastAsia="宋体" w:cs="Times New Roman"/>
                  <w:color w:val="auto"/>
                </w:rPr>
              </m:ctrlPr>
            </m:sSubPr>
            <m:e>
              <m:r>
                <m:rPr>
                  <m:nor/>
                </m:rPr>
                <w:rPr>
                  <w:rFonts w:hint="default" w:ascii="Times New Roman" w:hAnsi="Times New Roman" w:eastAsia="宋体" w:cs="Times New Roman"/>
                  <w:i/>
                  <w:color w:val="auto"/>
                </w:rPr>
                <m:t>L</m:t>
              </m:r>
              <m:ctrlPr>
                <w:rPr>
                  <w:rFonts w:hint="default" w:ascii="Cambria Math" w:hAnsi="Cambria Math" w:eastAsia="宋体" w:cs="Times New Roman"/>
                  <w:color w:val="auto"/>
                </w:rPr>
              </m:ctrlPr>
            </m:e>
            <m:sub>
              <m:r>
                <m:rPr>
                  <m:nor/>
                  <m:sty m:val="p"/>
                </m:rPr>
                <w:rPr>
                  <w:rFonts w:hint="default" w:ascii="Times New Roman" w:hAnsi="Times New Roman" w:eastAsia="宋体" w:cs="Times New Roman"/>
                  <w:b w:val="0"/>
                  <w:i w:val="0"/>
                  <w:color w:val="auto"/>
                </w:rPr>
                <m:t>m</m:t>
              </m:r>
              <m:ctrlPr>
                <w:rPr>
                  <w:rFonts w:hint="default" w:ascii="Cambria Math" w:hAnsi="Cambria Math" w:eastAsia="宋体" w:cs="Times New Roman"/>
                  <w:color w:val="auto"/>
                </w:rPr>
              </m:ctrlPr>
            </m:sub>
          </m:sSub>
          <m:r>
            <m:rPr>
              <m:nor/>
              <m:sty m:val="p"/>
            </m:rPr>
            <w:rPr>
              <w:rFonts w:hint="default" w:ascii="Times New Roman" w:hAnsi="Times New Roman" w:eastAsia="宋体" w:cs="Times New Roman"/>
              <w:b w:val="0"/>
              <w:i w:val="0"/>
              <w:color w:val="auto"/>
            </w:rPr>
            <m:t>=</m:t>
          </m:r>
          <m:d>
            <m:dPr>
              <m:begChr m:val="{"/>
              <m:sepChr m:val=""/>
              <m:endChr m:val="}"/>
              <m:ctrlPr>
                <w:rPr>
                  <w:rFonts w:hint="default" w:ascii="Cambria Math" w:hAnsi="Cambria Math" w:eastAsia="宋体" w:cs="Times New Roman"/>
                  <w:color w:val="auto"/>
                </w:rPr>
              </m:ctrlPr>
            </m:dPr>
            <m:e>
              <m:r>
                <m:rPr>
                  <m:nor/>
                  <m:sty m:val="p"/>
                </m:rPr>
                <w:rPr>
                  <w:rFonts w:hint="default" w:ascii="Times New Roman" w:hAnsi="Times New Roman" w:eastAsia="宋体" w:cs="Times New Roman"/>
                  <w:b w:val="0"/>
                  <w:i w:val="0"/>
                  <w:color w:val="auto"/>
                </w:rPr>
                <m:t>0.11+0.7</m:t>
              </m:r>
              <m:sSup>
                <m:sSupPr>
                  <m:ctrlPr>
                    <w:rPr>
                      <w:rFonts w:hint="default" w:ascii="Cambria Math" w:hAnsi="Cambria Math" w:eastAsia="宋体" w:cs="Times New Roman"/>
                      <w:color w:val="auto"/>
                    </w:rPr>
                  </m:ctrlPr>
                </m:sSupPr>
                <m:e>
                  <m:d>
                    <m:dPr>
                      <m:begChr m:val="["/>
                      <m:sepChr m:val=""/>
                      <m:endChr m:val="]"/>
                      <m:ctrlPr>
                        <w:rPr>
                          <w:rFonts w:hint="default" w:ascii="Cambria Math" w:hAnsi="Cambria Math" w:eastAsia="宋体" w:cs="Times New Roman"/>
                          <w:color w:val="auto"/>
                        </w:rPr>
                      </m:ctrlPr>
                    </m:dPr>
                    <m:e>
                      <m:r>
                        <m:rPr>
                          <m:nor/>
                          <m:sty m:val="p"/>
                        </m:rPr>
                        <w:rPr>
                          <w:rFonts w:hint="default" w:ascii="Times New Roman" w:hAnsi="Times New Roman" w:eastAsia="宋体" w:cs="Times New Roman"/>
                          <w:b w:val="0"/>
                          <w:i w:val="0"/>
                          <w:color w:val="auto"/>
                        </w:rPr>
                        <m:t>0.5−</m:t>
                      </m:r>
                      <m:f>
                        <m:fPr>
                          <m:ctrlPr>
                            <w:rPr>
                              <w:rFonts w:hint="default" w:ascii="Cambria Math" w:hAnsi="Cambria Math" w:eastAsia="宋体" w:cs="Times New Roman"/>
                              <w:color w:val="auto"/>
                            </w:rPr>
                          </m:ctrlPr>
                        </m:fPr>
                        <m:num>
                          <m:r>
                            <m:rPr>
                              <m:nor/>
                            </m:rPr>
                            <w:rPr>
                              <w:rFonts w:hint="default" w:ascii="Times New Roman" w:hAnsi="Times New Roman" w:eastAsia="宋体" w:cs="Times New Roman"/>
                              <w:i/>
                              <w:color w:val="auto"/>
                            </w:rPr>
                            <m:t>a</m:t>
                          </m:r>
                          <m:ctrlPr>
                            <w:rPr>
                              <w:rFonts w:hint="default" w:ascii="Cambria Math" w:hAnsi="Cambria Math" w:eastAsia="宋体" w:cs="Times New Roman"/>
                              <w:color w:val="auto"/>
                            </w:rPr>
                          </m:ctrlPr>
                        </m:num>
                        <m:den>
                          <m:r>
                            <m:rPr>
                              <m:nor/>
                            </m:rPr>
                            <w:rPr>
                              <w:rFonts w:hint="default" w:ascii="Times New Roman" w:hAnsi="Times New Roman" w:eastAsia="宋体" w:cs="Times New Roman"/>
                              <w:i/>
                              <w:color w:val="auto"/>
                            </w:rPr>
                            <m:t>B</m:t>
                          </m:r>
                          <m:ctrlPr>
                            <w:rPr>
                              <w:rFonts w:hint="default" w:ascii="Cambria Math" w:hAnsi="Cambria Math" w:eastAsia="宋体" w:cs="Times New Roman"/>
                              <w:color w:val="auto"/>
                            </w:rPr>
                          </m:ctrlPr>
                        </m:den>
                      </m:f>
                      <m:r>
                        <m:rPr>
                          <m:nor/>
                          <m:sty m:val="p"/>
                        </m:rPr>
                        <w:rPr>
                          <w:rFonts w:hint="default" w:ascii="Times New Roman" w:hAnsi="Times New Roman" w:eastAsia="宋体" w:cs="Times New Roman"/>
                          <w:b w:val="0"/>
                          <w:i w:val="0"/>
                          <w:color w:val="auto"/>
                        </w:rPr>
                        <m:t>−1.1</m:t>
                      </m:r>
                      <m:sSup>
                        <m:sSupPr>
                          <m:ctrlPr>
                            <w:rPr>
                              <w:rFonts w:hint="default" w:ascii="Cambria Math" w:hAnsi="Cambria Math" w:eastAsia="宋体" w:cs="Times New Roman"/>
                              <w:color w:val="auto"/>
                            </w:rPr>
                          </m:ctrlPr>
                        </m:sSupPr>
                        <m:e>
                          <m:d>
                            <m:dPr>
                              <m:sepChr m:val=""/>
                              <m:ctrlPr>
                                <w:rPr>
                                  <w:rFonts w:hint="default" w:ascii="Cambria Math" w:hAnsi="Cambria Math" w:eastAsia="宋体" w:cs="Times New Roman"/>
                                  <w:color w:val="auto"/>
                                </w:rPr>
                              </m:ctrlPr>
                            </m:dPr>
                            <m:e>
                              <m:r>
                                <m:rPr>
                                  <m:nor/>
                                  <m:sty m:val="p"/>
                                </m:rPr>
                                <w:rPr>
                                  <w:rFonts w:hint="default" w:ascii="Times New Roman" w:hAnsi="Times New Roman" w:eastAsia="宋体" w:cs="Times New Roman"/>
                                  <w:b w:val="0"/>
                                  <w:i w:val="0"/>
                                  <w:color w:val="auto"/>
                                </w:rPr>
                                <m:t>0.5−</m:t>
                              </m:r>
                              <m:f>
                                <m:fPr>
                                  <m:ctrlPr>
                                    <w:rPr>
                                      <w:rFonts w:hint="default" w:ascii="Cambria Math" w:hAnsi="Cambria Math" w:eastAsia="宋体" w:cs="Times New Roman"/>
                                      <w:color w:val="auto"/>
                                    </w:rPr>
                                  </m:ctrlPr>
                                </m:fPr>
                                <m:num>
                                  <m:r>
                                    <m:rPr>
                                      <m:nor/>
                                    </m:rPr>
                                    <w:rPr>
                                      <w:rFonts w:hint="default" w:ascii="Times New Roman" w:hAnsi="Times New Roman" w:eastAsia="宋体" w:cs="Times New Roman"/>
                                      <w:i/>
                                      <w:color w:val="auto"/>
                                    </w:rPr>
                                    <m:t>a</m:t>
                                  </m:r>
                                  <m:ctrlPr>
                                    <w:rPr>
                                      <w:rFonts w:hint="default" w:ascii="Cambria Math" w:hAnsi="Cambria Math" w:eastAsia="宋体" w:cs="Times New Roman"/>
                                      <w:color w:val="auto"/>
                                    </w:rPr>
                                  </m:ctrlPr>
                                </m:num>
                                <m:den>
                                  <m:r>
                                    <m:rPr>
                                      <m:nor/>
                                    </m:rPr>
                                    <w:rPr>
                                      <w:rFonts w:hint="default" w:ascii="Times New Roman" w:hAnsi="Times New Roman" w:eastAsia="宋体" w:cs="Times New Roman"/>
                                      <w:i/>
                                      <w:color w:val="auto"/>
                                    </w:rPr>
                                    <m:t>B</m:t>
                                  </m:r>
                                  <m:ctrlPr>
                                    <w:rPr>
                                      <w:rFonts w:hint="default" w:ascii="Cambria Math" w:hAnsi="Cambria Math" w:eastAsia="宋体" w:cs="Times New Roman"/>
                                      <w:color w:val="auto"/>
                                    </w:rPr>
                                  </m:ctrlPr>
                                </m:den>
                              </m:f>
                              <m:ctrlPr>
                                <w:rPr>
                                  <w:rFonts w:hint="default" w:ascii="Cambria Math" w:hAnsi="Cambria Math" w:eastAsia="宋体" w:cs="Times New Roman"/>
                                  <w:color w:val="auto"/>
                                </w:rPr>
                              </m:ctrlPr>
                            </m:e>
                          </m:d>
                          <m:ctrlPr>
                            <w:rPr>
                              <w:rFonts w:hint="default" w:ascii="Cambria Math" w:hAnsi="Cambria Math" w:eastAsia="宋体" w:cs="Times New Roman"/>
                              <w:color w:val="auto"/>
                            </w:rPr>
                          </m:ctrlPr>
                        </m:e>
                        <m:sup>
                          <m:r>
                            <m:rPr>
                              <m:nor/>
                              <m:sty m:val="p"/>
                            </m:rPr>
                            <w:rPr>
                              <w:rFonts w:hint="default" w:ascii="Times New Roman" w:hAnsi="Times New Roman" w:eastAsia="宋体" w:cs="Times New Roman"/>
                              <w:b w:val="0"/>
                              <w:i w:val="0"/>
                              <w:color w:val="auto"/>
                            </w:rPr>
                            <m:t>2</m:t>
                          </m:r>
                          <m:ctrlPr>
                            <w:rPr>
                              <w:rFonts w:hint="default" w:ascii="Cambria Math" w:hAnsi="Cambria Math" w:eastAsia="宋体" w:cs="Times New Roman"/>
                              <w:color w:val="auto"/>
                            </w:rPr>
                          </m:ctrlPr>
                        </m:sup>
                      </m:sSup>
                      <m:ctrlPr>
                        <w:rPr>
                          <w:rFonts w:hint="default" w:ascii="Cambria Math" w:hAnsi="Cambria Math" w:eastAsia="宋体" w:cs="Times New Roman"/>
                          <w:color w:val="auto"/>
                        </w:rPr>
                      </m:ctrlPr>
                    </m:e>
                  </m:d>
                  <m:ctrlPr>
                    <w:rPr>
                      <w:rFonts w:hint="default" w:ascii="Cambria Math" w:hAnsi="Cambria Math" w:eastAsia="宋体" w:cs="Times New Roman"/>
                      <w:color w:val="auto"/>
                    </w:rPr>
                  </m:ctrlPr>
                </m:e>
                <m:sup>
                  <m:r>
                    <m:rPr>
                      <m:nor/>
                      <m:sty m:val="p"/>
                    </m:rPr>
                    <w:rPr>
                      <w:rFonts w:hint="default" w:ascii="Times New Roman" w:hAnsi="Times New Roman" w:eastAsia="宋体" w:cs="Times New Roman"/>
                      <w:b w:val="0"/>
                      <w:i w:val="0"/>
                      <w:color w:val="auto"/>
                    </w:rPr>
                    <m:t>1/2</m:t>
                  </m:r>
                  <m:ctrlPr>
                    <w:rPr>
                      <w:rFonts w:hint="default" w:ascii="Cambria Math" w:hAnsi="Cambria Math" w:eastAsia="宋体" w:cs="Times New Roman"/>
                      <w:color w:val="auto"/>
                    </w:rPr>
                  </m:ctrlPr>
                </m:sup>
              </m:sSup>
              <m:ctrlPr>
                <w:rPr>
                  <w:rFonts w:hint="default" w:ascii="Cambria Math" w:hAnsi="Cambria Math" w:eastAsia="宋体" w:cs="Times New Roman"/>
                  <w:color w:val="auto"/>
                </w:rPr>
              </m:ctrlPr>
            </m:e>
          </m:d>
          <m:f>
            <m:fPr>
              <m:ctrlPr>
                <w:rPr>
                  <w:rFonts w:hint="default" w:ascii="Cambria Math" w:hAnsi="Cambria Math" w:eastAsia="宋体" w:cs="Times New Roman"/>
                  <w:color w:val="auto"/>
                </w:rPr>
              </m:ctrlPr>
            </m:fPr>
            <m:num>
              <m:r>
                <m:rPr>
                  <m:nor/>
                </m:rPr>
                <w:rPr>
                  <w:rFonts w:hint="default" w:ascii="Times New Roman" w:hAnsi="Times New Roman" w:eastAsia="宋体" w:cs="Times New Roman"/>
                  <w:i/>
                  <w:color w:val="auto"/>
                </w:rPr>
                <m:t>u</m:t>
              </m:r>
              <m:sSup>
                <m:sSupPr>
                  <m:ctrlPr>
                    <w:rPr>
                      <w:rFonts w:hint="default" w:ascii="Cambria Math" w:hAnsi="Cambria Math" w:eastAsia="宋体" w:cs="Times New Roman"/>
                      <w:color w:val="auto"/>
                    </w:rPr>
                  </m:ctrlPr>
                </m:sSupPr>
                <m:e>
                  <m:r>
                    <m:rPr>
                      <m:nor/>
                    </m:rPr>
                    <w:rPr>
                      <w:rFonts w:hint="default" w:ascii="Times New Roman" w:hAnsi="Times New Roman" w:eastAsia="宋体" w:cs="Times New Roman"/>
                      <w:i/>
                      <w:color w:val="auto"/>
                    </w:rPr>
                    <m:t>B</m:t>
                  </m:r>
                  <m:ctrlPr>
                    <w:rPr>
                      <w:rFonts w:hint="default" w:ascii="Cambria Math" w:hAnsi="Cambria Math" w:eastAsia="宋体" w:cs="Times New Roman"/>
                      <w:color w:val="auto"/>
                    </w:rPr>
                  </m:ctrlPr>
                </m:e>
                <m:sup>
                  <m:r>
                    <m:rPr>
                      <m:nor/>
                      <m:sty m:val="p"/>
                    </m:rPr>
                    <w:rPr>
                      <w:rFonts w:hint="default" w:ascii="Times New Roman" w:hAnsi="Times New Roman" w:eastAsia="宋体" w:cs="Times New Roman"/>
                      <w:b w:val="0"/>
                      <w:i w:val="0"/>
                      <w:color w:val="auto"/>
                    </w:rPr>
                    <m:t>2</m:t>
                  </m:r>
                  <m:ctrlPr>
                    <w:rPr>
                      <w:rFonts w:hint="default" w:ascii="Cambria Math" w:hAnsi="Cambria Math" w:eastAsia="宋体" w:cs="Times New Roman"/>
                      <w:color w:val="auto"/>
                    </w:rPr>
                  </m:ctrlPr>
                </m:sup>
              </m:sSup>
              <m:ctrlPr>
                <w:rPr>
                  <w:rFonts w:hint="default" w:ascii="Cambria Math" w:hAnsi="Cambria Math" w:eastAsia="宋体" w:cs="Times New Roman"/>
                  <w:color w:val="auto"/>
                </w:rPr>
              </m:ctrlPr>
            </m:num>
            <m:den>
              <m:sSub>
                <m:sSubPr>
                  <m:ctrlPr>
                    <w:rPr>
                      <w:rFonts w:hint="default" w:ascii="Cambria Math" w:hAnsi="Cambria Math" w:eastAsia="宋体" w:cs="Times New Roman"/>
                      <w:color w:val="auto"/>
                    </w:rPr>
                  </m:ctrlPr>
                </m:sSubPr>
                <m:e>
                  <m:r>
                    <m:rPr>
                      <m:nor/>
                    </m:rPr>
                    <w:rPr>
                      <w:rFonts w:hint="default" w:ascii="Times New Roman" w:hAnsi="Times New Roman" w:eastAsia="宋体" w:cs="Times New Roman"/>
                      <w:i/>
                      <w:color w:val="auto"/>
                    </w:rPr>
                    <m:t>E</m:t>
                  </m:r>
                  <m:ctrlPr>
                    <w:rPr>
                      <w:rFonts w:hint="default" w:ascii="Cambria Math" w:hAnsi="Cambria Math" w:eastAsia="宋体" w:cs="Times New Roman"/>
                      <w:color w:val="auto"/>
                    </w:rPr>
                  </m:ctrlPr>
                </m:e>
                <m:sub>
                  <m:r>
                    <m:rPr>
                      <m:nor/>
                    </m:rPr>
                    <w:rPr>
                      <w:rFonts w:hint="default" w:ascii="Times New Roman" w:hAnsi="Times New Roman" w:eastAsia="宋体" w:cs="Times New Roman"/>
                      <w:i/>
                      <w:color w:val="auto"/>
                    </w:rPr>
                    <m:t>y</m:t>
                  </m:r>
                  <m:ctrlPr>
                    <w:rPr>
                      <w:rFonts w:hint="default" w:ascii="Cambria Math" w:hAnsi="Cambria Math" w:eastAsia="宋体" w:cs="Times New Roman"/>
                      <w:color w:val="auto"/>
                    </w:rPr>
                  </m:ctrlPr>
                </m:sub>
              </m:sSub>
              <m:ctrlPr>
                <w:rPr>
                  <w:rFonts w:hint="default" w:ascii="Cambria Math" w:hAnsi="Cambria Math" w:eastAsia="宋体" w:cs="Times New Roman"/>
                  <w:color w:val="auto"/>
                </w:rPr>
              </m:ctrlPr>
            </m:den>
          </m:f>
        </m:oMath>
      </m:oMathPara>
    </w:p>
    <w:p w14:paraId="6A6079A5">
      <w:pPr>
        <w:pStyle w:val="8"/>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20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t>式中：Lm——混合段长度，m；</w:t>
      </w:r>
    </w:p>
    <w:p w14:paraId="1F623B4D">
      <w:pPr>
        <w:pStyle w:val="8"/>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840" w:leftChars="40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t>B——水面宽度，m；</w:t>
      </w:r>
    </w:p>
    <w:p w14:paraId="6851606F">
      <w:pPr>
        <w:pStyle w:val="8"/>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840" w:leftChars="40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t>a——排放口到岸边的距离，m；</w:t>
      </w:r>
    </w:p>
    <w:p w14:paraId="491EB13B">
      <w:pPr>
        <w:pStyle w:val="8"/>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840" w:leftChars="40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t>u——断面流速，m/s；</w:t>
      </w:r>
    </w:p>
    <w:p w14:paraId="610D374F">
      <w:pPr>
        <w:pStyle w:val="8"/>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840" w:leftChars="40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t>Ey——污染物横向扩散系数，m</w:t>
      </w:r>
      <w:r>
        <w:rPr>
          <w:rFonts w:hint="default" w:ascii="Times New Roman" w:hAnsi="Times New Roman" w:eastAsia="宋体" w:cs="Times New Roman"/>
          <w:snapToGrid w:val="0"/>
          <w:color w:val="auto"/>
          <w:spacing w:val="-5"/>
          <w:kern w:val="0"/>
          <w:sz w:val="24"/>
          <w:szCs w:val="24"/>
          <w:vertAlign w:val="superscript"/>
          <w:lang w:val="en-US" w:eastAsia="zh-CN" w:bidi="ar-SA"/>
        </w:rPr>
        <w:t>2</w:t>
      </w:r>
      <w:r>
        <w:rPr>
          <w:rFonts w:hint="default" w:ascii="Times New Roman" w:hAnsi="Times New Roman" w:eastAsia="宋体" w:cs="Times New Roman"/>
          <w:snapToGrid w:val="0"/>
          <w:color w:val="auto"/>
          <w:spacing w:val="-5"/>
          <w:kern w:val="0"/>
          <w:sz w:val="24"/>
          <w:szCs w:val="24"/>
          <w:lang w:val="en-US" w:eastAsia="zh-CN" w:bidi="ar-SA"/>
        </w:rPr>
        <w:t>/s。</w:t>
      </w:r>
    </w:p>
    <w:p w14:paraId="152BCCB1">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t>本项目排污口近岸设置，排放口到岸边的距离为0m。估算得到混合过程段长度为</w:t>
      </w:r>
      <w:r>
        <w:rPr>
          <w:rFonts w:hint="eastAsia" w:ascii="Times New Roman" w:hAnsi="Times New Roman" w:eastAsia="宋体" w:cs="Times New Roman"/>
          <w:snapToGrid w:val="0"/>
          <w:color w:val="auto"/>
          <w:spacing w:val="-5"/>
          <w:kern w:val="0"/>
          <w:sz w:val="24"/>
          <w:szCs w:val="24"/>
          <w:lang w:val="en-US" w:eastAsia="zh-CN" w:bidi="ar-SA"/>
        </w:rPr>
        <w:t>1768</w:t>
      </w:r>
      <w:r>
        <w:rPr>
          <w:rFonts w:hint="default" w:ascii="Times New Roman" w:hAnsi="Times New Roman" w:eastAsia="宋体" w:cs="Times New Roman"/>
          <w:snapToGrid w:val="0"/>
          <w:color w:val="auto"/>
          <w:spacing w:val="-5"/>
          <w:kern w:val="0"/>
          <w:sz w:val="24"/>
          <w:szCs w:val="24"/>
          <w:lang w:val="en-US" w:eastAsia="zh-CN" w:bidi="ar-SA"/>
        </w:rPr>
        <w:t>m。</w:t>
      </w:r>
    </w:p>
    <w:p w14:paraId="7321C0AE">
      <w:pPr>
        <w:pStyle w:val="5"/>
        <w:keepNext/>
        <w:keepLines/>
        <w:pageBreakBefore w:val="0"/>
        <w:widowControl w:val="0"/>
        <w:numPr>
          <w:ilvl w:val="2"/>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eastAsia="宋体" w:cs="Times New Roman"/>
          <w:color w:val="auto"/>
          <w:sz w:val="24"/>
          <w:szCs w:val="40"/>
          <w:lang w:val="en-US" w:eastAsia="zh-CN"/>
        </w:rPr>
      </w:pPr>
      <w:r>
        <w:rPr>
          <w:rFonts w:hint="default" w:ascii="Times New Roman" w:hAnsi="Times New Roman" w:eastAsia="宋体" w:cs="Times New Roman"/>
          <w:color w:val="auto"/>
          <w:sz w:val="24"/>
          <w:szCs w:val="40"/>
          <w:lang w:val="en-US" w:eastAsia="zh-CN"/>
        </w:rPr>
        <w:t>4.8.2、正常工况影响预测</w:t>
      </w:r>
    </w:p>
    <w:p w14:paraId="5B42E8EB">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eastAsia" w:ascii="Times New Roman" w:hAnsi="Times New Roman" w:eastAsia="宋体" w:cs="Times New Roman"/>
          <w:b/>
          <w:bCs/>
          <w:snapToGrid w:val="0"/>
          <w:color w:val="auto"/>
          <w:spacing w:val="-5"/>
          <w:kern w:val="0"/>
          <w:sz w:val="24"/>
          <w:szCs w:val="24"/>
          <w:lang w:val="en-US" w:eastAsia="zh-CN" w:bidi="ar-SA"/>
        </w:rPr>
      </w:pPr>
      <w:r>
        <w:rPr>
          <w:rFonts w:hint="default" w:ascii="Times New Roman" w:hAnsi="Times New Roman" w:eastAsia="宋体" w:cs="Times New Roman"/>
          <w:b/>
          <w:bCs/>
          <w:snapToGrid w:val="0"/>
          <w:color w:val="auto"/>
          <w:spacing w:val="-5"/>
          <w:kern w:val="0"/>
          <w:sz w:val="24"/>
          <w:szCs w:val="24"/>
          <w:lang w:val="en-US" w:eastAsia="zh-CN" w:bidi="ar-SA"/>
        </w:rPr>
        <w:t>1、</w:t>
      </w:r>
      <w:r>
        <w:rPr>
          <w:rFonts w:hint="eastAsia" w:ascii="Times New Roman" w:hAnsi="Times New Roman" w:eastAsia="宋体" w:cs="Times New Roman"/>
          <w:b/>
          <w:bCs/>
          <w:snapToGrid w:val="0"/>
          <w:color w:val="auto"/>
          <w:spacing w:val="-5"/>
          <w:kern w:val="0"/>
          <w:sz w:val="24"/>
          <w:szCs w:val="24"/>
          <w:lang w:val="en-US" w:eastAsia="zh-CN" w:bidi="ar-SA"/>
        </w:rPr>
        <w:t>红光沟段</w:t>
      </w:r>
    </w:p>
    <w:p w14:paraId="78A23844">
      <w:pPr>
        <w:jc w:val="center"/>
        <w:rPr>
          <w:rFonts w:hint="default" w:ascii="Times New Roman" w:hAnsi="Times New Roman" w:eastAsia="宋体" w:cs="Times New Roman"/>
          <w:b/>
          <w:bCs/>
          <w:snapToGrid w:val="0"/>
          <w:color w:val="auto"/>
          <w:spacing w:val="-5"/>
          <w:kern w:val="0"/>
          <w:sz w:val="24"/>
          <w:szCs w:val="24"/>
          <w:lang w:val="en-US" w:eastAsia="zh-CN" w:bidi="ar-SA"/>
        </w:rPr>
      </w:pPr>
      <w:r>
        <w:rPr>
          <w:rFonts w:hint="eastAsia" w:ascii="Times New Roman" w:hAnsi="Times New Roman" w:eastAsia="宋体" w:cs="Times New Roman"/>
          <w:b/>
          <w:bCs/>
          <w:snapToGrid w:val="0"/>
          <w:color w:val="auto"/>
          <w:spacing w:val="-5"/>
          <w:kern w:val="0"/>
          <w:sz w:val="24"/>
          <w:szCs w:val="24"/>
          <w:lang w:val="en-US" w:eastAsia="zh-CN" w:bidi="ar-SA"/>
        </w:rPr>
        <w:t>表4-3    COD污染物预测结果</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322"/>
        <w:gridCol w:w="2322"/>
        <w:gridCol w:w="2322"/>
        <w:gridCol w:w="2322"/>
      </w:tblGrid>
      <w:tr w14:paraId="49AA16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2322" w:type="dxa"/>
            <w:tcBorders>
              <w:tl2br w:val="nil"/>
              <w:tr2bl w:val="nil"/>
            </w:tcBorders>
            <w:shd w:val="clear" w:color="auto" w:fill="auto"/>
            <w:noWrap/>
            <w:vAlign w:val="center"/>
          </w:tcPr>
          <w:p w14:paraId="3FF525A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距离(m)</w:t>
            </w:r>
          </w:p>
        </w:tc>
        <w:tc>
          <w:tcPr>
            <w:tcW w:w="2322" w:type="dxa"/>
            <w:tcBorders>
              <w:tl2br w:val="nil"/>
              <w:tr2bl w:val="nil"/>
            </w:tcBorders>
            <w:shd w:val="clear" w:color="auto" w:fill="auto"/>
            <w:noWrap/>
            <w:vAlign w:val="center"/>
          </w:tcPr>
          <w:p w14:paraId="3665EF8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浓度（mg/L）</w:t>
            </w:r>
          </w:p>
        </w:tc>
        <w:tc>
          <w:tcPr>
            <w:tcW w:w="2322" w:type="dxa"/>
            <w:tcBorders>
              <w:tl2br w:val="nil"/>
              <w:tr2bl w:val="nil"/>
            </w:tcBorders>
            <w:shd w:val="clear" w:color="auto" w:fill="auto"/>
            <w:noWrap/>
            <w:vAlign w:val="center"/>
          </w:tcPr>
          <w:p w14:paraId="59ED1E7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距离(m)</w:t>
            </w:r>
          </w:p>
        </w:tc>
        <w:tc>
          <w:tcPr>
            <w:tcW w:w="2322" w:type="dxa"/>
            <w:tcBorders>
              <w:tl2br w:val="nil"/>
              <w:tr2bl w:val="nil"/>
            </w:tcBorders>
            <w:shd w:val="clear" w:color="auto" w:fill="auto"/>
            <w:noWrap/>
            <w:vAlign w:val="center"/>
          </w:tcPr>
          <w:p w14:paraId="38CA893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浓度（mg/L）</w:t>
            </w:r>
          </w:p>
        </w:tc>
      </w:tr>
      <w:tr w14:paraId="3DAFC2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2322" w:type="dxa"/>
            <w:tcBorders>
              <w:tl2br w:val="nil"/>
              <w:tr2bl w:val="nil"/>
            </w:tcBorders>
            <w:shd w:val="clear" w:color="auto" w:fill="auto"/>
            <w:noWrap/>
            <w:vAlign w:val="center"/>
          </w:tcPr>
          <w:p w14:paraId="08B1F0A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2322" w:type="dxa"/>
            <w:tcBorders>
              <w:tl2br w:val="nil"/>
              <w:tr2bl w:val="nil"/>
            </w:tcBorders>
            <w:shd w:val="clear" w:color="auto" w:fill="auto"/>
            <w:noWrap/>
            <w:vAlign w:val="center"/>
          </w:tcPr>
          <w:p w14:paraId="2D4B694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2.59</w:t>
            </w:r>
          </w:p>
        </w:tc>
        <w:tc>
          <w:tcPr>
            <w:tcW w:w="2322" w:type="dxa"/>
            <w:tcBorders>
              <w:tl2br w:val="nil"/>
              <w:tr2bl w:val="nil"/>
            </w:tcBorders>
            <w:shd w:val="clear" w:color="auto" w:fill="auto"/>
            <w:noWrap/>
            <w:vAlign w:val="center"/>
          </w:tcPr>
          <w:p w14:paraId="192AA96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1700</w:t>
            </w:r>
          </w:p>
        </w:tc>
        <w:tc>
          <w:tcPr>
            <w:tcW w:w="2322" w:type="dxa"/>
            <w:tcBorders>
              <w:tl2br w:val="nil"/>
              <w:tr2bl w:val="nil"/>
            </w:tcBorders>
            <w:shd w:val="clear" w:color="auto" w:fill="auto"/>
            <w:noWrap/>
            <w:vAlign w:val="center"/>
          </w:tcPr>
          <w:p w14:paraId="7FC585E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1.56</w:t>
            </w:r>
          </w:p>
        </w:tc>
      </w:tr>
      <w:tr w14:paraId="09DDE0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2322" w:type="dxa"/>
            <w:tcBorders>
              <w:tl2br w:val="nil"/>
              <w:tr2bl w:val="nil"/>
            </w:tcBorders>
            <w:shd w:val="clear" w:color="auto" w:fill="auto"/>
            <w:noWrap/>
            <w:vAlign w:val="center"/>
          </w:tcPr>
          <w:p w14:paraId="17D3E88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w:t>
            </w:r>
          </w:p>
        </w:tc>
        <w:tc>
          <w:tcPr>
            <w:tcW w:w="2322" w:type="dxa"/>
            <w:tcBorders>
              <w:tl2br w:val="nil"/>
              <w:tr2bl w:val="nil"/>
            </w:tcBorders>
            <w:shd w:val="clear" w:color="auto" w:fill="auto"/>
            <w:noWrap/>
            <w:vAlign w:val="center"/>
          </w:tcPr>
          <w:p w14:paraId="6C09853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2.51</w:t>
            </w:r>
          </w:p>
        </w:tc>
        <w:tc>
          <w:tcPr>
            <w:tcW w:w="2322" w:type="dxa"/>
            <w:tcBorders>
              <w:tl2br w:val="nil"/>
              <w:tr2bl w:val="nil"/>
            </w:tcBorders>
            <w:shd w:val="clear" w:color="auto" w:fill="auto"/>
            <w:noWrap/>
            <w:vAlign w:val="center"/>
          </w:tcPr>
          <w:p w14:paraId="08731FC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2322" w:type="dxa"/>
            <w:tcBorders>
              <w:tl2br w:val="nil"/>
              <w:tr2bl w:val="nil"/>
            </w:tcBorders>
            <w:shd w:val="clear" w:color="auto" w:fill="auto"/>
            <w:noWrap/>
            <w:vAlign w:val="center"/>
          </w:tcPr>
          <w:p w14:paraId="3102CB4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1.51</w:t>
            </w:r>
          </w:p>
        </w:tc>
      </w:tr>
      <w:tr w14:paraId="157297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2322" w:type="dxa"/>
            <w:tcBorders>
              <w:tl2br w:val="nil"/>
              <w:tr2bl w:val="nil"/>
            </w:tcBorders>
            <w:shd w:val="clear" w:color="auto" w:fill="auto"/>
            <w:noWrap/>
            <w:vAlign w:val="center"/>
          </w:tcPr>
          <w:p w14:paraId="0A6F895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w:t>
            </w:r>
          </w:p>
        </w:tc>
        <w:tc>
          <w:tcPr>
            <w:tcW w:w="2322" w:type="dxa"/>
            <w:tcBorders>
              <w:tl2br w:val="nil"/>
              <w:tr2bl w:val="nil"/>
            </w:tcBorders>
            <w:shd w:val="clear" w:color="auto" w:fill="auto"/>
            <w:noWrap/>
            <w:vAlign w:val="center"/>
          </w:tcPr>
          <w:p w14:paraId="6A95AB0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2.44</w:t>
            </w:r>
          </w:p>
        </w:tc>
        <w:tc>
          <w:tcPr>
            <w:tcW w:w="2322" w:type="dxa"/>
            <w:tcBorders>
              <w:tl2br w:val="nil"/>
              <w:tr2bl w:val="nil"/>
            </w:tcBorders>
            <w:shd w:val="clear" w:color="auto" w:fill="auto"/>
            <w:noWrap/>
            <w:vAlign w:val="center"/>
          </w:tcPr>
          <w:p w14:paraId="7287EF4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1900</w:t>
            </w:r>
          </w:p>
        </w:tc>
        <w:tc>
          <w:tcPr>
            <w:tcW w:w="2322" w:type="dxa"/>
            <w:tcBorders>
              <w:tl2br w:val="nil"/>
              <w:tr2bl w:val="nil"/>
            </w:tcBorders>
            <w:shd w:val="clear" w:color="auto" w:fill="auto"/>
            <w:noWrap/>
            <w:vAlign w:val="center"/>
          </w:tcPr>
          <w:p w14:paraId="72CD9D9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1.47</w:t>
            </w:r>
          </w:p>
        </w:tc>
      </w:tr>
      <w:tr w14:paraId="539FA5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2322" w:type="dxa"/>
            <w:tcBorders>
              <w:tl2br w:val="nil"/>
              <w:tr2bl w:val="nil"/>
            </w:tcBorders>
            <w:shd w:val="clear" w:color="auto" w:fill="auto"/>
            <w:noWrap/>
            <w:vAlign w:val="center"/>
          </w:tcPr>
          <w:p w14:paraId="4A2181F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300</w:t>
            </w:r>
          </w:p>
        </w:tc>
        <w:tc>
          <w:tcPr>
            <w:tcW w:w="2322" w:type="dxa"/>
            <w:tcBorders>
              <w:tl2br w:val="nil"/>
              <w:tr2bl w:val="nil"/>
            </w:tcBorders>
            <w:shd w:val="clear" w:color="auto" w:fill="auto"/>
            <w:noWrap/>
            <w:vAlign w:val="center"/>
          </w:tcPr>
          <w:p w14:paraId="70708EA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2.37</w:t>
            </w:r>
          </w:p>
        </w:tc>
        <w:tc>
          <w:tcPr>
            <w:tcW w:w="2322" w:type="dxa"/>
            <w:tcBorders>
              <w:tl2br w:val="nil"/>
              <w:tr2bl w:val="nil"/>
            </w:tcBorders>
            <w:shd w:val="clear" w:color="auto" w:fill="auto"/>
            <w:noWrap/>
            <w:vAlign w:val="center"/>
          </w:tcPr>
          <w:p w14:paraId="0A9E0B7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2000</w:t>
            </w:r>
          </w:p>
        </w:tc>
        <w:tc>
          <w:tcPr>
            <w:tcW w:w="2322" w:type="dxa"/>
            <w:tcBorders>
              <w:tl2br w:val="nil"/>
              <w:tr2bl w:val="nil"/>
            </w:tcBorders>
            <w:shd w:val="clear" w:color="auto" w:fill="auto"/>
            <w:noWrap/>
            <w:vAlign w:val="center"/>
          </w:tcPr>
          <w:p w14:paraId="5A28B8A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1.42</w:t>
            </w:r>
          </w:p>
        </w:tc>
      </w:tr>
      <w:tr w14:paraId="43A9D5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2322" w:type="dxa"/>
            <w:tcBorders>
              <w:tl2br w:val="nil"/>
              <w:tr2bl w:val="nil"/>
            </w:tcBorders>
            <w:shd w:val="clear" w:color="auto" w:fill="auto"/>
            <w:noWrap/>
            <w:vAlign w:val="center"/>
          </w:tcPr>
          <w:p w14:paraId="7D6C8BE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400</w:t>
            </w:r>
          </w:p>
        </w:tc>
        <w:tc>
          <w:tcPr>
            <w:tcW w:w="2322" w:type="dxa"/>
            <w:tcBorders>
              <w:tl2br w:val="nil"/>
              <w:tr2bl w:val="nil"/>
            </w:tcBorders>
            <w:shd w:val="clear" w:color="auto" w:fill="auto"/>
            <w:noWrap/>
            <w:vAlign w:val="center"/>
          </w:tcPr>
          <w:p w14:paraId="2B30396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2.30</w:t>
            </w:r>
          </w:p>
        </w:tc>
        <w:tc>
          <w:tcPr>
            <w:tcW w:w="2322" w:type="dxa"/>
            <w:tcBorders>
              <w:tl2br w:val="nil"/>
              <w:tr2bl w:val="nil"/>
            </w:tcBorders>
            <w:shd w:val="clear" w:color="auto" w:fill="auto"/>
            <w:noWrap/>
            <w:vAlign w:val="center"/>
          </w:tcPr>
          <w:p w14:paraId="5E4A2E4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2100</w:t>
            </w:r>
          </w:p>
        </w:tc>
        <w:tc>
          <w:tcPr>
            <w:tcW w:w="2322" w:type="dxa"/>
            <w:tcBorders>
              <w:tl2br w:val="nil"/>
              <w:tr2bl w:val="nil"/>
            </w:tcBorders>
            <w:shd w:val="clear" w:color="auto" w:fill="auto"/>
            <w:noWrap/>
            <w:vAlign w:val="center"/>
          </w:tcPr>
          <w:p w14:paraId="6CBF7F6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1.38</w:t>
            </w:r>
          </w:p>
        </w:tc>
      </w:tr>
      <w:tr w14:paraId="4FC2D0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2322" w:type="dxa"/>
            <w:tcBorders>
              <w:tl2br w:val="nil"/>
              <w:tr2bl w:val="nil"/>
            </w:tcBorders>
            <w:shd w:val="clear" w:color="auto" w:fill="auto"/>
            <w:noWrap/>
            <w:vAlign w:val="center"/>
          </w:tcPr>
          <w:p w14:paraId="05C51E1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500</w:t>
            </w:r>
          </w:p>
        </w:tc>
        <w:tc>
          <w:tcPr>
            <w:tcW w:w="2322" w:type="dxa"/>
            <w:tcBorders>
              <w:tl2br w:val="nil"/>
              <w:tr2bl w:val="nil"/>
            </w:tcBorders>
            <w:shd w:val="clear" w:color="auto" w:fill="auto"/>
            <w:noWrap/>
            <w:vAlign w:val="center"/>
          </w:tcPr>
          <w:p w14:paraId="464D802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2.23</w:t>
            </w:r>
          </w:p>
        </w:tc>
        <w:tc>
          <w:tcPr>
            <w:tcW w:w="2322" w:type="dxa"/>
            <w:tcBorders>
              <w:tl2br w:val="nil"/>
              <w:tr2bl w:val="nil"/>
            </w:tcBorders>
            <w:shd w:val="clear" w:color="auto" w:fill="auto"/>
            <w:noWrap/>
            <w:vAlign w:val="center"/>
          </w:tcPr>
          <w:p w14:paraId="1012E30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2200</w:t>
            </w:r>
          </w:p>
        </w:tc>
        <w:tc>
          <w:tcPr>
            <w:tcW w:w="2322" w:type="dxa"/>
            <w:tcBorders>
              <w:tl2br w:val="nil"/>
              <w:tr2bl w:val="nil"/>
            </w:tcBorders>
            <w:shd w:val="clear" w:color="auto" w:fill="auto"/>
            <w:noWrap/>
            <w:vAlign w:val="center"/>
          </w:tcPr>
          <w:p w14:paraId="000C576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1.34</w:t>
            </w:r>
          </w:p>
        </w:tc>
      </w:tr>
      <w:tr w14:paraId="178303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2322" w:type="dxa"/>
            <w:tcBorders>
              <w:tl2br w:val="nil"/>
              <w:tr2bl w:val="nil"/>
            </w:tcBorders>
            <w:shd w:val="clear" w:color="auto" w:fill="auto"/>
            <w:noWrap/>
            <w:vAlign w:val="center"/>
          </w:tcPr>
          <w:p w14:paraId="1C17ED3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600</w:t>
            </w:r>
          </w:p>
        </w:tc>
        <w:tc>
          <w:tcPr>
            <w:tcW w:w="2322" w:type="dxa"/>
            <w:tcBorders>
              <w:tl2br w:val="nil"/>
              <w:tr2bl w:val="nil"/>
            </w:tcBorders>
            <w:shd w:val="clear" w:color="auto" w:fill="auto"/>
            <w:noWrap/>
            <w:vAlign w:val="center"/>
          </w:tcPr>
          <w:p w14:paraId="5BD43AD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2.16</w:t>
            </w:r>
          </w:p>
        </w:tc>
        <w:tc>
          <w:tcPr>
            <w:tcW w:w="2322" w:type="dxa"/>
            <w:tcBorders>
              <w:tl2br w:val="nil"/>
              <w:tr2bl w:val="nil"/>
            </w:tcBorders>
            <w:shd w:val="clear" w:color="auto" w:fill="auto"/>
            <w:noWrap/>
            <w:vAlign w:val="center"/>
          </w:tcPr>
          <w:p w14:paraId="55F9369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2300</w:t>
            </w:r>
          </w:p>
        </w:tc>
        <w:tc>
          <w:tcPr>
            <w:tcW w:w="2322" w:type="dxa"/>
            <w:tcBorders>
              <w:tl2br w:val="nil"/>
              <w:tr2bl w:val="nil"/>
            </w:tcBorders>
            <w:shd w:val="clear" w:color="auto" w:fill="auto"/>
            <w:noWrap/>
            <w:vAlign w:val="center"/>
          </w:tcPr>
          <w:p w14:paraId="4FC58F6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1.30</w:t>
            </w:r>
          </w:p>
        </w:tc>
      </w:tr>
      <w:tr w14:paraId="18951A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2322" w:type="dxa"/>
            <w:tcBorders>
              <w:tl2br w:val="nil"/>
              <w:tr2bl w:val="nil"/>
            </w:tcBorders>
            <w:shd w:val="clear" w:color="auto" w:fill="auto"/>
            <w:noWrap/>
            <w:vAlign w:val="center"/>
          </w:tcPr>
          <w:p w14:paraId="138D2F7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700</w:t>
            </w:r>
          </w:p>
        </w:tc>
        <w:tc>
          <w:tcPr>
            <w:tcW w:w="2322" w:type="dxa"/>
            <w:tcBorders>
              <w:tl2br w:val="nil"/>
              <w:tr2bl w:val="nil"/>
            </w:tcBorders>
            <w:shd w:val="clear" w:color="auto" w:fill="auto"/>
            <w:noWrap/>
            <w:vAlign w:val="center"/>
          </w:tcPr>
          <w:p w14:paraId="2B51CED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2.10</w:t>
            </w:r>
          </w:p>
        </w:tc>
        <w:tc>
          <w:tcPr>
            <w:tcW w:w="2322" w:type="dxa"/>
            <w:tcBorders>
              <w:tl2br w:val="nil"/>
              <w:tr2bl w:val="nil"/>
            </w:tcBorders>
            <w:shd w:val="clear" w:color="auto" w:fill="auto"/>
            <w:noWrap/>
            <w:vAlign w:val="center"/>
          </w:tcPr>
          <w:p w14:paraId="47B900A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2400</w:t>
            </w:r>
          </w:p>
        </w:tc>
        <w:tc>
          <w:tcPr>
            <w:tcW w:w="2322" w:type="dxa"/>
            <w:tcBorders>
              <w:tl2br w:val="nil"/>
              <w:tr2bl w:val="nil"/>
            </w:tcBorders>
            <w:shd w:val="clear" w:color="auto" w:fill="auto"/>
            <w:noWrap/>
            <w:vAlign w:val="center"/>
          </w:tcPr>
          <w:p w14:paraId="7016572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1.26</w:t>
            </w:r>
          </w:p>
        </w:tc>
      </w:tr>
      <w:tr w14:paraId="2B5FED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2322" w:type="dxa"/>
            <w:tcBorders>
              <w:tl2br w:val="nil"/>
              <w:tr2bl w:val="nil"/>
            </w:tcBorders>
            <w:shd w:val="clear" w:color="auto" w:fill="auto"/>
            <w:noWrap/>
            <w:vAlign w:val="center"/>
          </w:tcPr>
          <w:p w14:paraId="2127F22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800</w:t>
            </w:r>
          </w:p>
        </w:tc>
        <w:tc>
          <w:tcPr>
            <w:tcW w:w="2322" w:type="dxa"/>
            <w:tcBorders>
              <w:tl2br w:val="nil"/>
              <w:tr2bl w:val="nil"/>
            </w:tcBorders>
            <w:shd w:val="clear" w:color="auto" w:fill="auto"/>
            <w:noWrap/>
            <w:vAlign w:val="center"/>
          </w:tcPr>
          <w:p w14:paraId="60B822D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2.04</w:t>
            </w:r>
          </w:p>
        </w:tc>
        <w:tc>
          <w:tcPr>
            <w:tcW w:w="2322" w:type="dxa"/>
            <w:tcBorders>
              <w:tl2br w:val="nil"/>
              <w:tr2bl w:val="nil"/>
            </w:tcBorders>
            <w:shd w:val="clear" w:color="auto" w:fill="auto"/>
            <w:noWrap/>
            <w:vAlign w:val="center"/>
          </w:tcPr>
          <w:p w14:paraId="4C52B11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2500</w:t>
            </w:r>
          </w:p>
        </w:tc>
        <w:tc>
          <w:tcPr>
            <w:tcW w:w="2322" w:type="dxa"/>
            <w:tcBorders>
              <w:tl2br w:val="nil"/>
              <w:tr2bl w:val="nil"/>
            </w:tcBorders>
            <w:shd w:val="clear" w:color="auto" w:fill="auto"/>
            <w:noWrap/>
            <w:vAlign w:val="center"/>
          </w:tcPr>
          <w:p w14:paraId="77E798B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1.22</w:t>
            </w:r>
          </w:p>
        </w:tc>
      </w:tr>
      <w:tr w14:paraId="2AB82F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2322" w:type="dxa"/>
            <w:tcBorders>
              <w:tl2br w:val="nil"/>
              <w:tr2bl w:val="nil"/>
            </w:tcBorders>
            <w:shd w:val="clear" w:color="auto" w:fill="auto"/>
            <w:noWrap/>
            <w:vAlign w:val="center"/>
          </w:tcPr>
          <w:p w14:paraId="644C7C3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900</w:t>
            </w:r>
          </w:p>
        </w:tc>
        <w:tc>
          <w:tcPr>
            <w:tcW w:w="2322" w:type="dxa"/>
            <w:tcBorders>
              <w:tl2br w:val="nil"/>
              <w:tr2bl w:val="nil"/>
            </w:tcBorders>
            <w:shd w:val="clear" w:color="auto" w:fill="auto"/>
            <w:noWrap/>
            <w:vAlign w:val="center"/>
          </w:tcPr>
          <w:p w14:paraId="67609C4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1.98</w:t>
            </w:r>
          </w:p>
        </w:tc>
        <w:tc>
          <w:tcPr>
            <w:tcW w:w="2322" w:type="dxa"/>
            <w:tcBorders>
              <w:tl2br w:val="nil"/>
              <w:tr2bl w:val="nil"/>
            </w:tcBorders>
            <w:shd w:val="clear" w:color="auto" w:fill="auto"/>
            <w:noWrap/>
            <w:vAlign w:val="center"/>
          </w:tcPr>
          <w:p w14:paraId="7896DAB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2600</w:t>
            </w:r>
          </w:p>
        </w:tc>
        <w:tc>
          <w:tcPr>
            <w:tcW w:w="2322" w:type="dxa"/>
            <w:tcBorders>
              <w:tl2br w:val="nil"/>
              <w:tr2bl w:val="nil"/>
            </w:tcBorders>
            <w:shd w:val="clear" w:color="auto" w:fill="auto"/>
            <w:noWrap/>
            <w:vAlign w:val="center"/>
          </w:tcPr>
          <w:p w14:paraId="20FB017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1.19</w:t>
            </w:r>
          </w:p>
        </w:tc>
      </w:tr>
      <w:tr w14:paraId="26DAA7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2322" w:type="dxa"/>
            <w:tcBorders>
              <w:tl2br w:val="nil"/>
              <w:tr2bl w:val="nil"/>
            </w:tcBorders>
            <w:shd w:val="clear" w:color="auto" w:fill="auto"/>
            <w:noWrap/>
            <w:vAlign w:val="center"/>
          </w:tcPr>
          <w:p w14:paraId="74EBCFA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1000</w:t>
            </w:r>
          </w:p>
        </w:tc>
        <w:tc>
          <w:tcPr>
            <w:tcW w:w="2322" w:type="dxa"/>
            <w:tcBorders>
              <w:tl2br w:val="nil"/>
              <w:tr2bl w:val="nil"/>
            </w:tcBorders>
            <w:shd w:val="clear" w:color="auto" w:fill="auto"/>
            <w:noWrap/>
            <w:vAlign w:val="center"/>
          </w:tcPr>
          <w:p w14:paraId="001307B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1.92</w:t>
            </w:r>
          </w:p>
        </w:tc>
        <w:tc>
          <w:tcPr>
            <w:tcW w:w="2322" w:type="dxa"/>
            <w:tcBorders>
              <w:tl2br w:val="nil"/>
              <w:tr2bl w:val="nil"/>
            </w:tcBorders>
            <w:shd w:val="clear" w:color="auto" w:fill="auto"/>
            <w:noWrap/>
            <w:vAlign w:val="center"/>
          </w:tcPr>
          <w:p w14:paraId="63B062A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2700</w:t>
            </w:r>
          </w:p>
        </w:tc>
        <w:tc>
          <w:tcPr>
            <w:tcW w:w="2322" w:type="dxa"/>
            <w:tcBorders>
              <w:tl2br w:val="nil"/>
              <w:tr2bl w:val="nil"/>
            </w:tcBorders>
            <w:shd w:val="clear" w:color="auto" w:fill="auto"/>
            <w:noWrap/>
            <w:vAlign w:val="center"/>
          </w:tcPr>
          <w:p w14:paraId="7EC92F8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1.15</w:t>
            </w:r>
          </w:p>
        </w:tc>
      </w:tr>
      <w:tr w14:paraId="4CC2EA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322" w:type="dxa"/>
            <w:tcBorders>
              <w:tl2br w:val="nil"/>
              <w:tr2bl w:val="nil"/>
            </w:tcBorders>
            <w:shd w:val="clear" w:color="auto" w:fill="auto"/>
            <w:noWrap/>
            <w:vAlign w:val="center"/>
          </w:tcPr>
          <w:p w14:paraId="77D6DCC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1100</w:t>
            </w:r>
          </w:p>
        </w:tc>
        <w:tc>
          <w:tcPr>
            <w:tcW w:w="2322" w:type="dxa"/>
            <w:tcBorders>
              <w:tl2br w:val="nil"/>
              <w:tr2bl w:val="nil"/>
            </w:tcBorders>
            <w:shd w:val="clear" w:color="auto" w:fill="auto"/>
            <w:noWrap/>
            <w:vAlign w:val="center"/>
          </w:tcPr>
          <w:p w14:paraId="4F87851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1.86</w:t>
            </w:r>
          </w:p>
        </w:tc>
        <w:tc>
          <w:tcPr>
            <w:tcW w:w="2322" w:type="dxa"/>
            <w:tcBorders>
              <w:tl2br w:val="nil"/>
              <w:tr2bl w:val="nil"/>
            </w:tcBorders>
            <w:shd w:val="clear" w:color="auto" w:fill="auto"/>
            <w:noWrap/>
            <w:vAlign w:val="center"/>
          </w:tcPr>
          <w:p w14:paraId="5951C15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2800</w:t>
            </w:r>
          </w:p>
        </w:tc>
        <w:tc>
          <w:tcPr>
            <w:tcW w:w="2322" w:type="dxa"/>
            <w:tcBorders>
              <w:tl2br w:val="nil"/>
              <w:tr2bl w:val="nil"/>
            </w:tcBorders>
            <w:shd w:val="clear" w:color="auto" w:fill="auto"/>
            <w:noWrap/>
            <w:vAlign w:val="center"/>
          </w:tcPr>
          <w:p w14:paraId="22A0829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1.12</w:t>
            </w:r>
          </w:p>
        </w:tc>
      </w:tr>
      <w:tr w14:paraId="344D50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2322" w:type="dxa"/>
            <w:tcBorders>
              <w:tl2br w:val="nil"/>
              <w:tr2bl w:val="nil"/>
            </w:tcBorders>
            <w:shd w:val="clear" w:color="auto" w:fill="auto"/>
            <w:noWrap/>
            <w:vAlign w:val="center"/>
          </w:tcPr>
          <w:p w14:paraId="0DA5E72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1200</w:t>
            </w:r>
          </w:p>
        </w:tc>
        <w:tc>
          <w:tcPr>
            <w:tcW w:w="2322" w:type="dxa"/>
            <w:tcBorders>
              <w:tl2br w:val="nil"/>
              <w:tr2bl w:val="nil"/>
            </w:tcBorders>
            <w:shd w:val="clear" w:color="auto" w:fill="auto"/>
            <w:noWrap/>
            <w:vAlign w:val="center"/>
          </w:tcPr>
          <w:p w14:paraId="52B2160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1.81</w:t>
            </w:r>
          </w:p>
        </w:tc>
        <w:tc>
          <w:tcPr>
            <w:tcW w:w="2322" w:type="dxa"/>
            <w:tcBorders>
              <w:tl2br w:val="nil"/>
              <w:tr2bl w:val="nil"/>
            </w:tcBorders>
            <w:shd w:val="clear" w:color="auto" w:fill="auto"/>
            <w:noWrap/>
            <w:vAlign w:val="center"/>
          </w:tcPr>
          <w:p w14:paraId="56D74BF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2900</w:t>
            </w:r>
          </w:p>
        </w:tc>
        <w:tc>
          <w:tcPr>
            <w:tcW w:w="2322" w:type="dxa"/>
            <w:tcBorders>
              <w:tl2br w:val="nil"/>
              <w:tr2bl w:val="nil"/>
            </w:tcBorders>
            <w:shd w:val="clear" w:color="auto" w:fill="auto"/>
            <w:noWrap/>
            <w:vAlign w:val="center"/>
          </w:tcPr>
          <w:p w14:paraId="504412F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1.09</w:t>
            </w:r>
          </w:p>
        </w:tc>
      </w:tr>
      <w:tr w14:paraId="2B50C3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2322" w:type="dxa"/>
            <w:tcBorders>
              <w:tl2br w:val="nil"/>
              <w:tr2bl w:val="nil"/>
            </w:tcBorders>
            <w:shd w:val="clear" w:color="auto" w:fill="auto"/>
            <w:noWrap/>
            <w:vAlign w:val="center"/>
          </w:tcPr>
          <w:p w14:paraId="780F5F9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1300</w:t>
            </w:r>
          </w:p>
        </w:tc>
        <w:tc>
          <w:tcPr>
            <w:tcW w:w="2322" w:type="dxa"/>
            <w:tcBorders>
              <w:tl2br w:val="nil"/>
              <w:tr2bl w:val="nil"/>
            </w:tcBorders>
            <w:shd w:val="clear" w:color="auto" w:fill="auto"/>
            <w:noWrap/>
            <w:vAlign w:val="center"/>
          </w:tcPr>
          <w:p w14:paraId="40BA11F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1.75</w:t>
            </w:r>
          </w:p>
        </w:tc>
        <w:tc>
          <w:tcPr>
            <w:tcW w:w="2322" w:type="dxa"/>
            <w:tcBorders>
              <w:tl2br w:val="nil"/>
              <w:tr2bl w:val="nil"/>
            </w:tcBorders>
            <w:shd w:val="clear" w:color="auto" w:fill="auto"/>
            <w:noWrap/>
            <w:vAlign w:val="center"/>
          </w:tcPr>
          <w:p w14:paraId="4B3D82D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3000</w:t>
            </w:r>
          </w:p>
        </w:tc>
        <w:tc>
          <w:tcPr>
            <w:tcW w:w="2322" w:type="dxa"/>
            <w:tcBorders>
              <w:tl2br w:val="nil"/>
              <w:tr2bl w:val="nil"/>
            </w:tcBorders>
            <w:shd w:val="clear" w:color="auto" w:fill="auto"/>
            <w:noWrap/>
            <w:vAlign w:val="center"/>
          </w:tcPr>
          <w:p w14:paraId="316481F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1.05</w:t>
            </w:r>
          </w:p>
        </w:tc>
      </w:tr>
      <w:tr w14:paraId="5BF9CF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2322" w:type="dxa"/>
            <w:tcBorders>
              <w:tl2br w:val="nil"/>
              <w:tr2bl w:val="nil"/>
            </w:tcBorders>
            <w:shd w:val="clear" w:color="auto" w:fill="auto"/>
            <w:noWrap/>
            <w:vAlign w:val="center"/>
          </w:tcPr>
          <w:p w14:paraId="4B3ADF5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1400</w:t>
            </w:r>
          </w:p>
        </w:tc>
        <w:tc>
          <w:tcPr>
            <w:tcW w:w="2322" w:type="dxa"/>
            <w:tcBorders>
              <w:tl2br w:val="nil"/>
              <w:tr2bl w:val="nil"/>
            </w:tcBorders>
            <w:shd w:val="clear" w:color="auto" w:fill="auto"/>
            <w:noWrap/>
            <w:vAlign w:val="center"/>
          </w:tcPr>
          <w:p w14:paraId="66F8256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1.70</w:t>
            </w:r>
          </w:p>
        </w:tc>
        <w:tc>
          <w:tcPr>
            <w:tcW w:w="2322" w:type="dxa"/>
            <w:tcBorders>
              <w:tl2br w:val="nil"/>
              <w:tr2bl w:val="nil"/>
            </w:tcBorders>
            <w:shd w:val="clear" w:color="auto" w:fill="auto"/>
            <w:noWrap/>
            <w:vAlign w:val="center"/>
          </w:tcPr>
          <w:p w14:paraId="27A4A5D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3100</w:t>
            </w:r>
          </w:p>
        </w:tc>
        <w:tc>
          <w:tcPr>
            <w:tcW w:w="2322" w:type="dxa"/>
            <w:tcBorders>
              <w:tl2br w:val="nil"/>
              <w:tr2bl w:val="nil"/>
            </w:tcBorders>
            <w:shd w:val="clear" w:color="auto" w:fill="auto"/>
            <w:noWrap/>
            <w:vAlign w:val="center"/>
          </w:tcPr>
          <w:p w14:paraId="601BE5B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1.02</w:t>
            </w:r>
          </w:p>
        </w:tc>
      </w:tr>
      <w:tr w14:paraId="1FAE81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2322" w:type="dxa"/>
            <w:tcBorders>
              <w:tl2br w:val="nil"/>
              <w:tr2bl w:val="nil"/>
            </w:tcBorders>
            <w:shd w:val="clear" w:color="auto" w:fill="auto"/>
            <w:noWrap/>
            <w:vAlign w:val="center"/>
          </w:tcPr>
          <w:p w14:paraId="1FB62E3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1500</w:t>
            </w:r>
          </w:p>
        </w:tc>
        <w:tc>
          <w:tcPr>
            <w:tcW w:w="2322" w:type="dxa"/>
            <w:tcBorders>
              <w:tl2br w:val="nil"/>
              <w:tr2bl w:val="nil"/>
            </w:tcBorders>
            <w:shd w:val="clear" w:color="auto" w:fill="auto"/>
            <w:noWrap/>
            <w:vAlign w:val="center"/>
          </w:tcPr>
          <w:p w14:paraId="7972294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1.65</w:t>
            </w:r>
          </w:p>
        </w:tc>
        <w:tc>
          <w:tcPr>
            <w:tcW w:w="2322" w:type="dxa"/>
            <w:tcBorders>
              <w:tl2br w:val="nil"/>
              <w:tr2bl w:val="nil"/>
            </w:tcBorders>
            <w:shd w:val="clear" w:color="auto" w:fill="auto"/>
            <w:noWrap/>
            <w:vAlign w:val="center"/>
          </w:tcPr>
          <w:p w14:paraId="28EF899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3200</w:t>
            </w:r>
          </w:p>
        </w:tc>
        <w:tc>
          <w:tcPr>
            <w:tcW w:w="2322" w:type="dxa"/>
            <w:tcBorders>
              <w:tl2br w:val="nil"/>
              <w:tr2bl w:val="nil"/>
            </w:tcBorders>
            <w:shd w:val="clear" w:color="auto" w:fill="auto"/>
            <w:noWrap/>
            <w:vAlign w:val="center"/>
          </w:tcPr>
          <w:p w14:paraId="5A37760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0.99</w:t>
            </w:r>
          </w:p>
        </w:tc>
      </w:tr>
      <w:tr w14:paraId="44EB04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2322" w:type="dxa"/>
            <w:tcBorders>
              <w:tl2br w:val="nil"/>
              <w:tr2bl w:val="nil"/>
            </w:tcBorders>
            <w:shd w:val="clear" w:color="auto" w:fill="auto"/>
            <w:noWrap/>
            <w:vAlign w:val="center"/>
          </w:tcPr>
          <w:p w14:paraId="5512AEF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1600</w:t>
            </w:r>
          </w:p>
        </w:tc>
        <w:tc>
          <w:tcPr>
            <w:tcW w:w="2322" w:type="dxa"/>
            <w:tcBorders>
              <w:tl2br w:val="nil"/>
              <w:tr2bl w:val="nil"/>
            </w:tcBorders>
            <w:shd w:val="clear" w:color="auto" w:fill="auto"/>
            <w:noWrap/>
            <w:vAlign w:val="center"/>
          </w:tcPr>
          <w:p w14:paraId="773E976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1.60</w:t>
            </w:r>
          </w:p>
        </w:tc>
        <w:tc>
          <w:tcPr>
            <w:tcW w:w="2322" w:type="dxa"/>
            <w:tcBorders>
              <w:tl2br w:val="nil"/>
              <w:tr2bl w:val="nil"/>
            </w:tcBorders>
            <w:shd w:val="clear" w:color="auto" w:fill="auto"/>
            <w:noWrap/>
            <w:vAlign w:val="center"/>
          </w:tcPr>
          <w:p w14:paraId="171A697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3240</w:t>
            </w:r>
          </w:p>
        </w:tc>
        <w:tc>
          <w:tcPr>
            <w:tcW w:w="2322" w:type="dxa"/>
            <w:tcBorders>
              <w:tl2br w:val="nil"/>
              <w:tr2bl w:val="nil"/>
            </w:tcBorders>
            <w:shd w:val="clear" w:color="auto" w:fill="auto"/>
            <w:noWrap/>
            <w:vAlign w:val="center"/>
          </w:tcPr>
          <w:p w14:paraId="270EF81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0.98</w:t>
            </w:r>
          </w:p>
        </w:tc>
      </w:tr>
    </w:tbl>
    <w:p w14:paraId="7AE615BA">
      <w:pPr>
        <w:jc w:val="center"/>
        <w:rPr>
          <w:rFonts w:hint="default" w:ascii="Times New Roman" w:hAnsi="Times New Roman" w:eastAsia="宋体" w:cs="Times New Roman"/>
          <w:b/>
          <w:bCs/>
          <w:snapToGrid w:val="0"/>
          <w:color w:val="auto"/>
          <w:spacing w:val="-5"/>
          <w:kern w:val="0"/>
          <w:sz w:val="24"/>
          <w:szCs w:val="24"/>
          <w:lang w:val="en-US" w:eastAsia="zh-CN" w:bidi="ar-SA"/>
        </w:rPr>
      </w:pPr>
      <w:r>
        <w:rPr>
          <w:rFonts w:hint="eastAsia" w:ascii="Times New Roman" w:hAnsi="Times New Roman" w:eastAsia="宋体" w:cs="Times New Roman"/>
          <w:b/>
          <w:bCs/>
          <w:snapToGrid w:val="0"/>
          <w:color w:val="auto"/>
          <w:spacing w:val="-5"/>
          <w:kern w:val="0"/>
          <w:sz w:val="24"/>
          <w:szCs w:val="24"/>
          <w:lang w:val="en-US" w:eastAsia="zh-CN" w:bidi="ar-SA"/>
        </w:rPr>
        <w:t>表4-4    NH</w:t>
      </w:r>
      <w:r>
        <w:rPr>
          <w:rFonts w:hint="eastAsia" w:ascii="Times New Roman" w:hAnsi="Times New Roman" w:eastAsia="宋体" w:cs="Times New Roman"/>
          <w:b/>
          <w:bCs/>
          <w:snapToGrid w:val="0"/>
          <w:color w:val="auto"/>
          <w:spacing w:val="-5"/>
          <w:kern w:val="0"/>
          <w:sz w:val="24"/>
          <w:szCs w:val="24"/>
          <w:vertAlign w:val="subscript"/>
          <w:lang w:val="en-US" w:eastAsia="zh-CN" w:bidi="ar-SA"/>
        </w:rPr>
        <w:t>3</w:t>
      </w:r>
      <w:r>
        <w:rPr>
          <w:rFonts w:hint="eastAsia" w:ascii="Times New Roman" w:hAnsi="Times New Roman" w:eastAsia="宋体" w:cs="Times New Roman"/>
          <w:b/>
          <w:bCs/>
          <w:snapToGrid w:val="0"/>
          <w:color w:val="auto"/>
          <w:spacing w:val="-5"/>
          <w:kern w:val="0"/>
          <w:sz w:val="24"/>
          <w:szCs w:val="24"/>
          <w:lang w:val="en-US" w:eastAsia="zh-CN" w:bidi="ar-SA"/>
        </w:rPr>
        <w:t>-N污染物预测结果</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433"/>
        <w:gridCol w:w="3236"/>
        <w:gridCol w:w="1433"/>
        <w:gridCol w:w="3186"/>
      </w:tblGrid>
      <w:tr w14:paraId="1EE018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040" w:type="dxa"/>
            <w:tcBorders>
              <w:tl2br w:val="nil"/>
              <w:tr2bl w:val="nil"/>
            </w:tcBorders>
            <w:shd w:val="clear" w:color="auto" w:fill="auto"/>
            <w:noWrap/>
            <w:vAlign w:val="center"/>
          </w:tcPr>
          <w:p w14:paraId="5A2EC6B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距离（m）</w:t>
            </w:r>
          </w:p>
        </w:tc>
        <w:tc>
          <w:tcPr>
            <w:tcW w:w="1040" w:type="dxa"/>
            <w:tcBorders>
              <w:tl2br w:val="nil"/>
              <w:tr2bl w:val="nil"/>
            </w:tcBorders>
            <w:shd w:val="clear" w:color="auto" w:fill="auto"/>
            <w:noWrap/>
            <w:vAlign w:val="center"/>
          </w:tcPr>
          <w:p w14:paraId="20D16E2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浓度（mg/L）</w:t>
            </w:r>
          </w:p>
        </w:tc>
        <w:tc>
          <w:tcPr>
            <w:tcW w:w="1040" w:type="dxa"/>
            <w:tcBorders>
              <w:tl2br w:val="nil"/>
              <w:tr2bl w:val="nil"/>
            </w:tcBorders>
            <w:shd w:val="clear" w:color="auto" w:fill="auto"/>
            <w:noWrap/>
            <w:vAlign w:val="center"/>
          </w:tcPr>
          <w:p w14:paraId="7A5AB2A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距离（m）</w:t>
            </w:r>
          </w:p>
        </w:tc>
        <w:tc>
          <w:tcPr>
            <w:tcW w:w="1040" w:type="dxa"/>
            <w:tcBorders>
              <w:tl2br w:val="nil"/>
              <w:tr2bl w:val="nil"/>
            </w:tcBorders>
            <w:shd w:val="clear" w:color="auto" w:fill="auto"/>
            <w:noWrap/>
            <w:vAlign w:val="center"/>
          </w:tcPr>
          <w:p w14:paraId="79D3C63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浓度（mg/L）</w:t>
            </w:r>
          </w:p>
        </w:tc>
      </w:tr>
      <w:tr w14:paraId="2F0F98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1040" w:type="dxa"/>
            <w:tcBorders>
              <w:tl2br w:val="nil"/>
              <w:tr2bl w:val="nil"/>
            </w:tcBorders>
            <w:shd w:val="clear" w:color="auto" w:fill="auto"/>
            <w:noWrap/>
            <w:vAlign w:val="center"/>
          </w:tcPr>
          <w:p w14:paraId="16C4499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0</w:t>
            </w:r>
          </w:p>
        </w:tc>
        <w:tc>
          <w:tcPr>
            <w:tcW w:w="1040" w:type="dxa"/>
            <w:tcBorders>
              <w:tl2br w:val="nil"/>
              <w:tr2bl w:val="nil"/>
            </w:tcBorders>
            <w:shd w:val="clear" w:color="auto" w:fill="auto"/>
            <w:noWrap/>
            <w:vAlign w:val="center"/>
          </w:tcPr>
          <w:p w14:paraId="0D39E59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0.63</w:t>
            </w:r>
          </w:p>
        </w:tc>
        <w:tc>
          <w:tcPr>
            <w:tcW w:w="1040" w:type="dxa"/>
            <w:tcBorders>
              <w:tl2br w:val="nil"/>
              <w:tr2bl w:val="nil"/>
            </w:tcBorders>
            <w:shd w:val="clear" w:color="auto" w:fill="auto"/>
            <w:noWrap/>
            <w:vAlign w:val="center"/>
          </w:tcPr>
          <w:p w14:paraId="32923D2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1700</w:t>
            </w:r>
          </w:p>
        </w:tc>
        <w:tc>
          <w:tcPr>
            <w:tcW w:w="1040" w:type="dxa"/>
            <w:tcBorders>
              <w:tl2br w:val="nil"/>
              <w:tr2bl w:val="nil"/>
            </w:tcBorders>
            <w:shd w:val="clear" w:color="auto" w:fill="auto"/>
            <w:noWrap/>
            <w:vAlign w:val="center"/>
          </w:tcPr>
          <w:p w14:paraId="4A2676A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0.55</w:t>
            </w:r>
          </w:p>
        </w:tc>
      </w:tr>
      <w:tr w14:paraId="016A02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44B2D6F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100</w:t>
            </w:r>
          </w:p>
        </w:tc>
        <w:tc>
          <w:tcPr>
            <w:tcW w:w="2349" w:type="dxa"/>
            <w:tcBorders>
              <w:tl2br w:val="nil"/>
              <w:tr2bl w:val="nil"/>
            </w:tcBorders>
            <w:shd w:val="clear" w:color="auto" w:fill="auto"/>
            <w:noWrap/>
            <w:vAlign w:val="center"/>
          </w:tcPr>
          <w:p w14:paraId="716508D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0.62</w:t>
            </w:r>
          </w:p>
        </w:tc>
        <w:tc>
          <w:tcPr>
            <w:tcW w:w="0" w:type="auto"/>
            <w:tcBorders>
              <w:tl2br w:val="nil"/>
              <w:tr2bl w:val="nil"/>
            </w:tcBorders>
            <w:shd w:val="clear" w:color="auto" w:fill="auto"/>
            <w:noWrap/>
            <w:vAlign w:val="center"/>
          </w:tcPr>
          <w:p w14:paraId="705AEA1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1800</w:t>
            </w:r>
          </w:p>
        </w:tc>
        <w:tc>
          <w:tcPr>
            <w:tcW w:w="2313" w:type="dxa"/>
            <w:tcBorders>
              <w:tl2br w:val="nil"/>
              <w:tr2bl w:val="nil"/>
            </w:tcBorders>
            <w:shd w:val="clear" w:color="auto" w:fill="auto"/>
            <w:noWrap/>
            <w:vAlign w:val="center"/>
          </w:tcPr>
          <w:p w14:paraId="3C1AB57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0.55</w:t>
            </w:r>
          </w:p>
        </w:tc>
      </w:tr>
      <w:tr w14:paraId="2844EF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2EEC38A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200</w:t>
            </w:r>
          </w:p>
        </w:tc>
        <w:tc>
          <w:tcPr>
            <w:tcW w:w="2349" w:type="dxa"/>
            <w:tcBorders>
              <w:tl2br w:val="nil"/>
              <w:tr2bl w:val="nil"/>
            </w:tcBorders>
            <w:shd w:val="clear" w:color="auto" w:fill="auto"/>
            <w:noWrap/>
            <w:vAlign w:val="center"/>
          </w:tcPr>
          <w:p w14:paraId="2105A91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0.62</w:t>
            </w:r>
          </w:p>
        </w:tc>
        <w:tc>
          <w:tcPr>
            <w:tcW w:w="0" w:type="auto"/>
            <w:tcBorders>
              <w:tl2br w:val="nil"/>
              <w:tr2bl w:val="nil"/>
            </w:tcBorders>
            <w:shd w:val="clear" w:color="auto" w:fill="auto"/>
            <w:noWrap/>
            <w:vAlign w:val="center"/>
          </w:tcPr>
          <w:p w14:paraId="0EC3545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1900</w:t>
            </w:r>
          </w:p>
        </w:tc>
        <w:tc>
          <w:tcPr>
            <w:tcW w:w="2313" w:type="dxa"/>
            <w:tcBorders>
              <w:tl2br w:val="nil"/>
              <w:tr2bl w:val="nil"/>
            </w:tcBorders>
            <w:shd w:val="clear" w:color="auto" w:fill="auto"/>
            <w:noWrap/>
            <w:vAlign w:val="center"/>
          </w:tcPr>
          <w:p w14:paraId="477772B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0.54</w:t>
            </w:r>
          </w:p>
        </w:tc>
      </w:tr>
      <w:tr w14:paraId="0F7F6C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59EE4A3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300</w:t>
            </w:r>
          </w:p>
        </w:tc>
        <w:tc>
          <w:tcPr>
            <w:tcW w:w="2349" w:type="dxa"/>
            <w:tcBorders>
              <w:tl2br w:val="nil"/>
              <w:tr2bl w:val="nil"/>
            </w:tcBorders>
            <w:shd w:val="clear" w:color="auto" w:fill="auto"/>
            <w:noWrap/>
            <w:vAlign w:val="center"/>
          </w:tcPr>
          <w:p w14:paraId="266BB0C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0.61</w:t>
            </w:r>
          </w:p>
        </w:tc>
        <w:tc>
          <w:tcPr>
            <w:tcW w:w="0" w:type="auto"/>
            <w:tcBorders>
              <w:tl2br w:val="nil"/>
              <w:tr2bl w:val="nil"/>
            </w:tcBorders>
            <w:shd w:val="clear" w:color="auto" w:fill="auto"/>
            <w:noWrap/>
            <w:vAlign w:val="center"/>
          </w:tcPr>
          <w:p w14:paraId="52E687F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2000</w:t>
            </w:r>
          </w:p>
        </w:tc>
        <w:tc>
          <w:tcPr>
            <w:tcW w:w="2313" w:type="dxa"/>
            <w:tcBorders>
              <w:tl2br w:val="nil"/>
              <w:tr2bl w:val="nil"/>
            </w:tcBorders>
            <w:shd w:val="clear" w:color="auto" w:fill="auto"/>
            <w:noWrap/>
            <w:vAlign w:val="center"/>
          </w:tcPr>
          <w:p w14:paraId="0FB095D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0.54</w:t>
            </w:r>
          </w:p>
        </w:tc>
      </w:tr>
      <w:tr w14:paraId="2D0DB8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14834A3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400</w:t>
            </w:r>
          </w:p>
        </w:tc>
        <w:tc>
          <w:tcPr>
            <w:tcW w:w="2349" w:type="dxa"/>
            <w:tcBorders>
              <w:tl2br w:val="nil"/>
              <w:tr2bl w:val="nil"/>
            </w:tcBorders>
            <w:shd w:val="clear" w:color="auto" w:fill="auto"/>
            <w:noWrap/>
            <w:vAlign w:val="center"/>
          </w:tcPr>
          <w:p w14:paraId="4A0BBA3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0.61</w:t>
            </w:r>
          </w:p>
        </w:tc>
        <w:tc>
          <w:tcPr>
            <w:tcW w:w="0" w:type="auto"/>
            <w:tcBorders>
              <w:tl2br w:val="nil"/>
              <w:tr2bl w:val="nil"/>
            </w:tcBorders>
            <w:shd w:val="clear" w:color="auto" w:fill="auto"/>
            <w:noWrap/>
            <w:vAlign w:val="center"/>
          </w:tcPr>
          <w:p w14:paraId="638987B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2100</w:t>
            </w:r>
          </w:p>
        </w:tc>
        <w:tc>
          <w:tcPr>
            <w:tcW w:w="2313" w:type="dxa"/>
            <w:tcBorders>
              <w:tl2br w:val="nil"/>
              <w:tr2bl w:val="nil"/>
            </w:tcBorders>
            <w:shd w:val="clear" w:color="auto" w:fill="auto"/>
            <w:noWrap/>
            <w:vAlign w:val="center"/>
          </w:tcPr>
          <w:p w14:paraId="4E66FE4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0.54</w:t>
            </w:r>
          </w:p>
        </w:tc>
      </w:tr>
      <w:tr w14:paraId="3A5207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127432D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500</w:t>
            </w:r>
          </w:p>
        </w:tc>
        <w:tc>
          <w:tcPr>
            <w:tcW w:w="2349" w:type="dxa"/>
            <w:tcBorders>
              <w:tl2br w:val="nil"/>
              <w:tr2bl w:val="nil"/>
            </w:tcBorders>
            <w:shd w:val="clear" w:color="auto" w:fill="auto"/>
            <w:noWrap/>
            <w:vAlign w:val="center"/>
          </w:tcPr>
          <w:p w14:paraId="513BA89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0.60</w:t>
            </w:r>
          </w:p>
        </w:tc>
        <w:tc>
          <w:tcPr>
            <w:tcW w:w="0" w:type="auto"/>
            <w:tcBorders>
              <w:tl2br w:val="nil"/>
              <w:tr2bl w:val="nil"/>
            </w:tcBorders>
            <w:shd w:val="clear" w:color="auto" w:fill="auto"/>
            <w:noWrap/>
            <w:vAlign w:val="center"/>
          </w:tcPr>
          <w:p w14:paraId="0FD9972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2200</w:t>
            </w:r>
          </w:p>
        </w:tc>
        <w:tc>
          <w:tcPr>
            <w:tcW w:w="2313" w:type="dxa"/>
            <w:tcBorders>
              <w:tl2br w:val="nil"/>
              <w:tr2bl w:val="nil"/>
            </w:tcBorders>
            <w:shd w:val="clear" w:color="auto" w:fill="auto"/>
            <w:noWrap/>
            <w:vAlign w:val="center"/>
          </w:tcPr>
          <w:p w14:paraId="66EEA90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0.53</w:t>
            </w:r>
          </w:p>
        </w:tc>
      </w:tr>
      <w:tr w14:paraId="2D1C46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28FA5B0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600</w:t>
            </w:r>
          </w:p>
        </w:tc>
        <w:tc>
          <w:tcPr>
            <w:tcW w:w="2349" w:type="dxa"/>
            <w:tcBorders>
              <w:tl2br w:val="nil"/>
              <w:tr2bl w:val="nil"/>
            </w:tcBorders>
            <w:shd w:val="clear" w:color="auto" w:fill="auto"/>
            <w:noWrap/>
            <w:vAlign w:val="center"/>
          </w:tcPr>
          <w:p w14:paraId="0844CA1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0.60</w:t>
            </w:r>
          </w:p>
        </w:tc>
        <w:tc>
          <w:tcPr>
            <w:tcW w:w="0" w:type="auto"/>
            <w:tcBorders>
              <w:tl2br w:val="nil"/>
              <w:tr2bl w:val="nil"/>
            </w:tcBorders>
            <w:shd w:val="clear" w:color="auto" w:fill="auto"/>
            <w:noWrap/>
            <w:vAlign w:val="center"/>
          </w:tcPr>
          <w:p w14:paraId="72D5EFA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2300</w:t>
            </w:r>
          </w:p>
        </w:tc>
        <w:tc>
          <w:tcPr>
            <w:tcW w:w="2313" w:type="dxa"/>
            <w:tcBorders>
              <w:tl2br w:val="nil"/>
              <w:tr2bl w:val="nil"/>
            </w:tcBorders>
            <w:shd w:val="clear" w:color="auto" w:fill="auto"/>
            <w:noWrap/>
            <w:vAlign w:val="center"/>
          </w:tcPr>
          <w:p w14:paraId="1068E62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0.53</w:t>
            </w:r>
          </w:p>
        </w:tc>
      </w:tr>
      <w:tr w14:paraId="042F1B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6FD79B9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700</w:t>
            </w:r>
          </w:p>
        </w:tc>
        <w:tc>
          <w:tcPr>
            <w:tcW w:w="2349" w:type="dxa"/>
            <w:tcBorders>
              <w:tl2br w:val="nil"/>
              <w:tr2bl w:val="nil"/>
            </w:tcBorders>
            <w:shd w:val="clear" w:color="auto" w:fill="auto"/>
            <w:noWrap/>
            <w:vAlign w:val="center"/>
          </w:tcPr>
          <w:p w14:paraId="47031CB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0.60</w:t>
            </w:r>
          </w:p>
        </w:tc>
        <w:tc>
          <w:tcPr>
            <w:tcW w:w="0" w:type="auto"/>
            <w:tcBorders>
              <w:tl2br w:val="nil"/>
              <w:tr2bl w:val="nil"/>
            </w:tcBorders>
            <w:shd w:val="clear" w:color="auto" w:fill="auto"/>
            <w:noWrap/>
            <w:vAlign w:val="center"/>
          </w:tcPr>
          <w:p w14:paraId="00F63E6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2400</w:t>
            </w:r>
          </w:p>
        </w:tc>
        <w:tc>
          <w:tcPr>
            <w:tcW w:w="2313" w:type="dxa"/>
            <w:tcBorders>
              <w:tl2br w:val="nil"/>
              <w:tr2bl w:val="nil"/>
            </w:tcBorders>
            <w:shd w:val="clear" w:color="auto" w:fill="auto"/>
            <w:noWrap/>
            <w:vAlign w:val="center"/>
          </w:tcPr>
          <w:p w14:paraId="289FBCC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0.52</w:t>
            </w:r>
          </w:p>
        </w:tc>
      </w:tr>
      <w:tr w14:paraId="4D135E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2141E8D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800</w:t>
            </w:r>
          </w:p>
        </w:tc>
        <w:tc>
          <w:tcPr>
            <w:tcW w:w="2349" w:type="dxa"/>
            <w:tcBorders>
              <w:tl2br w:val="nil"/>
              <w:tr2bl w:val="nil"/>
            </w:tcBorders>
            <w:shd w:val="clear" w:color="auto" w:fill="auto"/>
            <w:noWrap/>
            <w:vAlign w:val="center"/>
          </w:tcPr>
          <w:p w14:paraId="1FF91BC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0.59</w:t>
            </w:r>
          </w:p>
        </w:tc>
        <w:tc>
          <w:tcPr>
            <w:tcW w:w="0" w:type="auto"/>
            <w:tcBorders>
              <w:tl2br w:val="nil"/>
              <w:tr2bl w:val="nil"/>
            </w:tcBorders>
            <w:shd w:val="clear" w:color="auto" w:fill="auto"/>
            <w:noWrap/>
            <w:vAlign w:val="center"/>
          </w:tcPr>
          <w:p w14:paraId="0BDD241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2500</w:t>
            </w:r>
          </w:p>
        </w:tc>
        <w:tc>
          <w:tcPr>
            <w:tcW w:w="2313" w:type="dxa"/>
            <w:tcBorders>
              <w:tl2br w:val="nil"/>
              <w:tr2bl w:val="nil"/>
            </w:tcBorders>
            <w:shd w:val="clear" w:color="auto" w:fill="auto"/>
            <w:noWrap/>
            <w:vAlign w:val="center"/>
          </w:tcPr>
          <w:p w14:paraId="4474F66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0.52</w:t>
            </w:r>
          </w:p>
        </w:tc>
      </w:tr>
      <w:tr w14:paraId="11046F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38248B7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900</w:t>
            </w:r>
          </w:p>
        </w:tc>
        <w:tc>
          <w:tcPr>
            <w:tcW w:w="2349" w:type="dxa"/>
            <w:tcBorders>
              <w:tl2br w:val="nil"/>
              <w:tr2bl w:val="nil"/>
            </w:tcBorders>
            <w:shd w:val="clear" w:color="auto" w:fill="auto"/>
            <w:noWrap/>
            <w:vAlign w:val="center"/>
          </w:tcPr>
          <w:p w14:paraId="5C1B6F6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0.59</w:t>
            </w:r>
          </w:p>
        </w:tc>
        <w:tc>
          <w:tcPr>
            <w:tcW w:w="0" w:type="auto"/>
            <w:tcBorders>
              <w:tl2br w:val="nil"/>
              <w:tr2bl w:val="nil"/>
            </w:tcBorders>
            <w:shd w:val="clear" w:color="auto" w:fill="auto"/>
            <w:noWrap/>
            <w:vAlign w:val="center"/>
          </w:tcPr>
          <w:p w14:paraId="6CB249D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2600</w:t>
            </w:r>
          </w:p>
        </w:tc>
        <w:tc>
          <w:tcPr>
            <w:tcW w:w="2313" w:type="dxa"/>
            <w:tcBorders>
              <w:tl2br w:val="nil"/>
              <w:tr2bl w:val="nil"/>
            </w:tcBorders>
            <w:shd w:val="clear" w:color="auto" w:fill="auto"/>
            <w:noWrap/>
            <w:vAlign w:val="center"/>
          </w:tcPr>
          <w:p w14:paraId="6283905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0.52</w:t>
            </w:r>
          </w:p>
        </w:tc>
      </w:tr>
      <w:tr w14:paraId="5EF6AA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201F11B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1000</w:t>
            </w:r>
          </w:p>
        </w:tc>
        <w:tc>
          <w:tcPr>
            <w:tcW w:w="2349" w:type="dxa"/>
            <w:tcBorders>
              <w:tl2br w:val="nil"/>
              <w:tr2bl w:val="nil"/>
            </w:tcBorders>
            <w:shd w:val="clear" w:color="auto" w:fill="auto"/>
            <w:noWrap/>
            <w:vAlign w:val="center"/>
          </w:tcPr>
          <w:p w14:paraId="1401B94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0.58</w:t>
            </w:r>
          </w:p>
        </w:tc>
        <w:tc>
          <w:tcPr>
            <w:tcW w:w="0" w:type="auto"/>
            <w:tcBorders>
              <w:tl2br w:val="nil"/>
              <w:tr2bl w:val="nil"/>
            </w:tcBorders>
            <w:shd w:val="clear" w:color="auto" w:fill="auto"/>
            <w:noWrap/>
            <w:vAlign w:val="center"/>
          </w:tcPr>
          <w:p w14:paraId="4907AF1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2700</w:t>
            </w:r>
          </w:p>
        </w:tc>
        <w:tc>
          <w:tcPr>
            <w:tcW w:w="2313" w:type="dxa"/>
            <w:tcBorders>
              <w:tl2br w:val="nil"/>
              <w:tr2bl w:val="nil"/>
            </w:tcBorders>
            <w:shd w:val="clear" w:color="auto" w:fill="auto"/>
            <w:noWrap/>
            <w:vAlign w:val="center"/>
          </w:tcPr>
          <w:p w14:paraId="6420A48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0.51</w:t>
            </w:r>
          </w:p>
        </w:tc>
      </w:tr>
      <w:tr w14:paraId="344649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1D1EC99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1100</w:t>
            </w:r>
          </w:p>
        </w:tc>
        <w:tc>
          <w:tcPr>
            <w:tcW w:w="2349" w:type="dxa"/>
            <w:tcBorders>
              <w:tl2br w:val="nil"/>
              <w:tr2bl w:val="nil"/>
            </w:tcBorders>
            <w:shd w:val="clear" w:color="auto" w:fill="auto"/>
            <w:noWrap/>
            <w:vAlign w:val="center"/>
          </w:tcPr>
          <w:p w14:paraId="6373C31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0.58</w:t>
            </w:r>
          </w:p>
        </w:tc>
        <w:tc>
          <w:tcPr>
            <w:tcW w:w="0" w:type="auto"/>
            <w:tcBorders>
              <w:tl2br w:val="nil"/>
              <w:tr2bl w:val="nil"/>
            </w:tcBorders>
            <w:shd w:val="clear" w:color="auto" w:fill="auto"/>
            <w:noWrap/>
            <w:vAlign w:val="center"/>
          </w:tcPr>
          <w:p w14:paraId="26C48E5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2800</w:t>
            </w:r>
          </w:p>
        </w:tc>
        <w:tc>
          <w:tcPr>
            <w:tcW w:w="2313" w:type="dxa"/>
            <w:tcBorders>
              <w:tl2br w:val="nil"/>
              <w:tr2bl w:val="nil"/>
            </w:tcBorders>
            <w:shd w:val="clear" w:color="auto" w:fill="auto"/>
            <w:noWrap/>
            <w:vAlign w:val="center"/>
          </w:tcPr>
          <w:p w14:paraId="7B95E4E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0.51</w:t>
            </w:r>
          </w:p>
        </w:tc>
      </w:tr>
      <w:tr w14:paraId="600A2F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3FBD317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1200</w:t>
            </w:r>
          </w:p>
        </w:tc>
        <w:tc>
          <w:tcPr>
            <w:tcW w:w="2349" w:type="dxa"/>
            <w:tcBorders>
              <w:tl2br w:val="nil"/>
              <w:tr2bl w:val="nil"/>
            </w:tcBorders>
            <w:shd w:val="clear" w:color="auto" w:fill="auto"/>
            <w:noWrap/>
            <w:vAlign w:val="center"/>
          </w:tcPr>
          <w:p w14:paraId="7BC53A3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0.57</w:t>
            </w:r>
          </w:p>
        </w:tc>
        <w:tc>
          <w:tcPr>
            <w:tcW w:w="0" w:type="auto"/>
            <w:tcBorders>
              <w:tl2br w:val="nil"/>
              <w:tr2bl w:val="nil"/>
            </w:tcBorders>
            <w:shd w:val="clear" w:color="auto" w:fill="auto"/>
            <w:noWrap/>
            <w:vAlign w:val="center"/>
          </w:tcPr>
          <w:p w14:paraId="193B201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2900</w:t>
            </w:r>
          </w:p>
        </w:tc>
        <w:tc>
          <w:tcPr>
            <w:tcW w:w="2313" w:type="dxa"/>
            <w:tcBorders>
              <w:tl2br w:val="nil"/>
              <w:tr2bl w:val="nil"/>
            </w:tcBorders>
            <w:shd w:val="clear" w:color="auto" w:fill="auto"/>
            <w:noWrap/>
            <w:vAlign w:val="center"/>
          </w:tcPr>
          <w:p w14:paraId="27BB292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0.50</w:t>
            </w:r>
          </w:p>
        </w:tc>
      </w:tr>
      <w:tr w14:paraId="05937C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547F4EF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1300</w:t>
            </w:r>
          </w:p>
        </w:tc>
        <w:tc>
          <w:tcPr>
            <w:tcW w:w="2349" w:type="dxa"/>
            <w:tcBorders>
              <w:tl2br w:val="nil"/>
              <w:tr2bl w:val="nil"/>
            </w:tcBorders>
            <w:shd w:val="clear" w:color="auto" w:fill="auto"/>
            <w:noWrap/>
            <w:vAlign w:val="center"/>
          </w:tcPr>
          <w:p w14:paraId="33145FB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0.57</w:t>
            </w:r>
          </w:p>
        </w:tc>
        <w:tc>
          <w:tcPr>
            <w:tcW w:w="0" w:type="auto"/>
            <w:tcBorders>
              <w:tl2br w:val="nil"/>
              <w:tr2bl w:val="nil"/>
            </w:tcBorders>
            <w:shd w:val="clear" w:color="auto" w:fill="auto"/>
            <w:noWrap/>
            <w:vAlign w:val="center"/>
          </w:tcPr>
          <w:p w14:paraId="21660B3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3000</w:t>
            </w:r>
          </w:p>
        </w:tc>
        <w:tc>
          <w:tcPr>
            <w:tcW w:w="2313" w:type="dxa"/>
            <w:tcBorders>
              <w:tl2br w:val="nil"/>
              <w:tr2bl w:val="nil"/>
            </w:tcBorders>
            <w:shd w:val="clear" w:color="auto" w:fill="auto"/>
            <w:noWrap/>
            <w:vAlign w:val="center"/>
          </w:tcPr>
          <w:p w14:paraId="41BBCE7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0.50</w:t>
            </w:r>
          </w:p>
        </w:tc>
      </w:tr>
      <w:tr w14:paraId="5A5FA9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4D3F105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1400</w:t>
            </w:r>
          </w:p>
        </w:tc>
        <w:tc>
          <w:tcPr>
            <w:tcW w:w="2349" w:type="dxa"/>
            <w:tcBorders>
              <w:tl2br w:val="nil"/>
              <w:tr2bl w:val="nil"/>
            </w:tcBorders>
            <w:shd w:val="clear" w:color="auto" w:fill="auto"/>
            <w:noWrap/>
            <w:vAlign w:val="center"/>
          </w:tcPr>
          <w:p w14:paraId="1BE3DC9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0.56</w:t>
            </w:r>
          </w:p>
        </w:tc>
        <w:tc>
          <w:tcPr>
            <w:tcW w:w="0" w:type="auto"/>
            <w:tcBorders>
              <w:tl2br w:val="nil"/>
              <w:tr2bl w:val="nil"/>
            </w:tcBorders>
            <w:shd w:val="clear" w:color="auto" w:fill="auto"/>
            <w:noWrap/>
            <w:vAlign w:val="center"/>
          </w:tcPr>
          <w:p w14:paraId="0695193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3100</w:t>
            </w:r>
          </w:p>
        </w:tc>
        <w:tc>
          <w:tcPr>
            <w:tcW w:w="2313" w:type="dxa"/>
            <w:tcBorders>
              <w:tl2br w:val="nil"/>
              <w:tr2bl w:val="nil"/>
            </w:tcBorders>
            <w:shd w:val="clear" w:color="auto" w:fill="auto"/>
            <w:noWrap/>
            <w:vAlign w:val="center"/>
          </w:tcPr>
          <w:p w14:paraId="23012DF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0.50</w:t>
            </w:r>
          </w:p>
        </w:tc>
      </w:tr>
      <w:tr w14:paraId="0ACEB4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471983A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1500</w:t>
            </w:r>
          </w:p>
        </w:tc>
        <w:tc>
          <w:tcPr>
            <w:tcW w:w="2349" w:type="dxa"/>
            <w:tcBorders>
              <w:tl2br w:val="nil"/>
              <w:tr2bl w:val="nil"/>
            </w:tcBorders>
            <w:shd w:val="clear" w:color="auto" w:fill="auto"/>
            <w:noWrap/>
            <w:vAlign w:val="center"/>
          </w:tcPr>
          <w:p w14:paraId="2CC193D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0.56</w:t>
            </w:r>
          </w:p>
        </w:tc>
        <w:tc>
          <w:tcPr>
            <w:tcW w:w="0" w:type="auto"/>
            <w:tcBorders>
              <w:tl2br w:val="nil"/>
              <w:tr2bl w:val="nil"/>
            </w:tcBorders>
            <w:shd w:val="clear" w:color="auto" w:fill="auto"/>
            <w:noWrap/>
            <w:vAlign w:val="center"/>
          </w:tcPr>
          <w:p w14:paraId="4353217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3200</w:t>
            </w:r>
          </w:p>
        </w:tc>
        <w:tc>
          <w:tcPr>
            <w:tcW w:w="2313" w:type="dxa"/>
            <w:tcBorders>
              <w:tl2br w:val="nil"/>
              <w:tr2bl w:val="nil"/>
            </w:tcBorders>
            <w:shd w:val="clear" w:color="auto" w:fill="auto"/>
            <w:noWrap/>
            <w:vAlign w:val="center"/>
          </w:tcPr>
          <w:p w14:paraId="44BB5FD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0.49</w:t>
            </w:r>
          </w:p>
        </w:tc>
      </w:tr>
      <w:tr w14:paraId="705196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2665FA7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1600</w:t>
            </w:r>
          </w:p>
        </w:tc>
        <w:tc>
          <w:tcPr>
            <w:tcW w:w="2349" w:type="dxa"/>
            <w:tcBorders>
              <w:tl2br w:val="nil"/>
              <w:tr2bl w:val="nil"/>
            </w:tcBorders>
            <w:shd w:val="clear" w:color="auto" w:fill="auto"/>
            <w:noWrap/>
            <w:vAlign w:val="center"/>
          </w:tcPr>
          <w:p w14:paraId="5E1852C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0.56</w:t>
            </w:r>
          </w:p>
        </w:tc>
        <w:tc>
          <w:tcPr>
            <w:tcW w:w="0" w:type="auto"/>
            <w:tcBorders>
              <w:tl2br w:val="nil"/>
              <w:tr2bl w:val="nil"/>
            </w:tcBorders>
            <w:shd w:val="clear" w:color="auto" w:fill="auto"/>
            <w:noWrap/>
            <w:vAlign w:val="center"/>
          </w:tcPr>
          <w:p w14:paraId="26F57AE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3240</w:t>
            </w:r>
          </w:p>
        </w:tc>
        <w:tc>
          <w:tcPr>
            <w:tcW w:w="2313" w:type="dxa"/>
            <w:tcBorders>
              <w:tl2br w:val="nil"/>
              <w:tr2bl w:val="nil"/>
            </w:tcBorders>
            <w:shd w:val="clear" w:color="auto" w:fill="auto"/>
            <w:noWrap/>
            <w:vAlign w:val="center"/>
          </w:tcPr>
          <w:p w14:paraId="03A653A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0.49</w:t>
            </w:r>
          </w:p>
        </w:tc>
      </w:tr>
    </w:tbl>
    <w:p w14:paraId="2CD74693">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b/>
          <w:bCs/>
          <w:snapToGrid w:val="0"/>
          <w:color w:val="auto"/>
          <w:spacing w:val="-5"/>
          <w:kern w:val="0"/>
          <w:sz w:val="24"/>
          <w:szCs w:val="24"/>
          <w:lang w:val="en-US" w:eastAsia="zh-CN" w:bidi="ar-SA"/>
        </w:rPr>
      </w:pPr>
      <w:r>
        <w:rPr>
          <w:rFonts w:hint="eastAsia" w:ascii="Times New Roman" w:hAnsi="Times New Roman" w:eastAsia="宋体" w:cs="Times New Roman"/>
          <w:b/>
          <w:bCs/>
          <w:snapToGrid w:val="0"/>
          <w:color w:val="auto"/>
          <w:spacing w:val="-5"/>
          <w:kern w:val="0"/>
          <w:sz w:val="24"/>
          <w:szCs w:val="24"/>
          <w:lang w:val="en-US" w:eastAsia="zh-CN" w:bidi="ar-SA"/>
        </w:rPr>
        <w:t>2、穆棱河段</w:t>
      </w:r>
    </w:p>
    <w:p w14:paraId="3E8ED983">
      <w:pPr>
        <w:jc w:val="center"/>
        <w:rPr>
          <w:rFonts w:hint="default" w:ascii="Times New Roman" w:hAnsi="Times New Roman" w:eastAsia="宋体" w:cs="Times New Roman"/>
          <w:b/>
          <w:bCs/>
          <w:snapToGrid w:val="0"/>
          <w:color w:val="auto"/>
          <w:spacing w:val="-5"/>
          <w:kern w:val="0"/>
          <w:sz w:val="24"/>
          <w:szCs w:val="24"/>
          <w:lang w:val="en-US" w:eastAsia="zh-CN" w:bidi="ar-SA"/>
        </w:rPr>
      </w:pPr>
      <w:r>
        <w:rPr>
          <w:rFonts w:hint="eastAsia" w:ascii="Times New Roman" w:hAnsi="Times New Roman" w:eastAsia="宋体" w:cs="Times New Roman"/>
          <w:b/>
          <w:bCs/>
          <w:snapToGrid w:val="0"/>
          <w:color w:val="auto"/>
          <w:spacing w:val="-5"/>
          <w:kern w:val="0"/>
          <w:sz w:val="24"/>
          <w:szCs w:val="24"/>
          <w:lang w:val="en-US" w:eastAsia="zh-CN" w:bidi="ar-SA"/>
        </w:rPr>
        <w:t>表4-5   穆棱河预测河段COD预测结果</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74"/>
        <w:gridCol w:w="774"/>
        <w:gridCol w:w="774"/>
        <w:gridCol w:w="774"/>
        <w:gridCol w:w="774"/>
        <w:gridCol w:w="774"/>
        <w:gridCol w:w="774"/>
        <w:gridCol w:w="774"/>
        <w:gridCol w:w="774"/>
        <w:gridCol w:w="774"/>
        <w:gridCol w:w="774"/>
        <w:gridCol w:w="774"/>
      </w:tblGrid>
      <w:tr w14:paraId="5B62C2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PrEx>
        <w:trPr>
          <w:trHeight w:val="300" w:hRule="atLeast"/>
          <w:jc w:val="center"/>
        </w:trPr>
        <w:tc>
          <w:tcPr>
            <w:tcW w:w="1548" w:type="dxa"/>
            <w:gridSpan w:val="2"/>
            <w:tcBorders>
              <w:tl2br w:val="nil"/>
              <w:tr2bl w:val="nil"/>
            </w:tcBorders>
            <w:shd w:val="clear" w:color="auto" w:fill="auto"/>
            <w:noWrap/>
            <w:vAlign w:val="center"/>
          </w:tcPr>
          <w:p w14:paraId="46C11153">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距离m</w:t>
            </w:r>
          </w:p>
        </w:tc>
        <w:tc>
          <w:tcPr>
            <w:tcW w:w="774" w:type="dxa"/>
            <w:tcBorders>
              <w:tl2br w:val="nil"/>
              <w:tr2bl w:val="nil"/>
            </w:tcBorders>
            <w:shd w:val="clear" w:color="auto" w:fill="auto"/>
            <w:noWrap/>
            <w:vAlign w:val="center"/>
          </w:tcPr>
          <w:p w14:paraId="5D2D872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浓度mg/L</w:t>
            </w:r>
          </w:p>
        </w:tc>
        <w:tc>
          <w:tcPr>
            <w:tcW w:w="1548" w:type="dxa"/>
            <w:gridSpan w:val="2"/>
            <w:tcBorders>
              <w:tl2br w:val="nil"/>
              <w:tr2bl w:val="nil"/>
            </w:tcBorders>
            <w:shd w:val="clear" w:color="auto" w:fill="auto"/>
            <w:noWrap/>
            <w:vAlign w:val="center"/>
          </w:tcPr>
          <w:p w14:paraId="0D5BFF5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距离m</w:t>
            </w:r>
          </w:p>
        </w:tc>
        <w:tc>
          <w:tcPr>
            <w:tcW w:w="774" w:type="dxa"/>
            <w:tcBorders>
              <w:tl2br w:val="nil"/>
              <w:tr2bl w:val="nil"/>
            </w:tcBorders>
            <w:shd w:val="clear" w:color="auto" w:fill="auto"/>
            <w:noWrap/>
            <w:vAlign w:val="center"/>
          </w:tcPr>
          <w:p w14:paraId="0C782AE5">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浓度mg/L</w:t>
            </w:r>
          </w:p>
        </w:tc>
        <w:tc>
          <w:tcPr>
            <w:tcW w:w="1548" w:type="dxa"/>
            <w:gridSpan w:val="2"/>
            <w:tcBorders>
              <w:tl2br w:val="nil"/>
              <w:tr2bl w:val="nil"/>
            </w:tcBorders>
            <w:shd w:val="clear" w:color="auto" w:fill="auto"/>
            <w:noWrap/>
            <w:vAlign w:val="center"/>
          </w:tcPr>
          <w:p w14:paraId="5CB32118">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距离m</w:t>
            </w:r>
          </w:p>
        </w:tc>
        <w:tc>
          <w:tcPr>
            <w:tcW w:w="774" w:type="dxa"/>
            <w:tcBorders>
              <w:tl2br w:val="nil"/>
              <w:tr2bl w:val="nil"/>
            </w:tcBorders>
            <w:shd w:val="clear" w:color="auto" w:fill="auto"/>
            <w:noWrap/>
            <w:vAlign w:val="center"/>
          </w:tcPr>
          <w:p w14:paraId="1D86894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浓度mg/L</w:t>
            </w:r>
          </w:p>
        </w:tc>
        <w:tc>
          <w:tcPr>
            <w:tcW w:w="1548" w:type="dxa"/>
            <w:gridSpan w:val="2"/>
            <w:tcBorders>
              <w:tl2br w:val="nil"/>
              <w:tr2bl w:val="nil"/>
            </w:tcBorders>
            <w:shd w:val="clear" w:color="auto" w:fill="auto"/>
            <w:noWrap/>
            <w:vAlign w:val="center"/>
          </w:tcPr>
          <w:p w14:paraId="6610218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距离m</w:t>
            </w:r>
          </w:p>
        </w:tc>
        <w:tc>
          <w:tcPr>
            <w:tcW w:w="774" w:type="dxa"/>
            <w:tcBorders>
              <w:tl2br w:val="nil"/>
              <w:tr2bl w:val="nil"/>
            </w:tcBorders>
            <w:shd w:val="clear" w:color="auto" w:fill="auto"/>
            <w:noWrap/>
            <w:vAlign w:val="center"/>
          </w:tcPr>
          <w:p w14:paraId="0B7426B6">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浓度mg/L</w:t>
            </w:r>
          </w:p>
        </w:tc>
      </w:tr>
      <w:tr w14:paraId="3FC821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774" w:type="dxa"/>
            <w:tcBorders>
              <w:tl2br w:val="nil"/>
              <w:tr2bl w:val="nil"/>
            </w:tcBorders>
            <w:shd w:val="clear" w:color="auto" w:fill="auto"/>
            <w:noWrap/>
            <w:vAlign w:val="center"/>
          </w:tcPr>
          <w:p w14:paraId="0FB8DC4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w:t>
            </w:r>
          </w:p>
        </w:tc>
        <w:tc>
          <w:tcPr>
            <w:tcW w:w="774" w:type="dxa"/>
            <w:tcBorders>
              <w:tl2br w:val="nil"/>
              <w:tr2bl w:val="nil"/>
            </w:tcBorders>
            <w:shd w:val="clear" w:color="auto" w:fill="auto"/>
            <w:noWrap/>
            <w:vAlign w:val="center"/>
          </w:tcPr>
          <w:p w14:paraId="3BA71EA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774" w:type="dxa"/>
            <w:tcBorders>
              <w:tl2br w:val="nil"/>
              <w:tr2bl w:val="nil"/>
            </w:tcBorders>
            <w:shd w:val="clear" w:color="auto" w:fill="auto"/>
            <w:noWrap/>
            <w:vAlign w:val="center"/>
          </w:tcPr>
          <w:p w14:paraId="25390A9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18.17</w:t>
            </w:r>
          </w:p>
        </w:tc>
        <w:tc>
          <w:tcPr>
            <w:tcW w:w="774" w:type="dxa"/>
            <w:tcBorders>
              <w:tl2br w:val="nil"/>
              <w:tr2bl w:val="nil"/>
            </w:tcBorders>
            <w:shd w:val="clear" w:color="auto" w:fill="auto"/>
            <w:noWrap/>
            <w:vAlign w:val="center"/>
          </w:tcPr>
          <w:p w14:paraId="0A26609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700</w:t>
            </w:r>
          </w:p>
        </w:tc>
        <w:tc>
          <w:tcPr>
            <w:tcW w:w="774" w:type="dxa"/>
            <w:tcBorders>
              <w:tl2br w:val="nil"/>
              <w:tr2bl w:val="nil"/>
            </w:tcBorders>
            <w:shd w:val="clear" w:color="auto" w:fill="auto"/>
            <w:noWrap/>
            <w:vAlign w:val="center"/>
          </w:tcPr>
          <w:p w14:paraId="5BE8A66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774" w:type="dxa"/>
            <w:tcBorders>
              <w:tl2br w:val="nil"/>
              <w:tr2bl w:val="nil"/>
            </w:tcBorders>
            <w:shd w:val="clear" w:color="auto" w:fill="auto"/>
            <w:noWrap/>
            <w:vAlign w:val="center"/>
          </w:tcPr>
          <w:p w14:paraId="32C92EC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774" w:type="dxa"/>
            <w:tcBorders>
              <w:tl2br w:val="nil"/>
              <w:tr2bl w:val="nil"/>
            </w:tcBorders>
            <w:shd w:val="clear" w:color="auto" w:fill="auto"/>
            <w:noWrap/>
            <w:vAlign w:val="center"/>
          </w:tcPr>
          <w:p w14:paraId="2193317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1300</w:t>
            </w:r>
          </w:p>
        </w:tc>
        <w:tc>
          <w:tcPr>
            <w:tcW w:w="774" w:type="dxa"/>
            <w:tcBorders>
              <w:tl2br w:val="nil"/>
              <w:tr2bl w:val="nil"/>
            </w:tcBorders>
            <w:shd w:val="clear" w:color="auto" w:fill="auto"/>
            <w:noWrap/>
            <w:vAlign w:val="center"/>
          </w:tcPr>
          <w:p w14:paraId="7A112A8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774" w:type="dxa"/>
            <w:tcBorders>
              <w:tl2br w:val="nil"/>
              <w:tr2bl w:val="nil"/>
            </w:tcBorders>
            <w:shd w:val="clear" w:color="auto" w:fill="auto"/>
            <w:noWrap/>
            <w:vAlign w:val="center"/>
          </w:tcPr>
          <w:p w14:paraId="300780F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774" w:type="dxa"/>
            <w:tcBorders>
              <w:tl2br w:val="nil"/>
              <w:tr2bl w:val="nil"/>
            </w:tcBorders>
            <w:shd w:val="clear" w:color="auto" w:fill="auto"/>
            <w:noWrap/>
            <w:vAlign w:val="center"/>
          </w:tcPr>
          <w:p w14:paraId="28221C2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1900</w:t>
            </w:r>
          </w:p>
        </w:tc>
        <w:tc>
          <w:tcPr>
            <w:tcW w:w="774" w:type="dxa"/>
            <w:tcBorders>
              <w:tl2br w:val="nil"/>
              <w:tr2bl w:val="nil"/>
            </w:tcBorders>
            <w:shd w:val="clear" w:color="auto" w:fill="auto"/>
            <w:noWrap/>
            <w:vAlign w:val="center"/>
          </w:tcPr>
          <w:p w14:paraId="4DFDED9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774" w:type="dxa"/>
            <w:tcBorders>
              <w:tl2br w:val="nil"/>
              <w:tr2bl w:val="nil"/>
            </w:tcBorders>
            <w:shd w:val="clear" w:color="auto" w:fill="auto"/>
            <w:noWrap/>
            <w:vAlign w:val="center"/>
          </w:tcPr>
          <w:p w14:paraId="085ADD2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r>
      <w:tr w14:paraId="1F2701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4558294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w:t>
            </w:r>
          </w:p>
        </w:tc>
        <w:tc>
          <w:tcPr>
            <w:tcW w:w="0" w:type="auto"/>
            <w:tcBorders>
              <w:tl2br w:val="nil"/>
              <w:tr2bl w:val="nil"/>
            </w:tcBorders>
            <w:shd w:val="clear" w:color="auto" w:fill="auto"/>
            <w:noWrap/>
            <w:vAlign w:val="center"/>
          </w:tcPr>
          <w:p w14:paraId="46DF03B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20B3AA4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7CBFE97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700</w:t>
            </w:r>
          </w:p>
        </w:tc>
        <w:tc>
          <w:tcPr>
            <w:tcW w:w="0" w:type="auto"/>
            <w:tcBorders>
              <w:tl2br w:val="nil"/>
              <w:tr2bl w:val="nil"/>
            </w:tcBorders>
            <w:shd w:val="clear" w:color="auto" w:fill="auto"/>
            <w:noWrap/>
            <w:vAlign w:val="center"/>
          </w:tcPr>
          <w:p w14:paraId="00F8ACE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61562E7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7F3330B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1300</w:t>
            </w:r>
          </w:p>
        </w:tc>
        <w:tc>
          <w:tcPr>
            <w:tcW w:w="0" w:type="auto"/>
            <w:tcBorders>
              <w:tl2br w:val="nil"/>
              <w:tr2bl w:val="nil"/>
            </w:tcBorders>
            <w:shd w:val="clear" w:color="auto" w:fill="auto"/>
            <w:noWrap/>
            <w:vAlign w:val="center"/>
          </w:tcPr>
          <w:p w14:paraId="5609A01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2710C0F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0431CB8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2000</w:t>
            </w:r>
          </w:p>
        </w:tc>
        <w:tc>
          <w:tcPr>
            <w:tcW w:w="0" w:type="auto"/>
            <w:tcBorders>
              <w:tl2br w:val="nil"/>
              <w:tr2bl w:val="nil"/>
            </w:tcBorders>
            <w:shd w:val="clear" w:color="auto" w:fill="auto"/>
            <w:noWrap/>
            <w:vAlign w:val="center"/>
          </w:tcPr>
          <w:p w14:paraId="25B1E8D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3F1584E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18.03</w:t>
            </w:r>
          </w:p>
        </w:tc>
      </w:tr>
      <w:tr w14:paraId="2E4A9F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62EC2AC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w:t>
            </w:r>
          </w:p>
        </w:tc>
        <w:tc>
          <w:tcPr>
            <w:tcW w:w="0" w:type="auto"/>
            <w:tcBorders>
              <w:tl2br w:val="nil"/>
              <w:tr2bl w:val="nil"/>
            </w:tcBorders>
            <w:shd w:val="clear" w:color="auto" w:fill="auto"/>
            <w:noWrap/>
            <w:vAlign w:val="center"/>
          </w:tcPr>
          <w:p w14:paraId="346473F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2250FD0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100AC40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700</w:t>
            </w:r>
          </w:p>
        </w:tc>
        <w:tc>
          <w:tcPr>
            <w:tcW w:w="0" w:type="auto"/>
            <w:tcBorders>
              <w:tl2br w:val="nil"/>
              <w:tr2bl w:val="nil"/>
            </w:tcBorders>
            <w:shd w:val="clear" w:color="auto" w:fill="auto"/>
            <w:noWrap/>
            <w:vAlign w:val="center"/>
          </w:tcPr>
          <w:p w14:paraId="1A1B82B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014FE4E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033AB57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1400</w:t>
            </w:r>
          </w:p>
        </w:tc>
        <w:tc>
          <w:tcPr>
            <w:tcW w:w="0" w:type="auto"/>
            <w:tcBorders>
              <w:tl2br w:val="nil"/>
              <w:tr2bl w:val="nil"/>
            </w:tcBorders>
            <w:shd w:val="clear" w:color="auto" w:fill="auto"/>
            <w:noWrap/>
            <w:vAlign w:val="center"/>
          </w:tcPr>
          <w:p w14:paraId="69DA1D6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7C92619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18.04</w:t>
            </w:r>
          </w:p>
        </w:tc>
        <w:tc>
          <w:tcPr>
            <w:tcW w:w="0" w:type="auto"/>
            <w:tcBorders>
              <w:tl2br w:val="nil"/>
              <w:tr2bl w:val="nil"/>
            </w:tcBorders>
            <w:shd w:val="clear" w:color="auto" w:fill="auto"/>
            <w:noWrap/>
            <w:vAlign w:val="center"/>
          </w:tcPr>
          <w:p w14:paraId="70CBD8F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2000</w:t>
            </w:r>
          </w:p>
        </w:tc>
        <w:tc>
          <w:tcPr>
            <w:tcW w:w="0" w:type="auto"/>
            <w:tcBorders>
              <w:tl2br w:val="nil"/>
              <w:tr2bl w:val="nil"/>
            </w:tcBorders>
            <w:shd w:val="clear" w:color="auto" w:fill="auto"/>
            <w:noWrap/>
            <w:vAlign w:val="center"/>
          </w:tcPr>
          <w:p w14:paraId="657F284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5ACBEE7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18.01</w:t>
            </w:r>
          </w:p>
        </w:tc>
      </w:tr>
      <w:tr w14:paraId="23D121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254656E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w:t>
            </w:r>
          </w:p>
        </w:tc>
        <w:tc>
          <w:tcPr>
            <w:tcW w:w="0" w:type="auto"/>
            <w:tcBorders>
              <w:tl2br w:val="nil"/>
              <w:tr2bl w:val="nil"/>
            </w:tcBorders>
            <w:shd w:val="clear" w:color="auto" w:fill="auto"/>
            <w:noWrap/>
            <w:vAlign w:val="center"/>
          </w:tcPr>
          <w:p w14:paraId="6DA14A9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2F8B873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78EA704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800</w:t>
            </w:r>
          </w:p>
        </w:tc>
        <w:tc>
          <w:tcPr>
            <w:tcW w:w="0" w:type="auto"/>
            <w:tcBorders>
              <w:tl2br w:val="nil"/>
              <w:tr2bl w:val="nil"/>
            </w:tcBorders>
            <w:shd w:val="clear" w:color="auto" w:fill="auto"/>
            <w:noWrap/>
            <w:vAlign w:val="center"/>
          </w:tcPr>
          <w:p w14:paraId="4C400BF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49E27B2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18.06</w:t>
            </w:r>
          </w:p>
        </w:tc>
        <w:tc>
          <w:tcPr>
            <w:tcW w:w="0" w:type="auto"/>
            <w:tcBorders>
              <w:tl2br w:val="nil"/>
              <w:tr2bl w:val="nil"/>
            </w:tcBorders>
            <w:shd w:val="clear" w:color="auto" w:fill="auto"/>
            <w:noWrap/>
            <w:vAlign w:val="center"/>
          </w:tcPr>
          <w:p w14:paraId="5DAA5A5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1400</w:t>
            </w:r>
          </w:p>
        </w:tc>
        <w:tc>
          <w:tcPr>
            <w:tcW w:w="0" w:type="auto"/>
            <w:tcBorders>
              <w:tl2br w:val="nil"/>
              <w:tr2bl w:val="nil"/>
            </w:tcBorders>
            <w:shd w:val="clear" w:color="auto" w:fill="auto"/>
            <w:noWrap/>
            <w:vAlign w:val="center"/>
          </w:tcPr>
          <w:p w14:paraId="1DC40E5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2FB5E4F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5C96850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2000</w:t>
            </w:r>
          </w:p>
        </w:tc>
        <w:tc>
          <w:tcPr>
            <w:tcW w:w="0" w:type="auto"/>
            <w:tcBorders>
              <w:tl2br w:val="nil"/>
              <w:tr2bl w:val="nil"/>
            </w:tcBorders>
            <w:shd w:val="clear" w:color="auto" w:fill="auto"/>
            <w:noWrap/>
            <w:vAlign w:val="center"/>
          </w:tcPr>
          <w:p w14:paraId="2F1416A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15CAD2E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r>
      <w:tr w14:paraId="51FEC1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625F370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w:t>
            </w:r>
          </w:p>
        </w:tc>
        <w:tc>
          <w:tcPr>
            <w:tcW w:w="0" w:type="auto"/>
            <w:tcBorders>
              <w:tl2br w:val="nil"/>
              <w:tr2bl w:val="nil"/>
            </w:tcBorders>
            <w:shd w:val="clear" w:color="auto" w:fill="auto"/>
            <w:noWrap/>
            <w:vAlign w:val="center"/>
          </w:tcPr>
          <w:p w14:paraId="5D0AEF9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3F3B2C5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18.12</w:t>
            </w:r>
          </w:p>
        </w:tc>
        <w:tc>
          <w:tcPr>
            <w:tcW w:w="0" w:type="auto"/>
            <w:tcBorders>
              <w:tl2br w:val="nil"/>
              <w:tr2bl w:val="nil"/>
            </w:tcBorders>
            <w:shd w:val="clear" w:color="auto" w:fill="auto"/>
            <w:noWrap/>
            <w:vAlign w:val="center"/>
          </w:tcPr>
          <w:p w14:paraId="664CA7A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800</w:t>
            </w:r>
          </w:p>
        </w:tc>
        <w:tc>
          <w:tcPr>
            <w:tcW w:w="0" w:type="auto"/>
            <w:tcBorders>
              <w:tl2br w:val="nil"/>
              <w:tr2bl w:val="nil"/>
            </w:tcBorders>
            <w:shd w:val="clear" w:color="auto" w:fill="auto"/>
            <w:noWrap/>
            <w:vAlign w:val="center"/>
          </w:tcPr>
          <w:p w14:paraId="3385E05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0861DED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53E5C13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1400</w:t>
            </w:r>
          </w:p>
        </w:tc>
        <w:tc>
          <w:tcPr>
            <w:tcW w:w="0" w:type="auto"/>
            <w:tcBorders>
              <w:tl2br w:val="nil"/>
              <w:tr2bl w:val="nil"/>
            </w:tcBorders>
            <w:shd w:val="clear" w:color="auto" w:fill="auto"/>
            <w:noWrap/>
            <w:vAlign w:val="center"/>
          </w:tcPr>
          <w:p w14:paraId="128C3EF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6A81E2E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7413CF5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2000</w:t>
            </w:r>
          </w:p>
        </w:tc>
        <w:tc>
          <w:tcPr>
            <w:tcW w:w="0" w:type="auto"/>
            <w:tcBorders>
              <w:tl2br w:val="nil"/>
              <w:tr2bl w:val="nil"/>
            </w:tcBorders>
            <w:shd w:val="clear" w:color="auto" w:fill="auto"/>
            <w:noWrap/>
            <w:vAlign w:val="center"/>
          </w:tcPr>
          <w:p w14:paraId="6F59518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3F3A2F3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r>
      <w:tr w14:paraId="445AEA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3BFA322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w:t>
            </w:r>
          </w:p>
        </w:tc>
        <w:tc>
          <w:tcPr>
            <w:tcW w:w="0" w:type="auto"/>
            <w:tcBorders>
              <w:tl2br w:val="nil"/>
              <w:tr2bl w:val="nil"/>
            </w:tcBorders>
            <w:shd w:val="clear" w:color="auto" w:fill="auto"/>
            <w:noWrap/>
            <w:vAlign w:val="center"/>
          </w:tcPr>
          <w:p w14:paraId="57A3897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592C12F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0637FA0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800</w:t>
            </w:r>
          </w:p>
        </w:tc>
        <w:tc>
          <w:tcPr>
            <w:tcW w:w="0" w:type="auto"/>
            <w:tcBorders>
              <w:tl2br w:val="nil"/>
              <w:tr2bl w:val="nil"/>
            </w:tcBorders>
            <w:shd w:val="clear" w:color="auto" w:fill="auto"/>
            <w:noWrap/>
            <w:vAlign w:val="center"/>
          </w:tcPr>
          <w:p w14:paraId="2C7F344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5B719B6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6E1CE61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1400</w:t>
            </w:r>
          </w:p>
        </w:tc>
        <w:tc>
          <w:tcPr>
            <w:tcW w:w="0" w:type="auto"/>
            <w:tcBorders>
              <w:tl2br w:val="nil"/>
              <w:tr2bl w:val="nil"/>
            </w:tcBorders>
            <w:shd w:val="clear" w:color="auto" w:fill="auto"/>
            <w:noWrap/>
            <w:vAlign w:val="center"/>
          </w:tcPr>
          <w:p w14:paraId="3404C74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48ABA7D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0E91D8C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2100</w:t>
            </w:r>
          </w:p>
        </w:tc>
        <w:tc>
          <w:tcPr>
            <w:tcW w:w="0" w:type="auto"/>
            <w:tcBorders>
              <w:tl2br w:val="nil"/>
              <w:tr2bl w:val="nil"/>
            </w:tcBorders>
            <w:shd w:val="clear" w:color="auto" w:fill="auto"/>
            <w:noWrap/>
            <w:vAlign w:val="center"/>
          </w:tcPr>
          <w:p w14:paraId="3E2A1D0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6853498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18.03</w:t>
            </w:r>
          </w:p>
        </w:tc>
      </w:tr>
      <w:tr w14:paraId="73ED17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598256E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w:t>
            </w:r>
          </w:p>
        </w:tc>
        <w:tc>
          <w:tcPr>
            <w:tcW w:w="0" w:type="auto"/>
            <w:tcBorders>
              <w:tl2br w:val="nil"/>
              <w:tr2bl w:val="nil"/>
            </w:tcBorders>
            <w:shd w:val="clear" w:color="auto" w:fill="auto"/>
            <w:noWrap/>
            <w:vAlign w:val="center"/>
          </w:tcPr>
          <w:p w14:paraId="0DE9969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203CB89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61EB659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800</w:t>
            </w:r>
          </w:p>
        </w:tc>
        <w:tc>
          <w:tcPr>
            <w:tcW w:w="0" w:type="auto"/>
            <w:tcBorders>
              <w:tl2br w:val="nil"/>
              <w:tr2bl w:val="nil"/>
            </w:tcBorders>
            <w:shd w:val="clear" w:color="auto" w:fill="auto"/>
            <w:noWrap/>
            <w:vAlign w:val="center"/>
          </w:tcPr>
          <w:p w14:paraId="3EED24D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2FE1E25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4996BC4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1500</w:t>
            </w:r>
          </w:p>
        </w:tc>
        <w:tc>
          <w:tcPr>
            <w:tcW w:w="0" w:type="auto"/>
            <w:tcBorders>
              <w:tl2br w:val="nil"/>
              <w:tr2bl w:val="nil"/>
            </w:tcBorders>
            <w:shd w:val="clear" w:color="auto" w:fill="auto"/>
            <w:noWrap/>
            <w:vAlign w:val="center"/>
          </w:tcPr>
          <w:p w14:paraId="0EAEFDD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39FE32D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18.04</w:t>
            </w:r>
          </w:p>
        </w:tc>
        <w:tc>
          <w:tcPr>
            <w:tcW w:w="0" w:type="auto"/>
            <w:tcBorders>
              <w:tl2br w:val="nil"/>
              <w:tr2bl w:val="nil"/>
            </w:tcBorders>
            <w:shd w:val="clear" w:color="auto" w:fill="auto"/>
            <w:noWrap/>
            <w:vAlign w:val="center"/>
          </w:tcPr>
          <w:p w14:paraId="6E9CC29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2100</w:t>
            </w:r>
          </w:p>
        </w:tc>
        <w:tc>
          <w:tcPr>
            <w:tcW w:w="0" w:type="auto"/>
            <w:tcBorders>
              <w:tl2br w:val="nil"/>
              <w:tr2bl w:val="nil"/>
            </w:tcBorders>
            <w:shd w:val="clear" w:color="auto" w:fill="auto"/>
            <w:noWrap/>
            <w:vAlign w:val="center"/>
          </w:tcPr>
          <w:p w14:paraId="6AAC1E2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48AC7E6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18.01</w:t>
            </w:r>
          </w:p>
        </w:tc>
      </w:tr>
      <w:tr w14:paraId="5AC3D5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6BEE7FE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w:t>
            </w:r>
          </w:p>
        </w:tc>
        <w:tc>
          <w:tcPr>
            <w:tcW w:w="0" w:type="auto"/>
            <w:tcBorders>
              <w:tl2br w:val="nil"/>
              <w:tr2bl w:val="nil"/>
            </w:tcBorders>
            <w:shd w:val="clear" w:color="auto" w:fill="auto"/>
            <w:noWrap/>
            <w:vAlign w:val="center"/>
          </w:tcPr>
          <w:p w14:paraId="1BEA29F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4279114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3A9BA12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900</w:t>
            </w:r>
          </w:p>
        </w:tc>
        <w:tc>
          <w:tcPr>
            <w:tcW w:w="0" w:type="auto"/>
            <w:tcBorders>
              <w:tl2br w:val="nil"/>
              <w:tr2bl w:val="nil"/>
            </w:tcBorders>
            <w:shd w:val="clear" w:color="auto" w:fill="auto"/>
            <w:noWrap/>
            <w:vAlign w:val="center"/>
          </w:tcPr>
          <w:p w14:paraId="1C1BB09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1DD37CD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18.05</w:t>
            </w:r>
          </w:p>
        </w:tc>
        <w:tc>
          <w:tcPr>
            <w:tcW w:w="0" w:type="auto"/>
            <w:tcBorders>
              <w:tl2br w:val="nil"/>
              <w:tr2bl w:val="nil"/>
            </w:tcBorders>
            <w:shd w:val="clear" w:color="auto" w:fill="auto"/>
            <w:noWrap/>
            <w:vAlign w:val="center"/>
          </w:tcPr>
          <w:p w14:paraId="73708CA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1500</w:t>
            </w:r>
          </w:p>
        </w:tc>
        <w:tc>
          <w:tcPr>
            <w:tcW w:w="0" w:type="auto"/>
            <w:tcBorders>
              <w:tl2br w:val="nil"/>
              <w:tr2bl w:val="nil"/>
            </w:tcBorders>
            <w:shd w:val="clear" w:color="auto" w:fill="auto"/>
            <w:noWrap/>
            <w:vAlign w:val="center"/>
          </w:tcPr>
          <w:p w14:paraId="7193B32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5A83788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4C79F17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2100</w:t>
            </w:r>
          </w:p>
        </w:tc>
        <w:tc>
          <w:tcPr>
            <w:tcW w:w="0" w:type="auto"/>
            <w:tcBorders>
              <w:tl2br w:val="nil"/>
              <w:tr2bl w:val="nil"/>
            </w:tcBorders>
            <w:shd w:val="clear" w:color="auto" w:fill="auto"/>
            <w:noWrap/>
            <w:vAlign w:val="center"/>
          </w:tcPr>
          <w:p w14:paraId="32CE3E7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12CF637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r>
      <w:tr w14:paraId="73EAE8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7A3AD4A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300</w:t>
            </w:r>
          </w:p>
        </w:tc>
        <w:tc>
          <w:tcPr>
            <w:tcW w:w="0" w:type="auto"/>
            <w:tcBorders>
              <w:tl2br w:val="nil"/>
              <w:tr2bl w:val="nil"/>
            </w:tcBorders>
            <w:shd w:val="clear" w:color="auto" w:fill="auto"/>
            <w:noWrap/>
            <w:vAlign w:val="center"/>
          </w:tcPr>
          <w:p w14:paraId="586C306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2CBC0F4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18.10</w:t>
            </w:r>
          </w:p>
        </w:tc>
        <w:tc>
          <w:tcPr>
            <w:tcW w:w="0" w:type="auto"/>
            <w:tcBorders>
              <w:tl2br w:val="nil"/>
              <w:tr2bl w:val="nil"/>
            </w:tcBorders>
            <w:shd w:val="clear" w:color="auto" w:fill="auto"/>
            <w:noWrap/>
            <w:vAlign w:val="center"/>
          </w:tcPr>
          <w:p w14:paraId="4D0B61F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900</w:t>
            </w:r>
          </w:p>
        </w:tc>
        <w:tc>
          <w:tcPr>
            <w:tcW w:w="0" w:type="auto"/>
            <w:tcBorders>
              <w:tl2br w:val="nil"/>
              <w:tr2bl w:val="nil"/>
            </w:tcBorders>
            <w:shd w:val="clear" w:color="auto" w:fill="auto"/>
            <w:noWrap/>
            <w:vAlign w:val="center"/>
          </w:tcPr>
          <w:p w14:paraId="710AC14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19C9C52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36F011F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1500</w:t>
            </w:r>
          </w:p>
        </w:tc>
        <w:tc>
          <w:tcPr>
            <w:tcW w:w="0" w:type="auto"/>
            <w:tcBorders>
              <w:tl2br w:val="nil"/>
              <w:tr2bl w:val="nil"/>
            </w:tcBorders>
            <w:shd w:val="clear" w:color="auto" w:fill="auto"/>
            <w:noWrap/>
            <w:vAlign w:val="center"/>
          </w:tcPr>
          <w:p w14:paraId="28E3ED1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1AA45D6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6D7574E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2100</w:t>
            </w:r>
          </w:p>
        </w:tc>
        <w:tc>
          <w:tcPr>
            <w:tcW w:w="0" w:type="auto"/>
            <w:tcBorders>
              <w:tl2br w:val="nil"/>
              <w:tr2bl w:val="nil"/>
            </w:tcBorders>
            <w:shd w:val="clear" w:color="auto" w:fill="auto"/>
            <w:noWrap/>
            <w:vAlign w:val="center"/>
          </w:tcPr>
          <w:p w14:paraId="63822CF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116D7FB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r>
      <w:tr w14:paraId="310345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0D67F52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300</w:t>
            </w:r>
          </w:p>
        </w:tc>
        <w:tc>
          <w:tcPr>
            <w:tcW w:w="0" w:type="auto"/>
            <w:tcBorders>
              <w:tl2br w:val="nil"/>
              <w:tr2bl w:val="nil"/>
            </w:tcBorders>
            <w:shd w:val="clear" w:color="auto" w:fill="auto"/>
            <w:noWrap/>
            <w:vAlign w:val="center"/>
          </w:tcPr>
          <w:p w14:paraId="02D4B7A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2441E88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035AC37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900</w:t>
            </w:r>
          </w:p>
        </w:tc>
        <w:tc>
          <w:tcPr>
            <w:tcW w:w="0" w:type="auto"/>
            <w:tcBorders>
              <w:tl2br w:val="nil"/>
              <w:tr2bl w:val="nil"/>
            </w:tcBorders>
            <w:shd w:val="clear" w:color="auto" w:fill="auto"/>
            <w:noWrap/>
            <w:vAlign w:val="center"/>
          </w:tcPr>
          <w:p w14:paraId="02C9586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1704CBB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52F20D7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1500</w:t>
            </w:r>
          </w:p>
        </w:tc>
        <w:tc>
          <w:tcPr>
            <w:tcW w:w="0" w:type="auto"/>
            <w:tcBorders>
              <w:tl2br w:val="nil"/>
              <w:tr2bl w:val="nil"/>
            </w:tcBorders>
            <w:shd w:val="clear" w:color="auto" w:fill="auto"/>
            <w:noWrap/>
            <w:vAlign w:val="center"/>
          </w:tcPr>
          <w:p w14:paraId="7A69C93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10BA088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620ED20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2200</w:t>
            </w:r>
          </w:p>
        </w:tc>
        <w:tc>
          <w:tcPr>
            <w:tcW w:w="0" w:type="auto"/>
            <w:tcBorders>
              <w:tl2br w:val="nil"/>
              <w:tr2bl w:val="nil"/>
            </w:tcBorders>
            <w:shd w:val="clear" w:color="auto" w:fill="auto"/>
            <w:noWrap/>
            <w:vAlign w:val="center"/>
          </w:tcPr>
          <w:p w14:paraId="6A7D1BC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6D40CDF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18.03</w:t>
            </w:r>
          </w:p>
        </w:tc>
      </w:tr>
      <w:tr w14:paraId="1FBE1A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40E56F5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300</w:t>
            </w:r>
          </w:p>
        </w:tc>
        <w:tc>
          <w:tcPr>
            <w:tcW w:w="0" w:type="auto"/>
            <w:tcBorders>
              <w:tl2br w:val="nil"/>
              <w:tr2bl w:val="nil"/>
            </w:tcBorders>
            <w:shd w:val="clear" w:color="auto" w:fill="auto"/>
            <w:noWrap/>
            <w:vAlign w:val="center"/>
          </w:tcPr>
          <w:p w14:paraId="283E8FD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220F3B6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6D9384F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900</w:t>
            </w:r>
          </w:p>
        </w:tc>
        <w:tc>
          <w:tcPr>
            <w:tcW w:w="0" w:type="auto"/>
            <w:tcBorders>
              <w:tl2br w:val="nil"/>
              <w:tr2bl w:val="nil"/>
            </w:tcBorders>
            <w:shd w:val="clear" w:color="auto" w:fill="auto"/>
            <w:noWrap/>
            <w:vAlign w:val="center"/>
          </w:tcPr>
          <w:p w14:paraId="739CF7E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438F9A4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4303969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1600</w:t>
            </w:r>
          </w:p>
        </w:tc>
        <w:tc>
          <w:tcPr>
            <w:tcW w:w="0" w:type="auto"/>
            <w:tcBorders>
              <w:tl2br w:val="nil"/>
              <w:tr2bl w:val="nil"/>
            </w:tcBorders>
            <w:shd w:val="clear" w:color="auto" w:fill="auto"/>
            <w:noWrap/>
            <w:vAlign w:val="center"/>
          </w:tcPr>
          <w:p w14:paraId="6BB6505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1164962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18.04</w:t>
            </w:r>
          </w:p>
        </w:tc>
        <w:tc>
          <w:tcPr>
            <w:tcW w:w="0" w:type="auto"/>
            <w:tcBorders>
              <w:tl2br w:val="nil"/>
              <w:tr2bl w:val="nil"/>
            </w:tcBorders>
            <w:shd w:val="clear" w:color="auto" w:fill="auto"/>
            <w:noWrap/>
            <w:vAlign w:val="center"/>
          </w:tcPr>
          <w:p w14:paraId="34E435A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2200</w:t>
            </w:r>
          </w:p>
        </w:tc>
        <w:tc>
          <w:tcPr>
            <w:tcW w:w="0" w:type="auto"/>
            <w:tcBorders>
              <w:tl2br w:val="nil"/>
              <w:tr2bl w:val="nil"/>
            </w:tcBorders>
            <w:shd w:val="clear" w:color="auto" w:fill="auto"/>
            <w:noWrap/>
            <w:vAlign w:val="center"/>
          </w:tcPr>
          <w:p w14:paraId="3007D27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3CFD80B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18.01</w:t>
            </w:r>
          </w:p>
        </w:tc>
      </w:tr>
      <w:tr w14:paraId="589418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31BE5A3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300</w:t>
            </w:r>
          </w:p>
        </w:tc>
        <w:tc>
          <w:tcPr>
            <w:tcW w:w="0" w:type="auto"/>
            <w:tcBorders>
              <w:tl2br w:val="nil"/>
              <w:tr2bl w:val="nil"/>
            </w:tcBorders>
            <w:shd w:val="clear" w:color="auto" w:fill="auto"/>
            <w:noWrap/>
            <w:vAlign w:val="center"/>
          </w:tcPr>
          <w:p w14:paraId="1F5696F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7CE31CA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16806E1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1000</w:t>
            </w:r>
          </w:p>
        </w:tc>
        <w:tc>
          <w:tcPr>
            <w:tcW w:w="0" w:type="auto"/>
            <w:tcBorders>
              <w:tl2br w:val="nil"/>
              <w:tr2bl w:val="nil"/>
            </w:tcBorders>
            <w:shd w:val="clear" w:color="auto" w:fill="auto"/>
            <w:noWrap/>
            <w:vAlign w:val="center"/>
          </w:tcPr>
          <w:p w14:paraId="42786D1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72656C1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18.05</w:t>
            </w:r>
          </w:p>
        </w:tc>
        <w:tc>
          <w:tcPr>
            <w:tcW w:w="0" w:type="auto"/>
            <w:tcBorders>
              <w:tl2br w:val="nil"/>
              <w:tr2bl w:val="nil"/>
            </w:tcBorders>
            <w:shd w:val="clear" w:color="auto" w:fill="auto"/>
            <w:noWrap/>
            <w:vAlign w:val="center"/>
          </w:tcPr>
          <w:p w14:paraId="4A8E382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1600</w:t>
            </w:r>
          </w:p>
        </w:tc>
        <w:tc>
          <w:tcPr>
            <w:tcW w:w="0" w:type="auto"/>
            <w:tcBorders>
              <w:tl2br w:val="nil"/>
              <w:tr2bl w:val="nil"/>
            </w:tcBorders>
            <w:shd w:val="clear" w:color="auto" w:fill="auto"/>
            <w:noWrap/>
            <w:vAlign w:val="center"/>
          </w:tcPr>
          <w:p w14:paraId="7CA261B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5A6304A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42E9188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2200</w:t>
            </w:r>
          </w:p>
        </w:tc>
        <w:tc>
          <w:tcPr>
            <w:tcW w:w="0" w:type="auto"/>
            <w:tcBorders>
              <w:tl2br w:val="nil"/>
              <w:tr2bl w:val="nil"/>
            </w:tcBorders>
            <w:shd w:val="clear" w:color="auto" w:fill="auto"/>
            <w:noWrap/>
            <w:vAlign w:val="center"/>
          </w:tcPr>
          <w:p w14:paraId="0FD8C0C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75B85E9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r>
      <w:tr w14:paraId="0B0C2D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4C79306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400</w:t>
            </w:r>
          </w:p>
        </w:tc>
        <w:tc>
          <w:tcPr>
            <w:tcW w:w="0" w:type="auto"/>
            <w:tcBorders>
              <w:tl2br w:val="nil"/>
              <w:tr2bl w:val="nil"/>
            </w:tcBorders>
            <w:shd w:val="clear" w:color="auto" w:fill="auto"/>
            <w:noWrap/>
            <w:vAlign w:val="center"/>
          </w:tcPr>
          <w:p w14:paraId="27704E5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1054003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18.08</w:t>
            </w:r>
          </w:p>
        </w:tc>
        <w:tc>
          <w:tcPr>
            <w:tcW w:w="0" w:type="auto"/>
            <w:tcBorders>
              <w:tl2br w:val="nil"/>
              <w:tr2bl w:val="nil"/>
            </w:tcBorders>
            <w:shd w:val="clear" w:color="auto" w:fill="auto"/>
            <w:noWrap/>
            <w:vAlign w:val="center"/>
          </w:tcPr>
          <w:p w14:paraId="45E6B45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1000</w:t>
            </w:r>
          </w:p>
        </w:tc>
        <w:tc>
          <w:tcPr>
            <w:tcW w:w="0" w:type="auto"/>
            <w:tcBorders>
              <w:tl2br w:val="nil"/>
              <w:tr2bl w:val="nil"/>
            </w:tcBorders>
            <w:shd w:val="clear" w:color="auto" w:fill="auto"/>
            <w:noWrap/>
            <w:vAlign w:val="center"/>
          </w:tcPr>
          <w:p w14:paraId="3402ADE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251F444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74566E6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1600</w:t>
            </w:r>
          </w:p>
        </w:tc>
        <w:tc>
          <w:tcPr>
            <w:tcW w:w="0" w:type="auto"/>
            <w:tcBorders>
              <w:tl2br w:val="nil"/>
              <w:tr2bl w:val="nil"/>
            </w:tcBorders>
            <w:shd w:val="clear" w:color="auto" w:fill="auto"/>
            <w:noWrap/>
            <w:vAlign w:val="center"/>
          </w:tcPr>
          <w:p w14:paraId="20161CF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72CD020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0E4A924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2200</w:t>
            </w:r>
          </w:p>
        </w:tc>
        <w:tc>
          <w:tcPr>
            <w:tcW w:w="0" w:type="auto"/>
            <w:tcBorders>
              <w:tl2br w:val="nil"/>
              <w:tr2bl w:val="nil"/>
            </w:tcBorders>
            <w:shd w:val="clear" w:color="auto" w:fill="auto"/>
            <w:noWrap/>
            <w:vAlign w:val="center"/>
          </w:tcPr>
          <w:p w14:paraId="4AF9BC1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25D8B66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r>
      <w:tr w14:paraId="52548A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1E89591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400</w:t>
            </w:r>
          </w:p>
        </w:tc>
        <w:tc>
          <w:tcPr>
            <w:tcW w:w="0" w:type="auto"/>
            <w:tcBorders>
              <w:tl2br w:val="nil"/>
              <w:tr2bl w:val="nil"/>
            </w:tcBorders>
            <w:shd w:val="clear" w:color="auto" w:fill="auto"/>
            <w:noWrap/>
            <w:vAlign w:val="center"/>
          </w:tcPr>
          <w:p w14:paraId="22DC165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55DBA92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1845AE1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1000</w:t>
            </w:r>
          </w:p>
        </w:tc>
        <w:tc>
          <w:tcPr>
            <w:tcW w:w="0" w:type="auto"/>
            <w:tcBorders>
              <w:tl2br w:val="nil"/>
              <w:tr2bl w:val="nil"/>
            </w:tcBorders>
            <w:shd w:val="clear" w:color="auto" w:fill="auto"/>
            <w:noWrap/>
            <w:vAlign w:val="center"/>
          </w:tcPr>
          <w:p w14:paraId="48827F1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741E323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4A60CC7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1600</w:t>
            </w:r>
          </w:p>
        </w:tc>
        <w:tc>
          <w:tcPr>
            <w:tcW w:w="0" w:type="auto"/>
            <w:tcBorders>
              <w:tl2br w:val="nil"/>
              <w:tr2bl w:val="nil"/>
            </w:tcBorders>
            <w:shd w:val="clear" w:color="auto" w:fill="auto"/>
            <w:noWrap/>
            <w:vAlign w:val="center"/>
          </w:tcPr>
          <w:p w14:paraId="72AC1C2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085E92F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75C827D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2300</w:t>
            </w:r>
          </w:p>
        </w:tc>
        <w:tc>
          <w:tcPr>
            <w:tcW w:w="0" w:type="auto"/>
            <w:tcBorders>
              <w:tl2br w:val="nil"/>
              <w:tr2bl w:val="nil"/>
            </w:tcBorders>
            <w:shd w:val="clear" w:color="auto" w:fill="auto"/>
            <w:noWrap/>
            <w:vAlign w:val="center"/>
          </w:tcPr>
          <w:p w14:paraId="2C62AA0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6433B24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18.03</w:t>
            </w:r>
          </w:p>
        </w:tc>
      </w:tr>
      <w:tr w14:paraId="585961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3585589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400</w:t>
            </w:r>
          </w:p>
        </w:tc>
        <w:tc>
          <w:tcPr>
            <w:tcW w:w="0" w:type="auto"/>
            <w:tcBorders>
              <w:tl2br w:val="nil"/>
              <w:tr2bl w:val="nil"/>
            </w:tcBorders>
            <w:shd w:val="clear" w:color="auto" w:fill="auto"/>
            <w:noWrap/>
            <w:vAlign w:val="center"/>
          </w:tcPr>
          <w:p w14:paraId="1A45BA1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44C533D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2EDC648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1000</w:t>
            </w:r>
          </w:p>
        </w:tc>
        <w:tc>
          <w:tcPr>
            <w:tcW w:w="0" w:type="auto"/>
            <w:tcBorders>
              <w:tl2br w:val="nil"/>
              <w:tr2bl w:val="nil"/>
            </w:tcBorders>
            <w:shd w:val="clear" w:color="auto" w:fill="auto"/>
            <w:noWrap/>
            <w:vAlign w:val="center"/>
          </w:tcPr>
          <w:p w14:paraId="5A151C8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14F625D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79AA261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1700</w:t>
            </w:r>
          </w:p>
        </w:tc>
        <w:tc>
          <w:tcPr>
            <w:tcW w:w="0" w:type="auto"/>
            <w:tcBorders>
              <w:tl2br w:val="nil"/>
              <w:tr2bl w:val="nil"/>
            </w:tcBorders>
            <w:shd w:val="clear" w:color="auto" w:fill="auto"/>
            <w:noWrap/>
            <w:vAlign w:val="center"/>
          </w:tcPr>
          <w:p w14:paraId="48CCEDE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594D148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18.04</w:t>
            </w:r>
          </w:p>
        </w:tc>
        <w:tc>
          <w:tcPr>
            <w:tcW w:w="0" w:type="auto"/>
            <w:tcBorders>
              <w:tl2br w:val="nil"/>
              <w:tr2bl w:val="nil"/>
            </w:tcBorders>
            <w:shd w:val="clear" w:color="auto" w:fill="auto"/>
            <w:noWrap/>
            <w:vAlign w:val="center"/>
          </w:tcPr>
          <w:p w14:paraId="5493528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2300</w:t>
            </w:r>
          </w:p>
        </w:tc>
        <w:tc>
          <w:tcPr>
            <w:tcW w:w="0" w:type="auto"/>
            <w:tcBorders>
              <w:tl2br w:val="nil"/>
              <w:tr2bl w:val="nil"/>
            </w:tcBorders>
            <w:shd w:val="clear" w:color="auto" w:fill="auto"/>
            <w:noWrap/>
            <w:vAlign w:val="center"/>
          </w:tcPr>
          <w:p w14:paraId="727F415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0F95332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18.01</w:t>
            </w:r>
          </w:p>
        </w:tc>
      </w:tr>
      <w:tr w14:paraId="3398D9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4236681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400</w:t>
            </w:r>
          </w:p>
        </w:tc>
        <w:tc>
          <w:tcPr>
            <w:tcW w:w="0" w:type="auto"/>
            <w:tcBorders>
              <w:tl2br w:val="nil"/>
              <w:tr2bl w:val="nil"/>
            </w:tcBorders>
            <w:shd w:val="clear" w:color="auto" w:fill="auto"/>
            <w:noWrap/>
            <w:vAlign w:val="center"/>
          </w:tcPr>
          <w:p w14:paraId="4816463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02AC4B2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67A5C1B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1100</w:t>
            </w:r>
          </w:p>
        </w:tc>
        <w:tc>
          <w:tcPr>
            <w:tcW w:w="0" w:type="auto"/>
            <w:tcBorders>
              <w:tl2br w:val="nil"/>
              <w:tr2bl w:val="nil"/>
            </w:tcBorders>
            <w:shd w:val="clear" w:color="auto" w:fill="auto"/>
            <w:noWrap/>
            <w:vAlign w:val="center"/>
          </w:tcPr>
          <w:p w14:paraId="4B61C41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22A3D93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18.05</w:t>
            </w:r>
          </w:p>
        </w:tc>
        <w:tc>
          <w:tcPr>
            <w:tcW w:w="0" w:type="auto"/>
            <w:tcBorders>
              <w:tl2br w:val="nil"/>
              <w:tr2bl w:val="nil"/>
            </w:tcBorders>
            <w:shd w:val="clear" w:color="auto" w:fill="auto"/>
            <w:noWrap/>
            <w:vAlign w:val="center"/>
          </w:tcPr>
          <w:p w14:paraId="004C5E9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1700</w:t>
            </w:r>
          </w:p>
        </w:tc>
        <w:tc>
          <w:tcPr>
            <w:tcW w:w="0" w:type="auto"/>
            <w:tcBorders>
              <w:tl2br w:val="nil"/>
              <w:tr2bl w:val="nil"/>
            </w:tcBorders>
            <w:shd w:val="clear" w:color="auto" w:fill="auto"/>
            <w:noWrap/>
            <w:vAlign w:val="center"/>
          </w:tcPr>
          <w:p w14:paraId="2963131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3D7FD7C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18.01</w:t>
            </w:r>
          </w:p>
        </w:tc>
        <w:tc>
          <w:tcPr>
            <w:tcW w:w="0" w:type="auto"/>
            <w:tcBorders>
              <w:tl2br w:val="nil"/>
              <w:tr2bl w:val="nil"/>
            </w:tcBorders>
            <w:shd w:val="clear" w:color="auto" w:fill="auto"/>
            <w:noWrap/>
            <w:vAlign w:val="center"/>
          </w:tcPr>
          <w:p w14:paraId="31A33B0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2300</w:t>
            </w:r>
          </w:p>
        </w:tc>
        <w:tc>
          <w:tcPr>
            <w:tcW w:w="0" w:type="auto"/>
            <w:tcBorders>
              <w:tl2br w:val="nil"/>
              <w:tr2bl w:val="nil"/>
            </w:tcBorders>
            <w:shd w:val="clear" w:color="auto" w:fill="auto"/>
            <w:noWrap/>
            <w:vAlign w:val="center"/>
          </w:tcPr>
          <w:p w14:paraId="10E8FC6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7721FDE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r>
      <w:tr w14:paraId="2EFE69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0C53541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500</w:t>
            </w:r>
          </w:p>
        </w:tc>
        <w:tc>
          <w:tcPr>
            <w:tcW w:w="0" w:type="auto"/>
            <w:tcBorders>
              <w:tl2br w:val="nil"/>
              <w:tr2bl w:val="nil"/>
            </w:tcBorders>
            <w:shd w:val="clear" w:color="auto" w:fill="auto"/>
            <w:noWrap/>
            <w:vAlign w:val="center"/>
          </w:tcPr>
          <w:p w14:paraId="7C08584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4F9C137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18.07</w:t>
            </w:r>
          </w:p>
        </w:tc>
        <w:tc>
          <w:tcPr>
            <w:tcW w:w="0" w:type="auto"/>
            <w:tcBorders>
              <w:tl2br w:val="nil"/>
              <w:tr2bl w:val="nil"/>
            </w:tcBorders>
            <w:shd w:val="clear" w:color="auto" w:fill="auto"/>
            <w:noWrap/>
            <w:vAlign w:val="center"/>
          </w:tcPr>
          <w:p w14:paraId="29EC242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1100</w:t>
            </w:r>
          </w:p>
        </w:tc>
        <w:tc>
          <w:tcPr>
            <w:tcW w:w="0" w:type="auto"/>
            <w:tcBorders>
              <w:tl2br w:val="nil"/>
              <w:tr2bl w:val="nil"/>
            </w:tcBorders>
            <w:shd w:val="clear" w:color="auto" w:fill="auto"/>
            <w:noWrap/>
            <w:vAlign w:val="center"/>
          </w:tcPr>
          <w:p w14:paraId="0AFDA62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0B865D9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1F5F0E0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1700</w:t>
            </w:r>
          </w:p>
        </w:tc>
        <w:tc>
          <w:tcPr>
            <w:tcW w:w="0" w:type="auto"/>
            <w:tcBorders>
              <w:tl2br w:val="nil"/>
              <w:tr2bl w:val="nil"/>
            </w:tcBorders>
            <w:shd w:val="clear" w:color="auto" w:fill="auto"/>
            <w:noWrap/>
            <w:vAlign w:val="center"/>
          </w:tcPr>
          <w:p w14:paraId="17315EA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6457961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4B4BCE3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2300</w:t>
            </w:r>
          </w:p>
        </w:tc>
        <w:tc>
          <w:tcPr>
            <w:tcW w:w="0" w:type="auto"/>
            <w:tcBorders>
              <w:tl2br w:val="nil"/>
              <w:tr2bl w:val="nil"/>
            </w:tcBorders>
            <w:shd w:val="clear" w:color="auto" w:fill="auto"/>
            <w:noWrap/>
            <w:vAlign w:val="center"/>
          </w:tcPr>
          <w:p w14:paraId="55E627F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5AA2715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r>
      <w:tr w14:paraId="6D5492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7A53EE3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500</w:t>
            </w:r>
          </w:p>
        </w:tc>
        <w:tc>
          <w:tcPr>
            <w:tcW w:w="0" w:type="auto"/>
            <w:tcBorders>
              <w:tl2br w:val="nil"/>
              <w:tr2bl w:val="nil"/>
            </w:tcBorders>
            <w:shd w:val="clear" w:color="auto" w:fill="auto"/>
            <w:noWrap/>
            <w:vAlign w:val="center"/>
          </w:tcPr>
          <w:p w14:paraId="71FC67D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0C878E4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63BA1B4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1100</w:t>
            </w:r>
          </w:p>
        </w:tc>
        <w:tc>
          <w:tcPr>
            <w:tcW w:w="0" w:type="auto"/>
            <w:tcBorders>
              <w:tl2br w:val="nil"/>
              <w:tr2bl w:val="nil"/>
            </w:tcBorders>
            <w:shd w:val="clear" w:color="auto" w:fill="auto"/>
            <w:noWrap/>
            <w:vAlign w:val="center"/>
          </w:tcPr>
          <w:p w14:paraId="1A8BF24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1A7075E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3FBEF3A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1700</w:t>
            </w:r>
          </w:p>
        </w:tc>
        <w:tc>
          <w:tcPr>
            <w:tcW w:w="0" w:type="auto"/>
            <w:tcBorders>
              <w:tl2br w:val="nil"/>
              <w:tr2bl w:val="nil"/>
            </w:tcBorders>
            <w:shd w:val="clear" w:color="auto" w:fill="auto"/>
            <w:noWrap/>
            <w:vAlign w:val="center"/>
          </w:tcPr>
          <w:p w14:paraId="5273691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5C9D911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786120B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2400</w:t>
            </w:r>
          </w:p>
        </w:tc>
        <w:tc>
          <w:tcPr>
            <w:tcW w:w="0" w:type="auto"/>
            <w:tcBorders>
              <w:tl2br w:val="nil"/>
              <w:tr2bl w:val="nil"/>
            </w:tcBorders>
            <w:shd w:val="clear" w:color="auto" w:fill="auto"/>
            <w:noWrap/>
            <w:vAlign w:val="center"/>
          </w:tcPr>
          <w:p w14:paraId="4A32A70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576C23D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18.03</w:t>
            </w:r>
          </w:p>
        </w:tc>
      </w:tr>
      <w:tr w14:paraId="090E98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1BAF0EDB">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500</w:t>
            </w:r>
          </w:p>
        </w:tc>
        <w:tc>
          <w:tcPr>
            <w:tcW w:w="0" w:type="auto"/>
            <w:tcBorders>
              <w:tl2br w:val="nil"/>
              <w:tr2bl w:val="nil"/>
            </w:tcBorders>
            <w:shd w:val="clear" w:color="auto" w:fill="auto"/>
            <w:noWrap/>
            <w:vAlign w:val="center"/>
          </w:tcPr>
          <w:p w14:paraId="5165D3B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295D3B2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758483B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1100</w:t>
            </w:r>
          </w:p>
        </w:tc>
        <w:tc>
          <w:tcPr>
            <w:tcW w:w="0" w:type="auto"/>
            <w:tcBorders>
              <w:tl2br w:val="nil"/>
              <w:tr2bl w:val="nil"/>
            </w:tcBorders>
            <w:shd w:val="clear" w:color="auto" w:fill="auto"/>
            <w:noWrap/>
            <w:vAlign w:val="center"/>
          </w:tcPr>
          <w:p w14:paraId="59336DE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104B750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227DFF5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746675B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09D0BEF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18.03</w:t>
            </w:r>
          </w:p>
        </w:tc>
        <w:tc>
          <w:tcPr>
            <w:tcW w:w="0" w:type="auto"/>
            <w:tcBorders>
              <w:tl2br w:val="nil"/>
              <w:tr2bl w:val="nil"/>
            </w:tcBorders>
            <w:shd w:val="clear" w:color="auto" w:fill="auto"/>
            <w:noWrap/>
            <w:vAlign w:val="center"/>
          </w:tcPr>
          <w:p w14:paraId="4F37C8C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2400</w:t>
            </w:r>
          </w:p>
        </w:tc>
        <w:tc>
          <w:tcPr>
            <w:tcW w:w="0" w:type="auto"/>
            <w:tcBorders>
              <w:tl2br w:val="nil"/>
              <w:tr2bl w:val="nil"/>
            </w:tcBorders>
            <w:shd w:val="clear" w:color="auto" w:fill="auto"/>
            <w:noWrap/>
            <w:vAlign w:val="center"/>
          </w:tcPr>
          <w:p w14:paraId="417C815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6A9FFA4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18.01</w:t>
            </w:r>
          </w:p>
        </w:tc>
      </w:tr>
      <w:tr w14:paraId="1F5E7B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467155B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500</w:t>
            </w:r>
          </w:p>
        </w:tc>
        <w:tc>
          <w:tcPr>
            <w:tcW w:w="0" w:type="auto"/>
            <w:tcBorders>
              <w:tl2br w:val="nil"/>
              <w:tr2bl w:val="nil"/>
            </w:tcBorders>
            <w:shd w:val="clear" w:color="auto" w:fill="auto"/>
            <w:noWrap/>
            <w:vAlign w:val="center"/>
          </w:tcPr>
          <w:p w14:paraId="2B11C63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6664A07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4D33212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1200</w:t>
            </w:r>
          </w:p>
        </w:tc>
        <w:tc>
          <w:tcPr>
            <w:tcW w:w="0" w:type="auto"/>
            <w:tcBorders>
              <w:tl2br w:val="nil"/>
              <w:tr2bl w:val="nil"/>
            </w:tcBorders>
            <w:shd w:val="clear" w:color="auto" w:fill="auto"/>
            <w:noWrap/>
            <w:vAlign w:val="center"/>
          </w:tcPr>
          <w:p w14:paraId="08CB434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02BBF3D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18.04</w:t>
            </w:r>
          </w:p>
        </w:tc>
        <w:tc>
          <w:tcPr>
            <w:tcW w:w="0" w:type="auto"/>
            <w:tcBorders>
              <w:tl2br w:val="nil"/>
              <w:tr2bl w:val="nil"/>
            </w:tcBorders>
            <w:shd w:val="clear" w:color="auto" w:fill="auto"/>
            <w:noWrap/>
            <w:vAlign w:val="center"/>
          </w:tcPr>
          <w:p w14:paraId="2A40910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419F380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73289DC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18.01</w:t>
            </w:r>
          </w:p>
        </w:tc>
        <w:tc>
          <w:tcPr>
            <w:tcW w:w="0" w:type="auto"/>
            <w:tcBorders>
              <w:tl2br w:val="nil"/>
              <w:tr2bl w:val="nil"/>
            </w:tcBorders>
            <w:shd w:val="clear" w:color="auto" w:fill="auto"/>
            <w:noWrap/>
            <w:vAlign w:val="center"/>
          </w:tcPr>
          <w:p w14:paraId="4C396C7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2400</w:t>
            </w:r>
          </w:p>
        </w:tc>
        <w:tc>
          <w:tcPr>
            <w:tcW w:w="0" w:type="auto"/>
            <w:tcBorders>
              <w:tl2br w:val="nil"/>
              <w:tr2bl w:val="nil"/>
            </w:tcBorders>
            <w:shd w:val="clear" w:color="auto" w:fill="auto"/>
            <w:noWrap/>
            <w:vAlign w:val="center"/>
          </w:tcPr>
          <w:p w14:paraId="2611584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3C8B643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r>
      <w:tr w14:paraId="5F0C69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6BE67AD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600</w:t>
            </w:r>
          </w:p>
        </w:tc>
        <w:tc>
          <w:tcPr>
            <w:tcW w:w="0" w:type="auto"/>
            <w:tcBorders>
              <w:tl2br w:val="nil"/>
              <w:tr2bl w:val="nil"/>
            </w:tcBorders>
            <w:shd w:val="clear" w:color="auto" w:fill="auto"/>
            <w:noWrap/>
            <w:vAlign w:val="center"/>
          </w:tcPr>
          <w:p w14:paraId="6141A57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7BD5E93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18.07</w:t>
            </w:r>
          </w:p>
        </w:tc>
        <w:tc>
          <w:tcPr>
            <w:tcW w:w="0" w:type="auto"/>
            <w:tcBorders>
              <w:tl2br w:val="nil"/>
              <w:tr2bl w:val="nil"/>
            </w:tcBorders>
            <w:shd w:val="clear" w:color="auto" w:fill="auto"/>
            <w:noWrap/>
            <w:vAlign w:val="center"/>
          </w:tcPr>
          <w:p w14:paraId="641C7DE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1200</w:t>
            </w:r>
          </w:p>
        </w:tc>
        <w:tc>
          <w:tcPr>
            <w:tcW w:w="0" w:type="auto"/>
            <w:tcBorders>
              <w:tl2br w:val="nil"/>
              <w:tr2bl w:val="nil"/>
            </w:tcBorders>
            <w:shd w:val="clear" w:color="auto" w:fill="auto"/>
            <w:noWrap/>
            <w:vAlign w:val="center"/>
          </w:tcPr>
          <w:p w14:paraId="0C61D7B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0B637F8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7697702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411C428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4895585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006C94C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2400</w:t>
            </w:r>
          </w:p>
        </w:tc>
        <w:tc>
          <w:tcPr>
            <w:tcW w:w="0" w:type="auto"/>
            <w:tcBorders>
              <w:tl2br w:val="nil"/>
              <w:tr2bl w:val="nil"/>
            </w:tcBorders>
            <w:shd w:val="clear" w:color="auto" w:fill="auto"/>
            <w:noWrap/>
            <w:vAlign w:val="center"/>
          </w:tcPr>
          <w:p w14:paraId="4CA776B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316DABB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r>
      <w:tr w14:paraId="3C84A5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023D27A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600</w:t>
            </w:r>
          </w:p>
        </w:tc>
        <w:tc>
          <w:tcPr>
            <w:tcW w:w="0" w:type="auto"/>
            <w:tcBorders>
              <w:tl2br w:val="nil"/>
              <w:tr2bl w:val="nil"/>
            </w:tcBorders>
            <w:shd w:val="clear" w:color="auto" w:fill="auto"/>
            <w:noWrap/>
            <w:vAlign w:val="center"/>
          </w:tcPr>
          <w:p w14:paraId="5645E63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1861234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2512367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1200</w:t>
            </w:r>
          </w:p>
        </w:tc>
        <w:tc>
          <w:tcPr>
            <w:tcW w:w="0" w:type="auto"/>
            <w:tcBorders>
              <w:tl2br w:val="nil"/>
              <w:tr2bl w:val="nil"/>
            </w:tcBorders>
            <w:shd w:val="clear" w:color="auto" w:fill="auto"/>
            <w:noWrap/>
            <w:vAlign w:val="center"/>
          </w:tcPr>
          <w:p w14:paraId="60CD697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30F3DA6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648F1C1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3EF378E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66F2892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7BCD2E6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2500</w:t>
            </w:r>
          </w:p>
        </w:tc>
        <w:tc>
          <w:tcPr>
            <w:tcW w:w="0" w:type="auto"/>
            <w:tcBorders>
              <w:tl2br w:val="nil"/>
              <w:tr2bl w:val="nil"/>
            </w:tcBorders>
            <w:shd w:val="clear" w:color="auto" w:fill="auto"/>
            <w:noWrap/>
            <w:vAlign w:val="center"/>
          </w:tcPr>
          <w:p w14:paraId="4C00C41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4087B89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18.03</w:t>
            </w:r>
          </w:p>
        </w:tc>
      </w:tr>
      <w:tr w14:paraId="4D11F7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491C7E8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600</w:t>
            </w:r>
          </w:p>
        </w:tc>
        <w:tc>
          <w:tcPr>
            <w:tcW w:w="0" w:type="auto"/>
            <w:tcBorders>
              <w:tl2br w:val="nil"/>
              <w:tr2bl w:val="nil"/>
            </w:tcBorders>
            <w:shd w:val="clear" w:color="auto" w:fill="auto"/>
            <w:noWrap/>
            <w:vAlign w:val="center"/>
          </w:tcPr>
          <w:p w14:paraId="35D8D74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2C04090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07EB605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1200</w:t>
            </w:r>
          </w:p>
        </w:tc>
        <w:tc>
          <w:tcPr>
            <w:tcW w:w="0" w:type="auto"/>
            <w:tcBorders>
              <w:tl2br w:val="nil"/>
              <w:tr2bl w:val="nil"/>
            </w:tcBorders>
            <w:shd w:val="clear" w:color="auto" w:fill="auto"/>
            <w:noWrap/>
            <w:vAlign w:val="center"/>
          </w:tcPr>
          <w:p w14:paraId="063FC77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1C2DB15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4CAA04D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1900</w:t>
            </w:r>
          </w:p>
        </w:tc>
        <w:tc>
          <w:tcPr>
            <w:tcW w:w="0" w:type="auto"/>
            <w:tcBorders>
              <w:tl2br w:val="nil"/>
              <w:tr2bl w:val="nil"/>
            </w:tcBorders>
            <w:shd w:val="clear" w:color="auto" w:fill="auto"/>
            <w:noWrap/>
            <w:vAlign w:val="center"/>
          </w:tcPr>
          <w:p w14:paraId="2A24A82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2CCE20B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18.03</w:t>
            </w:r>
          </w:p>
        </w:tc>
        <w:tc>
          <w:tcPr>
            <w:tcW w:w="0" w:type="auto"/>
            <w:tcBorders>
              <w:tl2br w:val="nil"/>
              <w:tr2bl w:val="nil"/>
            </w:tcBorders>
            <w:shd w:val="clear" w:color="auto" w:fill="auto"/>
            <w:noWrap/>
            <w:vAlign w:val="center"/>
          </w:tcPr>
          <w:p w14:paraId="0C573D3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2500</w:t>
            </w:r>
          </w:p>
        </w:tc>
        <w:tc>
          <w:tcPr>
            <w:tcW w:w="0" w:type="auto"/>
            <w:tcBorders>
              <w:tl2br w:val="nil"/>
              <w:tr2bl w:val="nil"/>
            </w:tcBorders>
            <w:shd w:val="clear" w:color="auto" w:fill="auto"/>
            <w:noWrap/>
            <w:vAlign w:val="center"/>
          </w:tcPr>
          <w:p w14:paraId="1636839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5993827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18.01</w:t>
            </w:r>
          </w:p>
        </w:tc>
      </w:tr>
      <w:tr w14:paraId="2DB5CC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1721400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600</w:t>
            </w:r>
          </w:p>
        </w:tc>
        <w:tc>
          <w:tcPr>
            <w:tcW w:w="0" w:type="auto"/>
            <w:tcBorders>
              <w:tl2br w:val="nil"/>
              <w:tr2bl w:val="nil"/>
            </w:tcBorders>
            <w:shd w:val="clear" w:color="auto" w:fill="auto"/>
            <w:noWrap/>
            <w:vAlign w:val="center"/>
          </w:tcPr>
          <w:p w14:paraId="64C192E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6067AEF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595A043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1300</w:t>
            </w:r>
          </w:p>
        </w:tc>
        <w:tc>
          <w:tcPr>
            <w:tcW w:w="0" w:type="auto"/>
            <w:tcBorders>
              <w:tl2br w:val="nil"/>
              <w:tr2bl w:val="nil"/>
            </w:tcBorders>
            <w:shd w:val="clear" w:color="auto" w:fill="auto"/>
            <w:noWrap/>
            <w:vAlign w:val="center"/>
          </w:tcPr>
          <w:p w14:paraId="45A3B6C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08F4C4B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18.04</w:t>
            </w:r>
          </w:p>
        </w:tc>
        <w:tc>
          <w:tcPr>
            <w:tcW w:w="0" w:type="auto"/>
            <w:tcBorders>
              <w:tl2br w:val="nil"/>
              <w:tr2bl w:val="nil"/>
            </w:tcBorders>
            <w:shd w:val="clear" w:color="auto" w:fill="auto"/>
            <w:noWrap/>
            <w:vAlign w:val="center"/>
          </w:tcPr>
          <w:p w14:paraId="2B51DB4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1900</w:t>
            </w:r>
          </w:p>
        </w:tc>
        <w:tc>
          <w:tcPr>
            <w:tcW w:w="0" w:type="auto"/>
            <w:tcBorders>
              <w:tl2br w:val="nil"/>
              <w:tr2bl w:val="nil"/>
            </w:tcBorders>
            <w:shd w:val="clear" w:color="auto" w:fill="auto"/>
            <w:noWrap/>
            <w:vAlign w:val="center"/>
          </w:tcPr>
          <w:p w14:paraId="69D6D41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6B1726F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18.01</w:t>
            </w:r>
          </w:p>
        </w:tc>
        <w:tc>
          <w:tcPr>
            <w:tcW w:w="0" w:type="auto"/>
            <w:tcBorders>
              <w:tl2br w:val="nil"/>
              <w:tr2bl w:val="nil"/>
            </w:tcBorders>
            <w:shd w:val="clear" w:color="auto" w:fill="auto"/>
            <w:noWrap/>
            <w:vAlign w:val="center"/>
          </w:tcPr>
          <w:p w14:paraId="4348B07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2500</w:t>
            </w:r>
          </w:p>
        </w:tc>
        <w:tc>
          <w:tcPr>
            <w:tcW w:w="0" w:type="auto"/>
            <w:tcBorders>
              <w:tl2br w:val="nil"/>
              <w:tr2bl w:val="nil"/>
            </w:tcBorders>
            <w:shd w:val="clear" w:color="auto" w:fill="auto"/>
            <w:noWrap/>
            <w:vAlign w:val="center"/>
          </w:tcPr>
          <w:p w14:paraId="6C199A2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56179756">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r>
      <w:tr w14:paraId="4C4128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18D535E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700</w:t>
            </w:r>
          </w:p>
        </w:tc>
        <w:tc>
          <w:tcPr>
            <w:tcW w:w="0" w:type="auto"/>
            <w:tcBorders>
              <w:tl2br w:val="nil"/>
              <w:tr2bl w:val="nil"/>
            </w:tcBorders>
            <w:shd w:val="clear" w:color="auto" w:fill="auto"/>
            <w:noWrap/>
            <w:vAlign w:val="center"/>
          </w:tcPr>
          <w:p w14:paraId="535D00D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2D4DF0D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18.06</w:t>
            </w:r>
          </w:p>
        </w:tc>
        <w:tc>
          <w:tcPr>
            <w:tcW w:w="0" w:type="auto"/>
            <w:tcBorders>
              <w:tl2br w:val="nil"/>
              <w:tr2bl w:val="nil"/>
            </w:tcBorders>
            <w:shd w:val="clear" w:color="auto" w:fill="auto"/>
            <w:noWrap/>
            <w:vAlign w:val="center"/>
          </w:tcPr>
          <w:p w14:paraId="434FE25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1300</w:t>
            </w:r>
          </w:p>
        </w:tc>
        <w:tc>
          <w:tcPr>
            <w:tcW w:w="0" w:type="auto"/>
            <w:tcBorders>
              <w:tl2br w:val="nil"/>
              <w:tr2bl w:val="nil"/>
            </w:tcBorders>
            <w:shd w:val="clear" w:color="auto" w:fill="auto"/>
            <w:noWrap/>
            <w:vAlign w:val="center"/>
          </w:tcPr>
          <w:p w14:paraId="50DD4D6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52F4775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086CB8BD">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1900</w:t>
            </w:r>
          </w:p>
        </w:tc>
        <w:tc>
          <w:tcPr>
            <w:tcW w:w="0" w:type="auto"/>
            <w:tcBorders>
              <w:tl2br w:val="nil"/>
              <w:tr2bl w:val="nil"/>
            </w:tcBorders>
            <w:shd w:val="clear" w:color="auto" w:fill="auto"/>
            <w:noWrap/>
            <w:vAlign w:val="center"/>
          </w:tcPr>
          <w:p w14:paraId="5427DA80">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7244CE6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214D3C0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2500</w:t>
            </w:r>
          </w:p>
        </w:tc>
        <w:tc>
          <w:tcPr>
            <w:tcW w:w="0" w:type="auto"/>
            <w:tcBorders>
              <w:tl2br w:val="nil"/>
              <w:tr2bl w:val="nil"/>
            </w:tcBorders>
            <w:shd w:val="clear" w:color="auto" w:fill="auto"/>
            <w:noWrap/>
            <w:vAlign w:val="center"/>
          </w:tcPr>
          <w:p w14:paraId="4414AB2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6CE6201C">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r>
    </w:tbl>
    <w:p w14:paraId="7DB27E3F">
      <w:pPr>
        <w:jc w:val="center"/>
        <w:rPr>
          <w:rFonts w:hint="default" w:ascii="Times New Roman" w:hAnsi="Times New Roman" w:eastAsia="宋体" w:cs="Times New Roman"/>
          <w:b/>
          <w:bCs/>
          <w:snapToGrid w:val="0"/>
          <w:color w:val="auto"/>
          <w:spacing w:val="-5"/>
          <w:kern w:val="0"/>
          <w:sz w:val="24"/>
          <w:szCs w:val="24"/>
          <w:lang w:val="en-US" w:eastAsia="zh-CN" w:bidi="ar-SA"/>
        </w:rPr>
      </w:pPr>
      <w:r>
        <w:rPr>
          <w:rFonts w:hint="eastAsia" w:ascii="Times New Roman" w:hAnsi="Times New Roman" w:eastAsia="宋体" w:cs="Times New Roman"/>
          <w:b/>
          <w:bCs/>
          <w:snapToGrid w:val="0"/>
          <w:color w:val="auto"/>
          <w:spacing w:val="-5"/>
          <w:kern w:val="0"/>
          <w:sz w:val="24"/>
          <w:szCs w:val="24"/>
          <w:lang w:val="en-US" w:eastAsia="zh-CN" w:bidi="ar-SA"/>
        </w:rPr>
        <w:t>表4-6   穆棱河预测河段NH</w:t>
      </w:r>
      <w:r>
        <w:rPr>
          <w:rFonts w:hint="eastAsia" w:ascii="Times New Roman" w:hAnsi="Times New Roman" w:eastAsia="宋体" w:cs="Times New Roman"/>
          <w:b/>
          <w:bCs/>
          <w:snapToGrid w:val="0"/>
          <w:color w:val="auto"/>
          <w:spacing w:val="-5"/>
          <w:kern w:val="0"/>
          <w:sz w:val="24"/>
          <w:szCs w:val="24"/>
          <w:vertAlign w:val="subscript"/>
          <w:lang w:val="en-US" w:eastAsia="zh-CN" w:bidi="ar-SA"/>
        </w:rPr>
        <w:t>3</w:t>
      </w:r>
      <w:r>
        <w:rPr>
          <w:rFonts w:hint="eastAsia" w:ascii="Times New Roman" w:hAnsi="Times New Roman" w:eastAsia="宋体" w:cs="Times New Roman"/>
          <w:b/>
          <w:bCs/>
          <w:snapToGrid w:val="0"/>
          <w:color w:val="auto"/>
          <w:spacing w:val="-5"/>
          <w:kern w:val="0"/>
          <w:sz w:val="24"/>
          <w:szCs w:val="24"/>
          <w:lang w:val="en-US" w:eastAsia="zh-CN" w:bidi="ar-SA"/>
        </w:rPr>
        <w:t>-N预测结果</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74"/>
        <w:gridCol w:w="774"/>
        <w:gridCol w:w="774"/>
        <w:gridCol w:w="774"/>
        <w:gridCol w:w="774"/>
        <w:gridCol w:w="774"/>
        <w:gridCol w:w="774"/>
        <w:gridCol w:w="774"/>
        <w:gridCol w:w="774"/>
        <w:gridCol w:w="774"/>
        <w:gridCol w:w="774"/>
        <w:gridCol w:w="774"/>
      </w:tblGrid>
      <w:tr w14:paraId="412BD3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PrEx>
        <w:trPr>
          <w:trHeight w:val="300" w:hRule="atLeast"/>
          <w:jc w:val="center"/>
        </w:trPr>
        <w:tc>
          <w:tcPr>
            <w:tcW w:w="1548" w:type="dxa"/>
            <w:gridSpan w:val="2"/>
            <w:tcBorders>
              <w:tl2br w:val="nil"/>
              <w:tr2bl w:val="nil"/>
            </w:tcBorders>
            <w:shd w:val="clear" w:color="auto" w:fill="auto"/>
            <w:noWrap/>
            <w:vAlign w:val="center"/>
          </w:tcPr>
          <w:p w14:paraId="05C0950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距离m</w:t>
            </w:r>
          </w:p>
        </w:tc>
        <w:tc>
          <w:tcPr>
            <w:tcW w:w="774" w:type="dxa"/>
            <w:tcBorders>
              <w:tl2br w:val="nil"/>
              <w:tr2bl w:val="nil"/>
            </w:tcBorders>
            <w:shd w:val="clear" w:color="auto" w:fill="auto"/>
            <w:noWrap/>
            <w:vAlign w:val="center"/>
          </w:tcPr>
          <w:p w14:paraId="49EB61F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浓度mg/L</w:t>
            </w:r>
          </w:p>
        </w:tc>
        <w:tc>
          <w:tcPr>
            <w:tcW w:w="1548" w:type="dxa"/>
            <w:gridSpan w:val="2"/>
            <w:tcBorders>
              <w:tl2br w:val="nil"/>
              <w:tr2bl w:val="nil"/>
            </w:tcBorders>
            <w:shd w:val="clear" w:color="auto" w:fill="auto"/>
            <w:noWrap/>
            <w:vAlign w:val="center"/>
          </w:tcPr>
          <w:p w14:paraId="771AD47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距离m</w:t>
            </w:r>
          </w:p>
        </w:tc>
        <w:tc>
          <w:tcPr>
            <w:tcW w:w="774" w:type="dxa"/>
            <w:tcBorders>
              <w:tl2br w:val="nil"/>
              <w:tr2bl w:val="nil"/>
            </w:tcBorders>
            <w:shd w:val="clear" w:color="auto" w:fill="auto"/>
            <w:noWrap/>
            <w:vAlign w:val="center"/>
          </w:tcPr>
          <w:p w14:paraId="3228E3F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浓度mg/L</w:t>
            </w:r>
          </w:p>
        </w:tc>
        <w:tc>
          <w:tcPr>
            <w:tcW w:w="1548" w:type="dxa"/>
            <w:gridSpan w:val="2"/>
            <w:tcBorders>
              <w:tl2br w:val="nil"/>
              <w:tr2bl w:val="nil"/>
            </w:tcBorders>
            <w:shd w:val="clear" w:color="auto" w:fill="auto"/>
            <w:noWrap/>
            <w:vAlign w:val="center"/>
          </w:tcPr>
          <w:p w14:paraId="40B3133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距离m</w:t>
            </w:r>
          </w:p>
        </w:tc>
        <w:tc>
          <w:tcPr>
            <w:tcW w:w="774" w:type="dxa"/>
            <w:tcBorders>
              <w:tl2br w:val="nil"/>
              <w:tr2bl w:val="nil"/>
            </w:tcBorders>
            <w:shd w:val="clear" w:color="auto" w:fill="auto"/>
            <w:noWrap/>
            <w:vAlign w:val="center"/>
          </w:tcPr>
          <w:p w14:paraId="183C7AB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浓度mg/L</w:t>
            </w:r>
          </w:p>
        </w:tc>
        <w:tc>
          <w:tcPr>
            <w:tcW w:w="1548" w:type="dxa"/>
            <w:gridSpan w:val="2"/>
            <w:tcBorders>
              <w:tl2br w:val="nil"/>
              <w:tr2bl w:val="nil"/>
            </w:tcBorders>
            <w:shd w:val="clear" w:color="auto" w:fill="auto"/>
            <w:noWrap/>
            <w:vAlign w:val="center"/>
          </w:tcPr>
          <w:p w14:paraId="6BE5185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距离m</w:t>
            </w:r>
          </w:p>
        </w:tc>
        <w:tc>
          <w:tcPr>
            <w:tcW w:w="774" w:type="dxa"/>
            <w:tcBorders>
              <w:tl2br w:val="nil"/>
              <w:tr2bl w:val="nil"/>
            </w:tcBorders>
            <w:shd w:val="clear" w:color="auto" w:fill="auto"/>
            <w:noWrap/>
            <w:vAlign w:val="center"/>
          </w:tcPr>
          <w:p w14:paraId="3FD42B5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浓度mg/L</w:t>
            </w:r>
          </w:p>
        </w:tc>
      </w:tr>
      <w:tr w14:paraId="7684A2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774" w:type="dxa"/>
            <w:tcBorders>
              <w:tl2br w:val="nil"/>
              <w:tr2bl w:val="nil"/>
            </w:tcBorders>
            <w:shd w:val="clear" w:color="auto" w:fill="auto"/>
            <w:noWrap/>
            <w:vAlign w:val="center"/>
          </w:tcPr>
          <w:p w14:paraId="48B0B02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w:t>
            </w:r>
          </w:p>
        </w:tc>
        <w:tc>
          <w:tcPr>
            <w:tcW w:w="774" w:type="dxa"/>
            <w:tcBorders>
              <w:tl2br w:val="nil"/>
              <w:tr2bl w:val="nil"/>
            </w:tcBorders>
            <w:shd w:val="clear" w:color="auto" w:fill="auto"/>
            <w:noWrap/>
            <w:vAlign w:val="center"/>
          </w:tcPr>
          <w:p w14:paraId="4251FE6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774" w:type="dxa"/>
            <w:tcBorders>
              <w:tl2br w:val="nil"/>
              <w:tr2bl w:val="nil"/>
            </w:tcBorders>
            <w:shd w:val="clear" w:color="auto" w:fill="auto"/>
            <w:noWrap/>
            <w:vAlign w:val="center"/>
          </w:tcPr>
          <w:p w14:paraId="3D63D19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0.945</w:t>
            </w:r>
          </w:p>
        </w:tc>
        <w:tc>
          <w:tcPr>
            <w:tcW w:w="774" w:type="dxa"/>
            <w:tcBorders>
              <w:tl2br w:val="nil"/>
              <w:tr2bl w:val="nil"/>
            </w:tcBorders>
            <w:shd w:val="clear" w:color="auto" w:fill="auto"/>
            <w:noWrap/>
            <w:vAlign w:val="center"/>
          </w:tcPr>
          <w:p w14:paraId="5A84195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700</w:t>
            </w:r>
          </w:p>
        </w:tc>
        <w:tc>
          <w:tcPr>
            <w:tcW w:w="774" w:type="dxa"/>
            <w:tcBorders>
              <w:tl2br w:val="nil"/>
              <w:tr2bl w:val="nil"/>
            </w:tcBorders>
            <w:shd w:val="clear" w:color="auto" w:fill="auto"/>
            <w:noWrap/>
            <w:vAlign w:val="center"/>
          </w:tcPr>
          <w:p w14:paraId="4277FF8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774" w:type="dxa"/>
            <w:tcBorders>
              <w:tl2br w:val="nil"/>
              <w:tr2bl w:val="nil"/>
            </w:tcBorders>
            <w:shd w:val="clear" w:color="auto" w:fill="auto"/>
            <w:noWrap/>
            <w:vAlign w:val="center"/>
          </w:tcPr>
          <w:p w14:paraId="30832C1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774" w:type="dxa"/>
            <w:tcBorders>
              <w:tl2br w:val="nil"/>
              <w:tr2bl w:val="nil"/>
            </w:tcBorders>
            <w:shd w:val="clear" w:color="auto" w:fill="auto"/>
            <w:noWrap/>
            <w:vAlign w:val="center"/>
          </w:tcPr>
          <w:p w14:paraId="0C1E553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1300</w:t>
            </w:r>
          </w:p>
        </w:tc>
        <w:tc>
          <w:tcPr>
            <w:tcW w:w="774" w:type="dxa"/>
            <w:tcBorders>
              <w:tl2br w:val="nil"/>
              <w:tr2bl w:val="nil"/>
            </w:tcBorders>
            <w:shd w:val="clear" w:color="auto" w:fill="auto"/>
            <w:noWrap/>
            <w:vAlign w:val="center"/>
          </w:tcPr>
          <w:p w14:paraId="6F831F4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774" w:type="dxa"/>
            <w:tcBorders>
              <w:tl2br w:val="nil"/>
              <w:tr2bl w:val="nil"/>
            </w:tcBorders>
            <w:shd w:val="clear" w:color="auto" w:fill="auto"/>
            <w:noWrap/>
            <w:vAlign w:val="center"/>
          </w:tcPr>
          <w:p w14:paraId="06A683B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774" w:type="dxa"/>
            <w:tcBorders>
              <w:tl2br w:val="nil"/>
              <w:tr2bl w:val="nil"/>
            </w:tcBorders>
            <w:shd w:val="clear" w:color="auto" w:fill="auto"/>
            <w:noWrap/>
            <w:vAlign w:val="center"/>
          </w:tcPr>
          <w:p w14:paraId="3B5CAD4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1900</w:t>
            </w:r>
          </w:p>
        </w:tc>
        <w:tc>
          <w:tcPr>
            <w:tcW w:w="774" w:type="dxa"/>
            <w:tcBorders>
              <w:tl2br w:val="nil"/>
              <w:tr2bl w:val="nil"/>
            </w:tcBorders>
            <w:shd w:val="clear" w:color="auto" w:fill="auto"/>
            <w:noWrap/>
            <w:vAlign w:val="center"/>
          </w:tcPr>
          <w:p w14:paraId="5B44AF2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774" w:type="dxa"/>
            <w:tcBorders>
              <w:tl2br w:val="nil"/>
              <w:tr2bl w:val="nil"/>
            </w:tcBorders>
            <w:shd w:val="clear" w:color="auto" w:fill="auto"/>
            <w:noWrap/>
            <w:vAlign w:val="center"/>
          </w:tcPr>
          <w:p w14:paraId="1DCACEF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0E5A34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09862B4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w:t>
            </w:r>
          </w:p>
        </w:tc>
        <w:tc>
          <w:tcPr>
            <w:tcW w:w="0" w:type="auto"/>
            <w:tcBorders>
              <w:tl2br w:val="nil"/>
              <w:tr2bl w:val="nil"/>
            </w:tcBorders>
            <w:shd w:val="clear" w:color="auto" w:fill="auto"/>
            <w:noWrap/>
            <w:vAlign w:val="center"/>
          </w:tcPr>
          <w:p w14:paraId="7F9B1E8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615DC9D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5891F49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700</w:t>
            </w:r>
          </w:p>
        </w:tc>
        <w:tc>
          <w:tcPr>
            <w:tcW w:w="0" w:type="auto"/>
            <w:tcBorders>
              <w:tl2br w:val="nil"/>
              <w:tr2bl w:val="nil"/>
            </w:tcBorders>
            <w:shd w:val="clear" w:color="auto" w:fill="auto"/>
            <w:noWrap/>
            <w:vAlign w:val="center"/>
          </w:tcPr>
          <w:p w14:paraId="1126EA2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7C785DD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38A29DB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1300</w:t>
            </w:r>
          </w:p>
        </w:tc>
        <w:tc>
          <w:tcPr>
            <w:tcW w:w="0" w:type="auto"/>
            <w:tcBorders>
              <w:tl2br w:val="nil"/>
              <w:tr2bl w:val="nil"/>
            </w:tcBorders>
            <w:shd w:val="clear" w:color="auto" w:fill="auto"/>
            <w:noWrap/>
            <w:vAlign w:val="center"/>
          </w:tcPr>
          <w:p w14:paraId="13C2971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5A98D40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0C52160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2000</w:t>
            </w:r>
          </w:p>
        </w:tc>
        <w:tc>
          <w:tcPr>
            <w:tcW w:w="0" w:type="auto"/>
            <w:tcBorders>
              <w:tl2br w:val="nil"/>
              <w:tr2bl w:val="nil"/>
            </w:tcBorders>
            <w:shd w:val="clear" w:color="auto" w:fill="auto"/>
            <w:noWrap/>
            <w:vAlign w:val="center"/>
          </w:tcPr>
          <w:p w14:paraId="252B525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63315E3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0.898</w:t>
            </w:r>
          </w:p>
        </w:tc>
      </w:tr>
      <w:tr w14:paraId="66A887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59F35DC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w:t>
            </w:r>
          </w:p>
        </w:tc>
        <w:tc>
          <w:tcPr>
            <w:tcW w:w="0" w:type="auto"/>
            <w:tcBorders>
              <w:tl2br w:val="nil"/>
              <w:tr2bl w:val="nil"/>
            </w:tcBorders>
            <w:shd w:val="clear" w:color="auto" w:fill="auto"/>
            <w:noWrap/>
            <w:vAlign w:val="center"/>
          </w:tcPr>
          <w:p w14:paraId="19D5A1C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048684A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52F183A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700</w:t>
            </w:r>
          </w:p>
        </w:tc>
        <w:tc>
          <w:tcPr>
            <w:tcW w:w="0" w:type="auto"/>
            <w:tcBorders>
              <w:tl2br w:val="nil"/>
              <w:tr2bl w:val="nil"/>
            </w:tcBorders>
            <w:shd w:val="clear" w:color="auto" w:fill="auto"/>
            <w:noWrap/>
            <w:vAlign w:val="center"/>
          </w:tcPr>
          <w:p w14:paraId="090F036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3BF1DA0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4288C80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1400</w:t>
            </w:r>
          </w:p>
        </w:tc>
        <w:tc>
          <w:tcPr>
            <w:tcW w:w="0" w:type="auto"/>
            <w:tcBorders>
              <w:tl2br w:val="nil"/>
              <w:tr2bl w:val="nil"/>
            </w:tcBorders>
            <w:shd w:val="clear" w:color="auto" w:fill="auto"/>
            <w:noWrap/>
            <w:vAlign w:val="center"/>
          </w:tcPr>
          <w:p w14:paraId="25F3FF4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363FC17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0.901</w:t>
            </w:r>
          </w:p>
        </w:tc>
        <w:tc>
          <w:tcPr>
            <w:tcW w:w="0" w:type="auto"/>
            <w:tcBorders>
              <w:tl2br w:val="nil"/>
              <w:tr2bl w:val="nil"/>
            </w:tcBorders>
            <w:shd w:val="clear" w:color="auto" w:fill="auto"/>
            <w:noWrap/>
            <w:vAlign w:val="center"/>
          </w:tcPr>
          <w:p w14:paraId="7B1EDC6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2000</w:t>
            </w:r>
          </w:p>
        </w:tc>
        <w:tc>
          <w:tcPr>
            <w:tcW w:w="0" w:type="auto"/>
            <w:tcBorders>
              <w:tl2br w:val="nil"/>
              <w:tr2bl w:val="nil"/>
            </w:tcBorders>
            <w:shd w:val="clear" w:color="auto" w:fill="auto"/>
            <w:noWrap/>
            <w:vAlign w:val="center"/>
          </w:tcPr>
          <w:p w14:paraId="31E4013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5A93EEA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0.889</w:t>
            </w:r>
          </w:p>
        </w:tc>
      </w:tr>
      <w:tr w14:paraId="1E1FD9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05349E6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w:t>
            </w:r>
          </w:p>
        </w:tc>
        <w:tc>
          <w:tcPr>
            <w:tcW w:w="0" w:type="auto"/>
            <w:tcBorders>
              <w:tl2br w:val="nil"/>
              <w:tr2bl w:val="nil"/>
            </w:tcBorders>
            <w:shd w:val="clear" w:color="auto" w:fill="auto"/>
            <w:noWrap/>
            <w:vAlign w:val="center"/>
          </w:tcPr>
          <w:p w14:paraId="23D88FF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23215FC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115AB85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800</w:t>
            </w:r>
          </w:p>
        </w:tc>
        <w:tc>
          <w:tcPr>
            <w:tcW w:w="0" w:type="auto"/>
            <w:tcBorders>
              <w:tl2br w:val="nil"/>
              <w:tr2bl w:val="nil"/>
            </w:tcBorders>
            <w:shd w:val="clear" w:color="auto" w:fill="auto"/>
            <w:noWrap/>
            <w:vAlign w:val="center"/>
          </w:tcPr>
          <w:p w14:paraId="0FCC87F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242AE3A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0.906</w:t>
            </w:r>
          </w:p>
        </w:tc>
        <w:tc>
          <w:tcPr>
            <w:tcW w:w="0" w:type="auto"/>
            <w:tcBorders>
              <w:tl2br w:val="nil"/>
              <w:tr2bl w:val="nil"/>
            </w:tcBorders>
            <w:shd w:val="clear" w:color="auto" w:fill="auto"/>
            <w:noWrap/>
            <w:vAlign w:val="center"/>
          </w:tcPr>
          <w:p w14:paraId="3BF8028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1400</w:t>
            </w:r>
          </w:p>
        </w:tc>
        <w:tc>
          <w:tcPr>
            <w:tcW w:w="0" w:type="auto"/>
            <w:tcBorders>
              <w:tl2br w:val="nil"/>
              <w:tr2bl w:val="nil"/>
            </w:tcBorders>
            <w:shd w:val="clear" w:color="auto" w:fill="auto"/>
            <w:noWrap/>
            <w:vAlign w:val="center"/>
          </w:tcPr>
          <w:p w14:paraId="416396B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254FC4C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0.888</w:t>
            </w:r>
          </w:p>
        </w:tc>
        <w:tc>
          <w:tcPr>
            <w:tcW w:w="0" w:type="auto"/>
            <w:tcBorders>
              <w:tl2br w:val="nil"/>
              <w:tr2bl w:val="nil"/>
            </w:tcBorders>
            <w:shd w:val="clear" w:color="auto" w:fill="auto"/>
            <w:noWrap/>
            <w:vAlign w:val="center"/>
          </w:tcPr>
          <w:p w14:paraId="04F62B1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2000</w:t>
            </w:r>
          </w:p>
        </w:tc>
        <w:tc>
          <w:tcPr>
            <w:tcW w:w="0" w:type="auto"/>
            <w:tcBorders>
              <w:tl2br w:val="nil"/>
              <w:tr2bl w:val="nil"/>
            </w:tcBorders>
            <w:shd w:val="clear" w:color="auto" w:fill="auto"/>
            <w:noWrap/>
            <w:vAlign w:val="center"/>
          </w:tcPr>
          <w:p w14:paraId="0593349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7EC3491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6F3F06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34AB975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w:t>
            </w:r>
          </w:p>
        </w:tc>
        <w:tc>
          <w:tcPr>
            <w:tcW w:w="0" w:type="auto"/>
            <w:tcBorders>
              <w:tl2br w:val="nil"/>
              <w:tr2bl w:val="nil"/>
            </w:tcBorders>
            <w:shd w:val="clear" w:color="auto" w:fill="auto"/>
            <w:noWrap/>
            <w:vAlign w:val="center"/>
          </w:tcPr>
          <w:p w14:paraId="07B393A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29FE741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0.928</w:t>
            </w:r>
          </w:p>
        </w:tc>
        <w:tc>
          <w:tcPr>
            <w:tcW w:w="0" w:type="auto"/>
            <w:tcBorders>
              <w:tl2br w:val="nil"/>
              <w:tr2bl w:val="nil"/>
            </w:tcBorders>
            <w:shd w:val="clear" w:color="auto" w:fill="auto"/>
            <w:noWrap/>
            <w:vAlign w:val="center"/>
          </w:tcPr>
          <w:p w14:paraId="7D34960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800</w:t>
            </w:r>
          </w:p>
        </w:tc>
        <w:tc>
          <w:tcPr>
            <w:tcW w:w="0" w:type="auto"/>
            <w:tcBorders>
              <w:tl2br w:val="nil"/>
              <w:tr2bl w:val="nil"/>
            </w:tcBorders>
            <w:shd w:val="clear" w:color="auto" w:fill="auto"/>
            <w:noWrap/>
            <w:vAlign w:val="center"/>
          </w:tcPr>
          <w:p w14:paraId="2636F8B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6249735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121919F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1400</w:t>
            </w:r>
          </w:p>
        </w:tc>
        <w:tc>
          <w:tcPr>
            <w:tcW w:w="0" w:type="auto"/>
            <w:tcBorders>
              <w:tl2br w:val="nil"/>
              <w:tr2bl w:val="nil"/>
            </w:tcBorders>
            <w:shd w:val="clear" w:color="auto" w:fill="auto"/>
            <w:noWrap/>
            <w:vAlign w:val="center"/>
          </w:tcPr>
          <w:p w14:paraId="0253484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657B845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61E5DAC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2000</w:t>
            </w:r>
          </w:p>
        </w:tc>
        <w:tc>
          <w:tcPr>
            <w:tcW w:w="0" w:type="auto"/>
            <w:tcBorders>
              <w:tl2br w:val="nil"/>
              <w:tr2bl w:val="nil"/>
            </w:tcBorders>
            <w:shd w:val="clear" w:color="auto" w:fill="auto"/>
            <w:noWrap/>
            <w:vAlign w:val="center"/>
          </w:tcPr>
          <w:p w14:paraId="4E495EB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26D87B1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2392B3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0D6714C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w:t>
            </w:r>
          </w:p>
        </w:tc>
        <w:tc>
          <w:tcPr>
            <w:tcW w:w="0" w:type="auto"/>
            <w:tcBorders>
              <w:tl2br w:val="nil"/>
              <w:tr2bl w:val="nil"/>
            </w:tcBorders>
            <w:shd w:val="clear" w:color="auto" w:fill="auto"/>
            <w:noWrap/>
            <w:vAlign w:val="center"/>
          </w:tcPr>
          <w:p w14:paraId="7119B58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1BA6AD2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1E9770B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800</w:t>
            </w:r>
          </w:p>
        </w:tc>
        <w:tc>
          <w:tcPr>
            <w:tcW w:w="0" w:type="auto"/>
            <w:tcBorders>
              <w:tl2br w:val="nil"/>
              <w:tr2bl w:val="nil"/>
            </w:tcBorders>
            <w:shd w:val="clear" w:color="auto" w:fill="auto"/>
            <w:noWrap/>
            <w:vAlign w:val="center"/>
          </w:tcPr>
          <w:p w14:paraId="3856429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5B4B88E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12C7828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1400</w:t>
            </w:r>
          </w:p>
        </w:tc>
        <w:tc>
          <w:tcPr>
            <w:tcW w:w="0" w:type="auto"/>
            <w:tcBorders>
              <w:tl2br w:val="nil"/>
              <w:tr2bl w:val="nil"/>
            </w:tcBorders>
            <w:shd w:val="clear" w:color="auto" w:fill="auto"/>
            <w:noWrap/>
            <w:vAlign w:val="center"/>
          </w:tcPr>
          <w:p w14:paraId="52FCECD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65596E7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617DAE0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2100</w:t>
            </w:r>
          </w:p>
        </w:tc>
        <w:tc>
          <w:tcPr>
            <w:tcW w:w="0" w:type="auto"/>
            <w:tcBorders>
              <w:tl2br w:val="nil"/>
              <w:tr2bl w:val="nil"/>
            </w:tcBorders>
            <w:shd w:val="clear" w:color="auto" w:fill="auto"/>
            <w:noWrap/>
            <w:vAlign w:val="center"/>
          </w:tcPr>
          <w:p w14:paraId="0A28083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446F5FB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0.898</w:t>
            </w:r>
          </w:p>
        </w:tc>
      </w:tr>
      <w:tr w14:paraId="240414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4D0E3DD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w:t>
            </w:r>
          </w:p>
        </w:tc>
        <w:tc>
          <w:tcPr>
            <w:tcW w:w="0" w:type="auto"/>
            <w:tcBorders>
              <w:tl2br w:val="nil"/>
              <w:tr2bl w:val="nil"/>
            </w:tcBorders>
            <w:shd w:val="clear" w:color="auto" w:fill="auto"/>
            <w:noWrap/>
            <w:vAlign w:val="center"/>
          </w:tcPr>
          <w:p w14:paraId="20AACB6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5D3FFEF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53484DE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800</w:t>
            </w:r>
          </w:p>
        </w:tc>
        <w:tc>
          <w:tcPr>
            <w:tcW w:w="0" w:type="auto"/>
            <w:tcBorders>
              <w:tl2br w:val="nil"/>
              <w:tr2bl w:val="nil"/>
            </w:tcBorders>
            <w:shd w:val="clear" w:color="auto" w:fill="auto"/>
            <w:noWrap/>
            <w:vAlign w:val="center"/>
          </w:tcPr>
          <w:p w14:paraId="074B96B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564D735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2A111E1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1500</w:t>
            </w:r>
          </w:p>
        </w:tc>
        <w:tc>
          <w:tcPr>
            <w:tcW w:w="0" w:type="auto"/>
            <w:tcBorders>
              <w:tl2br w:val="nil"/>
              <w:tr2bl w:val="nil"/>
            </w:tcBorders>
            <w:shd w:val="clear" w:color="auto" w:fill="auto"/>
            <w:noWrap/>
            <w:vAlign w:val="center"/>
          </w:tcPr>
          <w:p w14:paraId="19C17A4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1181434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0.900</w:t>
            </w:r>
          </w:p>
        </w:tc>
        <w:tc>
          <w:tcPr>
            <w:tcW w:w="0" w:type="auto"/>
            <w:tcBorders>
              <w:tl2br w:val="nil"/>
              <w:tr2bl w:val="nil"/>
            </w:tcBorders>
            <w:shd w:val="clear" w:color="auto" w:fill="auto"/>
            <w:noWrap/>
            <w:vAlign w:val="center"/>
          </w:tcPr>
          <w:p w14:paraId="19E3AB0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2100</w:t>
            </w:r>
          </w:p>
        </w:tc>
        <w:tc>
          <w:tcPr>
            <w:tcW w:w="0" w:type="auto"/>
            <w:tcBorders>
              <w:tl2br w:val="nil"/>
              <w:tr2bl w:val="nil"/>
            </w:tcBorders>
            <w:shd w:val="clear" w:color="auto" w:fill="auto"/>
            <w:noWrap/>
            <w:vAlign w:val="center"/>
          </w:tcPr>
          <w:p w14:paraId="31A31B3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276FF32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0.889</w:t>
            </w:r>
          </w:p>
        </w:tc>
      </w:tr>
      <w:tr w14:paraId="4AA056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5A7A40C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w:t>
            </w:r>
          </w:p>
        </w:tc>
        <w:tc>
          <w:tcPr>
            <w:tcW w:w="0" w:type="auto"/>
            <w:tcBorders>
              <w:tl2br w:val="nil"/>
              <w:tr2bl w:val="nil"/>
            </w:tcBorders>
            <w:shd w:val="clear" w:color="auto" w:fill="auto"/>
            <w:noWrap/>
            <w:vAlign w:val="center"/>
          </w:tcPr>
          <w:p w14:paraId="652D3F1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09C815C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0F39EED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900</w:t>
            </w:r>
          </w:p>
        </w:tc>
        <w:tc>
          <w:tcPr>
            <w:tcW w:w="0" w:type="auto"/>
            <w:tcBorders>
              <w:tl2br w:val="nil"/>
              <w:tr2bl w:val="nil"/>
            </w:tcBorders>
            <w:shd w:val="clear" w:color="auto" w:fill="auto"/>
            <w:noWrap/>
            <w:vAlign w:val="center"/>
          </w:tcPr>
          <w:p w14:paraId="397C1D4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32EBC89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0.905</w:t>
            </w:r>
          </w:p>
        </w:tc>
        <w:tc>
          <w:tcPr>
            <w:tcW w:w="0" w:type="auto"/>
            <w:tcBorders>
              <w:tl2br w:val="nil"/>
              <w:tr2bl w:val="nil"/>
            </w:tcBorders>
            <w:shd w:val="clear" w:color="auto" w:fill="auto"/>
            <w:noWrap/>
            <w:vAlign w:val="center"/>
          </w:tcPr>
          <w:p w14:paraId="6AB98D0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1500</w:t>
            </w:r>
          </w:p>
        </w:tc>
        <w:tc>
          <w:tcPr>
            <w:tcW w:w="0" w:type="auto"/>
            <w:tcBorders>
              <w:tl2br w:val="nil"/>
              <w:tr2bl w:val="nil"/>
            </w:tcBorders>
            <w:shd w:val="clear" w:color="auto" w:fill="auto"/>
            <w:noWrap/>
            <w:vAlign w:val="center"/>
          </w:tcPr>
          <w:p w14:paraId="7C8F872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4E55871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0.888</w:t>
            </w:r>
          </w:p>
        </w:tc>
        <w:tc>
          <w:tcPr>
            <w:tcW w:w="0" w:type="auto"/>
            <w:tcBorders>
              <w:tl2br w:val="nil"/>
              <w:tr2bl w:val="nil"/>
            </w:tcBorders>
            <w:shd w:val="clear" w:color="auto" w:fill="auto"/>
            <w:noWrap/>
            <w:vAlign w:val="center"/>
          </w:tcPr>
          <w:p w14:paraId="5389FC8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2100</w:t>
            </w:r>
          </w:p>
        </w:tc>
        <w:tc>
          <w:tcPr>
            <w:tcW w:w="0" w:type="auto"/>
            <w:tcBorders>
              <w:tl2br w:val="nil"/>
              <w:tr2bl w:val="nil"/>
            </w:tcBorders>
            <w:shd w:val="clear" w:color="auto" w:fill="auto"/>
            <w:noWrap/>
            <w:vAlign w:val="center"/>
          </w:tcPr>
          <w:p w14:paraId="1498E3A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353096B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02FCAE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7D4B0BA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300</w:t>
            </w:r>
          </w:p>
        </w:tc>
        <w:tc>
          <w:tcPr>
            <w:tcW w:w="0" w:type="auto"/>
            <w:tcBorders>
              <w:tl2br w:val="nil"/>
              <w:tr2bl w:val="nil"/>
            </w:tcBorders>
            <w:shd w:val="clear" w:color="auto" w:fill="auto"/>
            <w:noWrap/>
            <w:vAlign w:val="center"/>
          </w:tcPr>
          <w:p w14:paraId="5B25A9B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1A7A917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0.920</w:t>
            </w:r>
          </w:p>
        </w:tc>
        <w:tc>
          <w:tcPr>
            <w:tcW w:w="0" w:type="auto"/>
            <w:tcBorders>
              <w:tl2br w:val="nil"/>
              <w:tr2bl w:val="nil"/>
            </w:tcBorders>
            <w:shd w:val="clear" w:color="auto" w:fill="auto"/>
            <w:noWrap/>
            <w:vAlign w:val="center"/>
          </w:tcPr>
          <w:p w14:paraId="63FA92B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900</w:t>
            </w:r>
          </w:p>
        </w:tc>
        <w:tc>
          <w:tcPr>
            <w:tcW w:w="0" w:type="auto"/>
            <w:tcBorders>
              <w:tl2br w:val="nil"/>
              <w:tr2bl w:val="nil"/>
            </w:tcBorders>
            <w:shd w:val="clear" w:color="auto" w:fill="auto"/>
            <w:noWrap/>
            <w:vAlign w:val="center"/>
          </w:tcPr>
          <w:p w14:paraId="3DB73EA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0658C85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72BBD78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1500</w:t>
            </w:r>
          </w:p>
        </w:tc>
        <w:tc>
          <w:tcPr>
            <w:tcW w:w="0" w:type="auto"/>
            <w:tcBorders>
              <w:tl2br w:val="nil"/>
              <w:tr2bl w:val="nil"/>
            </w:tcBorders>
            <w:shd w:val="clear" w:color="auto" w:fill="auto"/>
            <w:noWrap/>
            <w:vAlign w:val="center"/>
          </w:tcPr>
          <w:p w14:paraId="2E1B804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27F60D6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0BE35D3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2100</w:t>
            </w:r>
          </w:p>
        </w:tc>
        <w:tc>
          <w:tcPr>
            <w:tcW w:w="0" w:type="auto"/>
            <w:tcBorders>
              <w:tl2br w:val="nil"/>
              <w:tr2bl w:val="nil"/>
            </w:tcBorders>
            <w:shd w:val="clear" w:color="auto" w:fill="auto"/>
            <w:noWrap/>
            <w:vAlign w:val="center"/>
          </w:tcPr>
          <w:p w14:paraId="56B9E42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193CB14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76317E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366392A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300</w:t>
            </w:r>
          </w:p>
        </w:tc>
        <w:tc>
          <w:tcPr>
            <w:tcW w:w="0" w:type="auto"/>
            <w:tcBorders>
              <w:tl2br w:val="nil"/>
              <w:tr2bl w:val="nil"/>
            </w:tcBorders>
            <w:shd w:val="clear" w:color="auto" w:fill="auto"/>
            <w:noWrap/>
            <w:vAlign w:val="center"/>
          </w:tcPr>
          <w:p w14:paraId="5DB70A8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2D921B0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1A3B087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900</w:t>
            </w:r>
          </w:p>
        </w:tc>
        <w:tc>
          <w:tcPr>
            <w:tcW w:w="0" w:type="auto"/>
            <w:tcBorders>
              <w:tl2br w:val="nil"/>
              <w:tr2bl w:val="nil"/>
            </w:tcBorders>
            <w:shd w:val="clear" w:color="auto" w:fill="auto"/>
            <w:noWrap/>
            <w:vAlign w:val="center"/>
          </w:tcPr>
          <w:p w14:paraId="64B6B48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7EB721D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03FB34B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1500</w:t>
            </w:r>
          </w:p>
        </w:tc>
        <w:tc>
          <w:tcPr>
            <w:tcW w:w="0" w:type="auto"/>
            <w:tcBorders>
              <w:tl2br w:val="nil"/>
              <w:tr2bl w:val="nil"/>
            </w:tcBorders>
            <w:shd w:val="clear" w:color="auto" w:fill="auto"/>
            <w:noWrap/>
            <w:vAlign w:val="center"/>
          </w:tcPr>
          <w:p w14:paraId="7E1CC47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16B785C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1D820B8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2200</w:t>
            </w:r>
          </w:p>
        </w:tc>
        <w:tc>
          <w:tcPr>
            <w:tcW w:w="0" w:type="auto"/>
            <w:tcBorders>
              <w:tl2br w:val="nil"/>
              <w:tr2bl w:val="nil"/>
            </w:tcBorders>
            <w:shd w:val="clear" w:color="auto" w:fill="auto"/>
            <w:noWrap/>
            <w:vAlign w:val="center"/>
          </w:tcPr>
          <w:p w14:paraId="1C52B97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6A72F8F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0.898</w:t>
            </w:r>
          </w:p>
        </w:tc>
      </w:tr>
      <w:tr w14:paraId="461F0C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18446C9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300</w:t>
            </w:r>
          </w:p>
        </w:tc>
        <w:tc>
          <w:tcPr>
            <w:tcW w:w="0" w:type="auto"/>
            <w:tcBorders>
              <w:tl2br w:val="nil"/>
              <w:tr2bl w:val="nil"/>
            </w:tcBorders>
            <w:shd w:val="clear" w:color="auto" w:fill="auto"/>
            <w:noWrap/>
            <w:vAlign w:val="center"/>
          </w:tcPr>
          <w:p w14:paraId="5F7C1A2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41C9067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65BB473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900</w:t>
            </w:r>
          </w:p>
        </w:tc>
        <w:tc>
          <w:tcPr>
            <w:tcW w:w="0" w:type="auto"/>
            <w:tcBorders>
              <w:tl2br w:val="nil"/>
              <w:tr2bl w:val="nil"/>
            </w:tcBorders>
            <w:shd w:val="clear" w:color="auto" w:fill="auto"/>
            <w:noWrap/>
            <w:vAlign w:val="center"/>
          </w:tcPr>
          <w:p w14:paraId="6E04C3D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380413A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08AACB6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1600</w:t>
            </w:r>
          </w:p>
        </w:tc>
        <w:tc>
          <w:tcPr>
            <w:tcW w:w="0" w:type="auto"/>
            <w:tcBorders>
              <w:tl2br w:val="nil"/>
              <w:tr2bl w:val="nil"/>
            </w:tcBorders>
            <w:shd w:val="clear" w:color="auto" w:fill="auto"/>
            <w:noWrap/>
            <w:vAlign w:val="center"/>
          </w:tcPr>
          <w:p w14:paraId="70C13F0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5A75FCE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0.900</w:t>
            </w:r>
          </w:p>
        </w:tc>
        <w:tc>
          <w:tcPr>
            <w:tcW w:w="0" w:type="auto"/>
            <w:tcBorders>
              <w:tl2br w:val="nil"/>
              <w:tr2bl w:val="nil"/>
            </w:tcBorders>
            <w:shd w:val="clear" w:color="auto" w:fill="auto"/>
            <w:noWrap/>
            <w:vAlign w:val="center"/>
          </w:tcPr>
          <w:p w14:paraId="0C896FC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2200</w:t>
            </w:r>
          </w:p>
        </w:tc>
        <w:tc>
          <w:tcPr>
            <w:tcW w:w="0" w:type="auto"/>
            <w:tcBorders>
              <w:tl2br w:val="nil"/>
              <w:tr2bl w:val="nil"/>
            </w:tcBorders>
            <w:shd w:val="clear" w:color="auto" w:fill="auto"/>
            <w:noWrap/>
            <w:vAlign w:val="center"/>
          </w:tcPr>
          <w:p w14:paraId="72522D1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5D8216C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0.889</w:t>
            </w:r>
          </w:p>
        </w:tc>
      </w:tr>
      <w:tr w14:paraId="6BE1B4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65D3026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300</w:t>
            </w:r>
          </w:p>
        </w:tc>
        <w:tc>
          <w:tcPr>
            <w:tcW w:w="0" w:type="auto"/>
            <w:tcBorders>
              <w:tl2br w:val="nil"/>
              <w:tr2bl w:val="nil"/>
            </w:tcBorders>
            <w:shd w:val="clear" w:color="auto" w:fill="auto"/>
            <w:noWrap/>
            <w:vAlign w:val="center"/>
          </w:tcPr>
          <w:p w14:paraId="4BD2C73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434032B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330CFCD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1000</w:t>
            </w:r>
          </w:p>
        </w:tc>
        <w:tc>
          <w:tcPr>
            <w:tcW w:w="0" w:type="auto"/>
            <w:tcBorders>
              <w:tl2br w:val="nil"/>
              <w:tr2bl w:val="nil"/>
            </w:tcBorders>
            <w:shd w:val="clear" w:color="auto" w:fill="auto"/>
            <w:noWrap/>
            <w:vAlign w:val="center"/>
          </w:tcPr>
          <w:p w14:paraId="7C30983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5E1BD8D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0.904</w:t>
            </w:r>
          </w:p>
        </w:tc>
        <w:tc>
          <w:tcPr>
            <w:tcW w:w="0" w:type="auto"/>
            <w:tcBorders>
              <w:tl2br w:val="nil"/>
              <w:tr2bl w:val="nil"/>
            </w:tcBorders>
            <w:shd w:val="clear" w:color="auto" w:fill="auto"/>
            <w:noWrap/>
            <w:vAlign w:val="center"/>
          </w:tcPr>
          <w:p w14:paraId="47EFDB2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1600</w:t>
            </w:r>
          </w:p>
        </w:tc>
        <w:tc>
          <w:tcPr>
            <w:tcW w:w="0" w:type="auto"/>
            <w:tcBorders>
              <w:tl2br w:val="nil"/>
              <w:tr2bl w:val="nil"/>
            </w:tcBorders>
            <w:shd w:val="clear" w:color="auto" w:fill="auto"/>
            <w:noWrap/>
            <w:vAlign w:val="center"/>
          </w:tcPr>
          <w:p w14:paraId="6FDDDF0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5344BAA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0.889</w:t>
            </w:r>
          </w:p>
        </w:tc>
        <w:tc>
          <w:tcPr>
            <w:tcW w:w="0" w:type="auto"/>
            <w:tcBorders>
              <w:tl2br w:val="nil"/>
              <w:tr2bl w:val="nil"/>
            </w:tcBorders>
            <w:shd w:val="clear" w:color="auto" w:fill="auto"/>
            <w:noWrap/>
            <w:vAlign w:val="center"/>
          </w:tcPr>
          <w:p w14:paraId="4C85F1F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2200</w:t>
            </w:r>
          </w:p>
        </w:tc>
        <w:tc>
          <w:tcPr>
            <w:tcW w:w="0" w:type="auto"/>
            <w:tcBorders>
              <w:tl2br w:val="nil"/>
              <w:tr2bl w:val="nil"/>
            </w:tcBorders>
            <w:shd w:val="clear" w:color="auto" w:fill="auto"/>
            <w:noWrap/>
            <w:vAlign w:val="center"/>
          </w:tcPr>
          <w:p w14:paraId="0BDD3E2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25E7A33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25747B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2055678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400</w:t>
            </w:r>
          </w:p>
        </w:tc>
        <w:tc>
          <w:tcPr>
            <w:tcW w:w="0" w:type="auto"/>
            <w:tcBorders>
              <w:tl2br w:val="nil"/>
              <w:tr2bl w:val="nil"/>
            </w:tcBorders>
            <w:shd w:val="clear" w:color="auto" w:fill="auto"/>
            <w:noWrap/>
            <w:vAlign w:val="center"/>
          </w:tcPr>
          <w:p w14:paraId="74584B0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5E86052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0.915</w:t>
            </w:r>
          </w:p>
        </w:tc>
        <w:tc>
          <w:tcPr>
            <w:tcW w:w="0" w:type="auto"/>
            <w:tcBorders>
              <w:tl2br w:val="nil"/>
              <w:tr2bl w:val="nil"/>
            </w:tcBorders>
            <w:shd w:val="clear" w:color="auto" w:fill="auto"/>
            <w:noWrap/>
            <w:vAlign w:val="center"/>
          </w:tcPr>
          <w:p w14:paraId="2903A17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1000</w:t>
            </w:r>
          </w:p>
        </w:tc>
        <w:tc>
          <w:tcPr>
            <w:tcW w:w="0" w:type="auto"/>
            <w:tcBorders>
              <w:tl2br w:val="nil"/>
              <w:tr2bl w:val="nil"/>
            </w:tcBorders>
            <w:shd w:val="clear" w:color="auto" w:fill="auto"/>
            <w:noWrap/>
            <w:vAlign w:val="center"/>
          </w:tcPr>
          <w:p w14:paraId="71217AF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63A5E39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0.888</w:t>
            </w:r>
          </w:p>
        </w:tc>
        <w:tc>
          <w:tcPr>
            <w:tcW w:w="0" w:type="auto"/>
            <w:tcBorders>
              <w:tl2br w:val="nil"/>
              <w:tr2bl w:val="nil"/>
            </w:tcBorders>
            <w:shd w:val="clear" w:color="auto" w:fill="auto"/>
            <w:noWrap/>
            <w:vAlign w:val="center"/>
          </w:tcPr>
          <w:p w14:paraId="6C51773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1600</w:t>
            </w:r>
          </w:p>
        </w:tc>
        <w:tc>
          <w:tcPr>
            <w:tcW w:w="0" w:type="auto"/>
            <w:tcBorders>
              <w:tl2br w:val="nil"/>
              <w:tr2bl w:val="nil"/>
            </w:tcBorders>
            <w:shd w:val="clear" w:color="auto" w:fill="auto"/>
            <w:noWrap/>
            <w:vAlign w:val="center"/>
          </w:tcPr>
          <w:p w14:paraId="5105267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30FCF47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7C7EFD4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2200</w:t>
            </w:r>
          </w:p>
        </w:tc>
        <w:tc>
          <w:tcPr>
            <w:tcW w:w="0" w:type="auto"/>
            <w:tcBorders>
              <w:tl2br w:val="nil"/>
              <w:tr2bl w:val="nil"/>
            </w:tcBorders>
            <w:shd w:val="clear" w:color="auto" w:fill="auto"/>
            <w:noWrap/>
            <w:vAlign w:val="center"/>
          </w:tcPr>
          <w:p w14:paraId="1F8AFEC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18EC0F9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6BC054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5A706A8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400</w:t>
            </w:r>
          </w:p>
        </w:tc>
        <w:tc>
          <w:tcPr>
            <w:tcW w:w="0" w:type="auto"/>
            <w:tcBorders>
              <w:tl2br w:val="nil"/>
              <w:tr2bl w:val="nil"/>
            </w:tcBorders>
            <w:shd w:val="clear" w:color="auto" w:fill="auto"/>
            <w:noWrap/>
            <w:vAlign w:val="center"/>
          </w:tcPr>
          <w:p w14:paraId="107B9F0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5A58B7C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491391E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1000</w:t>
            </w:r>
          </w:p>
        </w:tc>
        <w:tc>
          <w:tcPr>
            <w:tcW w:w="0" w:type="auto"/>
            <w:tcBorders>
              <w:tl2br w:val="nil"/>
              <w:tr2bl w:val="nil"/>
            </w:tcBorders>
            <w:shd w:val="clear" w:color="auto" w:fill="auto"/>
            <w:noWrap/>
            <w:vAlign w:val="center"/>
          </w:tcPr>
          <w:p w14:paraId="4E4A466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78B24E9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6CF278F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1600</w:t>
            </w:r>
          </w:p>
        </w:tc>
        <w:tc>
          <w:tcPr>
            <w:tcW w:w="0" w:type="auto"/>
            <w:tcBorders>
              <w:tl2br w:val="nil"/>
              <w:tr2bl w:val="nil"/>
            </w:tcBorders>
            <w:shd w:val="clear" w:color="auto" w:fill="auto"/>
            <w:noWrap/>
            <w:vAlign w:val="center"/>
          </w:tcPr>
          <w:p w14:paraId="1DB1E2F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0363A6F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71A366F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2300</w:t>
            </w:r>
          </w:p>
        </w:tc>
        <w:tc>
          <w:tcPr>
            <w:tcW w:w="0" w:type="auto"/>
            <w:tcBorders>
              <w:tl2br w:val="nil"/>
              <w:tr2bl w:val="nil"/>
            </w:tcBorders>
            <w:shd w:val="clear" w:color="auto" w:fill="auto"/>
            <w:noWrap/>
            <w:vAlign w:val="center"/>
          </w:tcPr>
          <w:p w14:paraId="553EDAC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09533F5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0.897</w:t>
            </w:r>
          </w:p>
        </w:tc>
      </w:tr>
      <w:tr w14:paraId="7C0FE0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78FDC9E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400</w:t>
            </w:r>
          </w:p>
        </w:tc>
        <w:tc>
          <w:tcPr>
            <w:tcW w:w="0" w:type="auto"/>
            <w:tcBorders>
              <w:tl2br w:val="nil"/>
              <w:tr2bl w:val="nil"/>
            </w:tcBorders>
            <w:shd w:val="clear" w:color="auto" w:fill="auto"/>
            <w:noWrap/>
            <w:vAlign w:val="center"/>
          </w:tcPr>
          <w:p w14:paraId="2CE6FA6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65FCD26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78E1DBA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1000</w:t>
            </w:r>
          </w:p>
        </w:tc>
        <w:tc>
          <w:tcPr>
            <w:tcW w:w="0" w:type="auto"/>
            <w:tcBorders>
              <w:tl2br w:val="nil"/>
              <w:tr2bl w:val="nil"/>
            </w:tcBorders>
            <w:shd w:val="clear" w:color="auto" w:fill="auto"/>
            <w:noWrap/>
            <w:vAlign w:val="center"/>
          </w:tcPr>
          <w:p w14:paraId="6BFFD62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59E6A44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0A528B1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1700</w:t>
            </w:r>
          </w:p>
        </w:tc>
        <w:tc>
          <w:tcPr>
            <w:tcW w:w="0" w:type="auto"/>
            <w:tcBorders>
              <w:tl2br w:val="nil"/>
              <w:tr2bl w:val="nil"/>
            </w:tcBorders>
            <w:shd w:val="clear" w:color="auto" w:fill="auto"/>
            <w:noWrap/>
            <w:vAlign w:val="center"/>
          </w:tcPr>
          <w:p w14:paraId="0E128D2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18A45B2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0.899</w:t>
            </w:r>
          </w:p>
        </w:tc>
        <w:tc>
          <w:tcPr>
            <w:tcW w:w="0" w:type="auto"/>
            <w:tcBorders>
              <w:tl2br w:val="nil"/>
              <w:tr2bl w:val="nil"/>
            </w:tcBorders>
            <w:shd w:val="clear" w:color="auto" w:fill="auto"/>
            <w:noWrap/>
            <w:vAlign w:val="center"/>
          </w:tcPr>
          <w:p w14:paraId="7542AA0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2300</w:t>
            </w:r>
          </w:p>
        </w:tc>
        <w:tc>
          <w:tcPr>
            <w:tcW w:w="0" w:type="auto"/>
            <w:tcBorders>
              <w:tl2br w:val="nil"/>
              <w:tr2bl w:val="nil"/>
            </w:tcBorders>
            <w:shd w:val="clear" w:color="auto" w:fill="auto"/>
            <w:noWrap/>
            <w:vAlign w:val="center"/>
          </w:tcPr>
          <w:p w14:paraId="1CD7B9A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3A61993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0.889</w:t>
            </w:r>
          </w:p>
        </w:tc>
      </w:tr>
      <w:tr w14:paraId="02B1D0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038A0F9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400</w:t>
            </w:r>
          </w:p>
        </w:tc>
        <w:tc>
          <w:tcPr>
            <w:tcW w:w="0" w:type="auto"/>
            <w:tcBorders>
              <w:tl2br w:val="nil"/>
              <w:tr2bl w:val="nil"/>
            </w:tcBorders>
            <w:shd w:val="clear" w:color="auto" w:fill="auto"/>
            <w:noWrap/>
            <w:vAlign w:val="center"/>
          </w:tcPr>
          <w:p w14:paraId="4210D8B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0C65795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2E47AFE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1100</w:t>
            </w:r>
          </w:p>
        </w:tc>
        <w:tc>
          <w:tcPr>
            <w:tcW w:w="0" w:type="auto"/>
            <w:tcBorders>
              <w:tl2br w:val="nil"/>
              <w:tr2bl w:val="nil"/>
            </w:tcBorders>
            <w:shd w:val="clear" w:color="auto" w:fill="auto"/>
            <w:noWrap/>
            <w:vAlign w:val="center"/>
          </w:tcPr>
          <w:p w14:paraId="4338DE2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468986C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0.903</w:t>
            </w:r>
          </w:p>
        </w:tc>
        <w:tc>
          <w:tcPr>
            <w:tcW w:w="0" w:type="auto"/>
            <w:tcBorders>
              <w:tl2br w:val="nil"/>
              <w:tr2bl w:val="nil"/>
            </w:tcBorders>
            <w:shd w:val="clear" w:color="auto" w:fill="auto"/>
            <w:noWrap/>
            <w:vAlign w:val="center"/>
          </w:tcPr>
          <w:p w14:paraId="399092A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1700</w:t>
            </w:r>
          </w:p>
        </w:tc>
        <w:tc>
          <w:tcPr>
            <w:tcW w:w="0" w:type="auto"/>
            <w:tcBorders>
              <w:tl2br w:val="nil"/>
              <w:tr2bl w:val="nil"/>
            </w:tcBorders>
            <w:shd w:val="clear" w:color="auto" w:fill="auto"/>
            <w:noWrap/>
            <w:vAlign w:val="center"/>
          </w:tcPr>
          <w:p w14:paraId="197996A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090113C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0.889</w:t>
            </w:r>
          </w:p>
        </w:tc>
        <w:tc>
          <w:tcPr>
            <w:tcW w:w="0" w:type="auto"/>
            <w:tcBorders>
              <w:tl2br w:val="nil"/>
              <w:tr2bl w:val="nil"/>
            </w:tcBorders>
            <w:shd w:val="clear" w:color="auto" w:fill="auto"/>
            <w:noWrap/>
            <w:vAlign w:val="center"/>
          </w:tcPr>
          <w:p w14:paraId="7B6663A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2300</w:t>
            </w:r>
          </w:p>
        </w:tc>
        <w:tc>
          <w:tcPr>
            <w:tcW w:w="0" w:type="auto"/>
            <w:tcBorders>
              <w:tl2br w:val="nil"/>
              <w:tr2bl w:val="nil"/>
            </w:tcBorders>
            <w:shd w:val="clear" w:color="auto" w:fill="auto"/>
            <w:noWrap/>
            <w:vAlign w:val="center"/>
          </w:tcPr>
          <w:p w14:paraId="1553626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779977A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3C7224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78DB5BC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500</w:t>
            </w:r>
          </w:p>
        </w:tc>
        <w:tc>
          <w:tcPr>
            <w:tcW w:w="0" w:type="auto"/>
            <w:tcBorders>
              <w:tl2br w:val="nil"/>
              <w:tr2bl w:val="nil"/>
            </w:tcBorders>
            <w:shd w:val="clear" w:color="auto" w:fill="auto"/>
            <w:noWrap/>
            <w:vAlign w:val="center"/>
          </w:tcPr>
          <w:p w14:paraId="5C99119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382F2FD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0.912</w:t>
            </w:r>
          </w:p>
        </w:tc>
        <w:tc>
          <w:tcPr>
            <w:tcW w:w="0" w:type="auto"/>
            <w:tcBorders>
              <w:tl2br w:val="nil"/>
              <w:tr2bl w:val="nil"/>
            </w:tcBorders>
            <w:shd w:val="clear" w:color="auto" w:fill="auto"/>
            <w:noWrap/>
            <w:vAlign w:val="center"/>
          </w:tcPr>
          <w:p w14:paraId="7E9CFE8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1100</w:t>
            </w:r>
          </w:p>
        </w:tc>
        <w:tc>
          <w:tcPr>
            <w:tcW w:w="0" w:type="auto"/>
            <w:tcBorders>
              <w:tl2br w:val="nil"/>
              <w:tr2bl w:val="nil"/>
            </w:tcBorders>
            <w:shd w:val="clear" w:color="auto" w:fill="auto"/>
            <w:noWrap/>
            <w:vAlign w:val="center"/>
          </w:tcPr>
          <w:p w14:paraId="3C3A9D0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38D4CDB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0.888</w:t>
            </w:r>
          </w:p>
        </w:tc>
        <w:tc>
          <w:tcPr>
            <w:tcW w:w="0" w:type="auto"/>
            <w:tcBorders>
              <w:tl2br w:val="nil"/>
              <w:tr2bl w:val="nil"/>
            </w:tcBorders>
            <w:shd w:val="clear" w:color="auto" w:fill="auto"/>
            <w:noWrap/>
            <w:vAlign w:val="center"/>
          </w:tcPr>
          <w:p w14:paraId="6382E3B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1700</w:t>
            </w:r>
          </w:p>
        </w:tc>
        <w:tc>
          <w:tcPr>
            <w:tcW w:w="0" w:type="auto"/>
            <w:tcBorders>
              <w:tl2br w:val="nil"/>
              <w:tr2bl w:val="nil"/>
            </w:tcBorders>
            <w:shd w:val="clear" w:color="auto" w:fill="auto"/>
            <w:noWrap/>
            <w:vAlign w:val="center"/>
          </w:tcPr>
          <w:p w14:paraId="6BE095F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70DF2DC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7654199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2300</w:t>
            </w:r>
          </w:p>
        </w:tc>
        <w:tc>
          <w:tcPr>
            <w:tcW w:w="0" w:type="auto"/>
            <w:tcBorders>
              <w:tl2br w:val="nil"/>
              <w:tr2bl w:val="nil"/>
            </w:tcBorders>
            <w:shd w:val="clear" w:color="auto" w:fill="auto"/>
            <w:noWrap/>
            <w:vAlign w:val="center"/>
          </w:tcPr>
          <w:p w14:paraId="66E99A7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0D9F3B1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19CCF2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269D962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500</w:t>
            </w:r>
          </w:p>
        </w:tc>
        <w:tc>
          <w:tcPr>
            <w:tcW w:w="0" w:type="auto"/>
            <w:tcBorders>
              <w:tl2br w:val="nil"/>
              <w:tr2bl w:val="nil"/>
            </w:tcBorders>
            <w:shd w:val="clear" w:color="auto" w:fill="auto"/>
            <w:noWrap/>
            <w:vAlign w:val="center"/>
          </w:tcPr>
          <w:p w14:paraId="4DC54DB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2C21294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35C4F91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1100</w:t>
            </w:r>
          </w:p>
        </w:tc>
        <w:tc>
          <w:tcPr>
            <w:tcW w:w="0" w:type="auto"/>
            <w:tcBorders>
              <w:tl2br w:val="nil"/>
              <w:tr2bl w:val="nil"/>
            </w:tcBorders>
            <w:shd w:val="clear" w:color="auto" w:fill="auto"/>
            <w:noWrap/>
            <w:vAlign w:val="center"/>
          </w:tcPr>
          <w:p w14:paraId="1AB33DE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691605C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24941A3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1700</w:t>
            </w:r>
          </w:p>
        </w:tc>
        <w:tc>
          <w:tcPr>
            <w:tcW w:w="0" w:type="auto"/>
            <w:tcBorders>
              <w:tl2br w:val="nil"/>
              <w:tr2bl w:val="nil"/>
            </w:tcBorders>
            <w:shd w:val="clear" w:color="auto" w:fill="auto"/>
            <w:noWrap/>
            <w:vAlign w:val="center"/>
          </w:tcPr>
          <w:p w14:paraId="0316C5F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71D9FF5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18AF439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2400</w:t>
            </w:r>
          </w:p>
        </w:tc>
        <w:tc>
          <w:tcPr>
            <w:tcW w:w="0" w:type="auto"/>
            <w:tcBorders>
              <w:tl2br w:val="nil"/>
              <w:tr2bl w:val="nil"/>
            </w:tcBorders>
            <w:shd w:val="clear" w:color="auto" w:fill="auto"/>
            <w:noWrap/>
            <w:vAlign w:val="center"/>
          </w:tcPr>
          <w:p w14:paraId="40A0753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24D5B10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0.897</w:t>
            </w:r>
          </w:p>
        </w:tc>
      </w:tr>
      <w:tr w14:paraId="151C30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43E2F36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500</w:t>
            </w:r>
          </w:p>
        </w:tc>
        <w:tc>
          <w:tcPr>
            <w:tcW w:w="0" w:type="auto"/>
            <w:tcBorders>
              <w:tl2br w:val="nil"/>
              <w:tr2bl w:val="nil"/>
            </w:tcBorders>
            <w:shd w:val="clear" w:color="auto" w:fill="auto"/>
            <w:noWrap/>
            <w:vAlign w:val="center"/>
          </w:tcPr>
          <w:p w14:paraId="110B3AC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02E37F6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5D9D6AD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1100</w:t>
            </w:r>
          </w:p>
        </w:tc>
        <w:tc>
          <w:tcPr>
            <w:tcW w:w="0" w:type="auto"/>
            <w:tcBorders>
              <w:tl2br w:val="nil"/>
              <w:tr2bl w:val="nil"/>
            </w:tcBorders>
            <w:shd w:val="clear" w:color="auto" w:fill="auto"/>
            <w:noWrap/>
            <w:vAlign w:val="center"/>
          </w:tcPr>
          <w:p w14:paraId="0950D06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3DEE6D5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6159FDF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2D396F4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4C32BBF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0.899</w:t>
            </w:r>
          </w:p>
        </w:tc>
        <w:tc>
          <w:tcPr>
            <w:tcW w:w="0" w:type="auto"/>
            <w:tcBorders>
              <w:tl2br w:val="nil"/>
              <w:tr2bl w:val="nil"/>
            </w:tcBorders>
            <w:shd w:val="clear" w:color="auto" w:fill="auto"/>
            <w:noWrap/>
            <w:vAlign w:val="center"/>
          </w:tcPr>
          <w:p w14:paraId="173810F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2400</w:t>
            </w:r>
          </w:p>
        </w:tc>
        <w:tc>
          <w:tcPr>
            <w:tcW w:w="0" w:type="auto"/>
            <w:tcBorders>
              <w:tl2br w:val="nil"/>
              <w:tr2bl w:val="nil"/>
            </w:tcBorders>
            <w:shd w:val="clear" w:color="auto" w:fill="auto"/>
            <w:noWrap/>
            <w:vAlign w:val="center"/>
          </w:tcPr>
          <w:p w14:paraId="7A2CB33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1889D13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0.889</w:t>
            </w:r>
          </w:p>
        </w:tc>
      </w:tr>
      <w:tr w14:paraId="004F2F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0629310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500</w:t>
            </w:r>
          </w:p>
        </w:tc>
        <w:tc>
          <w:tcPr>
            <w:tcW w:w="0" w:type="auto"/>
            <w:tcBorders>
              <w:tl2br w:val="nil"/>
              <w:tr2bl w:val="nil"/>
            </w:tcBorders>
            <w:shd w:val="clear" w:color="auto" w:fill="auto"/>
            <w:noWrap/>
            <w:vAlign w:val="center"/>
          </w:tcPr>
          <w:p w14:paraId="6A44258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177FAB4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42E4B9A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1200</w:t>
            </w:r>
          </w:p>
        </w:tc>
        <w:tc>
          <w:tcPr>
            <w:tcW w:w="0" w:type="auto"/>
            <w:tcBorders>
              <w:tl2br w:val="nil"/>
              <w:tr2bl w:val="nil"/>
            </w:tcBorders>
            <w:shd w:val="clear" w:color="auto" w:fill="auto"/>
            <w:noWrap/>
            <w:vAlign w:val="center"/>
          </w:tcPr>
          <w:p w14:paraId="3F92FAA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53618C0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0.902</w:t>
            </w:r>
          </w:p>
        </w:tc>
        <w:tc>
          <w:tcPr>
            <w:tcW w:w="0" w:type="auto"/>
            <w:tcBorders>
              <w:tl2br w:val="nil"/>
              <w:tr2bl w:val="nil"/>
            </w:tcBorders>
            <w:shd w:val="clear" w:color="auto" w:fill="auto"/>
            <w:noWrap/>
            <w:vAlign w:val="center"/>
          </w:tcPr>
          <w:p w14:paraId="482C68B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0B3B48E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7507A43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0.889</w:t>
            </w:r>
          </w:p>
        </w:tc>
        <w:tc>
          <w:tcPr>
            <w:tcW w:w="0" w:type="auto"/>
            <w:tcBorders>
              <w:tl2br w:val="nil"/>
              <w:tr2bl w:val="nil"/>
            </w:tcBorders>
            <w:shd w:val="clear" w:color="auto" w:fill="auto"/>
            <w:noWrap/>
            <w:vAlign w:val="center"/>
          </w:tcPr>
          <w:p w14:paraId="358B493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2400</w:t>
            </w:r>
          </w:p>
        </w:tc>
        <w:tc>
          <w:tcPr>
            <w:tcW w:w="0" w:type="auto"/>
            <w:tcBorders>
              <w:tl2br w:val="nil"/>
              <w:tr2bl w:val="nil"/>
            </w:tcBorders>
            <w:shd w:val="clear" w:color="auto" w:fill="auto"/>
            <w:noWrap/>
            <w:vAlign w:val="center"/>
          </w:tcPr>
          <w:p w14:paraId="651891D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4B22B26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55711A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6D103A9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600</w:t>
            </w:r>
          </w:p>
        </w:tc>
        <w:tc>
          <w:tcPr>
            <w:tcW w:w="0" w:type="auto"/>
            <w:tcBorders>
              <w:tl2br w:val="nil"/>
              <w:tr2bl w:val="nil"/>
            </w:tcBorders>
            <w:shd w:val="clear" w:color="auto" w:fill="auto"/>
            <w:noWrap/>
            <w:vAlign w:val="center"/>
          </w:tcPr>
          <w:p w14:paraId="4279C4E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18F0C5E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0.910</w:t>
            </w:r>
          </w:p>
        </w:tc>
        <w:tc>
          <w:tcPr>
            <w:tcW w:w="0" w:type="auto"/>
            <w:tcBorders>
              <w:tl2br w:val="nil"/>
              <w:tr2bl w:val="nil"/>
            </w:tcBorders>
            <w:shd w:val="clear" w:color="auto" w:fill="auto"/>
            <w:noWrap/>
            <w:vAlign w:val="center"/>
          </w:tcPr>
          <w:p w14:paraId="4244905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1200</w:t>
            </w:r>
          </w:p>
        </w:tc>
        <w:tc>
          <w:tcPr>
            <w:tcW w:w="0" w:type="auto"/>
            <w:tcBorders>
              <w:tl2br w:val="nil"/>
              <w:tr2bl w:val="nil"/>
            </w:tcBorders>
            <w:shd w:val="clear" w:color="auto" w:fill="auto"/>
            <w:noWrap/>
            <w:vAlign w:val="center"/>
          </w:tcPr>
          <w:p w14:paraId="76590B7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3426112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0.888</w:t>
            </w:r>
          </w:p>
        </w:tc>
        <w:tc>
          <w:tcPr>
            <w:tcW w:w="0" w:type="auto"/>
            <w:tcBorders>
              <w:tl2br w:val="nil"/>
              <w:tr2bl w:val="nil"/>
            </w:tcBorders>
            <w:shd w:val="clear" w:color="auto" w:fill="auto"/>
            <w:noWrap/>
            <w:vAlign w:val="center"/>
          </w:tcPr>
          <w:p w14:paraId="0E9E3E4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3673ADE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1551248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1B46AC1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2400</w:t>
            </w:r>
          </w:p>
        </w:tc>
        <w:tc>
          <w:tcPr>
            <w:tcW w:w="0" w:type="auto"/>
            <w:tcBorders>
              <w:tl2br w:val="nil"/>
              <w:tr2bl w:val="nil"/>
            </w:tcBorders>
            <w:shd w:val="clear" w:color="auto" w:fill="auto"/>
            <w:noWrap/>
            <w:vAlign w:val="center"/>
          </w:tcPr>
          <w:p w14:paraId="2C316EF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55BDEB6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2E91FF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137A2B4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600</w:t>
            </w:r>
          </w:p>
        </w:tc>
        <w:tc>
          <w:tcPr>
            <w:tcW w:w="0" w:type="auto"/>
            <w:tcBorders>
              <w:tl2br w:val="nil"/>
              <w:tr2bl w:val="nil"/>
            </w:tcBorders>
            <w:shd w:val="clear" w:color="auto" w:fill="auto"/>
            <w:noWrap/>
            <w:vAlign w:val="center"/>
          </w:tcPr>
          <w:p w14:paraId="5D20A26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1E80F7F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0BBF447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1200</w:t>
            </w:r>
          </w:p>
        </w:tc>
        <w:tc>
          <w:tcPr>
            <w:tcW w:w="0" w:type="auto"/>
            <w:tcBorders>
              <w:tl2br w:val="nil"/>
              <w:tr2bl w:val="nil"/>
            </w:tcBorders>
            <w:shd w:val="clear" w:color="auto" w:fill="auto"/>
            <w:noWrap/>
            <w:vAlign w:val="center"/>
          </w:tcPr>
          <w:p w14:paraId="6D98509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7BB27F9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70402B8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08F4F43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5A3F2AA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495778B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2500</w:t>
            </w:r>
          </w:p>
        </w:tc>
        <w:tc>
          <w:tcPr>
            <w:tcW w:w="0" w:type="auto"/>
            <w:tcBorders>
              <w:tl2br w:val="nil"/>
              <w:tr2bl w:val="nil"/>
            </w:tcBorders>
            <w:shd w:val="clear" w:color="auto" w:fill="auto"/>
            <w:noWrap/>
            <w:vAlign w:val="center"/>
          </w:tcPr>
          <w:p w14:paraId="66555EA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7F692C0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0.897</w:t>
            </w:r>
          </w:p>
        </w:tc>
      </w:tr>
      <w:tr w14:paraId="6659E9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73949EB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600</w:t>
            </w:r>
          </w:p>
        </w:tc>
        <w:tc>
          <w:tcPr>
            <w:tcW w:w="0" w:type="auto"/>
            <w:tcBorders>
              <w:tl2br w:val="nil"/>
              <w:tr2bl w:val="nil"/>
            </w:tcBorders>
            <w:shd w:val="clear" w:color="auto" w:fill="auto"/>
            <w:noWrap/>
            <w:vAlign w:val="center"/>
          </w:tcPr>
          <w:p w14:paraId="0CC90BB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7186DCA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0456B17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1200</w:t>
            </w:r>
          </w:p>
        </w:tc>
        <w:tc>
          <w:tcPr>
            <w:tcW w:w="0" w:type="auto"/>
            <w:tcBorders>
              <w:tl2br w:val="nil"/>
              <w:tr2bl w:val="nil"/>
            </w:tcBorders>
            <w:shd w:val="clear" w:color="auto" w:fill="auto"/>
            <w:noWrap/>
            <w:vAlign w:val="center"/>
          </w:tcPr>
          <w:p w14:paraId="47BCFFB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1EE4A47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34A6C0A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1900</w:t>
            </w:r>
          </w:p>
        </w:tc>
        <w:tc>
          <w:tcPr>
            <w:tcW w:w="0" w:type="auto"/>
            <w:tcBorders>
              <w:tl2br w:val="nil"/>
              <w:tr2bl w:val="nil"/>
            </w:tcBorders>
            <w:shd w:val="clear" w:color="auto" w:fill="auto"/>
            <w:noWrap/>
            <w:vAlign w:val="center"/>
          </w:tcPr>
          <w:p w14:paraId="41C7338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2D8676C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0.899</w:t>
            </w:r>
          </w:p>
        </w:tc>
        <w:tc>
          <w:tcPr>
            <w:tcW w:w="0" w:type="auto"/>
            <w:tcBorders>
              <w:tl2br w:val="nil"/>
              <w:tr2bl w:val="nil"/>
            </w:tcBorders>
            <w:shd w:val="clear" w:color="auto" w:fill="auto"/>
            <w:noWrap/>
            <w:vAlign w:val="center"/>
          </w:tcPr>
          <w:p w14:paraId="651CE55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2500</w:t>
            </w:r>
          </w:p>
        </w:tc>
        <w:tc>
          <w:tcPr>
            <w:tcW w:w="0" w:type="auto"/>
            <w:tcBorders>
              <w:tl2br w:val="nil"/>
              <w:tr2bl w:val="nil"/>
            </w:tcBorders>
            <w:shd w:val="clear" w:color="auto" w:fill="auto"/>
            <w:noWrap/>
            <w:vAlign w:val="center"/>
          </w:tcPr>
          <w:p w14:paraId="227A3E9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5F6BF09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0.890</w:t>
            </w:r>
          </w:p>
        </w:tc>
      </w:tr>
      <w:tr w14:paraId="1EF964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6576747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600</w:t>
            </w:r>
          </w:p>
        </w:tc>
        <w:tc>
          <w:tcPr>
            <w:tcW w:w="0" w:type="auto"/>
            <w:tcBorders>
              <w:tl2br w:val="nil"/>
              <w:tr2bl w:val="nil"/>
            </w:tcBorders>
            <w:shd w:val="clear" w:color="auto" w:fill="auto"/>
            <w:noWrap/>
            <w:vAlign w:val="center"/>
          </w:tcPr>
          <w:p w14:paraId="1D9685D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604495E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61E75BB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1300</w:t>
            </w:r>
          </w:p>
        </w:tc>
        <w:tc>
          <w:tcPr>
            <w:tcW w:w="0" w:type="auto"/>
            <w:tcBorders>
              <w:tl2br w:val="nil"/>
              <w:tr2bl w:val="nil"/>
            </w:tcBorders>
            <w:shd w:val="clear" w:color="auto" w:fill="auto"/>
            <w:noWrap/>
            <w:vAlign w:val="center"/>
          </w:tcPr>
          <w:p w14:paraId="4FA8B7F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7F2F1B8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0.902</w:t>
            </w:r>
          </w:p>
        </w:tc>
        <w:tc>
          <w:tcPr>
            <w:tcW w:w="0" w:type="auto"/>
            <w:tcBorders>
              <w:tl2br w:val="nil"/>
              <w:tr2bl w:val="nil"/>
            </w:tcBorders>
            <w:shd w:val="clear" w:color="auto" w:fill="auto"/>
            <w:noWrap/>
            <w:vAlign w:val="center"/>
          </w:tcPr>
          <w:p w14:paraId="126D396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1900</w:t>
            </w:r>
          </w:p>
        </w:tc>
        <w:tc>
          <w:tcPr>
            <w:tcW w:w="0" w:type="auto"/>
            <w:tcBorders>
              <w:tl2br w:val="nil"/>
              <w:tr2bl w:val="nil"/>
            </w:tcBorders>
            <w:shd w:val="clear" w:color="auto" w:fill="auto"/>
            <w:noWrap/>
            <w:vAlign w:val="center"/>
          </w:tcPr>
          <w:p w14:paraId="1D45074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2D1E13C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0.889</w:t>
            </w:r>
          </w:p>
        </w:tc>
        <w:tc>
          <w:tcPr>
            <w:tcW w:w="0" w:type="auto"/>
            <w:tcBorders>
              <w:tl2br w:val="nil"/>
              <w:tr2bl w:val="nil"/>
            </w:tcBorders>
            <w:shd w:val="clear" w:color="auto" w:fill="auto"/>
            <w:noWrap/>
            <w:vAlign w:val="center"/>
          </w:tcPr>
          <w:p w14:paraId="5878710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2500</w:t>
            </w:r>
          </w:p>
        </w:tc>
        <w:tc>
          <w:tcPr>
            <w:tcW w:w="0" w:type="auto"/>
            <w:tcBorders>
              <w:tl2br w:val="nil"/>
              <w:tr2bl w:val="nil"/>
            </w:tcBorders>
            <w:shd w:val="clear" w:color="auto" w:fill="auto"/>
            <w:noWrap/>
            <w:vAlign w:val="center"/>
          </w:tcPr>
          <w:p w14:paraId="2EC4873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210E090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088876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6DC2C76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700</w:t>
            </w:r>
          </w:p>
        </w:tc>
        <w:tc>
          <w:tcPr>
            <w:tcW w:w="0" w:type="auto"/>
            <w:tcBorders>
              <w:tl2br w:val="nil"/>
              <w:tr2bl w:val="nil"/>
            </w:tcBorders>
            <w:shd w:val="clear" w:color="auto" w:fill="auto"/>
            <w:noWrap/>
            <w:vAlign w:val="center"/>
          </w:tcPr>
          <w:p w14:paraId="756141A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49E3AAD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0.908</w:t>
            </w:r>
          </w:p>
        </w:tc>
        <w:tc>
          <w:tcPr>
            <w:tcW w:w="0" w:type="auto"/>
            <w:tcBorders>
              <w:tl2br w:val="nil"/>
              <w:tr2bl w:val="nil"/>
            </w:tcBorders>
            <w:shd w:val="clear" w:color="auto" w:fill="auto"/>
            <w:noWrap/>
            <w:vAlign w:val="center"/>
          </w:tcPr>
          <w:p w14:paraId="0680C1B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1300</w:t>
            </w:r>
          </w:p>
        </w:tc>
        <w:tc>
          <w:tcPr>
            <w:tcW w:w="0" w:type="auto"/>
            <w:tcBorders>
              <w:tl2br w:val="nil"/>
              <w:tr2bl w:val="nil"/>
            </w:tcBorders>
            <w:shd w:val="clear" w:color="auto" w:fill="auto"/>
            <w:noWrap/>
            <w:vAlign w:val="center"/>
          </w:tcPr>
          <w:p w14:paraId="626FD88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14F630A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0.888</w:t>
            </w:r>
          </w:p>
        </w:tc>
        <w:tc>
          <w:tcPr>
            <w:tcW w:w="0" w:type="auto"/>
            <w:tcBorders>
              <w:tl2br w:val="nil"/>
              <w:tr2bl w:val="nil"/>
            </w:tcBorders>
            <w:shd w:val="clear" w:color="auto" w:fill="auto"/>
            <w:noWrap/>
            <w:vAlign w:val="center"/>
          </w:tcPr>
          <w:p w14:paraId="1C083CD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1900</w:t>
            </w:r>
          </w:p>
        </w:tc>
        <w:tc>
          <w:tcPr>
            <w:tcW w:w="0" w:type="auto"/>
            <w:tcBorders>
              <w:tl2br w:val="nil"/>
              <w:tr2bl w:val="nil"/>
            </w:tcBorders>
            <w:shd w:val="clear" w:color="auto" w:fill="auto"/>
            <w:noWrap/>
            <w:vAlign w:val="center"/>
          </w:tcPr>
          <w:p w14:paraId="097BF5B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40.00</w:t>
            </w:r>
          </w:p>
        </w:tc>
        <w:tc>
          <w:tcPr>
            <w:tcW w:w="0" w:type="auto"/>
            <w:tcBorders>
              <w:tl2br w:val="nil"/>
              <w:tr2bl w:val="nil"/>
            </w:tcBorders>
            <w:shd w:val="clear" w:color="auto" w:fill="auto"/>
            <w:noWrap/>
            <w:vAlign w:val="center"/>
          </w:tcPr>
          <w:p w14:paraId="2EA0199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0734D99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2500</w:t>
            </w:r>
          </w:p>
        </w:tc>
        <w:tc>
          <w:tcPr>
            <w:tcW w:w="0" w:type="auto"/>
            <w:tcBorders>
              <w:tl2br w:val="nil"/>
              <w:tr2bl w:val="nil"/>
            </w:tcBorders>
            <w:shd w:val="clear" w:color="auto" w:fill="auto"/>
            <w:noWrap/>
            <w:vAlign w:val="center"/>
          </w:tcPr>
          <w:p w14:paraId="7FE5EFF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66CC6D6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bl>
    <w:p w14:paraId="1A52CDE2">
      <w:pPr>
        <w:rPr>
          <w:rFonts w:hint="default" w:ascii="Times New Roman" w:hAnsi="Times New Roman" w:eastAsia="宋体" w:cs="Times New Roman"/>
          <w:b/>
          <w:bCs/>
          <w:snapToGrid w:val="0"/>
          <w:color w:val="auto"/>
          <w:spacing w:val="-5"/>
          <w:kern w:val="0"/>
          <w:sz w:val="24"/>
          <w:szCs w:val="24"/>
          <w:lang w:val="en-US" w:eastAsia="zh-CN" w:bidi="ar-SA"/>
        </w:rPr>
      </w:pPr>
      <w:r>
        <w:rPr>
          <w:rFonts w:hint="eastAsia" w:ascii="Times New Roman" w:hAnsi="Times New Roman" w:eastAsia="宋体" w:cs="Times New Roman"/>
          <w:b/>
          <w:bCs/>
          <w:snapToGrid w:val="0"/>
          <w:color w:val="auto"/>
          <w:spacing w:val="-5"/>
          <w:kern w:val="0"/>
          <w:sz w:val="24"/>
          <w:szCs w:val="24"/>
          <w:lang w:val="en-US" w:eastAsia="zh-CN" w:bidi="ar-SA"/>
        </w:rPr>
        <w:t>4.8.3非正常工况</w:t>
      </w:r>
    </w:p>
    <w:p w14:paraId="532B1CAF">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b/>
          <w:bCs/>
          <w:snapToGrid w:val="0"/>
          <w:color w:val="auto"/>
          <w:spacing w:val="-5"/>
          <w:kern w:val="0"/>
          <w:sz w:val="24"/>
          <w:szCs w:val="24"/>
          <w:lang w:val="en-US" w:eastAsia="zh-CN" w:bidi="ar-SA"/>
        </w:rPr>
      </w:pPr>
      <w:r>
        <w:rPr>
          <w:rFonts w:hint="eastAsia" w:ascii="Times New Roman" w:hAnsi="Times New Roman" w:eastAsia="宋体" w:cs="Times New Roman"/>
          <w:b/>
          <w:bCs/>
          <w:snapToGrid w:val="0"/>
          <w:color w:val="auto"/>
          <w:spacing w:val="-5"/>
          <w:kern w:val="0"/>
          <w:sz w:val="24"/>
          <w:szCs w:val="24"/>
          <w:lang w:val="en-US" w:eastAsia="zh-CN" w:bidi="ar-SA"/>
        </w:rPr>
        <w:t>1、红光沟段</w:t>
      </w:r>
    </w:p>
    <w:p w14:paraId="15179CFB">
      <w:pPr>
        <w:pStyle w:val="8"/>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eastAsia" w:ascii="Times New Roman" w:hAnsi="Times New Roman" w:eastAsia="宋体" w:cs="Times New Roman"/>
          <w:b/>
          <w:bCs/>
          <w:snapToGrid w:val="0"/>
          <w:color w:val="auto"/>
          <w:spacing w:val="-5"/>
          <w:kern w:val="0"/>
          <w:sz w:val="24"/>
          <w:szCs w:val="24"/>
          <w:lang w:val="en-US" w:eastAsia="zh-CN" w:bidi="ar-SA"/>
        </w:rPr>
      </w:pPr>
      <w:r>
        <w:rPr>
          <w:rFonts w:hint="eastAsia" w:ascii="Times New Roman" w:hAnsi="Times New Roman" w:eastAsia="宋体" w:cs="Times New Roman"/>
          <w:b/>
          <w:bCs/>
          <w:snapToGrid w:val="0"/>
          <w:color w:val="auto"/>
          <w:spacing w:val="-5"/>
          <w:kern w:val="0"/>
          <w:sz w:val="24"/>
          <w:szCs w:val="24"/>
          <w:lang w:val="en-US" w:eastAsia="zh-CN" w:bidi="ar-SA"/>
        </w:rPr>
        <w:t>表4-7    COD污染物预测结果</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433"/>
        <w:gridCol w:w="3211"/>
        <w:gridCol w:w="1433"/>
        <w:gridCol w:w="3211"/>
      </w:tblGrid>
      <w:tr w14:paraId="55E638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tcBorders>
              <w:tl2br w:val="nil"/>
              <w:tr2bl w:val="nil"/>
            </w:tcBorders>
            <w:shd w:val="clear" w:color="auto" w:fill="auto"/>
            <w:noWrap/>
            <w:vAlign w:val="center"/>
          </w:tcPr>
          <w:p w14:paraId="78C4D10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snapToGrid w:val="0"/>
                <w:color w:val="auto"/>
                <w:kern w:val="0"/>
                <w:sz w:val="21"/>
                <w:szCs w:val="21"/>
                <w:u w:val="none"/>
                <w:lang w:val="en-US" w:eastAsia="zh-CN" w:bidi="ar"/>
              </w:rPr>
            </w:pPr>
            <w:r>
              <w:rPr>
                <w:rFonts w:hint="default" w:ascii="Times New Roman" w:hAnsi="Times New Roman" w:eastAsia="宋体" w:cs="Times New Roman"/>
                <w:i w:val="0"/>
                <w:iCs w:val="0"/>
                <w:snapToGrid w:val="0"/>
                <w:color w:val="auto"/>
                <w:kern w:val="0"/>
                <w:sz w:val="21"/>
                <w:szCs w:val="21"/>
                <w:u w:val="none"/>
                <w:lang w:val="en-US" w:eastAsia="zh-CN" w:bidi="ar"/>
              </w:rPr>
              <w:t>距离（m）</w:t>
            </w:r>
          </w:p>
        </w:tc>
        <w:tc>
          <w:tcPr>
            <w:tcW w:w="1080" w:type="dxa"/>
            <w:tcBorders>
              <w:tl2br w:val="nil"/>
              <w:tr2bl w:val="nil"/>
            </w:tcBorders>
            <w:shd w:val="clear" w:color="auto" w:fill="auto"/>
            <w:noWrap/>
            <w:vAlign w:val="center"/>
          </w:tcPr>
          <w:p w14:paraId="479B44D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浓度（mg/L）</w:t>
            </w:r>
          </w:p>
        </w:tc>
        <w:tc>
          <w:tcPr>
            <w:tcW w:w="1080" w:type="dxa"/>
            <w:tcBorders>
              <w:tl2br w:val="nil"/>
              <w:tr2bl w:val="nil"/>
            </w:tcBorders>
            <w:shd w:val="clear" w:color="auto" w:fill="auto"/>
            <w:noWrap/>
            <w:vAlign w:val="center"/>
          </w:tcPr>
          <w:p w14:paraId="5D5C2D9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距离（m）</w:t>
            </w:r>
          </w:p>
        </w:tc>
        <w:tc>
          <w:tcPr>
            <w:tcW w:w="1080" w:type="dxa"/>
            <w:tcBorders>
              <w:tl2br w:val="nil"/>
              <w:tr2bl w:val="nil"/>
            </w:tcBorders>
            <w:shd w:val="clear" w:color="auto" w:fill="auto"/>
            <w:noWrap/>
            <w:vAlign w:val="center"/>
          </w:tcPr>
          <w:p w14:paraId="703FF75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浓度（mg/L）</w:t>
            </w:r>
          </w:p>
        </w:tc>
      </w:tr>
      <w:tr w14:paraId="220A52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tcBorders>
              <w:tl2br w:val="nil"/>
              <w:tr2bl w:val="nil"/>
            </w:tcBorders>
            <w:shd w:val="clear" w:color="auto" w:fill="auto"/>
            <w:noWrap/>
            <w:vAlign w:val="center"/>
          </w:tcPr>
          <w:p w14:paraId="32F8818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1080" w:type="dxa"/>
            <w:tcBorders>
              <w:tl2br w:val="nil"/>
              <w:tr2bl w:val="nil"/>
            </w:tcBorders>
            <w:shd w:val="clear" w:color="auto" w:fill="auto"/>
            <w:noWrap/>
            <w:vAlign w:val="center"/>
          </w:tcPr>
          <w:p w14:paraId="70B4159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5.32</w:t>
            </w:r>
          </w:p>
        </w:tc>
        <w:tc>
          <w:tcPr>
            <w:tcW w:w="1080" w:type="dxa"/>
            <w:tcBorders>
              <w:tl2br w:val="nil"/>
              <w:tr2bl w:val="nil"/>
            </w:tcBorders>
            <w:shd w:val="clear" w:color="auto" w:fill="auto"/>
            <w:noWrap/>
            <w:vAlign w:val="center"/>
          </w:tcPr>
          <w:p w14:paraId="7DF3F76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1700</w:t>
            </w:r>
          </w:p>
        </w:tc>
        <w:tc>
          <w:tcPr>
            <w:tcW w:w="1080" w:type="dxa"/>
            <w:tcBorders>
              <w:tl2br w:val="nil"/>
              <w:tr2bl w:val="nil"/>
            </w:tcBorders>
            <w:shd w:val="clear" w:color="auto" w:fill="auto"/>
            <w:noWrap/>
            <w:vAlign w:val="center"/>
          </w:tcPr>
          <w:p w14:paraId="4C000AE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3.19</w:t>
            </w:r>
          </w:p>
        </w:tc>
      </w:tr>
      <w:tr w14:paraId="49CB09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2C28BA8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w:t>
            </w:r>
          </w:p>
        </w:tc>
        <w:tc>
          <w:tcPr>
            <w:tcW w:w="2421" w:type="dxa"/>
            <w:tcBorders>
              <w:tl2br w:val="nil"/>
              <w:tr2bl w:val="nil"/>
            </w:tcBorders>
            <w:shd w:val="clear" w:color="auto" w:fill="auto"/>
            <w:noWrap/>
            <w:vAlign w:val="center"/>
          </w:tcPr>
          <w:p w14:paraId="7283213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5.16</w:t>
            </w:r>
          </w:p>
        </w:tc>
        <w:tc>
          <w:tcPr>
            <w:tcW w:w="0" w:type="auto"/>
            <w:tcBorders>
              <w:tl2br w:val="nil"/>
              <w:tr2bl w:val="nil"/>
            </w:tcBorders>
            <w:shd w:val="clear" w:color="auto" w:fill="auto"/>
            <w:noWrap/>
            <w:vAlign w:val="center"/>
          </w:tcPr>
          <w:p w14:paraId="64E6945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1800</w:t>
            </w:r>
          </w:p>
        </w:tc>
        <w:tc>
          <w:tcPr>
            <w:tcW w:w="2421" w:type="dxa"/>
            <w:tcBorders>
              <w:tl2br w:val="nil"/>
              <w:tr2bl w:val="nil"/>
            </w:tcBorders>
            <w:shd w:val="clear" w:color="auto" w:fill="auto"/>
            <w:noWrap/>
            <w:vAlign w:val="center"/>
          </w:tcPr>
          <w:p w14:paraId="2EE8B08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3.10</w:t>
            </w:r>
          </w:p>
        </w:tc>
      </w:tr>
      <w:tr w14:paraId="6E6F3A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746592F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w:t>
            </w:r>
          </w:p>
        </w:tc>
        <w:tc>
          <w:tcPr>
            <w:tcW w:w="2421" w:type="dxa"/>
            <w:tcBorders>
              <w:tl2br w:val="nil"/>
              <w:tr2bl w:val="nil"/>
            </w:tcBorders>
            <w:shd w:val="clear" w:color="auto" w:fill="auto"/>
            <w:noWrap/>
            <w:vAlign w:val="center"/>
          </w:tcPr>
          <w:p w14:paraId="4316F15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5.01</w:t>
            </w:r>
          </w:p>
        </w:tc>
        <w:tc>
          <w:tcPr>
            <w:tcW w:w="0" w:type="auto"/>
            <w:tcBorders>
              <w:tl2br w:val="nil"/>
              <w:tr2bl w:val="nil"/>
            </w:tcBorders>
            <w:shd w:val="clear" w:color="auto" w:fill="auto"/>
            <w:noWrap/>
            <w:vAlign w:val="center"/>
          </w:tcPr>
          <w:p w14:paraId="66E040D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1900</w:t>
            </w:r>
          </w:p>
        </w:tc>
        <w:tc>
          <w:tcPr>
            <w:tcW w:w="2421" w:type="dxa"/>
            <w:tcBorders>
              <w:tl2br w:val="nil"/>
              <w:tr2bl w:val="nil"/>
            </w:tcBorders>
            <w:shd w:val="clear" w:color="auto" w:fill="auto"/>
            <w:noWrap/>
            <w:vAlign w:val="center"/>
          </w:tcPr>
          <w:p w14:paraId="132505E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3.01</w:t>
            </w:r>
          </w:p>
        </w:tc>
      </w:tr>
      <w:tr w14:paraId="70587D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6A53145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300</w:t>
            </w:r>
          </w:p>
        </w:tc>
        <w:tc>
          <w:tcPr>
            <w:tcW w:w="2421" w:type="dxa"/>
            <w:tcBorders>
              <w:tl2br w:val="nil"/>
              <w:tr2bl w:val="nil"/>
            </w:tcBorders>
            <w:shd w:val="clear" w:color="auto" w:fill="auto"/>
            <w:noWrap/>
            <w:vAlign w:val="center"/>
          </w:tcPr>
          <w:p w14:paraId="765ACBD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4.86</w:t>
            </w:r>
          </w:p>
        </w:tc>
        <w:tc>
          <w:tcPr>
            <w:tcW w:w="0" w:type="auto"/>
            <w:tcBorders>
              <w:tl2br w:val="nil"/>
              <w:tr2bl w:val="nil"/>
            </w:tcBorders>
            <w:shd w:val="clear" w:color="auto" w:fill="auto"/>
            <w:noWrap/>
            <w:vAlign w:val="center"/>
          </w:tcPr>
          <w:p w14:paraId="35DB3A5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2000</w:t>
            </w:r>
          </w:p>
        </w:tc>
        <w:tc>
          <w:tcPr>
            <w:tcW w:w="2421" w:type="dxa"/>
            <w:tcBorders>
              <w:tl2br w:val="nil"/>
              <w:tr2bl w:val="nil"/>
            </w:tcBorders>
            <w:shd w:val="clear" w:color="auto" w:fill="auto"/>
            <w:noWrap/>
            <w:vAlign w:val="center"/>
          </w:tcPr>
          <w:p w14:paraId="6E2B25D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2.92</w:t>
            </w:r>
          </w:p>
        </w:tc>
      </w:tr>
      <w:tr w14:paraId="7CCA3A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7DF8F8A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400</w:t>
            </w:r>
          </w:p>
        </w:tc>
        <w:tc>
          <w:tcPr>
            <w:tcW w:w="2421" w:type="dxa"/>
            <w:tcBorders>
              <w:tl2br w:val="nil"/>
              <w:tr2bl w:val="nil"/>
            </w:tcBorders>
            <w:shd w:val="clear" w:color="auto" w:fill="auto"/>
            <w:noWrap/>
            <w:vAlign w:val="center"/>
          </w:tcPr>
          <w:p w14:paraId="2CC1442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4.72</w:t>
            </w:r>
          </w:p>
        </w:tc>
        <w:tc>
          <w:tcPr>
            <w:tcW w:w="0" w:type="auto"/>
            <w:tcBorders>
              <w:tl2br w:val="nil"/>
              <w:tr2bl w:val="nil"/>
            </w:tcBorders>
            <w:shd w:val="clear" w:color="auto" w:fill="auto"/>
            <w:noWrap/>
            <w:vAlign w:val="center"/>
          </w:tcPr>
          <w:p w14:paraId="3F46181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2100</w:t>
            </w:r>
          </w:p>
        </w:tc>
        <w:tc>
          <w:tcPr>
            <w:tcW w:w="2421" w:type="dxa"/>
            <w:tcBorders>
              <w:tl2br w:val="nil"/>
              <w:tr2bl w:val="nil"/>
            </w:tcBorders>
            <w:shd w:val="clear" w:color="auto" w:fill="auto"/>
            <w:noWrap/>
            <w:vAlign w:val="center"/>
          </w:tcPr>
          <w:p w14:paraId="14DC511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2.83</w:t>
            </w:r>
          </w:p>
        </w:tc>
      </w:tr>
      <w:tr w14:paraId="22589D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4E2FD11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500</w:t>
            </w:r>
          </w:p>
        </w:tc>
        <w:tc>
          <w:tcPr>
            <w:tcW w:w="2421" w:type="dxa"/>
            <w:tcBorders>
              <w:tl2br w:val="nil"/>
              <w:tr2bl w:val="nil"/>
            </w:tcBorders>
            <w:shd w:val="clear" w:color="auto" w:fill="auto"/>
            <w:noWrap/>
            <w:vAlign w:val="center"/>
          </w:tcPr>
          <w:p w14:paraId="75C7906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4.58</w:t>
            </w:r>
          </w:p>
        </w:tc>
        <w:tc>
          <w:tcPr>
            <w:tcW w:w="0" w:type="auto"/>
            <w:tcBorders>
              <w:tl2br w:val="nil"/>
              <w:tr2bl w:val="nil"/>
            </w:tcBorders>
            <w:shd w:val="clear" w:color="auto" w:fill="auto"/>
            <w:noWrap/>
            <w:vAlign w:val="center"/>
          </w:tcPr>
          <w:p w14:paraId="6637CCF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2200</w:t>
            </w:r>
          </w:p>
        </w:tc>
        <w:tc>
          <w:tcPr>
            <w:tcW w:w="2421" w:type="dxa"/>
            <w:tcBorders>
              <w:tl2br w:val="nil"/>
              <w:tr2bl w:val="nil"/>
            </w:tcBorders>
            <w:shd w:val="clear" w:color="auto" w:fill="auto"/>
            <w:noWrap/>
            <w:vAlign w:val="center"/>
          </w:tcPr>
          <w:p w14:paraId="6BCBF17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2.75</w:t>
            </w:r>
          </w:p>
        </w:tc>
      </w:tr>
      <w:tr w14:paraId="4C5058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051D803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600</w:t>
            </w:r>
          </w:p>
        </w:tc>
        <w:tc>
          <w:tcPr>
            <w:tcW w:w="2421" w:type="dxa"/>
            <w:tcBorders>
              <w:tl2br w:val="nil"/>
              <w:tr2bl w:val="nil"/>
            </w:tcBorders>
            <w:shd w:val="clear" w:color="auto" w:fill="auto"/>
            <w:noWrap/>
            <w:vAlign w:val="center"/>
          </w:tcPr>
          <w:p w14:paraId="1E3ED2F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4.44</w:t>
            </w:r>
          </w:p>
        </w:tc>
        <w:tc>
          <w:tcPr>
            <w:tcW w:w="0" w:type="auto"/>
            <w:tcBorders>
              <w:tl2br w:val="nil"/>
              <w:tr2bl w:val="nil"/>
            </w:tcBorders>
            <w:shd w:val="clear" w:color="auto" w:fill="auto"/>
            <w:noWrap/>
            <w:vAlign w:val="center"/>
          </w:tcPr>
          <w:p w14:paraId="546F9AE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2300</w:t>
            </w:r>
          </w:p>
        </w:tc>
        <w:tc>
          <w:tcPr>
            <w:tcW w:w="2421" w:type="dxa"/>
            <w:tcBorders>
              <w:tl2br w:val="nil"/>
              <w:tr2bl w:val="nil"/>
            </w:tcBorders>
            <w:shd w:val="clear" w:color="auto" w:fill="auto"/>
            <w:noWrap/>
            <w:vAlign w:val="center"/>
          </w:tcPr>
          <w:p w14:paraId="091CE74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2.67</w:t>
            </w:r>
          </w:p>
        </w:tc>
      </w:tr>
      <w:tr w14:paraId="349F04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5E5BCA9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700</w:t>
            </w:r>
          </w:p>
        </w:tc>
        <w:tc>
          <w:tcPr>
            <w:tcW w:w="2421" w:type="dxa"/>
            <w:tcBorders>
              <w:tl2br w:val="nil"/>
              <w:tr2bl w:val="nil"/>
            </w:tcBorders>
            <w:shd w:val="clear" w:color="auto" w:fill="auto"/>
            <w:noWrap/>
            <w:vAlign w:val="center"/>
          </w:tcPr>
          <w:p w14:paraId="190AC8E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4.31</w:t>
            </w:r>
          </w:p>
        </w:tc>
        <w:tc>
          <w:tcPr>
            <w:tcW w:w="0" w:type="auto"/>
            <w:tcBorders>
              <w:tl2br w:val="nil"/>
              <w:tr2bl w:val="nil"/>
            </w:tcBorders>
            <w:shd w:val="clear" w:color="auto" w:fill="auto"/>
            <w:noWrap/>
            <w:vAlign w:val="center"/>
          </w:tcPr>
          <w:p w14:paraId="73050C8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2400</w:t>
            </w:r>
          </w:p>
        </w:tc>
        <w:tc>
          <w:tcPr>
            <w:tcW w:w="2421" w:type="dxa"/>
            <w:tcBorders>
              <w:tl2br w:val="nil"/>
              <w:tr2bl w:val="nil"/>
            </w:tcBorders>
            <w:shd w:val="clear" w:color="auto" w:fill="auto"/>
            <w:noWrap/>
            <w:vAlign w:val="center"/>
          </w:tcPr>
          <w:p w14:paraId="596CCD4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2.59</w:t>
            </w:r>
          </w:p>
        </w:tc>
      </w:tr>
      <w:tr w14:paraId="38BC39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1C263EE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800</w:t>
            </w:r>
          </w:p>
        </w:tc>
        <w:tc>
          <w:tcPr>
            <w:tcW w:w="2421" w:type="dxa"/>
            <w:tcBorders>
              <w:tl2br w:val="nil"/>
              <w:tr2bl w:val="nil"/>
            </w:tcBorders>
            <w:shd w:val="clear" w:color="auto" w:fill="auto"/>
            <w:noWrap/>
            <w:vAlign w:val="center"/>
          </w:tcPr>
          <w:p w14:paraId="7B92EF7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4.18</w:t>
            </w:r>
          </w:p>
        </w:tc>
        <w:tc>
          <w:tcPr>
            <w:tcW w:w="0" w:type="auto"/>
            <w:tcBorders>
              <w:tl2br w:val="nil"/>
              <w:tr2bl w:val="nil"/>
            </w:tcBorders>
            <w:shd w:val="clear" w:color="auto" w:fill="auto"/>
            <w:noWrap/>
            <w:vAlign w:val="center"/>
          </w:tcPr>
          <w:p w14:paraId="1A9BED6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2500</w:t>
            </w:r>
          </w:p>
        </w:tc>
        <w:tc>
          <w:tcPr>
            <w:tcW w:w="2421" w:type="dxa"/>
            <w:tcBorders>
              <w:tl2br w:val="nil"/>
              <w:tr2bl w:val="nil"/>
            </w:tcBorders>
            <w:shd w:val="clear" w:color="auto" w:fill="auto"/>
            <w:noWrap/>
            <w:vAlign w:val="center"/>
          </w:tcPr>
          <w:p w14:paraId="2E58D3A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2.51</w:t>
            </w:r>
          </w:p>
        </w:tc>
      </w:tr>
      <w:tr w14:paraId="24A64A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69A10BE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900</w:t>
            </w:r>
          </w:p>
        </w:tc>
        <w:tc>
          <w:tcPr>
            <w:tcW w:w="2421" w:type="dxa"/>
            <w:tcBorders>
              <w:tl2br w:val="nil"/>
              <w:tr2bl w:val="nil"/>
            </w:tcBorders>
            <w:shd w:val="clear" w:color="auto" w:fill="auto"/>
            <w:noWrap/>
            <w:vAlign w:val="center"/>
          </w:tcPr>
          <w:p w14:paraId="4AFAD8E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4.06</w:t>
            </w:r>
          </w:p>
        </w:tc>
        <w:tc>
          <w:tcPr>
            <w:tcW w:w="0" w:type="auto"/>
            <w:tcBorders>
              <w:tl2br w:val="nil"/>
              <w:tr2bl w:val="nil"/>
            </w:tcBorders>
            <w:shd w:val="clear" w:color="auto" w:fill="auto"/>
            <w:noWrap/>
            <w:vAlign w:val="center"/>
          </w:tcPr>
          <w:p w14:paraId="26EE872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2600</w:t>
            </w:r>
          </w:p>
        </w:tc>
        <w:tc>
          <w:tcPr>
            <w:tcW w:w="2421" w:type="dxa"/>
            <w:tcBorders>
              <w:tl2br w:val="nil"/>
              <w:tr2bl w:val="nil"/>
            </w:tcBorders>
            <w:shd w:val="clear" w:color="auto" w:fill="auto"/>
            <w:noWrap/>
            <w:vAlign w:val="center"/>
          </w:tcPr>
          <w:p w14:paraId="6833135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2.44</w:t>
            </w:r>
          </w:p>
        </w:tc>
      </w:tr>
      <w:tr w14:paraId="583861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52C340D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1000</w:t>
            </w:r>
          </w:p>
        </w:tc>
        <w:tc>
          <w:tcPr>
            <w:tcW w:w="2421" w:type="dxa"/>
            <w:tcBorders>
              <w:tl2br w:val="nil"/>
              <w:tr2bl w:val="nil"/>
            </w:tcBorders>
            <w:shd w:val="clear" w:color="auto" w:fill="auto"/>
            <w:noWrap/>
            <w:vAlign w:val="center"/>
          </w:tcPr>
          <w:p w14:paraId="7850B6A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3.94</w:t>
            </w:r>
          </w:p>
        </w:tc>
        <w:tc>
          <w:tcPr>
            <w:tcW w:w="0" w:type="auto"/>
            <w:tcBorders>
              <w:tl2br w:val="nil"/>
              <w:tr2bl w:val="nil"/>
            </w:tcBorders>
            <w:shd w:val="clear" w:color="auto" w:fill="auto"/>
            <w:noWrap/>
            <w:vAlign w:val="center"/>
          </w:tcPr>
          <w:p w14:paraId="6E3DD49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2700</w:t>
            </w:r>
          </w:p>
        </w:tc>
        <w:tc>
          <w:tcPr>
            <w:tcW w:w="2421" w:type="dxa"/>
            <w:tcBorders>
              <w:tl2br w:val="nil"/>
              <w:tr2bl w:val="nil"/>
            </w:tcBorders>
            <w:shd w:val="clear" w:color="auto" w:fill="auto"/>
            <w:noWrap/>
            <w:vAlign w:val="center"/>
          </w:tcPr>
          <w:p w14:paraId="246FA2F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2.37</w:t>
            </w:r>
          </w:p>
        </w:tc>
      </w:tr>
      <w:tr w14:paraId="74D74E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2B74D44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1100</w:t>
            </w:r>
          </w:p>
        </w:tc>
        <w:tc>
          <w:tcPr>
            <w:tcW w:w="2421" w:type="dxa"/>
            <w:tcBorders>
              <w:tl2br w:val="nil"/>
              <w:tr2bl w:val="nil"/>
            </w:tcBorders>
            <w:shd w:val="clear" w:color="auto" w:fill="auto"/>
            <w:noWrap/>
            <w:vAlign w:val="center"/>
          </w:tcPr>
          <w:p w14:paraId="6FB532B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3.82</w:t>
            </w:r>
          </w:p>
        </w:tc>
        <w:tc>
          <w:tcPr>
            <w:tcW w:w="0" w:type="auto"/>
            <w:tcBorders>
              <w:tl2br w:val="nil"/>
              <w:tr2bl w:val="nil"/>
            </w:tcBorders>
            <w:shd w:val="clear" w:color="auto" w:fill="auto"/>
            <w:noWrap/>
            <w:vAlign w:val="center"/>
          </w:tcPr>
          <w:p w14:paraId="2CB1D31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2800</w:t>
            </w:r>
          </w:p>
        </w:tc>
        <w:tc>
          <w:tcPr>
            <w:tcW w:w="2421" w:type="dxa"/>
            <w:tcBorders>
              <w:tl2br w:val="nil"/>
              <w:tr2bl w:val="nil"/>
            </w:tcBorders>
            <w:shd w:val="clear" w:color="auto" w:fill="auto"/>
            <w:noWrap/>
            <w:vAlign w:val="center"/>
          </w:tcPr>
          <w:p w14:paraId="520F68B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2.30</w:t>
            </w:r>
          </w:p>
        </w:tc>
      </w:tr>
      <w:tr w14:paraId="08BBC6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2E608D0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1200</w:t>
            </w:r>
          </w:p>
        </w:tc>
        <w:tc>
          <w:tcPr>
            <w:tcW w:w="2421" w:type="dxa"/>
            <w:tcBorders>
              <w:tl2br w:val="nil"/>
              <w:tr2bl w:val="nil"/>
            </w:tcBorders>
            <w:shd w:val="clear" w:color="auto" w:fill="auto"/>
            <w:noWrap/>
            <w:vAlign w:val="center"/>
          </w:tcPr>
          <w:p w14:paraId="2628554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3.71</w:t>
            </w:r>
          </w:p>
        </w:tc>
        <w:tc>
          <w:tcPr>
            <w:tcW w:w="0" w:type="auto"/>
            <w:tcBorders>
              <w:tl2br w:val="nil"/>
              <w:tr2bl w:val="nil"/>
            </w:tcBorders>
            <w:shd w:val="clear" w:color="auto" w:fill="auto"/>
            <w:noWrap/>
            <w:vAlign w:val="center"/>
          </w:tcPr>
          <w:p w14:paraId="0834407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2900</w:t>
            </w:r>
          </w:p>
        </w:tc>
        <w:tc>
          <w:tcPr>
            <w:tcW w:w="2421" w:type="dxa"/>
            <w:tcBorders>
              <w:tl2br w:val="nil"/>
              <w:tr2bl w:val="nil"/>
            </w:tcBorders>
            <w:shd w:val="clear" w:color="auto" w:fill="auto"/>
            <w:noWrap/>
            <w:vAlign w:val="center"/>
          </w:tcPr>
          <w:p w14:paraId="2F0F134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2.23</w:t>
            </w:r>
          </w:p>
        </w:tc>
      </w:tr>
      <w:tr w14:paraId="4FDC5D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6DB7EB0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1300</w:t>
            </w:r>
          </w:p>
        </w:tc>
        <w:tc>
          <w:tcPr>
            <w:tcW w:w="2421" w:type="dxa"/>
            <w:tcBorders>
              <w:tl2br w:val="nil"/>
              <w:tr2bl w:val="nil"/>
            </w:tcBorders>
            <w:shd w:val="clear" w:color="auto" w:fill="auto"/>
            <w:noWrap/>
            <w:vAlign w:val="center"/>
          </w:tcPr>
          <w:p w14:paraId="0E2FAF0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3.60</w:t>
            </w:r>
          </w:p>
        </w:tc>
        <w:tc>
          <w:tcPr>
            <w:tcW w:w="0" w:type="auto"/>
            <w:tcBorders>
              <w:tl2br w:val="nil"/>
              <w:tr2bl w:val="nil"/>
            </w:tcBorders>
            <w:shd w:val="clear" w:color="auto" w:fill="auto"/>
            <w:noWrap/>
            <w:vAlign w:val="center"/>
          </w:tcPr>
          <w:p w14:paraId="01500BC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3000</w:t>
            </w:r>
          </w:p>
        </w:tc>
        <w:tc>
          <w:tcPr>
            <w:tcW w:w="2421" w:type="dxa"/>
            <w:tcBorders>
              <w:tl2br w:val="nil"/>
              <w:tr2bl w:val="nil"/>
            </w:tcBorders>
            <w:shd w:val="clear" w:color="auto" w:fill="auto"/>
            <w:noWrap/>
            <w:vAlign w:val="center"/>
          </w:tcPr>
          <w:p w14:paraId="7162DAC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2.16</w:t>
            </w:r>
          </w:p>
        </w:tc>
      </w:tr>
      <w:tr w14:paraId="38EFB8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66A1C47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1400</w:t>
            </w:r>
          </w:p>
        </w:tc>
        <w:tc>
          <w:tcPr>
            <w:tcW w:w="2421" w:type="dxa"/>
            <w:tcBorders>
              <w:tl2br w:val="nil"/>
              <w:tr2bl w:val="nil"/>
            </w:tcBorders>
            <w:shd w:val="clear" w:color="auto" w:fill="auto"/>
            <w:noWrap/>
            <w:vAlign w:val="center"/>
          </w:tcPr>
          <w:p w14:paraId="71C32C8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3.49</w:t>
            </w:r>
          </w:p>
        </w:tc>
        <w:tc>
          <w:tcPr>
            <w:tcW w:w="0" w:type="auto"/>
            <w:tcBorders>
              <w:tl2br w:val="nil"/>
              <w:tr2bl w:val="nil"/>
            </w:tcBorders>
            <w:shd w:val="clear" w:color="auto" w:fill="auto"/>
            <w:noWrap/>
            <w:vAlign w:val="center"/>
          </w:tcPr>
          <w:p w14:paraId="3EFE423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3100</w:t>
            </w:r>
          </w:p>
        </w:tc>
        <w:tc>
          <w:tcPr>
            <w:tcW w:w="2421" w:type="dxa"/>
            <w:tcBorders>
              <w:tl2br w:val="nil"/>
              <w:tr2bl w:val="nil"/>
            </w:tcBorders>
            <w:shd w:val="clear" w:color="auto" w:fill="auto"/>
            <w:noWrap/>
            <w:vAlign w:val="center"/>
          </w:tcPr>
          <w:p w14:paraId="637E573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2.10</w:t>
            </w:r>
          </w:p>
        </w:tc>
      </w:tr>
      <w:tr w14:paraId="5936C9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554FE58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1500</w:t>
            </w:r>
          </w:p>
        </w:tc>
        <w:tc>
          <w:tcPr>
            <w:tcW w:w="2421" w:type="dxa"/>
            <w:tcBorders>
              <w:tl2br w:val="nil"/>
              <w:tr2bl w:val="nil"/>
            </w:tcBorders>
            <w:shd w:val="clear" w:color="auto" w:fill="auto"/>
            <w:noWrap/>
            <w:vAlign w:val="center"/>
          </w:tcPr>
          <w:p w14:paraId="61D57F1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3.39</w:t>
            </w:r>
          </w:p>
        </w:tc>
        <w:tc>
          <w:tcPr>
            <w:tcW w:w="0" w:type="auto"/>
            <w:tcBorders>
              <w:tl2br w:val="nil"/>
              <w:tr2bl w:val="nil"/>
            </w:tcBorders>
            <w:shd w:val="clear" w:color="auto" w:fill="auto"/>
            <w:noWrap/>
            <w:vAlign w:val="center"/>
          </w:tcPr>
          <w:p w14:paraId="3E453CD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3200</w:t>
            </w:r>
          </w:p>
        </w:tc>
        <w:tc>
          <w:tcPr>
            <w:tcW w:w="2421" w:type="dxa"/>
            <w:tcBorders>
              <w:tl2br w:val="nil"/>
              <w:tr2bl w:val="nil"/>
            </w:tcBorders>
            <w:shd w:val="clear" w:color="auto" w:fill="auto"/>
            <w:noWrap/>
            <w:vAlign w:val="center"/>
          </w:tcPr>
          <w:p w14:paraId="4C219CC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2.04</w:t>
            </w:r>
          </w:p>
        </w:tc>
      </w:tr>
      <w:tr w14:paraId="733476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655B6AF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1600</w:t>
            </w:r>
          </w:p>
        </w:tc>
        <w:tc>
          <w:tcPr>
            <w:tcW w:w="2421" w:type="dxa"/>
            <w:tcBorders>
              <w:tl2br w:val="nil"/>
              <w:tr2bl w:val="nil"/>
            </w:tcBorders>
            <w:shd w:val="clear" w:color="auto" w:fill="auto"/>
            <w:noWrap/>
            <w:vAlign w:val="center"/>
          </w:tcPr>
          <w:p w14:paraId="0D84E2B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3.29</w:t>
            </w:r>
          </w:p>
        </w:tc>
        <w:tc>
          <w:tcPr>
            <w:tcW w:w="0" w:type="auto"/>
            <w:tcBorders>
              <w:tl2br w:val="nil"/>
              <w:tr2bl w:val="nil"/>
            </w:tcBorders>
            <w:shd w:val="clear" w:color="auto" w:fill="auto"/>
            <w:noWrap/>
            <w:vAlign w:val="center"/>
          </w:tcPr>
          <w:p w14:paraId="702B69A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3240</w:t>
            </w:r>
          </w:p>
        </w:tc>
        <w:tc>
          <w:tcPr>
            <w:tcW w:w="2421" w:type="dxa"/>
            <w:tcBorders>
              <w:tl2br w:val="nil"/>
              <w:tr2bl w:val="nil"/>
            </w:tcBorders>
            <w:shd w:val="clear" w:color="auto" w:fill="auto"/>
            <w:noWrap/>
            <w:vAlign w:val="center"/>
          </w:tcPr>
          <w:p w14:paraId="0D890CB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2.01</w:t>
            </w:r>
          </w:p>
        </w:tc>
      </w:tr>
    </w:tbl>
    <w:p w14:paraId="46C25532">
      <w:pPr>
        <w:pStyle w:val="8"/>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eastAsia" w:ascii="Times New Roman" w:hAnsi="Times New Roman" w:eastAsia="宋体" w:cs="Times New Roman"/>
          <w:b/>
          <w:bCs/>
          <w:snapToGrid w:val="0"/>
          <w:color w:val="auto"/>
          <w:spacing w:val="-5"/>
          <w:kern w:val="0"/>
          <w:sz w:val="24"/>
          <w:szCs w:val="24"/>
          <w:lang w:val="en-US" w:eastAsia="zh-CN" w:bidi="ar-SA"/>
        </w:rPr>
      </w:pPr>
      <w:r>
        <w:rPr>
          <w:rFonts w:hint="eastAsia" w:ascii="Times New Roman" w:hAnsi="Times New Roman" w:eastAsia="宋体" w:cs="Times New Roman"/>
          <w:b/>
          <w:bCs/>
          <w:snapToGrid w:val="0"/>
          <w:color w:val="auto"/>
          <w:spacing w:val="-5"/>
          <w:kern w:val="0"/>
          <w:sz w:val="24"/>
          <w:szCs w:val="24"/>
          <w:lang w:val="en-US" w:eastAsia="zh-CN" w:bidi="ar-SA"/>
        </w:rPr>
        <w:t>表4-8    NH</w:t>
      </w:r>
      <w:r>
        <w:rPr>
          <w:rFonts w:hint="eastAsia" w:ascii="Times New Roman" w:hAnsi="Times New Roman" w:eastAsia="宋体" w:cs="Times New Roman"/>
          <w:b/>
          <w:bCs/>
          <w:snapToGrid w:val="0"/>
          <w:color w:val="auto"/>
          <w:spacing w:val="-5"/>
          <w:kern w:val="0"/>
          <w:sz w:val="24"/>
          <w:szCs w:val="24"/>
          <w:vertAlign w:val="subscript"/>
          <w:lang w:val="en-US" w:eastAsia="zh-CN" w:bidi="ar-SA"/>
        </w:rPr>
        <w:t>3</w:t>
      </w:r>
      <w:r>
        <w:rPr>
          <w:rFonts w:hint="eastAsia" w:ascii="Times New Roman" w:hAnsi="Times New Roman" w:eastAsia="宋体" w:cs="Times New Roman"/>
          <w:b/>
          <w:bCs/>
          <w:snapToGrid w:val="0"/>
          <w:color w:val="auto"/>
          <w:spacing w:val="-5"/>
          <w:kern w:val="0"/>
          <w:sz w:val="24"/>
          <w:szCs w:val="24"/>
          <w:lang w:val="en-US" w:eastAsia="zh-CN" w:bidi="ar-SA"/>
        </w:rPr>
        <w:t>-N污染物预测结果</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322"/>
        <w:gridCol w:w="2322"/>
        <w:gridCol w:w="2322"/>
        <w:gridCol w:w="2322"/>
      </w:tblGrid>
      <w:tr w14:paraId="5A8223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1080" w:type="dxa"/>
            <w:tcBorders>
              <w:tl2br w:val="nil"/>
              <w:tr2bl w:val="nil"/>
            </w:tcBorders>
            <w:shd w:val="clear" w:color="auto" w:fill="auto"/>
            <w:noWrap/>
            <w:vAlign w:val="center"/>
          </w:tcPr>
          <w:p w14:paraId="67BEC7B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1080" w:type="dxa"/>
            <w:tcBorders>
              <w:tl2br w:val="nil"/>
              <w:tr2bl w:val="nil"/>
            </w:tcBorders>
            <w:shd w:val="clear" w:color="auto" w:fill="auto"/>
            <w:noWrap/>
            <w:vAlign w:val="center"/>
          </w:tcPr>
          <w:p w14:paraId="6661CFF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0.72</w:t>
            </w:r>
          </w:p>
        </w:tc>
        <w:tc>
          <w:tcPr>
            <w:tcW w:w="1080" w:type="dxa"/>
            <w:tcBorders>
              <w:tl2br w:val="nil"/>
              <w:tr2bl w:val="nil"/>
            </w:tcBorders>
            <w:shd w:val="clear" w:color="auto" w:fill="auto"/>
            <w:noWrap/>
            <w:vAlign w:val="center"/>
          </w:tcPr>
          <w:p w14:paraId="0A1F2A0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1700</w:t>
            </w:r>
          </w:p>
        </w:tc>
        <w:tc>
          <w:tcPr>
            <w:tcW w:w="1080" w:type="dxa"/>
            <w:tcBorders>
              <w:tl2br w:val="nil"/>
              <w:tr2bl w:val="nil"/>
            </w:tcBorders>
            <w:shd w:val="clear" w:color="auto" w:fill="auto"/>
            <w:noWrap/>
            <w:vAlign w:val="center"/>
          </w:tcPr>
          <w:p w14:paraId="6923DFB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0.63</w:t>
            </w:r>
          </w:p>
        </w:tc>
      </w:tr>
      <w:tr w14:paraId="15A518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7A9A6A9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w:t>
            </w:r>
          </w:p>
        </w:tc>
        <w:tc>
          <w:tcPr>
            <w:tcW w:w="0" w:type="auto"/>
            <w:tcBorders>
              <w:tl2br w:val="nil"/>
              <w:tr2bl w:val="nil"/>
            </w:tcBorders>
            <w:shd w:val="clear" w:color="auto" w:fill="auto"/>
            <w:noWrap/>
            <w:vAlign w:val="center"/>
          </w:tcPr>
          <w:p w14:paraId="2280C89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0.71</w:t>
            </w:r>
          </w:p>
        </w:tc>
        <w:tc>
          <w:tcPr>
            <w:tcW w:w="0" w:type="auto"/>
            <w:tcBorders>
              <w:tl2br w:val="nil"/>
              <w:tr2bl w:val="nil"/>
            </w:tcBorders>
            <w:shd w:val="clear" w:color="auto" w:fill="auto"/>
            <w:noWrap/>
            <w:vAlign w:val="center"/>
          </w:tcPr>
          <w:p w14:paraId="2FF206C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42A68E6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0.63</w:t>
            </w:r>
          </w:p>
        </w:tc>
      </w:tr>
      <w:tr w14:paraId="252365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2F737BB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w:t>
            </w:r>
          </w:p>
        </w:tc>
        <w:tc>
          <w:tcPr>
            <w:tcW w:w="0" w:type="auto"/>
            <w:tcBorders>
              <w:tl2br w:val="nil"/>
              <w:tr2bl w:val="nil"/>
            </w:tcBorders>
            <w:shd w:val="clear" w:color="auto" w:fill="auto"/>
            <w:noWrap/>
            <w:vAlign w:val="center"/>
          </w:tcPr>
          <w:p w14:paraId="6CAB9BA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0.71</w:t>
            </w:r>
          </w:p>
        </w:tc>
        <w:tc>
          <w:tcPr>
            <w:tcW w:w="0" w:type="auto"/>
            <w:tcBorders>
              <w:tl2br w:val="nil"/>
              <w:tr2bl w:val="nil"/>
            </w:tcBorders>
            <w:shd w:val="clear" w:color="auto" w:fill="auto"/>
            <w:noWrap/>
            <w:vAlign w:val="center"/>
          </w:tcPr>
          <w:p w14:paraId="08DF470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1900</w:t>
            </w:r>
          </w:p>
        </w:tc>
        <w:tc>
          <w:tcPr>
            <w:tcW w:w="0" w:type="auto"/>
            <w:tcBorders>
              <w:tl2br w:val="nil"/>
              <w:tr2bl w:val="nil"/>
            </w:tcBorders>
            <w:shd w:val="clear" w:color="auto" w:fill="auto"/>
            <w:noWrap/>
            <w:vAlign w:val="center"/>
          </w:tcPr>
          <w:p w14:paraId="74B7D87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0.62</w:t>
            </w:r>
          </w:p>
        </w:tc>
      </w:tr>
      <w:tr w14:paraId="087616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4A55556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300</w:t>
            </w:r>
          </w:p>
        </w:tc>
        <w:tc>
          <w:tcPr>
            <w:tcW w:w="0" w:type="auto"/>
            <w:tcBorders>
              <w:tl2br w:val="nil"/>
              <w:tr2bl w:val="nil"/>
            </w:tcBorders>
            <w:shd w:val="clear" w:color="auto" w:fill="auto"/>
            <w:noWrap/>
            <w:vAlign w:val="center"/>
          </w:tcPr>
          <w:p w14:paraId="46E5983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0.70</w:t>
            </w:r>
          </w:p>
        </w:tc>
        <w:tc>
          <w:tcPr>
            <w:tcW w:w="0" w:type="auto"/>
            <w:tcBorders>
              <w:tl2br w:val="nil"/>
              <w:tr2bl w:val="nil"/>
            </w:tcBorders>
            <w:shd w:val="clear" w:color="auto" w:fill="auto"/>
            <w:noWrap/>
            <w:vAlign w:val="center"/>
          </w:tcPr>
          <w:p w14:paraId="1AFBBB7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2000</w:t>
            </w:r>
          </w:p>
        </w:tc>
        <w:tc>
          <w:tcPr>
            <w:tcW w:w="0" w:type="auto"/>
            <w:tcBorders>
              <w:tl2br w:val="nil"/>
              <w:tr2bl w:val="nil"/>
            </w:tcBorders>
            <w:shd w:val="clear" w:color="auto" w:fill="auto"/>
            <w:noWrap/>
            <w:vAlign w:val="center"/>
          </w:tcPr>
          <w:p w14:paraId="2071F2A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0.62</w:t>
            </w:r>
          </w:p>
        </w:tc>
      </w:tr>
      <w:tr w14:paraId="0C7470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189B67F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400</w:t>
            </w:r>
          </w:p>
        </w:tc>
        <w:tc>
          <w:tcPr>
            <w:tcW w:w="0" w:type="auto"/>
            <w:tcBorders>
              <w:tl2br w:val="nil"/>
              <w:tr2bl w:val="nil"/>
            </w:tcBorders>
            <w:shd w:val="clear" w:color="auto" w:fill="auto"/>
            <w:noWrap/>
            <w:vAlign w:val="center"/>
          </w:tcPr>
          <w:p w14:paraId="48CC5C9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0.70</w:t>
            </w:r>
          </w:p>
        </w:tc>
        <w:tc>
          <w:tcPr>
            <w:tcW w:w="0" w:type="auto"/>
            <w:tcBorders>
              <w:tl2br w:val="nil"/>
              <w:tr2bl w:val="nil"/>
            </w:tcBorders>
            <w:shd w:val="clear" w:color="auto" w:fill="auto"/>
            <w:noWrap/>
            <w:vAlign w:val="center"/>
          </w:tcPr>
          <w:p w14:paraId="66929AC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2100</w:t>
            </w:r>
          </w:p>
        </w:tc>
        <w:tc>
          <w:tcPr>
            <w:tcW w:w="0" w:type="auto"/>
            <w:tcBorders>
              <w:tl2br w:val="nil"/>
              <w:tr2bl w:val="nil"/>
            </w:tcBorders>
            <w:shd w:val="clear" w:color="auto" w:fill="auto"/>
            <w:noWrap/>
            <w:vAlign w:val="center"/>
          </w:tcPr>
          <w:p w14:paraId="4367A58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0.61</w:t>
            </w:r>
          </w:p>
        </w:tc>
      </w:tr>
      <w:tr w14:paraId="445E94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67C5277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500</w:t>
            </w:r>
          </w:p>
        </w:tc>
        <w:tc>
          <w:tcPr>
            <w:tcW w:w="0" w:type="auto"/>
            <w:tcBorders>
              <w:tl2br w:val="nil"/>
              <w:tr2bl w:val="nil"/>
            </w:tcBorders>
            <w:shd w:val="clear" w:color="auto" w:fill="auto"/>
            <w:noWrap/>
            <w:vAlign w:val="center"/>
          </w:tcPr>
          <w:p w14:paraId="2690B00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0.69</w:t>
            </w:r>
          </w:p>
        </w:tc>
        <w:tc>
          <w:tcPr>
            <w:tcW w:w="0" w:type="auto"/>
            <w:tcBorders>
              <w:tl2br w:val="nil"/>
              <w:tr2bl w:val="nil"/>
            </w:tcBorders>
            <w:shd w:val="clear" w:color="auto" w:fill="auto"/>
            <w:noWrap/>
            <w:vAlign w:val="center"/>
          </w:tcPr>
          <w:p w14:paraId="22F92C7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2200</w:t>
            </w:r>
          </w:p>
        </w:tc>
        <w:tc>
          <w:tcPr>
            <w:tcW w:w="0" w:type="auto"/>
            <w:tcBorders>
              <w:tl2br w:val="nil"/>
              <w:tr2bl w:val="nil"/>
            </w:tcBorders>
            <w:shd w:val="clear" w:color="auto" w:fill="auto"/>
            <w:noWrap/>
            <w:vAlign w:val="center"/>
          </w:tcPr>
          <w:p w14:paraId="728A7A4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0.61</w:t>
            </w:r>
          </w:p>
        </w:tc>
      </w:tr>
      <w:tr w14:paraId="0EB456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66ADA26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600</w:t>
            </w:r>
          </w:p>
        </w:tc>
        <w:tc>
          <w:tcPr>
            <w:tcW w:w="0" w:type="auto"/>
            <w:tcBorders>
              <w:tl2br w:val="nil"/>
              <w:tr2bl w:val="nil"/>
            </w:tcBorders>
            <w:shd w:val="clear" w:color="auto" w:fill="auto"/>
            <w:noWrap/>
            <w:vAlign w:val="center"/>
          </w:tcPr>
          <w:p w14:paraId="096CFC7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0.69</w:t>
            </w:r>
          </w:p>
        </w:tc>
        <w:tc>
          <w:tcPr>
            <w:tcW w:w="0" w:type="auto"/>
            <w:tcBorders>
              <w:tl2br w:val="nil"/>
              <w:tr2bl w:val="nil"/>
            </w:tcBorders>
            <w:shd w:val="clear" w:color="auto" w:fill="auto"/>
            <w:noWrap/>
            <w:vAlign w:val="center"/>
          </w:tcPr>
          <w:p w14:paraId="7B4EB46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2300</w:t>
            </w:r>
          </w:p>
        </w:tc>
        <w:tc>
          <w:tcPr>
            <w:tcW w:w="0" w:type="auto"/>
            <w:tcBorders>
              <w:tl2br w:val="nil"/>
              <w:tr2bl w:val="nil"/>
            </w:tcBorders>
            <w:shd w:val="clear" w:color="auto" w:fill="auto"/>
            <w:noWrap/>
            <w:vAlign w:val="center"/>
          </w:tcPr>
          <w:p w14:paraId="231B72F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0.60</w:t>
            </w:r>
          </w:p>
        </w:tc>
      </w:tr>
      <w:tr w14:paraId="65C219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3DD6E13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700</w:t>
            </w:r>
          </w:p>
        </w:tc>
        <w:tc>
          <w:tcPr>
            <w:tcW w:w="0" w:type="auto"/>
            <w:tcBorders>
              <w:tl2br w:val="nil"/>
              <w:tr2bl w:val="nil"/>
            </w:tcBorders>
            <w:shd w:val="clear" w:color="auto" w:fill="auto"/>
            <w:noWrap/>
            <w:vAlign w:val="center"/>
          </w:tcPr>
          <w:p w14:paraId="0FA86D6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0.68</w:t>
            </w:r>
          </w:p>
        </w:tc>
        <w:tc>
          <w:tcPr>
            <w:tcW w:w="0" w:type="auto"/>
            <w:tcBorders>
              <w:tl2br w:val="nil"/>
              <w:tr2bl w:val="nil"/>
            </w:tcBorders>
            <w:shd w:val="clear" w:color="auto" w:fill="auto"/>
            <w:noWrap/>
            <w:vAlign w:val="center"/>
          </w:tcPr>
          <w:p w14:paraId="341F8F7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2400</w:t>
            </w:r>
          </w:p>
        </w:tc>
        <w:tc>
          <w:tcPr>
            <w:tcW w:w="0" w:type="auto"/>
            <w:tcBorders>
              <w:tl2br w:val="nil"/>
              <w:tr2bl w:val="nil"/>
            </w:tcBorders>
            <w:shd w:val="clear" w:color="auto" w:fill="auto"/>
            <w:noWrap/>
            <w:vAlign w:val="center"/>
          </w:tcPr>
          <w:p w14:paraId="03D5AEE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0.60</w:t>
            </w:r>
          </w:p>
        </w:tc>
      </w:tr>
      <w:tr w14:paraId="4C5C80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50F3CE9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800</w:t>
            </w:r>
          </w:p>
        </w:tc>
        <w:tc>
          <w:tcPr>
            <w:tcW w:w="0" w:type="auto"/>
            <w:tcBorders>
              <w:tl2br w:val="nil"/>
              <w:tr2bl w:val="nil"/>
            </w:tcBorders>
            <w:shd w:val="clear" w:color="auto" w:fill="auto"/>
            <w:noWrap/>
            <w:vAlign w:val="center"/>
          </w:tcPr>
          <w:p w14:paraId="70F5685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0.68</w:t>
            </w:r>
          </w:p>
        </w:tc>
        <w:tc>
          <w:tcPr>
            <w:tcW w:w="0" w:type="auto"/>
            <w:tcBorders>
              <w:tl2br w:val="nil"/>
              <w:tr2bl w:val="nil"/>
            </w:tcBorders>
            <w:shd w:val="clear" w:color="auto" w:fill="auto"/>
            <w:noWrap/>
            <w:vAlign w:val="center"/>
          </w:tcPr>
          <w:p w14:paraId="07EF73B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2500</w:t>
            </w:r>
          </w:p>
        </w:tc>
        <w:tc>
          <w:tcPr>
            <w:tcW w:w="0" w:type="auto"/>
            <w:tcBorders>
              <w:tl2br w:val="nil"/>
              <w:tr2bl w:val="nil"/>
            </w:tcBorders>
            <w:shd w:val="clear" w:color="auto" w:fill="auto"/>
            <w:noWrap/>
            <w:vAlign w:val="center"/>
          </w:tcPr>
          <w:p w14:paraId="119BFCD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0.60</w:t>
            </w:r>
          </w:p>
        </w:tc>
      </w:tr>
      <w:tr w14:paraId="1A6119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2F2E8C7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900</w:t>
            </w:r>
          </w:p>
        </w:tc>
        <w:tc>
          <w:tcPr>
            <w:tcW w:w="0" w:type="auto"/>
            <w:tcBorders>
              <w:tl2br w:val="nil"/>
              <w:tr2bl w:val="nil"/>
            </w:tcBorders>
            <w:shd w:val="clear" w:color="auto" w:fill="auto"/>
            <w:noWrap/>
            <w:vAlign w:val="center"/>
          </w:tcPr>
          <w:p w14:paraId="18FDACA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0.67</w:t>
            </w:r>
          </w:p>
        </w:tc>
        <w:tc>
          <w:tcPr>
            <w:tcW w:w="0" w:type="auto"/>
            <w:tcBorders>
              <w:tl2br w:val="nil"/>
              <w:tr2bl w:val="nil"/>
            </w:tcBorders>
            <w:shd w:val="clear" w:color="auto" w:fill="auto"/>
            <w:noWrap/>
            <w:vAlign w:val="center"/>
          </w:tcPr>
          <w:p w14:paraId="77D052E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2600</w:t>
            </w:r>
          </w:p>
        </w:tc>
        <w:tc>
          <w:tcPr>
            <w:tcW w:w="0" w:type="auto"/>
            <w:tcBorders>
              <w:tl2br w:val="nil"/>
              <w:tr2bl w:val="nil"/>
            </w:tcBorders>
            <w:shd w:val="clear" w:color="auto" w:fill="auto"/>
            <w:noWrap/>
            <w:vAlign w:val="center"/>
          </w:tcPr>
          <w:p w14:paraId="58F310B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0.59</w:t>
            </w:r>
          </w:p>
        </w:tc>
      </w:tr>
      <w:tr w14:paraId="2D1D87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51226A2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1000</w:t>
            </w:r>
          </w:p>
        </w:tc>
        <w:tc>
          <w:tcPr>
            <w:tcW w:w="0" w:type="auto"/>
            <w:tcBorders>
              <w:tl2br w:val="nil"/>
              <w:tr2bl w:val="nil"/>
            </w:tcBorders>
            <w:shd w:val="clear" w:color="auto" w:fill="auto"/>
            <w:noWrap/>
            <w:vAlign w:val="center"/>
          </w:tcPr>
          <w:p w14:paraId="238EF01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0.67</w:t>
            </w:r>
          </w:p>
        </w:tc>
        <w:tc>
          <w:tcPr>
            <w:tcW w:w="0" w:type="auto"/>
            <w:tcBorders>
              <w:tl2br w:val="nil"/>
              <w:tr2bl w:val="nil"/>
            </w:tcBorders>
            <w:shd w:val="clear" w:color="auto" w:fill="auto"/>
            <w:noWrap/>
            <w:vAlign w:val="center"/>
          </w:tcPr>
          <w:p w14:paraId="10FE24C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2700</w:t>
            </w:r>
          </w:p>
        </w:tc>
        <w:tc>
          <w:tcPr>
            <w:tcW w:w="0" w:type="auto"/>
            <w:tcBorders>
              <w:tl2br w:val="nil"/>
              <w:tr2bl w:val="nil"/>
            </w:tcBorders>
            <w:shd w:val="clear" w:color="auto" w:fill="auto"/>
            <w:noWrap/>
            <w:vAlign w:val="center"/>
          </w:tcPr>
          <w:p w14:paraId="1BD4A2B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0.59</w:t>
            </w:r>
          </w:p>
        </w:tc>
      </w:tr>
      <w:tr w14:paraId="54E803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1835395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1100</w:t>
            </w:r>
          </w:p>
        </w:tc>
        <w:tc>
          <w:tcPr>
            <w:tcW w:w="0" w:type="auto"/>
            <w:tcBorders>
              <w:tl2br w:val="nil"/>
              <w:tr2bl w:val="nil"/>
            </w:tcBorders>
            <w:shd w:val="clear" w:color="auto" w:fill="auto"/>
            <w:noWrap/>
            <w:vAlign w:val="center"/>
          </w:tcPr>
          <w:p w14:paraId="521AD6A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0.66</w:t>
            </w:r>
          </w:p>
        </w:tc>
        <w:tc>
          <w:tcPr>
            <w:tcW w:w="0" w:type="auto"/>
            <w:tcBorders>
              <w:tl2br w:val="nil"/>
              <w:tr2bl w:val="nil"/>
            </w:tcBorders>
            <w:shd w:val="clear" w:color="auto" w:fill="auto"/>
            <w:noWrap/>
            <w:vAlign w:val="center"/>
          </w:tcPr>
          <w:p w14:paraId="40B4D83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2800</w:t>
            </w:r>
          </w:p>
        </w:tc>
        <w:tc>
          <w:tcPr>
            <w:tcW w:w="0" w:type="auto"/>
            <w:tcBorders>
              <w:tl2br w:val="nil"/>
              <w:tr2bl w:val="nil"/>
            </w:tcBorders>
            <w:shd w:val="clear" w:color="auto" w:fill="auto"/>
            <w:noWrap/>
            <w:vAlign w:val="center"/>
          </w:tcPr>
          <w:p w14:paraId="78AFEC0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0.58</w:t>
            </w:r>
          </w:p>
        </w:tc>
      </w:tr>
      <w:tr w14:paraId="4E230F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5A286A9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1200</w:t>
            </w:r>
          </w:p>
        </w:tc>
        <w:tc>
          <w:tcPr>
            <w:tcW w:w="0" w:type="auto"/>
            <w:tcBorders>
              <w:tl2br w:val="nil"/>
              <w:tr2bl w:val="nil"/>
            </w:tcBorders>
            <w:shd w:val="clear" w:color="auto" w:fill="auto"/>
            <w:noWrap/>
            <w:vAlign w:val="center"/>
          </w:tcPr>
          <w:p w14:paraId="0E0960E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0.66</w:t>
            </w:r>
          </w:p>
        </w:tc>
        <w:tc>
          <w:tcPr>
            <w:tcW w:w="0" w:type="auto"/>
            <w:tcBorders>
              <w:tl2br w:val="nil"/>
              <w:tr2bl w:val="nil"/>
            </w:tcBorders>
            <w:shd w:val="clear" w:color="auto" w:fill="auto"/>
            <w:noWrap/>
            <w:vAlign w:val="center"/>
          </w:tcPr>
          <w:p w14:paraId="5190EAE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2900</w:t>
            </w:r>
          </w:p>
        </w:tc>
        <w:tc>
          <w:tcPr>
            <w:tcW w:w="0" w:type="auto"/>
            <w:tcBorders>
              <w:tl2br w:val="nil"/>
              <w:tr2bl w:val="nil"/>
            </w:tcBorders>
            <w:shd w:val="clear" w:color="auto" w:fill="auto"/>
            <w:noWrap/>
            <w:vAlign w:val="center"/>
          </w:tcPr>
          <w:p w14:paraId="4E214AC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0.58</w:t>
            </w:r>
          </w:p>
        </w:tc>
      </w:tr>
      <w:tr w14:paraId="768806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3F3CE7B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1300</w:t>
            </w:r>
          </w:p>
        </w:tc>
        <w:tc>
          <w:tcPr>
            <w:tcW w:w="0" w:type="auto"/>
            <w:tcBorders>
              <w:tl2br w:val="nil"/>
              <w:tr2bl w:val="nil"/>
            </w:tcBorders>
            <w:shd w:val="clear" w:color="auto" w:fill="auto"/>
            <w:noWrap/>
            <w:vAlign w:val="center"/>
          </w:tcPr>
          <w:p w14:paraId="02C064E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0.65</w:t>
            </w:r>
          </w:p>
        </w:tc>
        <w:tc>
          <w:tcPr>
            <w:tcW w:w="0" w:type="auto"/>
            <w:tcBorders>
              <w:tl2br w:val="nil"/>
              <w:tr2bl w:val="nil"/>
            </w:tcBorders>
            <w:shd w:val="clear" w:color="auto" w:fill="auto"/>
            <w:noWrap/>
            <w:vAlign w:val="center"/>
          </w:tcPr>
          <w:p w14:paraId="59730A7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3000</w:t>
            </w:r>
          </w:p>
        </w:tc>
        <w:tc>
          <w:tcPr>
            <w:tcW w:w="0" w:type="auto"/>
            <w:tcBorders>
              <w:tl2br w:val="nil"/>
              <w:tr2bl w:val="nil"/>
            </w:tcBorders>
            <w:shd w:val="clear" w:color="auto" w:fill="auto"/>
            <w:noWrap/>
            <w:vAlign w:val="center"/>
          </w:tcPr>
          <w:p w14:paraId="0F95F6B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0.57</w:t>
            </w:r>
          </w:p>
        </w:tc>
      </w:tr>
      <w:tr w14:paraId="49DB05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4EAF420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1400</w:t>
            </w:r>
          </w:p>
        </w:tc>
        <w:tc>
          <w:tcPr>
            <w:tcW w:w="0" w:type="auto"/>
            <w:tcBorders>
              <w:tl2br w:val="nil"/>
              <w:tr2bl w:val="nil"/>
            </w:tcBorders>
            <w:shd w:val="clear" w:color="auto" w:fill="auto"/>
            <w:noWrap/>
            <w:vAlign w:val="center"/>
          </w:tcPr>
          <w:p w14:paraId="4A1FA6F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0.65</w:t>
            </w:r>
          </w:p>
        </w:tc>
        <w:tc>
          <w:tcPr>
            <w:tcW w:w="0" w:type="auto"/>
            <w:tcBorders>
              <w:tl2br w:val="nil"/>
              <w:tr2bl w:val="nil"/>
            </w:tcBorders>
            <w:shd w:val="clear" w:color="auto" w:fill="auto"/>
            <w:noWrap/>
            <w:vAlign w:val="center"/>
          </w:tcPr>
          <w:p w14:paraId="23B0B2A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3100</w:t>
            </w:r>
          </w:p>
        </w:tc>
        <w:tc>
          <w:tcPr>
            <w:tcW w:w="0" w:type="auto"/>
            <w:tcBorders>
              <w:tl2br w:val="nil"/>
              <w:tr2bl w:val="nil"/>
            </w:tcBorders>
            <w:shd w:val="clear" w:color="auto" w:fill="auto"/>
            <w:noWrap/>
            <w:vAlign w:val="center"/>
          </w:tcPr>
          <w:p w14:paraId="18BFAB7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0.57</w:t>
            </w:r>
          </w:p>
        </w:tc>
      </w:tr>
      <w:tr w14:paraId="6F36B4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51E8F98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1500</w:t>
            </w:r>
          </w:p>
        </w:tc>
        <w:tc>
          <w:tcPr>
            <w:tcW w:w="0" w:type="auto"/>
            <w:tcBorders>
              <w:tl2br w:val="nil"/>
              <w:tr2bl w:val="nil"/>
            </w:tcBorders>
            <w:shd w:val="clear" w:color="auto" w:fill="auto"/>
            <w:noWrap/>
            <w:vAlign w:val="center"/>
          </w:tcPr>
          <w:p w14:paraId="59EBFA5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0.64</w:t>
            </w:r>
          </w:p>
        </w:tc>
        <w:tc>
          <w:tcPr>
            <w:tcW w:w="0" w:type="auto"/>
            <w:tcBorders>
              <w:tl2br w:val="nil"/>
              <w:tr2bl w:val="nil"/>
            </w:tcBorders>
            <w:shd w:val="clear" w:color="auto" w:fill="auto"/>
            <w:noWrap/>
            <w:vAlign w:val="center"/>
          </w:tcPr>
          <w:p w14:paraId="4E0A97D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3200</w:t>
            </w:r>
          </w:p>
        </w:tc>
        <w:tc>
          <w:tcPr>
            <w:tcW w:w="0" w:type="auto"/>
            <w:tcBorders>
              <w:tl2br w:val="nil"/>
              <w:tr2bl w:val="nil"/>
            </w:tcBorders>
            <w:shd w:val="clear" w:color="auto" w:fill="auto"/>
            <w:noWrap/>
            <w:vAlign w:val="center"/>
          </w:tcPr>
          <w:p w14:paraId="6BD92BF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0.56</w:t>
            </w:r>
          </w:p>
        </w:tc>
      </w:tr>
      <w:tr w14:paraId="30E7FF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6EADF99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1600</w:t>
            </w:r>
          </w:p>
        </w:tc>
        <w:tc>
          <w:tcPr>
            <w:tcW w:w="0" w:type="auto"/>
            <w:tcBorders>
              <w:tl2br w:val="nil"/>
              <w:tr2bl w:val="nil"/>
            </w:tcBorders>
            <w:shd w:val="clear" w:color="auto" w:fill="auto"/>
            <w:noWrap/>
            <w:vAlign w:val="center"/>
          </w:tcPr>
          <w:p w14:paraId="0CF7818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0.64</w:t>
            </w:r>
          </w:p>
        </w:tc>
        <w:tc>
          <w:tcPr>
            <w:tcW w:w="0" w:type="auto"/>
            <w:tcBorders>
              <w:tl2br w:val="nil"/>
              <w:tr2bl w:val="nil"/>
            </w:tcBorders>
            <w:shd w:val="clear" w:color="auto" w:fill="auto"/>
            <w:noWrap/>
            <w:vAlign w:val="center"/>
          </w:tcPr>
          <w:p w14:paraId="4F26768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3240</w:t>
            </w:r>
          </w:p>
        </w:tc>
        <w:tc>
          <w:tcPr>
            <w:tcW w:w="0" w:type="auto"/>
            <w:tcBorders>
              <w:tl2br w:val="nil"/>
              <w:tr2bl w:val="nil"/>
            </w:tcBorders>
            <w:shd w:val="clear" w:color="auto" w:fill="auto"/>
            <w:noWrap/>
            <w:vAlign w:val="center"/>
          </w:tcPr>
          <w:p w14:paraId="28E4B6F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0.56</w:t>
            </w:r>
          </w:p>
        </w:tc>
      </w:tr>
    </w:tbl>
    <w:p w14:paraId="1E6D88C6">
      <w:pPr>
        <w:pStyle w:val="8"/>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484" w:leftChars="0"/>
        <w:jc w:val="left"/>
        <w:textAlignment w:val="auto"/>
        <w:rPr>
          <w:rFonts w:hint="eastAsia" w:ascii="Times New Roman" w:hAnsi="Times New Roman" w:eastAsia="宋体" w:cs="Times New Roman"/>
          <w:b/>
          <w:bCs/>
          <w:snapToGrid w:val="0"/>
          <w:color w:val="auto"/>
          <w:spacing w:val="-5"/>
          <w:kern w:val="0"/>
          <w:sz w:val="24"/>
          <w:szCs w:val="24"/>
          <w:lang w:val="en-US" w:eastAsia="zh-CN" w:bidi="ar-SA"/>
        </w:rPr>
      </w:pPr>
      <w:r>
        <w:rPr>
          <w:rFonts w:hint="eastAsia" w:ascii="Times New Roman" w:hAnsi="Times New Roman" w:eastAsia="宋体" w:cs="Times New Roman"/>
          <w:b/>
          <w:bCs/>
          <w:snapToGrid w:val="0"/>
          <w:color w:val="auto"/>
          <w:spacing w:val="-5"/>
          <w:kern w:val="0"/>
          <w:sz w:val="24"/>
          <w:szCs w:val="24"/>
          <w:lang w:val="en-US" w:eastAsia="zh-CN" w:bidi="ar-SA"/>
        </w:rPr>
        <w:t>2、穆棱河段</w:t>
      </w:r>
    </w:p>
    <w:p w14:paraId="59890962">
      <w:pPr>
        <w:pStyle w:val="8"/>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b/>
          <w:bCs/>
          <w:snapToGrid w:val="0"/>
          <w:color w:val="auto"/>
          <w:spacing w:val="-5"/>
          <w:kern w:val="0"/>
          <w:sz w:val="24"/>
          <w:szCs w:val="24"/>
          <w:lang w:val="en-US" w:eastAsia="zh-CN" w:bidi="ar-SA"/>
        </w:rPr>
      </w:pPr>
      <w:r>
        <w:rPr>
          <w:rFonts w:hint="eastAsia" w:ascii="Times New Roman" w:hAnsi="Times New Roman" w:eastAsia="宋体" w:cs="Times New Roman"/>
          <w:b/>
          <w:bCs/>
          <w:snapToGrid w:val="0"/>
          <w:color w:val="auto"/>
          <w:spacing w:val="-5"/>
          <w:kern w:val="0"/>
          <w:sz w:val="24"/>
          <w:szCs w:val="24"/>
          <w:lang w:val="en-US" w:eastAsia="zh-CN" w:bidi="ar-SA"/>
        </w:rPr>
        <w:t>表4-9    COD污染物预测结果</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74"/>
        <w:gridCol w:w="774"/>
        <w:gridCol w:w="774"/>
        <w:gridCol w:w="774"/>
        <w:gridCol w:w="774"/>
        <w:gridCol w:w="774"/>
        <w:gridCol w:w="774"/>
        <w:gridCol w:w="774"/>
        <w:gridCol w:w="774"/>
        <w:gridCol w:w="774"/>
        <w:gridCol w:w="774"/>
        <w:gridCol w:w="774"/>
      </w:tblGrid>
      <w:tr w14:paraId="3C8865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78" w:hRule="atLeast"/>
          <w:jc w:val="center"/>
        </w:trPr>
        <w:tc>
          <w:tcPr>
            <w:tcW w:w="1040" w:type="dxa"/>
            <w:tcBorders>
              <w:tl2br w:val="nil"/>
              <w:tr2bl w:val="nil"/>
            </w:tcBorders>
            <w:shd w:val="clear" w:color="auto" w:fill="auto"/>
            <w:noWrap/>
            <w:vAlign w:val="center"/>
          </w:tcPr>
          <w:p w14:paraId="0AEC208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100</w:t>
            </w:r>
          </w:p>
        </w:tc>
        <w:tc>
          <w:tcPr>
            <w:tcW w:w="1040" w:type="dxa"/>
            <w:tcBorders>
              <w:tl2br w:val="nil"/>
              <w:tr2bl w:val="nil"/>
            </w:tcBorders>
            <w:shd w:val="clear" w:color="auto" w:fill="auto"/>
            <w:noWrap/>
            <w:vAlign w:val="center"/>
          </w:tcPr>
          <w:p w14:paraId="4822EE0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1040" w:type="dxa"/>
            <w:tcBorders>
              <w:tl2br w:val="nil"/>
              <w:tr2bl w:val="nil"/>
            </w:tcBorders>
            <w:shd w:val="clear" w:color="auto" w:fill="auto"/>
            <w:noWrap/>
            <w:vAlign w:val="center"/>
          </w:tcPr>
          <w:p w14:paraId="0C5E50C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18.34</w:t>
            </w:r>
          </w:p>
        </w:tc>
        <w:tc>
          <w:tcPr>
            <w:tcW w:w="1040" w:type="dxa"/>
            <w:tcBorders>
              <w:tl2br w:val="nil"/>
              <w:tr2bl w:val="nil"/>
            </w:tcBorders>
            <w:shd w:val="clear" w:color="auto" w:fill="auto"/>
            <w:noWrap/>
            <w:vAlign w:val="center"/>
          </w:tcPr>
          <w:p w14:paraId="3A3FC5C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700</w:t>
            </w:r>
          </w:p>
        </w:tc>
        <w:tc>
          <w:tcPr>
            <w:tcW w:w="1040" w:type="dxa"/>
            <w:tcBorders>
              <w:tl2br w:val="nil"/>
              <w:tr2bl w:val="nil"/>
            </w:tcBorders>
            <w:shd w:val="clear" w:color="auto" w:fill="auto"/>
            <w:noWrap/>
            <w:vAlign w:val="center"/>
          </w:tcPr>
          <w:p w14:paraId="22E4C6F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1040" w:type="dxa"/>
            <w:tcBorders>
              <w:tl2br w:val="nil"/>
              <w:tr2bl w:val="nil"/>
            </w:tcBorders>
            <w:shd w:val="clear" w:color="auto" w:fill="auto"/>
            <w:noWrap/>
            <w:vAlign w:val="center"/>
          </w:tcPr>
          <w:p w14:paraId="27C5D9E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1040" w:type="dxa"/>
            <w:tcBorders>
              <w:tl2br w:val="nil"/>
              <w:tr2bl w:val="nil"/>
            </w:tcBorders>
            <w:shd w:val="clear" w:color="auto" w:fill="auto"/>
            <w:noWrap/>
            <w:vAlign w:val="center"/>
          </w:tcPr>
          <w:p w14:paraId="6B42F8D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1300</w:t>
            </w:r>
          </w:p>
        </w:tc>
        <w:tc>
          <w:tcPr>
            <w:tcW w:w="1040" w:type="dxa"/>
            <w:tcBorders>
              <w:tl2br w:val="nil"/>
              <w:tr2bl w:val="nil"/>
            </w:tcBorders>
            <w:shd w:val="clear" w:color="auto" w:fill="auto"/>
            <w:noWrap/>
            <w:vAlign w:val="center"/>
          </w:tcPr>
          <w:p w14:paraId="0760D3E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1040" w:type="dxa"/>
            <w:tcBorders>
              <w:tl2br w:val="nil"/>
              <w:tr2bl w:val="nil"/>
            </w:tcBorders>
            <w:shd w:val="clear" w:color="auto" w:fill="auto"/>
            <w:noWrap/>
            <w:vAlign w:val="center"/>
          </w:tcPr>
          <w:p w14:paraId="7A78E6E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1040" w:type="dxa"/>
            <w:tcBorders>
              <w:tl2br w:val="nil"/>
              <w:tr2bl w:val="nil"/>
            </w:tcBorders>
            <w:shd w:val="clear" w:color="auto" w:fill="auto"/>
            <w:noWrap/>
            <w:vAlign w:val="center"/>
          </w:tcPr>
          <w:p w14:paraId="37C7E26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1900</w:t>
            </w:r>
          </w:p>
        </w:tc>
        <w:tc>
          <w:tcPr>
            <w:tcW w:w="1040" w:type="dxa"/>
            <w:tcBorders>
              <w:tl2br w:val="nil"/>
              <w:tr2bl w:val="nil"/>
            </w:tcBorders>
            <w:shd w:val="clear" w:color="auto" w:fill="auto"/>
            <w:noWrap/>
            <w:vAlign w:val="center"/>
          </w:tcPr>
          <w:p w14:paraId="0652172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1040" w:type="dxa"/>
            <w:tcBorders>
              <w:tl2br w:val="nil"/>
              <w:tr2bl w:val="nil"/>
            </w:tcBorders>
            <w:shd w:val="clear" w:color="auto" w:fill="auto"/>
            <w:noWrap/>
            <w:vAlign w:val="center"/>
          </w:tcPr>
          <w:p w14:paraId="3C2BFD3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r>
      <w:tr w14:paraId="37D02D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7FE6895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100</w:t>
            </w:r>
          </w:p>
        </w:tc>
        <w:tc>
          <w:tcPr>
            <w:tcW w:w="0" w:type="auto"/>
            <w:tcBorders>
              <w:tl2br w:val="nil"/>
              <w:tr2bl w:val="nil"/>
            </w:tcBorders>
            <w:shd w:val="clear" w:color="auto" w:fill="auto"/>
            <w:noWrap/>
            <w:vAlign w:val="center"/>
          </w:tcPr>
          <w:p w14:paraId="04A948A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68D9471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3504E99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700</w:t>
            </w:r>
          </w:p>
        </w:tc>
        <w:tc>
          <w:tcPr>
            <w:tcW w:w="0" w:type="auto"/>
            <w:tcBorders>
              <w:tl2br w:val="nil"/>
              <w:tr2bl w:val="nil"/>
            </w:tcBorders>
            <w:shd w:val="clear" w:color="auto" w:fill="auto"/>
            <w:noWrap/>
            <w:vAlign w:val="center"/>
          </w:tcPr>
          <w:p w14:paraId="7E84A71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453A35C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6DF8458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1300</w:t>
            </w:r>
          </w:p>
        </w:tc>
        <w:tc>
          <w:tcPr>
            <w:tcW w:w="0" w:type="auto"/>
            <w:tcBorders>
              <w:tl2br w:val="nil"/>
              <w:tr2bl w:val="nil"/>
            </w:tcBorders>
            <w:shd w:val="clear" w:color="auto" w:fill="auto"/>
            <w:noWrap/>
            <w:vAlign w:val="center"/>
          </w:tcPr>
          <w:p w14:paraId="3E5DC04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15BE82B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05239E4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2000</w:t>
            </w:r>
          </w:p>
        </w:tc>
        <w:tc>
          <w:tcPr>
            <w:tcW w:w="0" w:type="auto"/>
            <w:tcBorders>
              <w:tl2br w:val="nil"/>
              <w:tr2bl w:val="nil"/>
            </w:tcBorders>
            <w:shd w:val="clear" w:color="auto" w:fill="auto"/>
            <w:noWrap/>
            <w:vAlign w:val="center"/>
          </w:tcPr>
          <w:p w14:paraId="2559BA7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0F593EA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18.06</w:t>
            </w:r>
          </w:p>
        </w:tc>
      </w:tr>
      <w:tr w14:paraId="571659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3EF418E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100</w:t>
            </w:r>
          </w:p>
        </w:tc>
        <w:tc>
          <w:tcPr>
            <w:tcW w:w="0" w:type="auto"/>
            <w:tcBorders>
              <w:tl2br w:val="nil"/>
              <w:tr2bl w:val="nil"/>
            </w:tcBorders>
            <w:shd w:val="clear" w:color="auto" w:fill="auto"/>
            <w:noWrap/>
            <w:vAlign w:val="center"/>
          </w:tcPr>
          <w:p w14:paraId="7D15170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0065A6B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2718911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700</w:t>
            </w:r>
          </w:p>
        </w:tc>
        <w:tc>
          <w:tcPr>
            <w:tcW w:w="0" w:type="auto"/>
            <w:tcBorders>
              <w:tl2br w:val="nil"/>
              <w:tr2bl w:val="nil"/>
            </w:tcBorders>
            <w:shd w:val="clear" w:color="auto" w:fill="auto"/>
            <w:noWrap/>
            <w:vAlign w:val="center"/>
          </w:tcPr>
          <w:p w14:paraId="7241F1D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10D48EF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51A3B2B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1400</w:t>
            </w:r>
          </w:p>
        </w:tc>
        <w:tc>
          <w:tcPr>
            <w:tcW w:w="0" w:type="auto"/>
            <w:tcBorders>
              <w:tl2br w:val="nil"/>
              <w:tr2bl w:val="nil"/>
            </w:tcBorders>
            <w:shd w:val="clear" w:color="auto" w:fill="auto"/>
            <w:noWrap/>
            <w:vAlign w:val="center"/>
          </w:tcPr>
          <w:p w14:paraId="3C11DDB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053177F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18.08</w:t>
            </w:r>
          </w:p>
        </w:tc>
        <w:tc>
          <w:tcPr>
            <w:tcW w:w="0" w:type="auto"/>
            <w:tcBorders>
              <w:tl2br w:val="nil"/>
              <w:tr2bl w:val="nil"/>
            </w:tcBorders>
            <w:shd w:val="clear" w:color="auto" w:fill="auto"/>
            <w:noWrap/>
            <w:vAlign w:val="center"/>
          </w:tcPr>
          <w:p w14:paraId="09B4951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2000</w:t>
            </w:r>
          </w:p>
        </w:tc>
        <w:tc>
          <w:tcPr>
            <w:tcW w:w="0" w:type="auto"/>
            <w:tcBorders>
              <w:tl2br w:val="nil"/>
              <w:tr2bl w:val="nil"/>
            </w:tcBorders>
            <w:shd w:val="clear" w:color="auto" w:fill="auto"/>
            <w:noWrap/>
            <w:vAlign w:val="center"/>
          </w:tcPr>
          <w:p w14:paraId="55DEBC1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6F3B913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18.01</w:t>
            </w:r>
          </w:p>
        </w:tc>
      </w:tr>
      <w:tr w14:paraId="364DDC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1ACBDBA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100</w:t>
            </w:r>
          </w:p>
        </w:tc>
        <w:tc>
          <w:tcPr>
            <w:tcW w:w="0" w:type="auto"/>
            <w:tcBorders>
              <w:tl2br w:val="nil"/>
              <w:tr2bl w:val="nil"/>
            </w:tcBorders>
            <w:shd w:val="clear" w:color="auto" w:fill="auto"/>
            <w:noWrap/>
            <w:vAlign w:val="center"/>
          </w:tcPr>
          <w:p w14:paraId="41D28C0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003D261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78103D3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800</w:t>
            </w:r>
          </w:p>
        </w:tc>
        <w:tc>
          <w:tcPr>
            <w:tcW w:w="0" w:type="auto"/>
            <w:tcBorders>
              <w:tl2br w:val="nil"/>
              <w:tr2bl w:val="nil"/>
            </w:tcBorders>
            <w:shd w:val="clear" w:color="auto" w:fill="auto"/>
            <w:noWrap/>
            <w:vAlign w:val="center"/>
          </w:tcPr>
          <w:p w14:paraId="72FB858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68347DF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18.11</w:t>
            </w:r>
          </w:p>
        </w:tc>
        <w:tc>
          <w:tcPr>
            <w:tcW w:w="0" w:type="auto"/>
            <w:tcBorders>
              <w:tl2br w:val="nil"/>
              <w:tr2bl w:val="nil"/>
            </w:tcBorders>
            <w:shd w:val="clear" w:color="auto" w:fill="auto"/>
            <w:noWrap/>
            <w:vAlign w:val="center"/>
          </w:tcPr>
          <w:p w14:paraId="0276327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1400</w:t>
            </w:r>
          </w:p>
        </w:tc>
        <w:tc>
          <w:tcPr>
            <w:tcW w:w="0" w:type="auto"/>
            <w:tcBorders>
              <w:tl2br w:val="nil"/>
              <w:tr2bl w:val="nil"/>
            </w:tcBorders>
            <w:shd w:val="clear" w:color="auto" w:fill="auto"/>
            <w:noWrap/>
            <w:vAlign w:val="center"/>
          </w:tcPr>
          <w:p w14:paraId="052D925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02F8710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18.01</w:t>
            </w:r>
          </w:p>
        </w:tc>
        <w:tc>
          <w:tcPr>
            <w:tcW w:w="0" w:type="auto"/>
            <w:tcBorders>
              <w:tl2br w:val="nil"/>
              <w:tr2bl w:val="nil"/>
            </w:tcBorders>
            <w:shd w:val="clear" w:color="auto" w:fill="auto"/>
            <w:noWrap/>
            <w:vAlign w:val="center"/>
          </w:tcPr>
          <w:p w14:paraId="1F1B892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2000</w:t>
            </w:r>
          </w:p>
        </w:tc>
        <w:tc>
          <w:tcPr>
            <w:tcW w:w="0" w:type="auto"/>
            <w:tcBorders>
              <w:tl2br w:val="nil"/>
              <w:tr2bl w:val="nil"/>
            </w:tcBorders>
            <w:shd w:val="clear" w:color="auto" w:fill="auto"/>
            <w:noWrap/>
            <w:vAlign w:val="center"/>
          </w:tcPr>
          <w:p w14:paraId="17CDFEF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44E3465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r>
      <w:tr w14:paraId="23EB8A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0FF5C2C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200</w:t>
            </w:r>
          </w:p>
        </w:tc>
        <w:tc>
          <w:tcPr>
            <w:tcW w:w="0" w:type="auto"/>
            <w:tcBorders>
              <w:tl2br w:val="nil"/>
              <w:tr2bl w:val="nil"/>
            </w:tcBorders>
            <w:shd w:val="clear" w:color="auto" w:fill="auto"/>
            <w:noWrap/>
            <w:vAlign w:val="center"/>
          </w:tcPr>
          <w:p w14:paraId="479D024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41CA819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18.24</w:t>
            </w:r>
          </w:p>
        </w:tc>
        <w:tc>
          <w:tcPr>
            <w:tcW w:w="0" w:type="auto"/>
            <w:tcBorders>
              <w:tl2br w:val="nil"/>
              <w:tr2bl w:val="nil"/>
            </w:tcBorders>
            <w:shd w:val="clear" w:color="auto" w:fill="auto"/>
            <w:noWrap/>
            <w:vAlign w:val="center"/>
          </w:tcPr>
          <w:p w14:paraId="1FFC746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800</w:t>
            </w:r>
          </w:p>
        </w:tc>
        <w:tc>
          <w:tcPr>
            <w:tcW w:w="0" w:type="auto"/>
            <w:tcBorders>
              <w:tl2br w:val="nil"/>
              <w:tr2bl w:val="nil"/>
            </w:tcBorders>
            <w:shd w:val="clear" w:color="auto" w:fill="auto"/>
            <w:noWrap/>
            <w:vAlign w:val="center"/>
          </w:tcPr>
          <w:p w14:paraId="59BCB33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0A2ACB2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256AFB2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1400</w:t>
            </w:r>
          </w:p>
        </w:tc>
        <w:tc>
          <w:tcPr>
            <w:tcW w:w="0" w:type="auto"/>
            <w:tcBorders>
              <w:tl2br w:val="nil"/>
              <w:tr2bl w:val="nil"/>
            </w:tcBorders>
            <w:shd w:val="clear" w:color="auto" w:fill="auto"/>
            <w:noWrap/>
            <w:vAlign w:val="center"/>
          </w:tcPr>
          <w:p w14:paraId="3AC3C1A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1E79A2F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11A5A38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2000</w:t>
            </w:r>
          </w:p>
        </w:tc>
        <w:tc>
          <w:tcPr>
            <w:tcW w:w="0" w:type="auto"/>
            <w:tcBorders>
              <w:tl2br w:val="nil"/>
              <w:tr2bl w:val="nil"/>
            </w:tcBorders>
            <w:shd w:val="clear" w:color="auto" w:fill="auto"/>
            <w:noWrap/>
            <w:vAlign w:val="center"/>
          </w:tcPr>
          <w:p w14:paraId="3CE384B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1230312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r>
      <w:tr w14:paraId="52EC4C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492BF56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200</w:t>
            </w:r>
          </w:p>
        </w:tc>
        <w:tc>
          <w:tcPr>
            <w:tcW w:w="0" w:type="auto"/>
            <w:tcBorders>
              <w:tl2br w:val="nil"/>
              <w:tr2bl w:val="nil"/>
            </w:tcBorders>
            <w:shd w:val="clear" w:color="auto" w:fill="auto"/>
            <w:noWrap/>
            <w:vAlign w:val="center"/>
          </w:tcPr>
          <w:p w14:paraId="45A987B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5E5A372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01DC4A5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800</w:t>
            </w:r>
          </w:p>
        </w:tc>
        <w:tc>
          <w:tcPr>
            <w:tcW w:w="0" w:type="auto"/>
            <w:tcBorders>
              <w:tl2br w:val="nil"/>
              <w:tr2bl w:val="nil"/>
            </w:tcBorders>
            <w:shd w:val="clear" w:color="auto" w:fill="auto"/>
            <w:noWrap/>
            <w:vAlign w:val="center"/>
          </w:tcPr>
          <w:p w14:paraId="2C5C8E1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2BB932E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46EF544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1400</w:t>
            </w:r>
          </w:p>
        </w:tc>
        <w:tc>
          <w:tcPr>
            <w:tcW w:w="0" w:type="auto"/>
            <w:tcBorders>
              <w:tl2br w:val="nil"/>
              <w:tr2bl w:val="nil"/>
            </w:tcBorders>
            <w:shd w:val="clear" w:color="auto" w:fill="auto"/>
            <w:noWrap/>
            <w:vAlign w:val="center"/>
          </w:tcPr>
          <w:p w14:paraId="62317D9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0FB52FF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4CCCEEA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2100</w:t>
            </w:r>
          </w:p>
        </w:tc>
        <w:tc>
          <w:tcPr>
            <w:tcW w:w="0" w:type="auto"/>
            <w:tcBorders>
              <w:tl2br w:val="nil"/>
              <w:tr2bl w:val="nil"/>
            </w:tcBorders>
            <w:shd w:val="clear" w:color="auto" w:fill="auto"/>
            <w:noWrap/>
            <w:vAlign w:val="center"/>
          </w:tcPr>
          <w:p w14:paraId="688A15B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5AAF219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18.06</w:t>
            </w:r>
          </w:p>
        </w:tc>
      </w:tr>
      <w:tr w14:paraId="1DB5F9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7D14D6E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200</w:t>
            </w:r>
          </w:p>
        </w:tc>
        <w:tc>
          <w:tcPr>
            <w:tcW w:w="0" w:type="auto"/>
            <w:tcBorders>
              <w:tl2br w:val="nil"/>
              <w:tr2bl w:val="nil"/>
            </w:tcBorders>
            <w:shd w:val="clear" w:color="auto" w:fill="auto"/>
            <w:noWrap/>
            <w:vAlign w:val="center"/>
          </w:tcPr>
          <w:p w14:paraId="4943EA3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38D6CB2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39D102A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800</w:t>
            </w:r>
          </w:p>
        </w:tc>
        <w:tc>
          <w:tcPr>
            <w:tcW w:w="0" w:type="auto"/>
            <w:tcBorders>
              <w:tl2br w:val="nil"/>
              <w:tr2bl w:val="nil"/>
            </w:tcBorders>
            <w:shd w:val="clear" w:color="auto" w:fill="auto"/>
            <w:noWrap/>
            <w:vAlign w:val="center"/>
          </w:tcPr>
          <w:p w14:paraId="08B04A8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569A943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4C1DD13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1500</w:t>
            </w:r>
          </w:p>
        </w:tc>
        <w:tc>
          <w:tcPr>
            <w:tcW w:w="0" w:type="auto"/>
            <w:tcBorders>
              <w:tl2br w:val="nil"/>
              <w:tr2bl w:val="nil"/>
            </w:tcBorders>
            <w:shd w:val="clear" w:color="auto" w:fill="auto"/>
            <w:noWrap/>
            <w:vAlign w:val="center"/>
          </w:tcPr>
          <w:p w14:paraId="4278C55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31499B8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18.08</w:t>
            </w:r>
          </w:p>
        </w:tc>
        <w:tc>
          <w:tcPr>
            <w:tcW w:w="0" w:type="auto"/>
            <w:tcBorders>
              <w:tl2br w:val="nil"/>
              <w:tr2bl w:val="nil"/>
            </w:tcBorders>
            <w:shd w:val="clear" w:color="auto" w:fill="auto"/>
            <w:noWrap/>
            <w:vAlign w:val="center"/>
          </w:tcPr>
          <w:p w14:paraId="3F97B3B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2100</w:t>
            </w:r>
          </w:p>
        </w:tc>
        <w:tc>
          <w:tcPr>
            <w:tcW w:w="0" w:type="auto"/>
            <w:tcBorders>
              <w:tl2br w:val="nil"/>
              <w:tr2bl w:val="nil"/>
            </w:tcBorders>
            <w:shd w:val="clear" w:color="auto" w:fill="auto"/>
            <w:noWrap/>
            <w:vAlign w:val="center"/>
          </w:tcPr>
          <w:p w14:paraId="6DBA27A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702815E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18.01</w:t>
            </w:r>
          </w:p>
        </w:tc>
      </w:tr>
      <w:tr w14:paraId="7248C4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56EED32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200</w:t>
            </w:r>
          </w:p>
        </w:tc>
        <w:tc>
          <w:tcPr>
            <w:tcW w:w="0" w:type="auto"/>
            <w:tcBorders>
              <w:tl2br w:val="nil"/>
              <w:tr2bl w:val="nil"/>
            </w:tcBorders>
            <w:shd w:val="clear" w:color="auto" w:fill="auto"/>
            <w:noWrap/>
            <w:vAlign w:val="center"/>
          </w:tcPr>
          <w:p w14:paraId="5A84430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74D92B6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1D9438E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900</w:t>
            </w:r>
          </w:p>
        </w:tc>
        <w:tc>
          <w:tcPr>
            <w:tcW w:w="0" w:type="auto"/>
            <w:tcBorders>
              <w:tl2br w:val="nil"/>
              <w:tr2bl w:val="nil"/>
            </w:tcBorders>
            <w:shd w:val="clear" w:color="auto" w:fill="auto"/>
            <w:noWrap/>
            <w:vAlign w:val="center"/>
          </w:tcPr>
          <w:p w14:paraId="55E1062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24791B4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18.11</w:t>
            </w:r>
          </w:p>
        </w:tc>
        <w:tc>
          <w:tcPr>
            <w:tcW w:w="0" w:type="auto"/>
            <w:tcBorders>
              <w:tl2br w:val="nil"/>
              <w:tr2bl w:val="nil"/>
            </w:tcBorders>
            <w:shd w:val="clear" w:color="auto" w:fill="auto"/>
            <w:noWrap/>
            <w:vAlign w:val="center"/>
          </w:tcPr>
          <w:p w14:paraId="76A4335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1500</w:t>
            </w:r>
          </w:p>
        </w:tc>
        <w:tc>
          <w:tcPr>
            <w:tcW w:w="0" w:type="auto"/>
            <w:tcBorders>
              <w:tl2br w:val="nil"/>
              <w:tr2bl w:val="nil"/>
            </w:tcBorders>
            <w:shd w:val="clear" w:color="auto" w:fill="auto"/>
            <w:noWrap/>
            <w:vAlign w:val="center"/>
          </w:tcPr>
          <w:p w14:paraId="1C51F7B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33825C1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18.01</w:t>
            </w:r>
          </w:p>
        </w:tc>
        <w:tc>
          <w:tcPr>
            <w:tcW w:w="0" w:type="auto"/>
            <w:tcBorders>
              <w:tl2br w:val="nil"/>
              <w:tr2bl w:val="nil"/>
            </w:tcBorders>
            <w:shd w:val="clear" w:color="auto" w:fill="auto"/>
            <w:noWrap/>
            <w:vAlign w:val="center"/>
          </w:tcPr>
          <w:p w14:paraId="7040210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2100</w:t>
            </w:r>
          </w:p>
        </w:tc>
        <w:tc>
          <w:tcPr>
            <w:tcW w:w="0" w:type="auto"/>
            <w:tcBorders>
              <w:tl2br w:val="nil"/>
              <w:tr2bl w:val="nil"/>
            </w:tcBorders>
            <w:shd w:val="clear" w:color="auto" w:fill="auto"/>
            <w:noWrap/>
            <w:vAlign w:val="center"/>
          </w:tcPr>
          <w:p w14:paraId="6D473AE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17071AB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r>
      <w:tr w14:paraId="762792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61F5AE0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300</w:t>
            </w:r>
          </w:p>
        </w:tc>
        <w:tc>
          <w:tcPr>
            <w:tcW w:w="0" w:type="auto"/>
            <w:tcBorders>
              <w:tl2br w:val="nil"/>
              <w:tr2bl w:val="nil"/>
            </w:tcBorders>
            <w:shd w:val="clear" w:color="auto" w:fill="auto"/>
            <w:noWrap/>
            <w:vAlign w:val="center"/>
          </w:tcPr>
          <w:p w14:paraId="2A5FE39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1299993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18.19</w:t>
            </w:r>
          </w:p>
        </w:tc>
        <w:tc>
          <w:tcPr>
            <w:tcW w:w="0" w:type="auto"/>
            <w:tcBorders>
              <w:tl2br w:val="nil"/>
              <w:tr2bl w:val="nil"/>
            </w:tcBorders>
            <w:shd w:val="clear" w:color="auto" w:fill="auto"/>
            <w:noWrap/>
            <w:vAlign w:val="center"/>
          </w:tcPr>
          <w:p w14:paraId="31BB186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900</w:t>
            </w:r>
          </w:p>
        </w:tc>
        <w:tc>
          <w:tcPr>
            <w:tcW w:w="0" w:type="auto"/>
            <w:tcBorders>
              <w:tl2br w:val="nil"/>
              <w:tr2bl w:val="nil"/>
            </w:tcBorders>
            <w:shd w:val="clear" w:color="auto" w:fill="auto"/>
            <w:noWrap/>
            <w:vAlign w:val="center"/>
          </w:tcPr>
          <w:p w14:paraId="3F0C9A6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089F2A7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6C323CC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1500</w:t>
            </w:r>
          </w:p>
        </w:tc>
        <w:tc>
          <w:tcPr>
            <w:tcW w:w="0" w:type="auto"/>
            <w:tcBorders>
              <w:tl2br w:val="nil"/>
              <w:tr2bl w:val="nil"/>
            </w:tcBorders>
            <w:shd w:val="clear" w:color="auto" w:fill="auto"/>
            <w:noWrap/>
            <w:vAlign w:val="center"/>
          </w:tcPr>
          <w:p w14:paraId="5E360C3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7C4B2DF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6B8BD4A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2100</w:t>
            </w:r>
          </w:p>
        </w:tc>
        <w:tc>
          <w:tcPr>
            <w:tcW w:w="0" w:type="auto"/>
            <w:tcBorders>
              <w:tl2br w:val="nil"/>
              <w:tr2bl w:val="nil"/>
            </w:tcBorders>
            <w:shd w:val="clear" w:color="auto" w:fill="auto"/>
            <w:noWrap/>
            <w:vAlign w:val="center"/>
          </w:tcPr>
          <w:p w14:paraId="104F0A4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6596B0A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r>
      <w:tr w14:paraId="7A494F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056521F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300</w:t>
            </w:r>
          </w:p>
        </w:tc>
        <w:tc>
          <w:tcPr>
            <w:tcW w:w="0" w:type="auto"/>
            <w:tcBorders>
              <w:tl2br w:val="nil"/>
              <w:tr2bl w:val="nil"/>
            </w:tcBorders>
            <w:shd w:val="clear" w:color="auto" w:fill="auto"/>
            <w:noWrap/>
            <w:vAlign w:val="center"/>
          </w:tcPr>
          <w:p w14:paraId="283D998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5C9F030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19C38A7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900</w:t>
            </w:r>
          </w:p>
        </w:tc>
        <w:tc>
          <w:tcPr>
            <w:tcW w:w="0" w:type="auto"/>
            <w:tcBorders>
              <w:tl2br w:val="nil"/>
              <w:tr2bl w:val="nil"/>
            </w:tcBorders>
            <w:shd w:val="clear" w:color="auto" w:fill="auto"/>
            <w:noWrap/>
            <w:vAlign w:val="center"/>
          </w:tcPr>
          <w:p w14:paraId="0EA1A5B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06D8E7A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1AB1226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1500</w:t>
            </w:r>
          </w:p>
        </w:tc>
        <w:tc>
          <w:tcPr>
            <w:tcW w:w="0" w:type="auto"/>
            <w:tcBorders>
              <w:tl2br w:val="nil"/>
              <w:tr2bl w:val="nil"/>
            </w:tcBorders>
            <w:shd w:val="clear" w:color="auto" w:fill="auto"/>
            <w:noWrap/>
            <w:vAlign w:val="center"/>
          </w:tcPr>
          <w:p w14:paraId="0EDA48B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7C36D71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1A7F322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2200</w:t>
            </w:r>
          </w:p>
        </w:tc>
        <w:tc>
          <w:tcPr>
            <w:tcW w:w="0" w:type="auto"/>
            <w:tcBorders>
              <w:tl2br w:val="nil"/>
              <w:tr2bl w:val="nil"/>
            </w:tcBorders>
            <w:shd w:val="clear" w:color="auto" w:fill="auto"/>
            <w:noWrap/>
            <w:vAlign w:val="center"/>
          </w:tcPr>
          <w:p w14:paraId="7252B76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293ECC8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18.06</w:t>
            </w:r>
          </w:p>
        </w:tc>
      </w:tr>
      <w:tr w14:paraId="6B41BF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57A2B10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300</w:t>
            </w:r>
          </w:p>
        </w:tc>
        <w:tc>
          <w:tcPr>
            <w:tcW w:w="0" w:type="auto"/>
            <w:tcBorders>
              <w:tl2br w:val="nil"/>
              <w:tr2bl w:val="nil"/>
            </w:tcBorders>
            <w:shd w:val="clear" w:color="auto" w:fill="auto"/>
            <w:noWrap/>
            <w:vAlign w:val="center"/>
          </w:tcPr>
          <w:p w14:paraId="26B135A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1E4B6F8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77DCE81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900</w:t>
            </w:r>
          </w:p>
        </w:tc>
        <w:tc>
          <w:tcPr>
            <w:tcW w:w="0" w:type="auto"/>
            <w:tcBorders>
              <w:tl2br w:val="nil"/>
              <w:tr2bl w:val="nil"/>
            </w:tcBorders>
            <w:shd w:val="clear" w:color="auto" w:fill="auto"/>
            <w:noWrap/>
            <w:vAlign w:val="center"/>
          </w:tcPr>
          <w:p w14:paraId="1842A2F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36FC275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568188F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1600</w:t>
            </w:r>
          </w:p>
        </w:tc>
        <w:tc>
          <w:tcPr>
            <w:tcW w:w="0" w:type="auto"/>
            <w:tcBorders>
              <w:tl2br w:val="nil"/>
              <w:tr2bl w:val="nil"/>
            </w:tcBorders>
            <w:shd w:val="clear" w:color="auto" w:fill="auto"/>
            <w:noWrap/>
            <w:vAlign w:val="center"/>
          </w:tcPr>
          <w:p w14:paraId="7B89A03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527BD45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18.07</w:t>
            </w:r>
          </w:p>
        </w:tc>
        <w:tc>
          <w:tcPr>
            <w:tcW w:w="0" w:type="auto"/>
            <w:tcBorders>
              <w:tl2br w:val="nil"/>
              <w:tr2bl w:val="nil"/>
            </w:tcBorders>
            <w:shd w:val="clear" w:color="auto" w:fill="auto"/>
            <w:noWrap/>
            <w:vAlign w:val="center"/>
          </w:tcPr>
          <w:p w14:paraId="66785C9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2200</w:t>
            </w:r>
          </w:p>
        </w:tc>
        <w:tc>
          <w:tcPr>
            <w:tcW w:w="0" w:type="auto"/>
            <w:tcBorders>
              <w:tl2br w:val="nil"/>
              <w:tr2bl w:val="nil"/>
            </w:tcBorders>
            <w:shd w:val="clear" w:color="auto" w:fill="auto"/>
            <w:noWrap/>
            <w:vAlign w:val="center"/>
          </w:tcPr>
          <w:p w14:paraId="37B10AB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3688058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18.01</w:t>
            </w:r>
          </w:p>
        </w:tc>
      </w:tr>
      <w:tr w14:paraId="785698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096DDF8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300</w:t>
            </w:r>
          </w:p>
        </w:tc>
        <w:tc>
          <w:tcPr>
            <w:tcW w:w="0" w:type="auto"/>
            <w:tcBorders>
              <w:tl2br w:val="nil"/>
              <w:tr2bl w:val="nil"/>
            </w:tcBorders>
            <w:shd w:val="clear" w:color="auto" w:fill="auto"/>
            <w:noWrap/>
            <w:vAlign w:val="center"/>
          </w:tcPr>
          <w:p w14:paraId="3E295E7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28E43E1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52268C1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1000</w:t>
            </w:r>
          </w:p>
        </w:tc>
        <w:tc>
          <w:tcPr>
            <w:tcW w:w="0" w:type="auto"/>
            <w:tcBorders>
              <w:tl2br w:val="nil"/>
              <w:tr2bl w:val="nil"/>
            </w:tcBorders>
            <w:shd w:val="clear" w:color="auto" w:fill="auto"/>
            <w:noWrap/>
            <w:vAlign w:val="center"/>
          </w:tcPr>
          <w:p w14:paraId="10B4E52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550128A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18.10</w:t>
            </w:r>
          </w:p>
        </w:tc>
        <w:tc>
          <w:tcPr>
            <w:tcW w:w="0" w:type="auto"/>
            <w:tcBorders>
              <w:tl2br w:val="nil"/>
              <w:tr2bl w:val="nil"/>
            </w:tcBorders>
            <w:shd w:val="clear" w:color="auto" w:fill="auto"/>
            <w:noWrap/>
            <w:vAlign w:val="center"/>
          </w:tcPr>
          <w:p w14:paraId="24A228A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1600</w:t>
            </w:r>
          </w:p>
        </w:tc>
        <w:tc>
          <w:tcPr>
            <w:tcW w:w="0" w:type="auto"/>
            <w:tcBorders>
              <w:tl2br w:val="nil"/>
              <w:tr2bl w:val="nil"/>
            </w:tcBorders>
            <w:shd w:val="clear" w:color="auto" w:fill="auto"/>
            <w:noWrap/>
            <w:vAlign w:val="center"/>
          </w:tcPr>
          <w:p w14:paraId="28B30A7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58BC827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18.01</w:t>
            </w:r>
          </w:p>
        </w:tc>
        <w:tc>
          <w:tcPr>
            <w:tcW w:w="0" w:type="auto"/>
            <w:tcBorders>
              <w:tl2br w:val="nil"/>
              <w:tr2bl w:val="nil"/>
            </w:tcBorders>
            <w:shd w:val="clear" w:color="auto" w:fill="auto"/>
            <w:noWrap/>
            <w:vAlign w:val="center"/>
          </w:tcPr>
          <w:p w14:paraId="0C6345E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2200</w:t>
            </w:r>
          </w:p>
        </w:tc>
        <w:tc>
          <w:tcPr>
            <w:tcW w:w="0" w:type="auto"/>
            <w:tcBorders>
              <w:tl2br w:val="nil"/>
              <w:tr2bl w:val="nil"/>
            </w:tcBorders>
            <w:shd w:val="clear" w:color="auto" w:fill="auto"/>
            <w:noWrap/>
            <w:vAlign w:val="center"/>
          </w:tcPr>
          <w:p w14:paraId="1AE4A07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1D426A4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r>
      <w:tr w14:paraId="7387C3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48A67D0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400</w:t>
            </w:r>
          </w:p>
        </w:tc>
        <w:tc>
          <w:tcPr>
            <w:tcW w:w="0" w:type="auto"/>
            <w:tcBorders>
              <w:tl2br w:val="nil"/>
              <w:tr2bl w:val="nil"/>
            </w:tcBorders>
            <w:shd w:val="clear" w:color="auto" w:fill="auto"/>
            <w:noWrap/>
            <w:vAlign w:val="center"/>
          </w:tcPr>
          <w:p w14:paraId="32D8AF5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7AE51EA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18.16</w:t>
            </w:r>
          </w:p>
        </w:tc>
        <w:tc>
          <w:tcPr>
            <w:tcW w:w="0" w:type="auto"/>
            <w:tcBorders>
              <w:tl2br w:val="nil"/>
              <w:tr2bl w:val="nil"/>
            </w:tcBorders>
            <w:shd w:val="clear" w:color="auto" w:fill="auto"/>
            <w:noWrap/>
            <w:vAlign w:val="center"/>
          </w:tcPr>
          <w:p w14:paraId="7FB4246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1000</w:t>
            </w:r>
          </w:p>
        </w:tc>
        <w:tc>
          <w:tcPr>
            <w:tcW w:w="0" w:type="auto"/>
            <w:tcBorders>
              <w:tl2br w:val="nil"/>
              <w:tr2bl w:val="nil"/>
            </w:tcBorders>
            <w:shd w:val="clear" w:color="auto" w:fill="auto"/>
            <w:noWrap/>
            <w:vAlign w:val="center"/>
          </w:tcPr>
          <w:p w14:paraId="05594D1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63E8631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2462321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1600</w:t>
            </w:r>
          </w:p>
        </w:tc>
        <w:tc>
          <w:tcPr>
            <w:tcW w:w="0" w:type="auto"/>
            <w:tcBorders>
              <w:tl2br w:val="nil"/>
              <w:tr2bl w:val="nil"/>
            </w:tcBorders>
            <w:shd w:val="clear" w:color="auto" w:fill="auto"/>
            <w:noWrap/>
            <w:vAlign w:val="center"/>
          </w:tcPr>
          <w:p w14:paraId="20BB6C1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036D1A5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2B98B71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2200</w:t>
            </w:r>
          </w:p>
        </w:tc>
        <w:tc>
          <w:tcPr>
            <w:tcW w:w="0" w:type="auto"/>
            <w:tcBorders>
              <w:tl2br w:val="nil"/>
              <w:tr2bl w:val="nil"/>
            </w:tcBorders>
            <w:shd w:val="clear" w:color="auto" w:fill="auto"/>
            <w:noWrap/>
            <w:vAlign w:val="center"/>
          </w:tcPr>
          <w:p w14:paraId="431CC6B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5352B58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r>
      <w:tr w14:paraId="3794A1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4344EF8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400</w:t>
            </w:r>
          </w:p>
        </w:tc>
        <w:tc>
          <w:tcPr>
            <w:tcW w:w="0" w:type="auto"/>
            <w:tcBorders>
              <w:tl2br w:val="nil"/>
              <w:tr2bl w:val="nil"/>
            </w:tcBorders>
            <w:shd w:val="clear" w:color="auto" w:fill="auto"/>
            <w:noWrap/>
            <w:vAlign w:val="center"/>
          </w:tcPr>
          <w:p w14:paraId="4211488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6FFAD4E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4F60C91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1000</w:t>
            </w:r>
          </w:p>
        </w:tc>
        <w:tc>
          <w:tcPr>
            <w:tcW w:w="0" w:type="auto"/>
            <w:tcBorders>
              <w:tl2br w:val="nil"/>
              <w:tr2bl w:val="nil"/>
            </w:tcBorders>
            <w:shd w:val="clear" w:color="auto" w:fill="auto"/>
            <w:noWrap/>
            <w:vAlign w:val="center"/>
          </w:tcPr>
          <w:p w14:paraId="50EE77F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29F91CB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4C40FEF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1600</w:t>
            </w:r>
          </w:p>
        </w:tc>
        <w:tc>
          <w:tcPr>
            <w:tcW w:w="0" w:type="auto"/>
            <w:tcBorders>
              <w:tl2br w:val="nil"/>
              <w:tr2bl w:val="nil"/>
            </w:tcBorders>
            <w:shd w:val="clear" w:color="auto" w:fill="auto"/>
            <w:noWrap/>
            <w:vAlign w:val="center"/>
          </w:tcPr>
          <w:p w14:paraId="1A3D6E4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62FAE1F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6E58817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2300</w:t>
            </w:r>
          </w:p>
        </w:tc>
        <w:tc>
          <w:tcPr>
            <w:tcW w:w="0" w:type="auto"/>
            <w:tcBorders>
              <w:tl2br w:val="nil"/>
              <w:tr2bl w:val="nil"/>
            </w:tcBorders>
            <w:shd w:val="clear" w:color="auto" w:fill="auto"/>
            <w:noWrap/>
            <w:vAlign w:val="center"/>
          </w:tcPr>
          <w:p w14:paraId="0C2680F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54ABCE4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18.06</w:t>
            </w:r>
          </w:p>
        </w:tc>
      </w:tr>
      <w:tr w14:paraId="239469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309957E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400</w:t>
            </w:r>
          </w:p>
        </w:tc>
        <w:tc>
          <w:tcPr>
            <w:tcW w:w="0" w:type="auto"/>
            <w:tcBorders>
              <w:tl2br w:val="nil"/>
              <w:tr2bl w:val="nil"/>
            </w:tcBorders>
            <w:shd w:val="clear" w:color="auto" w:fill="auto"/>
            <w:noWrap/>
            <w:vAlign w:val="center"/>
          </w:tcPr>
          <w:p w14:paraId="38052BD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257A5E1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127C967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1000</w:t>
            </w:r>
          </w:p>
        </w:tc>
        <w:tc>
          <w:tcPr>
            <w:tcW w:w="0" w:type="auto"/>
            <w:tcBorders>
              <w:tl2br w:val="nil"/>
              <w:tr2bl w:val="nil"/>
            </w:tcBorders>
            <w:shd w:val="clear" w:color="auto" w:fill="auto"/>
            <w:noWrap/>
            <w:vAlign w:val="center"/>
          </w:tcPr>
          <w:p w14:paraId="375F0F4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7832FBE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2BB57AD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1700</w:t>
            </w:r>
          </w:p>
        </w:tc>
        <w:tc>
          <w:tcPr>
            <w:tcW w:w="0" w:type="auto"/>
            <w:tcBorders>
              <w:tl2br w:val="nil"/>
              <w:tr2bl w:val="nil"/>
            </w:tcBorders>
            <w:shd w:val="clear" w:color="auto" w:fill="auto"/>
            <w:noWrap/>
            <w:vAlign w:val="center"/>
          </w:tcPr>
          <w:p w14:paraId="743FAA9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2989D86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18.07</w:t>
            </w:r>
          </w:p>
        </w:tc>
        <w:tc>
          <w:tcPr>
            <w:tcW w:w="0" w:type="auto"/>
            <w:tcBorders>
              <w:tl2br w:val="nil"/>
              <w:tr2bl w:val="nil"/>
            </w:tcBorders>
            <w:shd w:val="clear" w:color="auto" w:fill="auto"/>
            <w:noWrap/>
            <w:vAlign w:val="center"/>
          </w:tcPr>
          <w:p w14:paraId="06B30ED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2300</w:t>
            </w:r>
          </w:p>
        </w:tc>
        <w:tc>
          <w:tcPr>
            <w:tcW w:w="0" w:type="auto"/>
            <w:tcBorders>
              <w:tl2br w:val="nil"/>
              <w:tr2bl w:val="nil"/>
            </w:tcBorders>
            <w:shd w:val="clear" w:color="auto" w:fill="auto"/>
            <w:noWrap/>
            <w:vAlign w:val="center"/>
          </w:tcPr>
          <w:p w14:paraId="50AE67E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2FD436E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18.01</w:t>
            </w:r>
          </w:p>
        </w:tc>
      </w:tr>
      <w:tr w14:paraId="0F4184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4581B27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400</w:t>
            </w:r>
          </w:p>
        </w:tc>
        <w:tc>
          <w:tcPr>
            <w:tcW w:w="0" w:type="auto"/>
            <w:tcBorders>
              <w:tl2br w:val="nil"/>
              <w:tr2bl w:val="nil"/>
            </w:tcBorders>
            <w:shd w:val="clear" w:color="auto" w:fill="auto"/>
            <w:noWrap/>
            <w:vAlign w:val="center"/>
          </w:tcPr>
          <w:p w14:paraId="5227A5F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73D54E1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36950F9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1100</w:t>
            </w:r>
          </w:p>
        </w:tc>
        <w:tc>
          <w:tcPr>
            <w:tcW w:w="0" w:type="auto"/>
            <w:tcBorders>
              <w:tl2br w:val="nil"/>
              <w:tr2bl w:val="nil"/>
            </w:tcBorders>
            <w:shd w:val="clear" w:color="auto" w:fill="auto"/>
            <w:noWrap/>
            <w:vAlign w:val="center"/>
          </w:tcPr>
          <w:p w14:paraId="535FB33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72673CA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18.09</w:t>
            </w:r>
          </w:p>
        </w:tc>
        <w:tc>
          <w:tcPr>
            <w:tcW w:w="0" w:type="auto"/>
            <w:tcBorders>
              <w:tl2br w:val="nil"/>
              <w:tr2bl w:val="nil"/>
            </w:tcBorders>
            <w:shd w:val="clear" w:color="auto" w:fill="auto"/>
            <w:noWrap/>
            <w:vAlign w:val="center"/>
          </w:tcPr>
          <w:p w14:paraId="02297D7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1700</w:t>
            </w:r>
          </w:p>
        </w:tc>
        <w:tc>
          <w:tcPr>
            <w:tcW w:w="0" w:type="auto"/>
            <w:tcBorders>
              <w:tl2br w:val="nil"/>
              <w:tr2bl w:val="nil"/>
            </w:tcBorders>
            <w:shd w:val="clear" w:color="auto" w:fill="auto"/>
            <w:noWrap/>
            <w:vAlign w:val="center"/>
          </w:tcPr>
          <w:p w14:paraId="0C284C3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58D710D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18.01</w:t>
            </w:r>
          </w:p>
        </w:tc>
        <w:tc>
          <w:tcPr>
            <w:tcW w:w="0" w:type="auto"/>
            <w:tcBorders>
              <w:tl2br w:val="nil"/>
              <w:tr2bl w:val="nil"/>
            </w:tcBorders>
            <w:shd w:val="clear" w:color="auto" w:fill="auto"/>
            <w:noWrap/>
            <w:vAlign w:val="center"/>
          </w:tcPr>
          <w:p w14:paraId="1AC54A9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2300</w:t>
            </w:r>
          </w:p>
        </w:tc>
        <w:tc>
          <w:tcPr>
            <w:tcW w:w="0" w:type="auto"/>
            <w:tcBorders>
              <w:tl2br w:val="nil"/>
              <w:tr2bl w:val="nil"/>
            </w:tcBorders>
            <w:shd w:val="clear" w:color="auto" w:fill="auto"/>
            <w:noWrap/>
            <w:vAlign w:val="center"/>
          </w:tcPr>
          <w:p w14:paraId="239212A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527011D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r>
      <w:tr w14:paraId="0BAD49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7CDADDD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500</w:t>
            </w:r>
          </w:p>
        </w:tc>
        <w:tc>
          <w:tcPr>
            <w:tcW w:w="0" w:type="auto"/>
            <w:tcBorders>
              <w:tl2br w:val="nil"/>
              <w:tr2bl w:val="nil"/>
            </w:tcBorders>
            <w:shd w:val="clear" w:color="auto" w:fill="auto"/>
            <w:noWrap/>
            <w:vAlign w:val="center"/>
          </w:tcPr>
          <w:p w14:paraId="4A72470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2B94157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18.15</w:t>
            </w:r>
          </w:p>
        </w:tc>
        <w:tc>
          <w:tcPr>
            <w:tcW w:w="0" w:type="auto"/>
            <w:tcBorders>
              <w:tl2br w:val="nil"/>
              <w:tr2bl w:val="nil"/>
            </w:tcBorders>
            <w:shd w:val="clear" w:color="auto" w:fill="auto"/>
            <w:noWrap/>
            <w:vAlign w:val="center"/>
          </w:tcPr>
          <w:p w14:paraId="5F73118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1100</w:t>
            </w:r>
          </w:p>
        </w:tc>
        <w:tc>
          <w:tcPr>
            <w:tcW w:w="0" w:type="auto"/>
            <w:tcBorders>
              <w:tl2br w:val="nil"/>
              <w:tr2bl w:val="nil"/>
            </w:tcBorders>
            <w:shd w:val="clear" w:color="auto" w:fill="auto"/>
            <w:noWrap/>
            <w:vAlign w:val="center"/>
          </w:tcPr>
          <w:p w14:paraId="07EA2EB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02BBBBB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72AD65A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1700</w:t>
            </w:r>
          </w:p>
        </w:tc>
        <w:tc>
          <w:tcPr>
            <w:tcW w:w="0" w:type="auto"/>
            <w:tcBorders>
              <w:tl2br w:val="nil"/>
              <w:tr2bl w:val="nil"/>
            </w:tcBorders>
            <w:shd w:val="clear" w:color="auto" w:fill="auto"/>
            <w:noWrap/>
            <w:vAlign w:val="center"/>
          </w:tcPr>
          <w:p w14:paraId="78BD1D9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1C8F42E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3634EC6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2300</w:t>
            </w:r>
          </w:p>
        </w:tc>
        <w:tc>
          <w:tcPr>
            <w:tcW w:w="0" w:type="auto"/>
            <w:tcBorders>
              <w:tl2br w:val="nil"/>
              <w:tr2bl w:val="nil"/>
            </w:tcBorders>
            <w:shd w:val="clear" w:color="auto" w:fill="auto"/>
            <w:noWrap/>
            <w:vAlign w:val="center"/>
          </w:tcPr>
          <w:p w14:paraId="42BFA96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5DBB108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r>
      <w:tr w14:paraId="438C40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1620BF4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500</w:t>
            </w:r>
          </w:p>
        </w:tc>
        <w:tc>
          <w:tcPr>
            <w:tcW w:w="0" w:type="auto"/>
            <w:tcBorders>
              <w:tl2br w:val="nil"/>
              <w:tr2bl w:val="nil"/>
            </w:tcBorders>
            <w:shd w:val="clear" w:color="auto" w:fill="auto"/>
            <w:noWrap/>
            <w:vAlign w:val="center"/>
          </w:tcPr>
          <w:p w14:paraId="47D9FA4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252E12C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2415F43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1100</w:t>
            </w:r>
          </w:p>
        </w:tc>
        <w:tc>
          <w:tcPr>
            <w:tcW w:w="0" w:type="auto"/>
            <w:tcBorders>
              <w:tl2br w:val="nil"/>
              <w:tr2bl w:val="nil"/>
            </w:tcBorders>
            <w:shd w:val="clear" w:color="auto" w:fill="auto"/>
            <w:noWrap/>
            <w:vAlign w:val="center"/>
          </w:tcPr>
          <w:p w14:paraId="1D5FEF8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44FEBB2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505295B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1700</w:t>
            </w:r>
          </w:p>
        </w:tc>
        <w:tc>
          <w:tcPr>
            <w:tcW w:w="0" w:type="auto"/>
            <w:tcBorders>
              <w:tl2br w:val="nil"/>
              <w:tr2bl w:val="nil"/>
            </w:tcBorders>
            <w:shd w:val="clear" w:color="auto" w:fill="auto"/>
            <w:noWrap/>
            <w:vAlign w:val="center"/>
          </w:tcPr>
          <w:p w14:paraId="3BF9D37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1585994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49E8352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2400</w:t>
            </w:r>
          </w:p>
        </w:tc>
        <w:tc>
          <w:tcPr>
            <w:tcW w:w="0" w:type="auto"/>
            <w:tcBorders>
              <w:tl2br w:val="nil"/>
              <w:tr2bl w:val="nil"/>
            </w:tcBorders>
            <w:shd w:val="clear" w:color="auto" w:fill="auto"/>
            <w:noWrap/>
            <w:vAlign w:val="center"/>
          </w:tcPr>
          <w:p w14:paraId="2369E0B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73A2C79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18.06</w:t>
            </w:r>
          </w:p>
        </w:tc>
      </w:tr>
      <w:tr w14:paraId="04D1FF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44F61A8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500</w:t>
            </w:r>
          </w:p>
        </w:tc>
        <w:tc>
          <w:tcPr>
            <w:tcW w:w="0" w:type="auto"/>
            <w:tcBorders>
              <w:tl2br w:val="nil"/>
              <w:tr2bl w:val="nil"/>
            </w:tcBorders>
            <w:shd w:val="clear" w:color="auto" w:fill="auto"/>
            <w:noWrap/>
            <w:vAlign w:val="center"/>
          </w:tcPr>
          <w:p w14:paraId="0DA9FE0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756E1A1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539B03A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1100</w:t>
            </w:r>
          </w:p>
        </w:tc>
        <w:tc>
          <w:tcPr>
            <w:tcW w:w="0" w:type="auto"/>
            <w:tcBorders>
              <w:tl2br w:val="nil"/>
              <w:tr2bl w:val="nil"/>
            </w:tcBorders>
            <w:shd w:val="clear" w:color="auto" w:fill="auto"/>
            <w:noWrap/>
            <w:vAlign w:val="center"/>
          </w:tcPr>
          <w:p w14:paraId="205343E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390F22E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2F8D80C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04F64BC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6B84DB1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18.07</w:t>
            </w:r>
          </w:p>
        </w:tc>
        <w:tc>
          <w:tcPr>
            <w:tcW w:w="0" w:type="auto"/>
            <w:tcBorders>
              <w:tl2br w:val="nil"/>
              <w:tr2bl w:val="nil"/>
            </w:tcBorders>
            <w:shd w:val="clear" w:color="auto" w:fill="auto"/>
            <w:noWrap/>
            <w:vAlign w:val="center"/>
          </w:tcPr>
          <w:p w14:paraId="784AC38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2400</w:t>
            </w:r>
          </w:p>
        </w:tc>
        <w:tc>
          <w:tcPr>
            <w:tcW w:w="0" w:type="auto"/>
            <w:tcBorders>
              <w:tl2br w:val="nil"/>
              <w:tr2bl w:val="nil"/>
            </w:tcBorders>
            <w:shd w:val="clear" w:color="auto" w:fill="auto"/>
            <w:noWrap/>
            <w:vAlign w:val="center"/>
          </w:tcPr>
          <w:p w14:paraId="66B65D7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5468B73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18.01</w:t>
            </w:r>
          </w:p>
        </w:tc>
      </w:tr>
      <w:tr w14:paraId="5D6A52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5F22D49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500</w:t>
            </w:r>
          </w:p>
        </w:tc>
        <w:tc>
          <w:tcPr>
            <w:tcW w:w="0" w:type="auto"/>
            <w:tcBorders>
              <w:tl2br w:val="nil"/>
              <w:tr2bl w:val="nil"/>
            </w:tcBorders>
            <w:shd w:val="clear" w:color="auto" w:fill="auto"/>
            <w:noWrap/>
            <w:vAlign w:val="center"/>
          </w:tcPr>
          <w:p w14:paraId="2E6B1E1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283B3BD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1104E6F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1200</w:t>
            </w:r>
          </w:p>
        </w:tc>
        <w:tc>
          <w:tcPr>
            <w:tcW w:w="0" w:type="auto"/>
            <w:tcBorders>
              <w:tl2br w:val="nil"/>
              <w:tr2bl w:val="nil"/>
            </w:tcBorders>
            <w:shd w:val="clear" w:color="auto" w:fill="auto"/>
            <w:noWrap/>
            <w:vAlign w:val="center"/>
          </w:tcPr>
          <w:p w14:paraId="47E69A0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324B239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18.09</w:t>
            </w:r>
          </w:p>
        </w:tc>
        <w:tc>
          <w:tcPr>
            <w:tcW w:w="0" w:type="auto"/>
            <w:tcBorders>
              <w:tl2br w:val="nil"/>
              <w:tr2bl w:val="nil"/>
            </w:tcBorders>
            <w:shd w:val="clear" w:color="auto" w:fill="auto"/>
            <w:noWrap/>
            <w:vAlign w:val="center"/>
          </w:tcPr>
          <w:p w14:paraId="37CF3F8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683483B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3253FB6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18.01</w:t>
            </w:r>
          </w:p>
        </w:tc>
        <w:tc>
          <w:tcPr>
            <w:tcW w:w="0" w:type="auto"/>
            <w:tcBorders>
              <w:tl2br w:val="nil"/>
              <w:tr2bl w:val="nil"/>
            </w:tcBorders>
            <w:shd w:val="clear" w:color="auto" w:fill="auto"/>
            <w:noWrap/>
            <w:vAlign w:val="center"/>
          </w:tcPr>
          <w:p w14:paraId="5D4CD93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2400</w:t>
            </w:r>
          </w:p>
        </w:tc>
        <w:tc>
          <w:tcPr>
            <w:tcW w:w="0" w:type="auto"/>
            <w:tcBorders>
              <w:tl2br w:val="nil"/>
              <w:tr2bl w:val="nil"/>
            </w:tcBorders>
            <w:shd w:val="clear" w:color="auto" w:fill="auto"/>
            <w:noWrap/>
            <w:vAlign w:val="center"/>
          </w:tcPr>
          <w:p w14:paraId="58E1E5A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1703DDA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r>
      <w:tr w14:paraId="57511C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3550D54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600</w:t>
            </w:r>
          </w:p>
        </w:tc>
        <w:tc>
          <w:tcPr>
            <w:tcW w:w="0" w:type="auto"/>
            <w:tcBorders>
              <w:tl2br w:val="nil"/>
              <w:tr2bl w:val="nil"/>
            </w:tcBorders>
            <w:shd w:val="clear" w:color="auto" w:fill="auto"/>
            <w:noWrap/>
            <w:vAlign w:val="center"/>
          </w:tcPr>
          <w:p w14:paraId="293C235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6738F9E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18.13</w:t>
            </w:r>
          </w:p>
        </w:tc>
        <w:tc>
          <w:tcPr>
            <w:tcW w:w="0" w:type="auto"/>
            <w:tcBorders>
              <w:tl2br w:val="nil"/>
              <w:tr2bl w:val="nil"/>
            </w:tcBorders>
            <w:shd w:val="clear" w:color="auto" w:fill="auto"/>
            <w:noWrap/>
            <w:vAlign w:val="center"/>
          </w:tcPr>
          <w:p w14:paraId="2986AC0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1200</w:t>
            </w:r>
          </w:p>
        </w:tc>
        <w:tc>
          <w:tcPr>
            <w:tcW w:w="0" w:type="auto"/>
            <w:tcBorders>
              <w:tl2br w:val="nil"/>
              <w:tr2bl w:val="nil"/>
            </w:tcBorders>
            <w:shd w:val="clear" w:color="auto" w:fill="auto"/>
            <w:noWrap/>
            <w:vAlign w:val="center"/>
          </w:tcPr>
          <w:p w14:paraId="4231D4C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3CE30D3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18.01</w:t>
            </w:r>
          </w:p>
        </w:tc>
        <w:tc>
          <w:tcPr>
            <w:tcW w:w="0" w:type="auto"/>
            <w:tcBorders>
              <w:tl2br w:val="nil"/>
              <w:tr2bl w:val="nil"/>
            </w:tcBorders>
            <w:shd w:val="clear" w:color="auto" w:fill="auto"/>
            <w:noWrap/>
            <w:vAlign w:val="center"/>
          </w:tcPr>
          <w:p w14:paraId="10E0389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14F7B66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35801E0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4522AEA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2400</w:t>
            </w:r>
          </w:p>
        </w:tc>
        <w:tc>
          <w:tcPr>
            <w:tcW w:w="0" w:type="auto"/>
            <w:tcBorders>
              <w:tl2br w:val="nil"/>
              <w:tr2bl w:val="nil"/>
            </w:tcBorders>
            <w:shd w:val="clear" w:color="auto" w:fill="auto"/>
            <w:noWrap/>
            <w:vAlign w:val="center"/>
          </w:tcPr>
          <w:p w14:paraId="4C45C7D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7EB69C6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r>
      <w:tr w14:paraId="32DE77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7B0FAD3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600</w:t>
            </w:r>
          </w:p>
        </w:tc>
        <w:tc>
          <w:tcPr>
            <w:tcW w:w="0" w:type="auto"/>
            <w:tcBorders>
              <w:tl2br w:val="nil"/>
              <w:tr2bl w:val="nil"/>
            </w:tcBorders>
            <w:shd w:val="clear" w:color="auto" w:fill="auto"/>
            <w:noWrap/>
            <w:vAlign w:val="center"/>
          </w:tcPr>
          <w:p w14:paraId="071CA03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3C81F7C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33A60C7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1200</w:t>
            </w:r>
          </w:p>
        </w:tc>
        <w:tc>
          <w:tcPr>
            <w:tcW w:w="0" w:type="auto"/>
            <w:tcBorders>
              <w:tl2br w:val="nil"/>
              <w:tr2bl w:val="nil"/>
            </w:tcBorders>
            <w:shd w:val="clear" w:color="auto" w:fill="auto"/>
            <w:noWrap/>
            <w:vAlign w:val="center"/>
          </w:tcPr>
          <w:p w14:paraId="29B4938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166EF3B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26B34F5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59CBA58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36E5ED4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11C73CB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2500</w:t>
            </w:r>
          </w:p>
        </w:tc>
        <w:tc>
          <w:tcPr>
            <w:tcW w:w="0" w:type="auto"/>
            <w:tcBorders>
              <w:tl2br w:val="nil"/>
              <w:tr2bl w:val="nil"/>
            </w:tcBorders>
            <w:shd w:val="clear" w:color="auto" w:fill="auto"/>
            <w:noWrap/>
            <w:vAlign w:val="center"/>
          </w:tcPr>
          <w:p w14:paraId="1BADED5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25E5FFF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18.06</w:t>
            </w:r>
          </w:p>
        </w:tc>
      </w:tr>
      <w:tr w14:paraId="4CBB7D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0B17A54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600</w:t>
            </w:r>
          </w:p>
        </w:tc>
        <w:tc>
          <w:tcPr>
            <w:tcW w:w="0" w:type="auto"/>
            <w:tcBorders>
              <w:tl2br w:val="nil"/>
              <w:tr2bl w:val="nil"/>
            </w:tcBorders>
            <w:shd w:val="clear" w:color="auto" w:fill="auto"/>
            <w:noWrap/>
            <w:vAlign w:val="center"/>
          </w:tcPr>
          <w:p w14:paraId="3CE8D52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1D98530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49869D8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1200</w:t>
            </w:r>
          </w:p>
        </w:tc>
        <w:tc>
          <w:tcPr>
            <w:tcW w:w="0" w:type="auto"/>
            <w:tcBorders>
              <w:tl2br w:val="nil"/>
              <w:tr2bl w:val="nil"/>
            </w:tcBorders>
            <w:shd w:val="clear" w:color="auto" w:fill="auto"/>
            <w:noWrap/>
            <w:vAlign w:val="center"/>
          </w:tcPr>
          <w:p w14:paraId="74D3286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15FA7D4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26F4198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1900</w:t>
            </w:r>
          </w:p>
        </w:tc>
        <w:tc>
          <w:tcPr>
            <w:tcW w:w="0" w:type="auto"/>
            <w:tcBorders>
              <w:tl2br w:val="nil"/>
              <w:tr2bl w:val="nil"/>
            </w:tcBorders>
            <w:shd w:val="clear" w:color="auto" w:fill="auto"/>
            <w:noWrap/>
            <w:vAlign w:val="center"/>
          </w:tcPr>
          <w:p w14:paraId="2AA95DE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72DF6A7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18.07</w:t>
            </w:r>
          </w:p>
        </w:tc>
        <w:tc>
          <w:tcPr>
            <w:tcW w:w="0" w:type="auto"/>
            <w:tcBorders>
              <w:tl2br w:val="nil"/>
              <w:tr2bl w:val="nil"/>
            </w:tcBorders>
            <w:shd w:val="clear" w:color="auto" w:fill="auto"/>
            <w:noWrap/>
            <w:vAlign w:val="center"/>
          </w:tcPr>
          <w:p w14:paraId="0B289AA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2500</w:t>
            </w:r>
          </w:p>
        </w:tc>
        <w:tc>
          <w:tcPr>
            <w:tcW w:w="0" w:type="auto"/>
            <w:tcBorders>
              <w:tl2br w:val="nil"/>
              <w:tr2bl w:val="nil"/>
            </w:tcBorders>
            <w:shd w:val="clear" w:color="auto" w:fill="auto"/>
            <w:noWrap/>
            <w:vAlign w:val="center"/>
          </w:tcPr>
          <w:p w14:paraId="4ABD937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4805B64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18.01</w:t>
            </w:r>
          </w:p>
        </w:tc>
      </w:tr>
      <w:tr w14:paraId="420DC6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1E475FA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600</w:t>
            </w:r>
          </w:p>
        </w:tc>
        <w:tc>
          <w:tcPr>
            <w:tcW w:w="0" w:type="auto"/>
            <w:tcBorders>
              <w:tl2br w:val="nil"/>
              <w:tr2bl w:val="nil"/>
            </w:tcBorders>
            <w:shd w:val="clear" w:color="auto" w:fill="auto"/>
            <w:noWrap/>
            <w:vAlign w:val="center"/>
          </w:tcPr>
          <w:p w14:paraId="4FA694E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72A62DB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6125EBD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1300</w:t>
            </w:r>
          </w:p>
        </w:tc>
        <w:tc>
          <w:tcPr>
            <w:tcW w:w="0" w:type="auto"/>
            <w:tcBorders>
              <w:tl2br w:val="nil"/>
              <w:tr2bl w:val="nil"/>
            </w:tcBorders>
            <w:shd w:val="clear" w:color="auto" w:fill="auto"/>
            <w:noWrap/>
            <w:vAlign w:val="center"/>
          </w:tcPr>
          <w:p w14:paraId="7CB6D68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0793B60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18.08</w:t>
            </w:r>
          </w:p>
        </w:tc>
        <w:tc>
          <w:tcPr>
            <w:tcW w:w="0" w:type="auto"/>
            <w:tcBorders>
              <w:tl2br w:val="nil"/>
              <w:tr2bl w:val="nil"/>
            </w:tcBorders>
            <w:shd w:val="clear" w:color="auto" w:fill="auto"/>
            <w:noWrap/>
            <w:vAlign w:val="center"/>
          </w:tcPr>
          <w:p w14:paraId="25AA4BF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1900</w:t>
            </w:r>
          </w:p>
        </w:tc>
        <w:tc>
          <w:tcPr>
            <w:tcW w:w="0" w:type="auto"/>
            <w:tcBorders>
              <w:tl2br w:val="nil"/>
              <w:tr2bl w:val="nil"/>
            </w:tcBorders>
            <w:shd w:val="clear" w:color="auto" w:fill="auto"/>
            <w:noWrap/>
            <w:vAlign w:val="center"/>
          </w:tcPr>
          <w:p w14:paraId="1AB7F8D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516755C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18.01</w:t>
            </w:r>
          </w:p>
        </w:tc>
        <w:tc>
          <w:tcPr>
            <w:tcW w:w="0" w:type="auto"/>
            <w:tcBorders>
              <w:tl2br w:val="nil"/>
              <w:tr2bl w:val="nil"/>
            </w:tcBorders>
            <w:shd w:val="clear" w:color="auto" w:fill="auto"/>
            <w:noWrap/>
            <w:vAlign w:val="center"/>
          </w:tcPr>
          <w:p w14:paraId="1CA34D1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2500</w:t>
            </w:r>
          </w:p>
        </w:tc>
        <w:tc>
          <w:tcPr>
            <w:tcW w:w="0" w:type="auto"/>
            <w:tcBorders>
              <w:tl2br w:val="nil"/>
              <w:tr2bl w:val="nil"/>
            </w:tcBorders>
            <w:shd w:val="clear" w:color="auto" w:fill="auto"/>
            <w:noWrap/>
            <w:vAlign w:val="center"/>
          </w:tcPr>
          <w:p w14:paraId="3D48F3F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466430B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r>
      <w:tr w14:paraId="54F96A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0" w:type="auto"/>
            <w:tcBorders>
              <w:tl2br w:val="nil"/>
              <w:tr2bl w:val="nil"/>
            </w:tcBorders>
            <w:shd w:val="clear" w:color="auto" w:fill="auto"/>
            <w:noWrap/>
            <w:vAlign w:val="center"/>
          </w:tcPr>
          <w:p w14:paraId="5869280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700</w:t>
            </w:r>
          </w:p>
        </w:tc>
        <w:tc>
          <w:tcPr>
            <w:tcW w:w="0" w:type="auto"/>
            <w:tcBorders>
              <w:tl2br w:val="nil"/>
              <w:tr2bl w:val="nil"/>
            </w:tcBorders>
            <w:shd w:val="clear" w:color="auto" w:fill="auto"/>
            <w:noWrap/>
            <w:vAlign w:val="center"/>
          </w:tcPr>
          <w:p w14:paraId="665E2FB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7FF334B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18.12</w:t>
            </w:r>
          </w:p>
        </w:tc>
        <w:tc>
          <w:tcPr>
            <w:tcW w:w="0" w:type="auto"/>
            <w:tcBorders>
              <w:tl2br w:val="nil"/>
              <w:tr2bl w:val="nil"/>
            </w:tcBorders>
            <w:shd w:val="clear" w:color="auto" w:fill="auto"/>
            <w:noWrap/>
            <w:vAlign w:val="center"/>
          </w:tcPr>
          <w:p w14:paraId="1586962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1300</w:t>
            </w:r>
          </w:p>
        </w:tc>
        <w:tc>
          <w:tcPr>
            <w:tcW w:w="0" w:type="auto"/>
            <w:tcBorders>
              <w:tl2br w:val="nil"/>
              <w:tr2bl w:val="nil"/>
            </w:tcBorders>
            <w:shd w:val="clear" w:color="auto" w:fill="auto"/>
            <w:noWrap/>
            <w:vAlign w:val="center"/>
          </w:tcPr>
          <w:p w14:paraId="08F0B95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7A8B1E0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18.01</w:t>
            </w:r>
          </w:p>
        </w:tc>
        <w:tc>
          <w:tcPr>
            <w:tcW w:w="0" w:type="auto"/>
            <w:tcBorders>
              <w:tl2br w:val="nil"/>
              <w:tr2bl w:val="nil"/>
            </w:tcBorders>
            <w:shd w:val="clear" w:color="auto" w:fill="auto"/>
            <w:noWrap/>
            <w:vAlign w:val="center"/>
          </w:tcPr>
          <w:p w14:paraId="00BEA64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1900</w:t>
            </w:r>
          </w:p>
        </w:tc>
        <w:tc>
          <w:tcPr>
            <w:tcW w:w="0" w:type="auto"/>
            <w:tcBorders>
              <w:tl2br w:val="nil"/>
              <w:tr2bl w:val="nil"/>
            </w:tcBorders>
            <w:shd w:val="clear" w:color="auto" w:fill="auto"/>
            <w:noWrap/>
            <w:vAlign w:val="center"/>
          </w:tcPr>
          <w:p w14:paraId="3DBF773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5A3AF94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02B03D1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2500</w:t>
            </w:r>
          </w:p>
        </w:tc>
        <w:tc>
          <w:tcPr>
            <w:tcW w:w="0" w:type="auto"/>
            <w:tcBorders>
              <w:tl2br w:val="nil"/>
              <w:tr2bl w:val="nil"/>
            </w:tcBorders>
            <w:shd w:val="clear" w:color="auto" w:fill="auto"/>
            <w:noWrap/>
            <w:vAlign w:val="center"/>
          </w:tcPr>
          <w:p w14:paraId="6E26797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0DE38E2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center"/>
              <w:rPr>
                <w:rFonts w:hint="default" w:ascii="Times New Roman" w:hAnsi="Times New Roman" w:eastAsia="等线" w:cs="Times New Roman"/>
                <w:i w:val="0"/>
                <w:iCs w:val="0"/>
                <w:color w:val="auto"/>
                <w:sz w:val="21"/>
                <w:szCs w:val="21"/>
                <w:u w:val="none"/>
              </w:rPr>
            </w:pPr>
            <w:r>
              <w:rPr>
                <w:rFonts w:hint="default" w:ascii="Times New Roman" w:hAnsi="Times New Roman" w:eastAsia="等线" w:cs="Times New Roman"/>
                <w:i w:val="0"/>
                <w:iCs w:val="0"/>
                <w:snapToGrid w:val="0"/>
                <w:color w:val="auto"/>
                <w:kern w:val="0"/>
                <w:sz w:val="21"/>
                <w:szCs w:val="21"/>
                <w:u w:val="none"/>
                <w:lang w:val="en-US" w:eastAsia="zh-CN" w:bidi="ar"/>
              </w:rPr>
              <w:t>18.00</w:t>
            </w:r>
          </w:p>
        </w:tc>
      </w:tr>
    </w:tbl>
    <w:p w14:paraId="1C1F0A4C">
      <w:pPr>
        <w:pStyle w:val="8"/>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b/>
          <w:bCs/>
          <w:snapToGrid w:val="0"/>
          <w:color w:val="auto"/>
          <w:spacing w:val="-5"/>
          <w:kern w:val="0"/>
          <w:sz w:val="24"/>
          <w:szCs w:val="24"/>
          <w:lang w:val="en-US" w:eastAsia="zh-CN" w:bidi="ar-SA"/>
        </w:rPr>
      </w:pPr>
      <w:r>
        <w:rPr>
          <w:rFonts w:hint="eastAsia" w:ascii="Times New Roman" w:hAnsi="Times New Roman" w:eastAsia="宋体" w:cs="Times New Roman"/>
          <w:b/>
          <w:bCs/>
          <w:snapToGrid w:val="0"/>
          <w:color w:val="auto"/>
          <w:spacing w:val="-5"/>
          <w:kern w:val="0"/>
          <w:sz w:val="24"/>
          <w:szCs w:val="24"/>
          <w:lang w:val="en-US" w:eastAsia="zh-CN" w:bidi="ar-SA"/>
        </w:rPr>
        <w:t>表4-10    NH</w:t>
      </w:r>
      <w:r>
        <w:rPr>
          <w:rFonts w:hint="eastAsia" w:ascii="Times New Roman" w:hAnsi="Times New Roman" w:eastAsia="宋体" w:cs="Times New Roman"/>
          <w:b/>
          <w:bCs/>
          <w:snapToGrid w:val="0"/>
          <w:color w:val="auto"/>
          <w:spacing w:val="-5"/>
          <w:kern w:val="0"/>
          <w:sz w:val="24"/>
          <w:szCs w:val="24"/>
          <w:vertAlign w:val="subscript"/>
          <w:lang w:val="en-US" w:eastAsia="zh-CN" w:bidi="ar-SA"/>
        </w:rPr>
        <w:t>3</w:t>
      </w:r>
      <w:r>
        <w:rPr>
          <w:rFonts w:hint="eastAsia" w:ascii="Times New Roman" w:hAnsi="Times New Roman" w:eastAsia="宋体" w:cs="Times New Roman"/>
          <w:b/>
          <w:bCs/>
          <w:snapToGrid w:val="0"/>
          <w:color w:val="auto"/>
          <w:spacing w:val="-5"/>
          <w:kern w:val="0"/>
          <w:sz w:val="24"/>
          <w:szCs w:val="24"/>
          <w:lang w:val="en-US" w:eastAsia="zh-CN" w:bidi="ar-SA"/>
        </w:rPr>
        <w:t>-N污染物预测结果</w:t>
      </w:r>
    </w:p>
    <w:tbl>
      <w:tblPr>
        <w:tblStyle w:val="3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74"/>
        <w:gridCol w:w="774"/>
        <w:gridCol w:w="774"/>
        <w:gridCol w:w="774"/>
        <w:gridCol w:w="774"/>
        <w:gridCol w:w="774"/>
        <w:gridCol w:w="774"/>
        <w:gridCol w:w="774"/>
        <w:gridCol w:w="774"/>
        <w:gridCol w:w="774"/>
        <w:gridCol w:w="774"/>
        <w:gridCol w:w="774"/>
      </w:tblGrid>
      <w:tr w14:paraId="3F0137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1080" w:type="dxa"/>
            <w:tcBorders>
              <w:tl2br w:val="nil"/>
              <w:tr2bl w:val="nil"/>
            </w:tcBorders>
            <w:shd w:val="clear" w:color="auto" w:fill="auto"/>
            <w:noWrap/>
            <w:vAlign w:val="center"/>
          </w:tcPr>
          <w:p w14:paraId="19B9594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w:t>
            </w:r>
          </w:p>
        </w:tc>
        <w:tc>
          <w:tcPr>
            <w:tcW w:w="1080" w:type="dxa"/>
            <w:tcBorders>
              <w:tl2br w:val="nil"/>
              <w:tr2bl w:val="nil"/>
            </w:tcBorders>
            <w:shd w:val="clear" w:color="auto" w:fill="auto"/>
            <w:noWrap/>
            <w:vAlign w:val="center"/>
          </w:tcPr>
          <w:p w14:paraId="3037E81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1080" w:type="dxa"/>
            <w:tcBorders>
              <w:tl2br w:val="nil"/>
              <w:tr2bl w:val="nil"/>
            </w:tcBorders>
            <w:shd w:val="clear" w:color="auto" w:fill="auto"/>
            <w:noWrap/>
            <w:vAlign w:val="center"/>
          </w:tcPr>
          <w:p w14:paraId="62E4AD4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1.003</w:t>
            </w:r>
          </w:p>
        </w:tc>
        <w:tc>
          <w:tcPr>
            <w:tcW w:w="1080" w:type="dxa"/>
            <w:tcBorders>
              <w:tl2br w:val="nil"/>
              <w:tr2bl w:val="nil"/>
            </w:tcBorders>
            <w:shd w:val="clear" w:color="auto" w:fill="auto"/>
            <w:noWrap/>
            <w:vAlign w:val="center"/>
          </w:tcPr>
          <w:p w14:paraId="3D2388B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700</w:t>
            </w:r>
          </w:p>
        </w:tc>
        <w:tc>
          <w:tcPr>
            <w:tcW w:w="1080" w:type="dxa"/>
            <w:tcBorders>
              <w:tl2br w:val="nil"/>
              <w:tr2bl w:val="nil"/>
            </w:tcBorders>
            <w:shd w:val="clear" w:color="auto" w:fill="auto"/>
            <w:noWrap/>
            <w:vAlign w:val="center"/>
          </w:tcPr>
          <w:p w14:paraId="6B0F830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1080" w:type="dxa"/>
            <w:tcBorders>
              <w:tl2br w:val="nil"/>
              <w:tr2bl w:val="nil"/>
            </w:tcBorders>
            <w:shd w:val="clear" w:color="auto" w:fill="auto"/>
            <w:noWrap/>
            <w:vAlign w:val="center"/>
          </w:tcPr>
          <w:p w14:paraId="79434A8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1080" w:type="dxa"/>
            <w:tcBorders>
              <w:tl2br w:val="nil"/>
              <w:tr2bl w:val="nil"/>
            </w:tcBorders>
            <w:shd w:val="clear" w:color="auto" w:fill="auto"/>
            <w:noWrap/>
            <w:vAlign w:val="center"/>
          </w:tcPr>
          <w:p w14:paraId="6FEEB84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1300</w:t>
            </w:r>
          </w:p>
        </w:tc>
        <w:tc>
          <w:tcPr>
            <w:tcW w:w="1080" w:type="dxa"/>
            <w:tcBorders>
              <w:tl2br w:val="nil"/>
              <w:tr2bl w:val="nil"/>
            </w:tcBorders>
            <w:shd w:val="clear" w:color="auto" w:fill="auto"/>
            <w:noWrap/>
            <w:vAlign w:val="center"/>
          </w:tcPr>
          <w:p w14:paraId="73B4810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1080" w:type="dxa"/>
            <w:tcBorders>
              <w:tl2br w:val="nil"/>
              <w:tr2bl w:val="nil"/>
            </w:tcBorders>
            <w:shd w:val="clear" w:color="auto" w:fill="auto"/>
            <w:noWrap/>
            <w:vAlign w:val="center"/>
          </w:tcPr>
          <w:p w14:paraId="19AAE98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1080" w:type="dxa"/>
            <w:tcBorders>
              <w:tl2br w:val="nil"/>
              <w:tr2bl w:val="nil"/>
            </w:tcBorders>
            <w:shd w:val="clear" w:color="auto" w:fill="auto"/>
            <w:noWrap/>
            <w:vAlign w:val="center"/>
          </w:tcPr>
          <w:p w14:paraId="63C5DBD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1900</w:t>
            </w:r>
          </w:p>
        </w:tc>
        <w:tc>
          <w:tcPr>
            <w:tcW w:w="1080" w:type="dxa"/>
            <w:tcBorders>
              <w:tl2br w:val="nil"/>
              <w:tr2bl w:val="nil"/>
            </w:tcBorders>
            <w:shd w:val="clear" w:color="auto" w:fill="auto"/>
            <w:noWrap/>
            <w:vAlign w:val="center"/>
          </w:tcPr>
          <w:p w14:paraId="4DE5D59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1080" w:type="dxa"/>
            <w:tcBorders>
              <w:tl2br w:val="nil"/>
              <w:tr2bl w:val="nil"/>
            </w:tcBorders>
            <w:shd w:val="clear" w:color="auto" w:fill="auto"/>
            <w:noWrap/>
            <w:vAlign w:val="center"/>
          </w:tcPr>
          <w:p w14:paraId="0AE952E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173FE6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44F9846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w:t>
            </w:r>
          </w:p>
        </w:tc>
        <w:tc>
          <w:tcPr>
            <w:tcW w:w="0" w:type="auto"/>
            <w:tcBorders>
              <w:tl2br w:val="nil"/>
              <w:tr2bl w:val="nil"/>
            </w:tcBorders>
            <w:shd w:val="clear" w:color="auto" w:fill="auto"/>
            <w:noWrap/>
            <w:vAlign w:val="center"/>
          </w:tcPr>
          <w:p w14:paraId="4B84248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2518F5D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4BE39DE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700</w:t>
            </w:r>
          </w:p>
        </w:tc>
        <w:tc>
          <w:tcPr>
            <w:tcW w:w="0" w:type="auto"/>
            <w:tcBorders>
              <w:tl2br w:val="nil"/>
              <w:tr2bl w:val="nil"/>
            </w:tcBorders>
            <w:shd w:val="clear" w:color="auto" w:fill="auto"/>
            <w:noWrap/>
            <w:vAlign w:val="center"/>
          </w:tcPr>
          <w:p w14:paraId="6F7C156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0364CE7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73D40ED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1300</w:t>
            </w:r>
          </w:p>
        </w:tc>
        <w:tc>
          <w:tcPr>
            <w:tcW w:w="0" w:type="auto"/>
            <w:tcBorders>
              <w:tl2br w:val="nil"/>
              <w:tr2bl w:val="nil"/>
            </w:tcBorders>
            <w:shd w:val="clear" w:color="auto" w:fill="auto"/>
            <w:noWrap/>
            <w:vAlign w:val="center"/>
          </w:tcPr>
          <w:p w14:paraId="6AED026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4EE8411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51E2C3B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2000</w:t>
            </w:r>
          </w:p>
        </w:tc>
        <w:tc>
          <w:tcPr>
            <w:tcW w:w="0" w:type="auto"/>
            <w:tcBorders>
              <w:tl2br w:val="nil"/>
              <w:tr2bl w:val="nil"/>
            </w:tcBorders>
            <w:shd w:val="clear" w:color="auto" w:fill="auto"/>
            <w:noWrap/>
            <w:vAlign w:val="center"/>
          </w:tcPr>
          <w:p w14:paraId="44AE759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1F7EBF0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0.910</w:t>
            </w:r>
          </w:p>
        </w:tc>
      </w:tr>
      <w:tr w14:paraId="2EA028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77EE022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w:t>
            </w:r>
          </w:p>
        </w:tc>
        <w:tc>
          <w:tcPr>
            <w:tcW w:w="0" w:type="auto"/>
            <w:tcBorders>
              <w:tl2br w:val="nil"/>
              <w:tr2bl w:val="nil"/>
            </w:tcBorders>
            <w:shd w:val="clear" w:color="auto" w:fill="auto"/>
            <w:noWrap/>
            <w:vAlign w:val="center"/>
          </w:tcPr>
          <w:p w14:paraId="40390D6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5185B78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735A91F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700</w:t>
            </w:r>
          </w:p>
        </w:tc>
        <w:tc>
          <w:tcPr>
            <w:tcW w:w="0" w:type="auto"/>
            <w:tcBorders>
              <w:tl2br w:val="nil"/>
              <w:tr2bl w:val="nil"/>
            </w:tcBorders>
            <w:shd w:val="clear" w:color="auto" w:fill="auto"/>
            <w:noWrap/>
            <w:vAlign w:val="center"/>
          </w:tcPr>
          <w:p w14:paraId="3C68479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70F762F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490ED20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1400</w:t>
            </w:r>
          </w:p>
        </w:tc>
        <w:tc>
          <w:tcPr>
            <w:tcW w:w="0" w:type="auto"/>
            <w:tcBorders>
              <w:tl2br w:val="nil"/>
              <w:tr2bl w:val="nil"/>
            </w:tcBorders>
            <w:shd w:val="clear" w:color="auto" w:fill="auto"/>
            <w:noWrap/>
            <w:vAlign w:val="center"/>
          </w:tcPr>
          <w:p w14:paraId="2D434C7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0A2F95D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0.915</w:t>
            </w:r>
          </w:p>
        </w:tc>
        <w:tc>
          <w:tcPr>
            <w:tcW w:w="0" w:type="auto"/>
            <w:tcBorders>
              <w:tl2br w:val="nil"/>
              <w:tr2bl w:val="nil"/>
            </w:tcBorders>
            <w:shd w:val="clear" w:color="auto" w:fill="auto"/>
            <w:noWrap/>
            <w:vAlign w:val="center"/>
          </w:tcPr>
          <w:p w14:paraId="0C69AC5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2000</w:t>
            </w:r>
          </w:p>
        </w:tc>
        <w:tc>
          <w:tcPr>
            <w:tcW w:w="0" w:type="auto"/>
            <w:tcBorders>
              <w:tl2br w:val="nil"/>
              <w:tr2bl w:val="nil"/>
            </w:tcBorders>
            <w:shd w:val="clear" w:color="auto" w:fill="auto"/>
            <w:noWrap/>
            <w:vAlign w:val="center"/>
          </w:tcPr>
          <w:p w14:paraId="6CD98FB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232637D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0.891</w:t>
            </w:r>
          </w:p>
        </w:tc>
      </w:tr>
      <w:tr w14:paraId="2166D9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676AE32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w:t>
            </w:r>
          </w:p>
        </w:tc>
        <w:tc>
          <w:tcPr>
            <w:tcW w:w="0" w:type="auto"/>
            <w:tcBorders>
              <w:tl2br w:val="nil"/>
              <w:tr2bl w:val="nil"/>
            </w:tcBorders>
            <w:shd w:val="clear" w:color="auto" w:fill="auto"/>
            <w:noWrap/>
            <w:vAlign w:val="center"/>
          </w:tcPr>
          <w:p w14:paraId="7156D6F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682898B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4DF089A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800</w:t>
            </w:r>
          </w:p>
        </w:tc>
        <w:tc>
          <w:tcPr>
            <w:tcW w:w="0" w:type="auto"/>
            <w:tcBorders>
              <w:tl2br w:val="nil"/>
              <w:tr2bl w:val="nil"/>
            </w:tcBorders>
            <w:shd w:val="clear" w:color="auto" w:fill="auto"/>
            <w:noWrap/>
            <w:vAlign w:val="center"/>
          </w:tcPr>
          <w:p w14:paraId="32EDD8A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68326AC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0.926</w:t>
            </w:r>
          </w:p>
        </w:tc>
        <w:tc>
          <w:tcPr>
            <w:tcW w:w="0" w:type="auto"/>
            <w:tcBorders>
              <w:tl2br w:val="nil"/>
              <w:tr2bl w:val="nil"/>
            </w:tcBorders>
            <w:shd w:val="clear" w:color="auto" w:fill="auto"/>
            <w:noWrap/>
            <w:vAlign w:val="center"/>
          </w:tcPr>
          <w:p w14:paraId="483B70E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1400</w:t>
            </w:r>
          </w:p>
        </w:tc>
        <w:tc>
          <w:tcPr>
            <w:tcW w:w="0" w:type="auto"/>
            <w:tcBorders>
              <w:tl2br w:val="nil"/>
              <w:tr2bl w:val="nil"/>
            </w:tcBorders>
            <w:shd w:val="clear" w:color="auto" w:fill="auto"/>
            <w:noWrap/>
            <w:vAlign w:val="center"/>
          </w:tcPr>
          <w:p w14:paraId="5E77826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69280A2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0.890</w:t>
            </w:r>
          </w:p>
        </w:tc>
        <w:tc>
          <w:tcPr>
            <w:tcW w:w="0" w:type="auto"/>
            <w:tcBorders>
              <w:tl2br w:val="nil"/>
              <w:tr2bl w:val="nil"/>
            </w:tcBorders>
            <w:shd w:val="clear" w:color="auto" w:fill="auto"/>
            <w:noWrap/>
            <w:vAlign w:val="center"/>
          </w:tcPr>
          <w:p w14:paraId="27B9FC0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2000</w:t>
            </w:r>
          </w:p>
        </w:tc>
        <w:tc>
          <w:tcPr>
            <w:tcW w:w="0" w:type="auto"/>
            <w:tcBorders>
              <w:tl2br w:val="nil"/>
              <w:tr2bl w:val="nil"/>
            </w:tcBorders>
            <w:shd w:val="clear" w:color="auto" w:fill="auto"/>
            <w:noWrap/>
            <w:vAlign w:val="center"/>
          </w:tcPr>
          <w:p w14:paraId="144237F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65D3308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5D1BF6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2C1598F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w:t>
            </w:r>
          </w:p>
        </w:tc>
        <w:tc>
          <w:tcPr>
            <w:tcW w:w="0" w:type="auto"/>
            <w:tcBorders>
              <w:tl2br w:val="nil"/>
              <w:tr2bl w:val="nil"/>
            </w:tcBorders>
            <w:shd w:val="clear" w:color="auto" w:fill="auto"/>
            <w:noWrap/>
            <w:vAlign w:val="center"/>
          </w:tcPr>
          <w:p w14:paraId="298B5A1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7BC7C23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0.968</w:t>
            </w:r>
          </w:p>
        </w:tc>
        <w:tc>
          <w:tcPr>
            <w:tcW w:w="0" w:type="auto"/>
            <w:tcBorders>
              <w:tl2br w:val="nil"/>
              <w:tr2bl w:val="nil"/>
            </w:tcBorders>
            <w:shd w:val="clear" w:color="auto" w:fill="auto"/>
            <w:noWrap/>
            <w:vAlign w:val="center"/>
          </w:tcPr>
          <w:p w14:paraId="3338C6B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800</w:t>
            </w:r>
          </w:p>
        </w:tc>
        <w:tc>
          <w:tcPr>
            <w:tcW w:w="0" w:type="auto"/>
            <w:tcBorders>
              <w:tl2br w:val="nil"/>
              <w:tr2bl w:val="nil"/>
            </w:tcBorders>
            <w:shd w:val="clear" w:color="auto" w:fill="auto"/>
            <w:noWrap/>
            <w:vAlign w:val="center"/>
          </w:tcPr>
          <w:p w14:paraId="25C379A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1281E91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0.888</w:t>
            </w:r>
          </w:p>
        </w:tc>
        <w:tc>
          <w:tcPr>
            <w:tcW w:w="0" w:type="auto"/>
            <w:tcBorders>
              <w:tl2br w:val="nil"/>
              <w:tr2bl w:val="nil"/>
            </w:tcBorders>
            <w:shd w:val="clear" w:color="auto" w:fill="auto"/>
            <w:noWrap/>
            <w:vAlign w:val="center"/>
          </w:tcPr>
          <w:p w14:paraId="6F16689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1400</w:t>
            </w:r>
          </w:p>
        </w:tc>
        <w:tc>
          <w:tcPr>
            <w:tcW w:w="0" w:type="auto"/>
            <w:tcBorders>
              <w:tl2br w:val="nil"/>
              <w:tr2bl w:val="nil"/>
            </w:tcBorders>
            <w:shd w:val="clear" w:color="auto" w:fill="auto"/>
            <w:noWrap/>
            <w:vAlign w:val="center"/>
          </w:tcPr>
          <w:p w14:paraId="7EE2795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78191F7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2EE1D55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2000</w:t>
            </w:r>
          </w:p>
        </w:tc>
        <w:tc>
          <w:tcPr>
            <w:tcW w:w="0" w:type="auto"/>
            <w:tcBorders>
              <w:tl2br w:val="nil"/>
              <w:tr2bl w:val="nil"/>
            </w:tcBorders>
            <w:shd w:val="clear" w:color="auto" w:fill="auto"/>
            <w:noWrap/>
            <w:vAlign w:val="center"/>
          </w:tcPr>
          <w:p w14:paraId="57790C3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0776FD5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1289EE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4C6B4E1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w:t>
            </w:r>
          </w:p>
        </w:tc>
        <w:tc>
          <w:tcPr>
            <w:tcW w:w="0" w:type="auto"/>
            <w:tcBorders>
              <w:tl2br w:val="nil"/>
              <w:tr2bl w:val="nil"/>
            </w:tcBorders>
            <w:shd w:val="clear" w:color="auto" w:fill="auto"/>
            <w:noWrap/>
            <w:vAlign w:val="center"/>
          </w:tcPr>
          <w:p w14:paraId="11D1809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553D610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49AB440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800</w:t>
            </w:r>
          </w:p>
        </w:tc>
        <w:tc>
          <w:tcPr>
            <w:tcW w:w="0" w:type="auto"/>
            <w:tcBorders>
              <w:tl2br w:val="nil"/>
              <w:tr2bl w:val="nil"/>
            </w:tcBorders>
            <w:shd w:val="clear" w:color="auto" w:fill="auto"/>
            <w:noWrap/>
            <w:vAlign w:val="center"/>
          </w:tcPr>
          <w:p w14:paraId="0CBEB64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4528348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69A81BA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1400</w:t>
            </w:r>
          </w:p>
        </w:tc>
        <w:tc>
          <w:tcPr>
            <w:tcW w:w="0" w:type="auto"/>
            <w:tcBorders>
              <w:tl2br w:val="nil"/>
              <w:tr2bl w:val="nil"/>
            </w:tcBorders>
            <w:shd w:val="clear" w:color="auto" w:fill="auto"/>
            <w:noWrap/>
            <w:vAlign w:val="center"/>
          </w:tcPr>
          <w:p w14:paraId="5C15054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6C9B7DA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20E235C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2100</w:t>
            </w:r>
          </w:p>
        </w:tc>
        <w:tc>
          <w:tcPr>
            <w:tcW w:w="0" w:type="auto"/>
            <w:tcBorders>
              <w:tl2br w:val="nil"/>
              <w:tr2bl w:val="nil"/>
            </w:tcBorders>
            <w:shd w:val="clear" w:color="auto" w:fill="auto"/>
            <w:noWrap/>
            <w:vAlign w:val="center"/>
          </w:tcPr>
          <w:p w14:paraId="0D9B0E1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27DF346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0.909</w:t>
            </w:r>
          </w:p>
        </w:tc>
      </w:tr>
      <w:tr w14:paraId="16B395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608F556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w:t>
            </w:r>
          </w:p>
        </w:tc>
        <w:tc>
          <w:tcPr>
            <w:tcW w:w="0" w:type="auto"/>
            <w:tcBorders>
              <w:tl2br w:val="nil"/>
              <w:tr2bl w:val="nil"/>
            </w:tcBorders>
            <w:shd w:val="clear" w:color="auto" w:fill="auto"/>
            <w:noWrap/>
            <w:vAlign w:val="center"/>
          </w:tcPr>
          <w:p w14:paraId="076C70D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648F52B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37526B8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800</w:t>
            </w:r>
          </w:p>
        </w:tc>
        <w:tc>
          <w:tcPr>
            <w:tcW w:w="0" w:type="auto"/>
            <w:tcBorders>
              <w:tl2br w:val="nil"/>
              <w:tr2bl w:val="nil"/>
            </w:tcBorders>
            <w:shd w:val="clear" w:color="auto" w:fill="auto"/>
            <w:noWrap/>
            <w:vAlign w:val="center"/>
          </w:tcPr>
          <w:p w14:paraId="0EF6518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086C804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4FE4290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1500</w:t>
            </w:r>
          </w:p>
        </w:tc>
        <w:tc>
          <w:tcPr>
            <w:tcW w:w="0" w:type="auto"/>
            <w:tcBorders>
              <w:tl2br w:val="nil"/>
              <w:tr2bl w:val="nil"/>
            </w:tcBorders>
            <w:shd w:val="clear" w:color="auto" w:fill="auto"/>
            <w:noWrap/>
            <w:vAlign w:val="center"/>
          </w:tcPr>
          <w:p w14:paraId="729CF41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0CC617E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0.914</w:t>
            </w:r>
          </w:p>
        </w:tc>
        <w:tc>
          <w:tcPr>
            <w:tcW w:w="0" w:type="auto"/>
            <w:tcBorders>
              <w:tl2br w:val="nil"/>
              <w:tr2bl w:val="nil"/>
            </w:tcBorders>
            <w:shd w:val="clear" w:color="auto" w:fill="auto"/>
            <w:noWrap/>
            <w:vAlign w:val="center"/>
          </w:tcPr>
          <w:p w14:paraId="643FFB9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2100</w:t>
            </w:r>
          </w:p>
        </w:tc>
        <w:tc>
          <w:tcPr>
            <w:tcW w:w="0" w:type="auto"/>
            <w:tcBorders>
              <w:tl2br w:val="nil"/>
              <w:tr2bl w:val="nil"/>
            </w:tcBorders>
            <w:shd w:val="clear" w:color="auto" w:fill="auto"/>
            <w:noWrap/>
            <w:vAlign w:val="center"/>
          </w:tcPr>
          <w:p w14:paraId="320836F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07811CB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0.891</w:t>
            </w:r>
          </w:p>
        </w:tc>
      </w:tr>
      <w:tr w14:paraId="7997E9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03F271F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200</w:t>
            </w:r>
          </w:p>
        </w:tc>
        <w:tc>
          <w:tcPr>
            <w:tcW w:w="0" w:type="auto"/>
            <w:tcBorders>
              <w:tl2br w:val="nil"/>
              <w:tr2bl w:val="nil"/>
            </w:tcBorders>
            <w:shd w:val="clear" w:color="auto" w:fill="auto"/>
            <w:noWrap/>
            <w:vAlign w:val="center"/>
          </w:tcPr>
          <w:p w14:paraId="744F9B6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4D3C9A4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080E815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900</w:t>
            </w:r>
          </w:p>
        </w:tc>
        <w:tc>
          <w:tcPr>
            <w:tcW w:w="0" w:type="auto"/>
            <w:tcBorders>
              <w:tl2br w:val="nil"/>
              <w:tr2bl w:val="nil"/>
            </w:tcBorders>
            <w:shd w:val="clear" w:color="auto" w:fill="auto"/>
            <w:noWrap/>
            <w:vAlign w:val="center"/>
          </w:tcPr>
          <w:p w14:paraId="3604D0D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625F66B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0.923</w:t>
            </w:r>
          </w:p>
        </w:tc>
        <w:tc>
          <w:tcPr>
            <w:tcW w:w="0" w:type="auto"/>
            <w:tcBorders>
              <w:tl2br w:val="nil"/>
              <w:tr2bl w:val="nil"/>
            </w:tcBorders>
            <w:shd w:val="clear" w:color="auto" w:fill="auto"/>
            <w:noWrap/>
            <w:vAlign w:val="center"/>
          </w:tcPr>
          <w:p w14:paraId="63196D9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1500</w:t>
            </w:r>
          </w:p>
        </w:tc>
        <w:tc>
          <w:tcPr>
            <w:tcW w:w="0" w:type="auto"/>
            <w:tcBorders>
              <w:tl2br w:val="nil"/>
              <w:tr2bl w:val="nil"/>
            </w:tcBorders>
            <w:shd w:val="clear" w:color="auto" w:fill="auto"/>
            <w:noWrap/>
            <w:vAlign w:val="center"/>
          </w:tcPr>
          <w:p w14:paraId="55A3C08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19F5EA7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0.890</w:t>
            </w:r>
          </w:p>
        </w:tc>
        <w:tc>
          <w:tcPr>
            <w:tcW w:w="0" w:type="auto"/>
            <w:tcBorders>
              <w:tl2br w:val="nil"/>
              <w:tr2bl w:val="nil"/>
            </w:tcBorders>
            <w:shd w:val="clear" w:color="auto" w:fill="auto"/>
            <w:noWrap/>
            <w:vAlign w:val="center"/>
          </w:tcPr>
          <w:p w14:paraId="1FD4CB2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2100</w:t>
            </w:r>
          </w:p>
        </w:tc>
        <w:tc>
          <w:tcPr>
            <w:tcW w:w="0" w:type="auto"/>
            <w:tcBorders>
              <w:tl2br w:val="nil"/>
              <w:tr2bl w:val="nil"/>
            </w:tcBorders>
            <w:shd w:val="clear" w:color="auto" w:fill="auto"/>
            <w:noWrap/>
            <w:vAlign w:val="center"/>
          </w:tcPr>
          <w:p w14:paraId="559CCB7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43CE7FF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174D31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0B6CF90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300</w:t>
            </w:r>
          </w:p>
        </w:tc>
        <w:tc>
          <w:tcPr>
            <w:tcW w:w="0" w:type="auto"/>
            <w:tcBorders>
              <w:tl2br w:val="nil"/>
              <w:tr2bl w:val="nil"/>
            </w:tcBorders>
            <w:shd w:val="clear" w:color="auto" w:fill="auto"/>
            <w:noWrap/>
            <w:vAlign w:val="center"/>
          </w:tcPr>
          <w:p w14:paraId="3F5D14C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5BE6484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0.953</w:t>
            </w:r>
          </w:p>
        </w:tc>
        <w:tc>
          <w:tcPr>
            <w:tcW w:w="0" w:type="auto"/>
            <w:tcBorders>
              <w:tl2br w:val="nil"/>
              <w:tr2bl w:val="nil"/>
            </w:tcBorders>
            <w:shd w:val="clear" w:color="auto" w:fill="auto"/>
            <w:noWrap/>
            <w:vAlign w:val="center"/>
          </w:tcPr>
          <w:p w14:paraId="2EB8DBE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900</w:t>
            </w:r>
          </w:p>
        </w:tc>
        <w:tc>
          <w:tcPr>
            <w:tcW w:w="0" w:type="auto"/>
            <w:tcBorders>
              <w:tl2br w:val="nil"/>
              <w:tr2bl w:val="nil"/>
            </w:tcBorders>
            <w:shd w:val="clear" w:color="auto" w:fill="auto"/>
            <w:noWrap/>
            <w:vAlign w:val="center"/>
          </w:tcPr>
          <w:p w14:paraId="6625CE7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68A6B7F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0.888</w:t>
            </w:r>
          </w:p>
        </w:tc>
        <w:tc>
          <w:tcPr>
            <w:tcW w:w="0" w:type="auto"/>
            <w:tcBorders>
              <w:tl2br w:val="nil"/>
              <w:tr2bl w:val="nil"/>
            </w:tcBorders>
            <w:shd w:val="clear" w:color="auto" w:fill="auto"/>
            <w:noWrap/>
            <w:vAlign w:val="center"/>
          </w:tcPr>
          <w:p w14:paraId="68B0B5A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1500</w:t>
            </w:r>
          </w:p>
        </w:tc>
        <w:tc>
          <w:tcPr>
            <w:tcW w:w="0" w:type="auto"/>
            <w:tcBorders>
              <w:tl2br w:val="nil"/>
              <w:tr2bl w:val="nil"/>
            </w:tcBorders>
            <w:shd w:val="clear" w:color="auto" w:fill="auto"/>
            <w:noWrap/>
            <w:vAlign w:val="center"/>
          </w:tcPr>
          <w:p w14:paraId="3FF8D8E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114D6AE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5A4199E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2100</w:t>
            </w:r>
          </w:p>
        </w:tc>
        <w:tc>
          <w:tcPr>
            <w:tcW w:w="0" w:type="auto"/>
            <w:tcBorders>
              <w:tl2br w:val="nil"/>
              <w:tr2bl w:val="nil"/>
            </w:tcBorders>
            <w:shd w:val="clear" w:color="auto" w:fill="auto"/>
            <w:noWrap/>
            <w:vAlign w:val="center"/>
          </w:tcPr>
          <w:p w14:paraId="1C643F7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1FFF2D5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4822DA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522A494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300</w:t>
            </w:r>
          </w:p>
        </w:tc>
        <w:tc>
          <w:tcPr>
            <w:tcW w:w="0" w:type="auto"/>
            <w:tcBorders>
              <w:tl2br w:val="nil"/>
              <w:tr2bl w:val="nil"/>
            </w:tcBorders>
            <w:shd w:val="clear" w:color="auto" w:fill="auto"/>
            <w:noWrap/>
            <w:vAlign w:val="center"/>
          </w:tcPr>
          <w:p w14:paraId="1F272F3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24CC41F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134E2A3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900</w:t>
            </w:r>
          </w:p>
        </w:tc>
        <w:tc>
          <w:tcPr>
            <w:tcW w:w="0" w:type="auto"/>
            <w:tcBorders>
              <w:tl2br w:val="nil"/>
              <w:tr2bl w:val="nil"/>
            </w:tcBorders>
            <w:shd w:val="clear" w:color="auto" w:fill="auto"/>
            <w:noWrap/>
            <w:vAlign w:val="center"/>
          </w:tcPr>
          <w:p w14:paraId="7DF7EB8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393E18B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2ECBDF1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1500</w:t>
            </w:r>
          </w:p>
        </w:tc>
        <w:tc>
          <w:tcPr>
            <w:tcW w:w="0" w:type="auto"/>
            <w:tcBorders>
              <w:tl2br w:val="nil"/>
              <w:tr2bl w:val="nil"/>
            </w:tcBorders>
            <w:shd w:val="clear" w:color="auto" w:fill="auto"/>
            <w:noWrap/>
            <w:vAlign w:val="center"/>
          </w:tcPr>
          <w:p w14:paraId="5B6F2E1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7D37467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55CCA99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2200</w:t>
            </w:r>
          </w:p>
        </w:tc>
        <w:tc>
          <w:tcPr>
            <w:tcW w:w="0" w:type="auto"/>
            <w:tcBorders>
              <w:tl2br w:val="nil"/>
              <w:tr2bl w:val="nil"/>
            </w:tcBorders>
            <w:shd w:val="clear" w:color="auto" w:fill="auto"/>
            <w:noWrap/>
            <w:vAlign w:val="center"/>
          </w:tcPr>
          <w:p w14:paraId="1486695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33025B7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0.908</w:t>
            </w:r>
          </w:p>
        </w:tc>
      </w:tr>
      <w:tr w14:paraId="1DA34D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46D0B32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300</w:t>
            </w:r>
          </w:p>
        </w:tc>
        <w:tc>
          <w:tcPr>
            <w:tcW w:w="0" w:type="auto"/>
            <w:tcBorders>
              <w:tl2br w:val="nil"/>
              <w:tr2bl w:val="nil"/>
            </w:tcBorders>
            <w:shd w:val="clear" w:color="auto" w:fill="auto"/>
            <w:noWrap/>
            <w:vAlign w:val="center"/>
          </w:tcPr>
          <w:p w14:paraId="4900173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7FF1235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7D2E4F9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900</w:t>
            </w:r>
          </w:p>
        </w:tc>
        <w:tc>
          <w:tcPr>
            <w:tcW w:w="0" w:type="auto"/>
            <w:tcBorders>
              <w:tl2br w:val="nil"/>
              <w:tr2bl w:val="nil"/>
            </w:tcBorders>
            <w:shd w:val="clear" w:color="auto" w:fill="auto"/>
            <w:noWrap/>
            <w:vAlign w:val="center"/>
          </w:tcPr>
          <w:p w14:paraId="4046065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3C9CB6F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2DDD393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1600</w:t>
            </w:r>
          </w:p>
        </w:tc>
        <w:tc>
          <w:tcPr>
            <w:tcW w:w="0" w:type="auto"/>
            <w:tcBorders>
              <w:tl2br w:val="nil"/>
              <w:tr2bl w:val="nil"/>
            </w:tcBorders>
            <w:shd w:val="clear" w:color="auto" w:fill="auto"/>
            <w:noWrap/>
            <w:vAlign w:val="center"/>
          </w:tcPr>
          <w:p w14:paraId="4C022EE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5FF6FCA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0.913</w:t>
            </w:r>
          </w:p>
        </w:tc>
        <w:tc>
          <w:tcPr>
            <w:tcW w:w="0" w:type="auto"/>
            <w:tcBorders>
              <w:tl2br w:val="nil"/>
              <w:tr2bl w:val="nil"/>
            </w:tcBorders>
            <w:shd w:val="clear" w:color="auto" w:fill="auto"/>
            <w:noWrap/>
            <w:vAlign w:val="center"/>
          </w:tcPr>
          <w:p w14:paraId="3FADA80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2200</w:t>
            </w:r>
          </w:p>
        </w:tc>
        <w:tc>
          <w:tcPr>
            <w:tcW w:w="0" w:type="auto"/>
            <w:tcBorders>
              <w:tl2br w:val="nil"/>
              <w:tr2bl w:val="nil"/>
            </w:tcBorders>
            <w:shd w:val="clear" w:color="auto" w:fill="auto"/>
            <w:noWrap/>
            <w:vAlign w:val="center"/>
          </w:tcPr>
          <w:p w14:paraId="693149D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407E3A7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0.892</w:t>
            </w:r>
          </w:p>
        </w:tc>
      </w:tr>
      <w:tr w14:paraId="4C301F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1A6EA6F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300</w:t>
            </w:r>
          </w:p>
        </w:tc>
        <w:tc>
          <w:tcPr>
            <w:tcW w:w="0" w:type="auto"/>
            <w:tcBorders>
              <w:tl2br w:val="nil"/>
              <w:tr2bl w:val="nil"/>
            </w:tcBorders>
            <w:shd w:val="clear" w:color="auto" w:fill="auto"/>
            <w:noWrap/>
            <w:vAlign w:val="center"/>
          </w:tcPr>
          <w:p w14:paraId="456D905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2E7BE34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6B7F8B2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1000</w:t>
            </w:r>
          </w:p>
        </w:tc>
        <w:tc>
          <w:tcPr>
            <w:tcW w:w="0" w:type="auto"/>
            <w:tcBorders>
              <w:tl2br w:val="nil"/>
              <w:tr2bl w:val="nil"/>
            </w:tcBorders>
            <w:shd w:val="clear" w:color="auto" w:fill="auto"/>
            <w:noWrap/>
            <w:vAlign w:val="center"/>
          </w:tcPr>
          <w:p w14:paraId="5DB6399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19AC71D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0.921</w:t>
            </w:r>
          </w:p>
        </w:tc>
        <w:tc>
          <w:tcPr>
            <w:tcW w:w="0" w:type="auto"/>
            <w:tcBorders>
              <w:tl2br w:val="nil"/>
              <w:tr2bl w:val="nil"/>
            </w:tcBorders>
            <w:shd w:val="clear" w:color="auto" w:fill="auto"/>
            <w:noWrap/>
            <w:vAlign w:val="center"/>
          </w:tcPr>
          <w:p w14:paraId="4D3D50C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1600</w:t>
            </w:r>
          </w:p>
        </w:tc>
        <w:tc>
          <w:tcPr>
            <w:tcW w:w="0" w:type="auto"/>
            <w:tcBorders>
              <w:tl2br w:val="nil"/>
              <w:tr2bl w:val="nil"/>
            </w:tcBorders>
            <w:shd w:val="clear" w:color="auto" w:fill="auto"/>
            <w:noWrap/>
            <w:vAlign w:val="center"/>
          </w:tcPr>
          <w:p w14:paraId="712FE7C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702461E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0.890</w:t>
            </w:r>
          </w:p>
        </w:tc>
        <w:tc>
          <w:tcPr>
            <w:tcW w:w="0" w:type="auto"/>
            <w:tcBorders>
              <w:tl2br w:val="nil"/>
              <w:tr2bl w:val="nil"/>
            </w:tcBorders>
            <w:shd w:val="clear" w:color="auto" w:fill="auto"/>
            <w:noWrap/>
            <w:vAlign w:val="center"/>
          </w:tcPr>
          <w:p w14:paraId="7FA5381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2200</w:t>
            </w:r>
          </w:p>
        </w:tc>
        <w:tc>
          <w:tcPr>
            <w:tcW w:w="0" w:type="auto"/>
            <w:tcBorders>
              <w:tl2br w:val="nil"/>
              <w:tr2bl w:val="nil"/>
            </w:tcBorders>
            <w:shd w:val="clear" w:color="auto" w:fill="auto"/>
            <w:noWrap/>
            <w:vAlign w:val="center"/>
          </w:tcPr>
          <w:p w14:paraId="7094416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4148E24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643E92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79C04BF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400</w:t>
            </w:r>
          </w:p>
        </w:tc>
        <w:tc>
          <w:tcPr>
            <w:tcW w:w="0" w:type="auto"/>
            <w:tcBorders>
              <w:tl2br w:val="nil"/>
              <w:tr2bl w:val="nil"/>
            </w:tcBorders>
            <w:shd w:val="clear" w:color="auto" w:fill="auto"/>
            <w:noWrap/>
            <w:vAlign w:val="center"/>
          </w:tcPr>
          <w:p w14:paraId="47B3806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59791FB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0.944</w:t>
            </w:r>
          </w:p>
        </w:tc>
        <w:tc>
          <w:tcPr>
            <w:tcW w:w="0" w:type="auto"/>
            <w:tcBorders>
              <w:tl2br w:val="nil"/>
              <w:tr2bl w:val="nil"/>
            </w:tcBorders>
            <w:shd w:val="clear" w:color="auto" w:fill="auto"/>
            <w:noWrap/>
            <w:vAlign w:val="center"/>
          </w:tcPr>
          <w:p w14:paraId="5A9E199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1000</w:t>
            </w:r>
          </w:p>
        </w:tc>
        <w:tc>
          <w:tcPr>
            <w:tcW w:w="0" w:type="auto"/>
            <w:tcBorders>
              <w:tl2br w:val="nil"/>
              <w:tr2bl w:val="nil"/>
            </w:tcBorders>
            <w:shd w:val="clear" w:color="auto" w:fill="auto"/>
            <w:noWrap/>
            <w:vAlign w:val="center"/>
          </w:tcPr>
          <w:p w14:paraId="7415F4B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2C0FFEA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0.888</w:t>
            </w:r>
          </w:p>
        </w:tc>
        <w:tc>
          <w:tcPr>
            <w:tcW w:w="0" w:type="auto"/>
            <w:tcBorders>
              <w:tl2br w:val="nil"/>
              <w:tr2bl w:val="nil"/>
            </w:tcBorders>
            <w:shd w:val="clear" w:color="auto" w:fill="auto"/>
            <w:noWrap/>
            <w:vAlign w:val="center"/>
          </w:tcPr>
          <w:p w14:paraId="5847E8F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1600</w:t>
            </w:r>
          </w:p>
        </w:tc>
        <w:tc>
          <w:tcPr>
            <w:tcW w:w="0" w:type="auto"/>
            <w:tcBorders>
              <w:tl2br w:val="nil"/>
              <w:tr2bl w:val="nil"/>
            </w:tcBorders>
            <w:shd w:val="clear" w:color="auto" w:fill="auto"/>
            <w:noWrap/>
            <w:vAlign w:val="center"/>
          </w:tcPr>
          <w:p w14:paraId="79C6522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6103A6B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0DB4A92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2200</w:t>
            </w:r>
          </w:p>
        </w:tc>
        <w:tc>
          <w:tcPr>
            <w:tcW w:w="0" w:type="auto"/>
            <w:tcBorders>
              <w:tl2br w:val="nil"/>
              <w:tr2bl w:val="nil"/>
            </w:tcBorders>
            <w:shd w:val="clear" w:color="auto" w:fill="auto"/>
            <w:noWrap/>
            <w:vAlign w:val="center"/>
          </w:tcPr>
          <w:p w14:paraId="671A751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717231A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26A8E8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4BD213B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400</w:t>
            </w:r>
          </w:p>
        </w:tc>
        <w:tc>
          <w:tcPr>
            <w:tcW w:w="0" w:type="auto"/>
            <w:tcBorders>
              <w:tl2br w:val="nil"/>
              <w:tr2bl w:val="nil"/>
            </w:tcBorders>
            <w:shd w:val="clear" w:color="auto" w:fill="auto"/>
            <w:noWrap/>
            <w:vAlign w:val="center"/>
          </w:tcPr>
          <w:p w14:paraId="400ACD3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14B810A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1E3AD0D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1000</w:t>
            </w:r>
          </w:p>
        </w:tc>
        <w:tc>
          <w:tcPr>
            <w:tcW w:w="0" w:type="auto"/>
            <w:tcBorders>
              <w:tl2br w:val="nil"/>
              <w:tr2bl w:val="nil"/>
            </w:tcBorders>
            <w:shd w:val="clear" w:color="auto" w:fill="auto"/>
            <w:noWrap/>
            <w:vAlign w:val="center"/>
          </w:tcPr>
          <w:p w14:paraId="43C087C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51AF68A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1977C69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1600</w:t>
            </w:r>
          </w:p>
        </w:tc>
        <w:tc>
          <w:tcPr>
            <w:tcW w:w="0" w:type="auto"/>
            <w:tcBorders>
              <w:tl2br w:val="nil"/>
              <w:tr2bl w:val="nil"/>
            </w:tcBorders>
            <w:shd w:val="clear" w:color="auto" w:fill="auto"/>
            <w:noWrap/>
            <w:vAlign w:val="center"/>
          </w:tcPr>
          <w:p w14:paraId="73474F5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4F66F41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2261D5A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2300</w:t>
            </w:r>
          </w:p>
        </w:tc>
        <w:tc>
          <w:tcPr>
            <w:tcW w:w="0" w:type="auto"/>
            <w:tcBorders>
              <w:tl2br w:val="nil"/>
              <w:tr2bl w:val="nil"/>
            </w:tcBorders>
            <w:shd w:val="clear" w:color="auto" w:fill="auto"/>
            <w:noWrap/>
            <w:vAlign w:val="center"/>
          </w:tcPr>
          <w:p w14:paraId="198AA55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7D601FE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0.908</w:t>
            </w:r>
          </w:p>
        </w:tc>
      </w:tr>
      <w:tr w14:paraId="1740BB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1BA8B33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400</w:t>
            </w:r>
          </w:p>
        </w:tc>
        <w:tc>
          <w:tcPr>
            <w:tcW w:w="0" w:type="auto"/>
            <w:tcBorders>
              <w:tl2br w:val="nil"/>
              <w:tr2bl w:val="nil"/>
            </w:tcBorders>
            <w:shd w:val="clear" w:color="auto" w:fill="auto"/>
            <w:noWrap/>
            <w:vAlign w:val="center"/>
          </w:tcPr>
          <w:p w14:paraId="59036AD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6445997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0322CC6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1000</w:t>
            </w:r>
          </w:p>
        </w:tc>
        <w:tc>
          <w:tcPr>
            <w:tcW w:w="0" w:type="auto"/>
            <w:tcBorders>
              <w:tl2br w:val="nil"/>
              <w:tr2bl w:val="nil"/>
            </w:tcBorders>
            <w:shd w:val="clear" w:color="auto" w:fill="auto"/>
            <w:noWrap/>
            <w:vAlign w:val="center"/>
          </w:tcPr>
          <w:p w14:paraId="6C3A9E1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04359B1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4D20726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1700</w:t>
            </w:r>
          </w:p>
        </w:tc>
        <w:tc>
          <w:tcPr>
            <w:tcW w:w="0" w:type="auto"/>
            <w:tcBorders>
              <w:tl2br w:val="nil"/>
              <w:tr2bl w:val="nil"/>
            </w:tcBorders>
            <w:shd w:val="clear" w:color="auto" w:fill="auto"/>
            <w:noWrap/>
            <w:vAlign w:val="center"/>
          </w:tcPr>
          <w:p w14:paraId="5E40411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6024820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0.912</w:t>
            </w:r>
          </w:p>
        </w:tc>
        <w:tc>
          <w:tcPr>
            <w:tcW w:w="0" w:type="auto"/>
            <w:tcBorders>
              <w:tl2br w:val="nil"/>
              <w:tr2bl w:val="nil"/>
            </w:tcBorders>
            <w:shd w:val="clear" w:color="auto" w:fill="auto"/>
            <w:noWrap/>
            <w:vAlign w:val="center"/>
          </w:tcPr>
          <w:p w14:paraId="10C729F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2300</w:t>
            </w:r>
          </w:p>
        </w:tc>
        <w:tc>
          <w:tcPr>
            <w:tcW w:w="0" w:type="auto"/>
            <w:tcBorders>
              <w:tl2br w:val="nil"/>
              <w:tr2bl w:val="nil"/>
            </w:tcBorders>
            <w:shd w:val="clear" w:color="auto" w:fill="auto"/>
            <w:noWrap/>
            <w:vAlign w:val="center"/>
          </w:tcPr>
          <w:p w14:paraId="4707D7F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38DAFC7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0.892</w:t>
            </w:r>
          </w:p>
        </w:tc>
      </w:tr>
      <w:tr w14:paraId="0B7344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4F76EF8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400</w:t>
            </w:r>
          </w:p>
        </w:tc>
        <w:tc>
          <w:tcPr>
            <w:tcW w:w="0" w:type="auto"/>
            <w:tcBorders>
              <w:tl2br w:val="nil"/>
              <w:tr2bl w:val="nil"/>
            </w:tcBorders>
            <w:shd w:val="clear" w:color="auto" w:fill="auto"/>
            <w:noWrap/>
            <w:vAlign w:val="center"/>
          </w:tcPr>
          <w:p w14:paraId="46F94AE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172F148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639C095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1100</w:t>
            </w:r>
          </w:p>
        </w:tc>
        <w:tc>
          <w:tcPr>
            <w:tcW w:w="0" w:type="auto"/>
            <w:tcBorders>
              <w:tl2br w:val="nil"/>
              <w:tr2bl w:val="nil"/>
            </w:tcBorders>
            <w:shd w:val="clear" w:color="auto" w:fill="auto"/>
            <w:noWrap/>
            <w:vAlign w:val="center"/>
          </w:tcPr>
          <w:p w14:paraId="47C0686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5019595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0.919</w:t>
            </w:r>
          </w:p>
        </w:tc>
        <w:tc>
          <w:tcPr>
            <w:tcW w:w="0" w:type="auto"/>
            <w:tcBorders>
              <w:tl2br w:val="nil"/>
              <w:tr2bl w:val="nil"/>
            </w:tcBorders>
            <w:shd w:val="clear" w:color="auto" w:fill="auto"/>
            <w:noWrap/>
            <w:vAlign w:val="center"/>
          </w:tcPr>
          <w:p w14:paraId="59E9E29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1700</w:t>
            </w:r>
          </w:p>
        </w:tc>
        <w:tc>
          <w:tcPr>
            <w:tcW w:w="0" w:type="auto"/>
            <w:tcBorders>
              <w:tl2br w:val="nil"/>
              <w:tr2bl w:val="nil"/>
            </w:tcBorders>
            <w:shd w:val="clear" w:color="auto" w:fill="auto"/>
            <w:noWrap/>
            <w:vAlign w:val="center"/>
          </w:tcPr>
          <w:p w14:paraId="7FE170A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6A36D7E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0.891</w:t>
            </w:r>
          </w:p>
        </w:tc>
        <w:tc>
          <w:tcPr>
            <w:tcW w:w="0" w:type="auto"/>
            <w:tcBorders>
              <w:tl2br w:val="nil"/>
              <w:tr2bl w:val="nil"/>
            </w:tcBorders>
            <w:shd w:val="clear" w:color="auto" w:fill="auto"/>
            <w:noWrap/>
            <w:vAlign w:val="center"/>
          </w:tcPr>
          <w:p w14:paraId="3ACAB76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2300</w:t>
            </w:r>
          </w:p>
        </w:tc>
        <w:tc>
          <w:tcPr>
            <w:tcW w:w="0" w:type="auto"/>
            <w:tcBorders>
              <w:tl2br w:val="nil"/>
              <w:tr2bl w:val="nil"/>
            </w:tcBorders>
            <w:shd w:val="clear" w:color="auto" w:fill="auto"/>
            <w:noWrap/>
            <w:vAlign w:val="center"/>
          </w:tcPr>
          <w:p w14:paraId="4085C5D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051070B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2BD7F6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4889863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500</w:t>
            </w:r>
          </w:p>
        </w:tc>
        <w:tc>
          <w:tcPr>
            <w:tcW w:w="0" w:type="auto"/>
            <w:tcBorders>
              <w:tl2br w:val="nil"/>
              <w:tr2bl w:val="nil"/>
            </w:tcBorders>
            <w:shd w:val="clear" w:color="auto" w:fill="auto"/>
            <w:noWrap/>
            <w:vAlign w:val="center"/>
          </w:tcPr>
          <w:p w14:paraId="7BA50A3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0E731A5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0.937</w:t>
            </w:r>
          </w:p>
        </w:tc>
        <w:tc>
          <w:tcPr>
            <w:tcW w:w="0" w:type="auto"/>
            <w:tcBorders>
              <w:tl2br w:val="nil"/>
              <w:tr2bl w:val="nil"/>
            </w:tcBorders>
            <w:shd w:val="clear" w:color="auto" w:fill="auto"/>
            <w:noWrap/>
            <w:vAlign w:val="center"/>
          </w:tcPr>
          <w:p w14:paraId="284064A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1100</w:t>
            </w:r>
          </w:p>
        </w:tc>
        <w:tc>
          <w:tcPr>
            <w:tcW w:w="0" w:type="auto"/>
            <w:tcBorders>
              <w:tl2br w:val="nil"/>
              <w:tr2bl w:val="nil"/>
            </w:tcBorders>
            <w:shd w:val="clear" w:color="auto" w:fill="auto"/>
            <w:noWrap/>
            <w:vAlign w:val="center"/>
          </w:tcPr>
          <w:p w14:paraId="2B45AD5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71DFAAE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0.889</w:t>
            </w:r>
          </w:p>
        </w:tc>
        <w:tc>
          <w:tcPr>
            <w:tcW w:w="0" w:type="auto"/>
            <w:tcBorders>
              <w:tl2br w:val="nil"/>
              <w:tr2bl w:val="nil"/>
            </w:tcBorders>
            <w:shd w:val="clear" w:color="auto" w:fill="auto"/>
            <w:noWrap/>
            <w:vAlign w:val="center"/>
          </w:tcPr>
          <w:p w14:paraId="0B95546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1700</w:t>
            </w:r>
          </w:p>
        </w:tc>
        <w:tc>
          <w:tcPr>
            <w:tcW w:w="0" w:type="auto"/>
            <w:tcBorders>
              <w:tl2br w:val="nil"/>
              <w:tr2bl w:val="nil"/>
            </w:tcBorders>
            <w:shd w:val="clear" w:color="auto" w:fill="auto"/>
            <w:noWrap/>
            <w:vAlign w:val="center"/>
          </w:tcPr>
          <w:p w14:paraId="773D42F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7667BD2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2F44851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2300</w:t>
            </w:r>
          </w:p>
        </w:tc>
        <w:tc>
          <w:tcPr>
            <w:tcW w:w="0" w:type="auto"/>
            <w:tcBorders>
              <w:tl2br w:val="nil"/>
              <w:tr2bl w:val="nil"/>
            </w:tcBorders>
            <w:shd w:val="clear" w:color="auto" w:fill="auto"/>
            <w:noWrap/>
            <w:vAlign w:val="center"/>
          </w:tcPr>
          <w:p w14:paraId="4514F30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3B472F5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16C82D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3AB839F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500</w:t>
            </w:r>
          </w:p>
        </w:tc>
        <w:tc>
          <w:tcPr>
            <w:tcW w:w="0" w:type="auto"/>
            <w:tcBorders>
              <w:tl2br w:val="nil"/>
              <w:tr2bl w:val="nil"/>
            </w:tcBorders>
            <w:shd w:val="clear" w:color="auto" w:fill="auto"/>
            <w:noWrap/>
            <w:vAlign w:val="center"/>
          </w:tcPr>
          <w:p w14:paraId="081447E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57FB8B5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73EAAAF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1100</w:t>
            </w:r>
          </w:p>
        </w:tc>
        <w:tc>
          <w:tcPr>
            <w:tcW w:w="0" w:type="auto"/>
            <w:tcBorders>
              <w:tl2br w:val="nil"/>
              <w:tr2bl w:val="nil"/>
            </w:tcBorders>
            <w:shd w:val="clear" w:color="auto" w:fill="auto"/>
            <w:noWrap/>
            <w:vAlign w:val="center"/>
          </w:tcPr>
          <w:p w14:paraId="45F5832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378ED55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627362E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1700</w:t>
            </w:r>
          </w:p>
        </w:tc>
        <w:tc>
          <w:tcPr>
            <w:tcW w:w="0" w:type="auto"/>
            <w:tcBorders>
              <w:tl2br w:val="nil"/>
              <w:tr2bl w:val="nil"/>
            </w:tcBorders>
            <w:shd w:val="clear" w:color="auto" w:fill="auto"/>
            <w:noWrap/>
            <w:vAlign w:val="center"/>
          </w:tcPr>
          <w:p w14:paraId="12AC42D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77C6408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7ADF418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2400</w:t>
            </w:r>
          </w:p>
        </w:tc>
        <w:tc>
          <w:tcPr>
            <w:tcW w:w="0" w:type="auto"/>
            <w:tcBorders>
              <w:tl2br w:val="nil"/>
              <w:tr2bl w:val="nil"/>
            </w:tcBorders>
            <w:shd w:val="clear" w:color="auto" w:fill="auto"/>
            <w:noWrap/>
            <w:vAlign w:val="center"/>
          </w:tcPr>
          <w:p w14:paraId="4FBB751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175841F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0.907</w:t>
            </w:r>
          </w:p>
        </w:tc>
      </w:tr>
      <w:tr w14:paraId="2B03F1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08F631D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500</w:t>
            </w:r>
          </w:p>
        </w:tc>
        <w:tc>
          <w:tcPr>
            <w:tcW w:w="0" w:type="auto"/>
            <w:tcBorders>
              <w:tl2br w:val="nil"/>
              <w:tr2bl w:val="nil"/>
            </w:tcBorders>
            <w:shd w:val="clear" w:color="auto" w:fill="auto"/>
            <w:noWrap/>
            <w:vAlign w:val="center"/>
          </w:tcPr>
          <w:p w14:paraId="14DED8D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2D06877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63CCD02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1100</w:t>
            </w:r>
          </w:p>
        </w:tc>
        <w:tc>
          <w:tcPr>
            <w:tcW w:w="0" w:type="auto"/>
            <w:tcBorders>
              <w:tl2br w:val="nil"/>
              <w:tr2bl w:val="nil"/>
            </w:tcBorders>
            <w:shd w:val="clear" w:color="auto" w:fill="auto"/>
            <w:noWrap/>
            <w:vAlign w:val="center"/>
          </w:tcPr>
          <w:p w14:paraId="7AA6E17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1F6EA0E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4A81F9A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155E766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79299AB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0.911</w:t>
            </w:r>
          </w:p>
        </w:tc>
        <w:tc>
          <w:tcPr>
            <w:tcW w:w="0" w:type="auto"/>
            <w:tcBorders>
              <w:tl2br w:val="nil"/>
              <w:tr2bl w:val="nil"/>
            </w:tcBorders>
            <w:shd w:val="clear" w:color="auto" w:fill="auto"/>
            <w:noWrap/>
            <w:vAlign w:val="center"/>
          </w:tcPr>
          <w:p w14:paraId="75B2719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2400</w:t>
            </w:r>
          </w:p>
        </w:tc>
        <w:tc>
          <w:tcPr>
            <w:tcW w:w="0" w:type="auto"/>
            <w:tcBorders>
              <w:tl2br w:val="nil"/>
              <w:tr2bl w:val="nil"/>
            </w:tcBorders>
            <w:shd w:val="clear" w:color="auto" w:fill="auto"/>
            <w:noWrap/>
            <w:vAlign w:val="center"/>
          </w:tcPr>
          <w:p w14:paraId="47AEED4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2C95772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0.892</w:t>
            </w:r>
          </w:p>
        </w:tc>
      </w:tr>
      <w:tr w14:paraId="19F573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1BD176F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500</w:t>
            </w:r>
          </w:p>
        </w:tc>
        <w:tc>
          <w:tcPr>
            <w:tcW w:w="0" w:type="auto"/>
            <w:tcBorders>
              <w:tl2br w:val="nil"/>
              <w:tr2bl w:val="nil"/>
            </w:tcBorders>
            <w:shd w:val="clear" w:color="auto" w:fill="auto"/>
            <w:noWrap/>
            <w:vAlign w:val="center"/>
          </w:tcPr>
          <w:p w14:paraId="35B45F5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049EF50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4384E73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1200</w:t>
            </w:r>
          </w:p>
        </w:tc>
        <w:tc>
          <w:tcPr>
            <w:tcW w:w="0" w:type="auto"/>
            <w:tcBorders>
              <w:tl2br w:val="nil"/>
              <w:tr2bl w:val="nil"/>
            </w:tcBorders>
            <w:shd w:val="clear" w:color="auto" w:fill="auto"/>
            <w:noWrap/>
            <w:vAlign w:val="center"/>
          </w:tcPr>
          <w:p w14:paraId="404EA54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209C053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0.918</w:t>
            </w:r>
          </w:p>
        </w:tc>
        <w:tc>
          <w:tcPr>
            <w:tcW w:w="0" w:type="auto"/>
            <w:tcBorders>
              <w:tl2br w:val="nil"/>
              <w:tr2bl w:val="nil"/>
            </w:tcBorders>
            <w:shd w:val="clear" w:color="auto" w:fill="auto"/>
            <w:noWrap/>
            <w:vAlign w:val="center"/>
          </w:tcPr>
          <w:p w14:paraId="2787804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052433F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29E2BE7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0.891</w:t>
            </w:r>
          </w:p>
        </w:tc>
        <w:tc>
          <w:tcPr>
            <w:tcW w:w="0" w:type="auto"/>
            <w:tcBorders>
              <w:tl2br w:val="nil"/>
              <w:tr2bl w:val="nil"/>
            </w:tcBorders>
            <w:shd w:val="clear" w:color="auto" w:fill="auto"/>
            <w:noWrap/>
            <w:vAlign w:val="center"/>
          </w:tcPr>
          <w:p w14:paraId="745A8FD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2400</w:t>
            </w:r>
          </w:p>
        </w:tc>
        <w:tc>
          <w:tcPr>
            <w:tcW w:w="0" w:type="auto"/>
            <w:tcBorders>
              <w:tl2br w:val="nil"/>
              <w:tr2bl w:val="nil"/>
            </w:tcBorders>
            <w:shd w:val="clear" w:color="auto" w:fill="auto"/>
            <w:noWrap/>
            <w:vAlign w:val="center"/>
          </w:tcPr>
          <w:p w14:paraId="2B7FC06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1F2AEF4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17A9BD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69A89D7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600</w:t>
            </w:r>
          </w:p>
        </w:tc>
        <w:tc>
          <w:tcPr>
            <w:tcW w:w="0" w:type="auto"/>
            <w:tcBorders>
              <w:tl2br w:val="nil"/>
              <w:tr2bl w:val="nil"/>
            </w:tcBorders>
            <w:shd w:val="clear" w:color="auto" w:fill="auto"/>
            <w:noWrap/>
            <w:vAlign w:val="center"/>
          </w:tcPr>
          <w:p w14:paraId="032C3B0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5AD9E99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0.933</w:t>
            </w:r>
          </w:p>
        </w:tc>
        <w:tc>
          <w:tcPr>
            <w:tcW w:w="0" w:type="auto"/>
            <w:tcBorders>
              <w:tl2br w:val="nil"/>
              <w:tr2bl w:val="nil"/>
            </w:tcBorders>
            <w:shd w:val="clear" w:color="auto" w:fill="auto"/>
            <w:noWrap/>
            <w:vAlign w:val="center"/>
          </w:tcPr>
          <w:p w14:paraId="36CFAA3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1200</w:t>
            </w:r>
          </w:p>
        </w:tc>
        <w:tc>
          <w:tcPr>
            <w:tcW w:w="0" w:type="auto"/>
            <w:tcBorders>
              <w:tl2br w:val="nil"/>
              <w:tr2bl w:val="nil"/>
            </w:tcBorders>
            <w:shd w:val="clear" w:color="auto" w:fill="auto"/>
            <w:noWrap/>
            <w:vAlign w:val="center"/>
          </w:tcPr>
          <w:p w14:paraId="0CE7EFE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73D99B9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0.889</w:t>
            </w:r>
          </w:p>
        </w:tc>
        <w:tc>
          <w:tcPr>
            <w:tcW w:w="0" w:type="auto"/>
            <w:tcBorders>
              <w:tl2br w:val="nil"/>
              <w:tr2bl w:val="nil"/>
            </w:tcBorders>
            <w:shd w:val="clear" w:color="auto" w:fill="auto"/>
            <w:noWrap/>
            <w:vAlign w:val="center"/>
          </w:tcPr>
          <w:p w14:paraId="182719F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7759585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6168687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5F71728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2400</w:t>
            </w:r>
          </w:p>
        </w:tc>
        <w:tc>
          <w:tcPr>
            <w:tcW w:w="0" w:type="auto"/>
            <w:tcBorders>
              <w:tl2br w:val="nil"/>
              <w:tr2bl w:val="nil"/>
            </w:tcBorders>
            <w:shd w:val="clear" w:color="auto" w:fill="auto"/>
            <w:noWrap/>
            <w:vAlign w:val="center"/>
          </w:tcPr>
          <w:p w14:paraId="2F14579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689D525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233325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6F99D54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600</w:t>
            </w:r>
          </w:p>
        </w:tc>
        <w:tc>
          <w:tcPr>
            <w:tcW w:w="0" w:type="auto"/>
            <w:tcBorders>
              <w:tl2br w:val="nil"/>
              <w:tr2bl w:val="nil"/>
            </w:tcBorders>
            <w:shd w:val="clear" w:color="auto" w:fill="auto"/>
            <w:noWrap/>
            <w:vAlign w:val="center"/>
          </w:tcPr>
          <w:p w14:paraId="5EB58B5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42A112E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25D44BE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1200</w:t>
            </w:r>
          </w:p>
        </w:tc>
        <w:tc>
          <w:tcPr>
            <w:tcW w:w="0" w:type="auto"/>
            <w:tcBorders>
              <w:tl2br w:val="nil"/>
              <w:tr2bl w:val="nil"/>
            </w:tcBorders>
            <w:shd w:val="clear" w:color="auto" w:fill="auto"/>
            <w:noWrap/>
            <w:vAlign w:val="center"/>
          </w:tcPr>
          <w:p w14:paraId="4C8A03D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1C88AB6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6D07924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1800</w:t>
            </w:r>
          </w:p>
        </w:tc>
        <w:tc>
          <w:tcPr>
            <w:tcW w:w="0" w:type="auto"/>
            <w:tcBorders>
              <w:tl2br w:val="nil"/>
              <w:tr2bl w:val="nil"/>
            </w:tcBorders>
            <w:shd w:val="clear" w:color="auto" w:fill="auto"/>
            <w:noWrap/>
            <w:vAlign w:val="center"/>
          </w:tcPr>
          <w:p w14:paraId="31C9576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18F2F5F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43346A8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2500</w:t>
            </w:r>
          </w:p>
        </w:tc>
        <w:tc>
          <w:tcPr>
            <w:tcW w:w="0" w:type="auto"/>
            <w:tcBorders>
              <w:tl2br w:val="nil"/>
              <w:tr2bl w:val="nil"/>
            </w:tcBorders>
            <w:shd w:val="clear" w:color="auto" w:fill="auto"/>
            <w:noWrap/>
            <w:vAlign w:val="center"/>
          </w:tcPr>
          <w:p w14:paraId="466A147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4982915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0.906</w:t>
            </w:r>
          </w:p>
        </w:tc>
      </w:tr>
      <w:tr w14:paraId="609B81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4847EDD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600</w:t>
            </w:r>
          </w:p>
        </w:tc>
        <w:tc>
          <w:tcPr>
            <w:tcW w:w="0" w:type="auto"/>
            <w:tcBorders>
              <w:tl2br w:val="nil"/>
              <w:tr2bl w:val="nil"/>
            </w:tcBorders>
            <w:shd w:val="clear" w:color="auto" w:fill="auto"/>
            <w:noWrap/>
            <w:vAlign w:val="center"/>
          </w:tcPr>
          <w:p w14:paraId="6EC0159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55EF152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0C3F4BB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1200</w:t>
            </w:r>
          </w:p>
        </w:tc>
        <w:tc>
          <w:tcPr>
            <w:tcW w:w="0" w:type="auto"/>
            <w:tcBorders>
              <w:tl2br w:val="nil"/>
              <w:tr2bl w:val="nil"/>
            </w:tcBorders>
            <w:shd w:val="clear" w:color="auto" w:fill="auto"/>
            <w:noWrap/>
            <w:vAlign w:val="center"/>
          </w:tcPr>
          <w:p w14:paraId="1EA6230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78C654C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4CC860E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1900</w:t>
            </w:r>
          </w:p>
        </w:tc>
        <w:tc>
          <w:tcPr>
            <w:tcW w:w="0" w:type="auto"/>
            <w:tcBorders>
              <w:tl2br w:val="nil"/>
              <w:tr2bl w:val="nil"/>
            </w:tcBorders>
            <w:shd w:val="clear" w:color="auto" w:fill="auto"/>
            <w:noWrap/>
            <w:vAlign w:val="center"/>
          </w:tcPr>
          <w:p w14:paraId="7E82F0A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6428949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0.910</w:t>
            </w:r>
          </w:p>
        </w:tc>
        <w:tc>
          <w:tcPr>
            <w:tcW w:w="0" w:type="auto"/>
            <w:tcBorders>
              <w:tl2br w:val="nil"/>
              <w:tr2bl w:val="nil"/>
            </w:tcBorders>
            <w:shd w:val="clear" w:color="auto" w:fill="auto"/>
            <w:noWrap/>
            <w:vAlign w:val="center"/>
          </w:tcPr>
          <w:p w14:paraId="4B8B1DF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2500</w:t>
            </w:r>
          </w:p>
        </w:tc>
        <w:tc>
          <w:tcPr>
            <w:tcW w:w="0" w:type="auto"/>
            <w:tcBorders>
              <w:tl2br w:val="nil"/>
              <w:tr2bl w:val="nil"/>
            </w:tcBorders>
            <w:shd w:val="clear" w:color="auto" w:fill="auto"/>
            <w:noWrap/>
            <w:vAlign w:val="center"/>
          </w:tcPr>
          <w:p w14:paraId="33F201F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11EC1DE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0.892</w:t>
            </w:r>
          </w:p>
        </w:tc>
      </w:tr>
      <w:tr w14:paraId="6573C2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2F5B6CA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600</w:t>
            </w:r>
          </w:p>
        </w:tc>
        <w:tc>
          <w:tcPr>
            <w:tcW w:w="0" w:type="auto"/>
            <w:tcBorders>
              <w:tl2br w:val="nil"/>
              <w:tr2bl w:val="nil"/>
            </w:tcBorders>
            <w:shd w:val="clear" w:color="auto" w:fill="auto"/>
            <w:noWrap/>
            <w:vAlign w:val="center"/>
          </w:tcPr>
          <w:p w14:paraId="591BBA6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0F260CC4">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6F0F232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1300</w:t>
            </w:r>
          </w:p>
        </w:tc>
        <w:tc>
          <w:tcPr>
            <w:tcW w:w="0" w:type="auto"/>
            <w:tcBorders>
              <w:tl2br w:val="nil"/>
              <w:tr2bl w:val="nil"/>
            </w:tcBorders>
            <w:shd w:val="clear" w:color="auto" w:fill="auto"/>
            <w:noWrap/>
            <w:vAlign w:val="center"/>
          </w:tcPr>
          <w:p w14:paraId="3158DE1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209AC8A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0.916</w:t>
            </w:r>
          </w:p>
        </w:tc>
        <w:tc>
          <w:tcPr>
            <w:tcW w:w="0" w:type="auto"/>
            <w:tcBorders>
              <w:tl2br w:val="nil"/>
              <w:tr2bl w:val="nil"/>
            </w:tcBorders>
            <w:shd w:val="clear" w:color="auto" w:fill="auto"/>
            <w:noWrap/>
            <w:vAlign w:val="center"/>
          </w:tcPr>
          <w:p w14:paraId="0C9E295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1900</w:t>
            </w:r>
          </w:p>
        </w:tc>
        <w:tc>
          <w:tcPr>
            <w:tcW w:w="0" w:type="auto"/>
            <w:tcBorders>
              <w:tl2br w:val="nil"/>
              <w:tr2bl w:val="nil"/>
            </w:tcBorders>
            <w:shd w:val="clear" w:color="auto" w:fill="auto"/>
            <w:noWrap/>
            <w:vAlign w:val="center"/>
          </w:tcPr>
          <w:p w14:paraId="33C90B2F">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71C6B02D">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0.891</w:t>
            </w:r>
          </w:p>
        </w:tc>
        <w:tc>
          <w:tcPr>
            <w:tcW w:w="0" w:type="auto"/>
            <w:tcBorders>
              <w:tl2br w:val="nil"/>
              <w:tr2bl w:val="nil"/>
            </w:tcBorders>
            <w:shd w:val="clear" w:color="auto" w:fill="auto"/>
            <w:noWrap/>
            <w:vAlign w:val="center"/>
          </w:tcPr>
          <w:p w14:paraId="415D789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2500</w:t>
            </w:r>
          </w:p>
        </w:tc>
        <w:tc>
          <w:tcPr>
            <w:tcW w:w="0" w:type="auto"/>
            <w:tcBorders>
              <w:tl2br w:val="nil"/>
              <w:tr2bl w:val="nil"/>
            </w:tcBorders>
            <w:shd w:val="clear" w:color="auto" w:fill="auto"/>
            <w:noWrap/>
            <w:vAlign w:val="center"/>
          </w:tcPr>
          <w:p w14:paraId="76E82B8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51451BE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r w14:paraId="6DEF6A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noWrap/>
            <w:vAlign w:val="center"/>
          </w:tcPr>
          <w:p w14:paraId="27CCF9E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700</w:t>
            </w:r>
          </w:p>
        </w:tc>
        <w:tc>
          <w:tcPr>
            <w:tcW w:w="0" w:type="auto"/>
            <w:tcBorders>
              <w:tl2br w:val="nil"/>
              <w:tr2bl w:val="nil"/>
            </w:tcBorders>
            <w:shd w:val="clear" w:color="auto" w:fill="auto"/>
            <w:noWrap/>
            <w:vAlign w:val="center"/>
          </w:tcPr>
          <w:p w14:paraId="6A3C870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w:t>
            </w:r>
          </w:p>
        </w:tc>
        <w:tc>
          <w:tcPr>
            <w:tcW w:w="0" w:type="auto"/>
            <w:tcBorders>
              <w:tl2br w:val="nil"/>
              <w:tr2bl w:val="nil"/>
            </w:tcBorders>
            <w:shd w:val="clear" w:color="auto" w:fill="auto"/>
            <w:noWrap/>
            <w:vAlign w:val="center"/>
          </w:tcPr>
          <w:p w14:paraId="2D8EA01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0.929</w:t>
            </w:r>
          </w:p>
        </w:tc>
        <w:tc>
          <w:tcPr>
            <w:tcW w:w="0" w:type="auto"/>
            <w:tcBorders>
              <w:tl2br w:val="nil"/>
              <w:tr2bl w:val="nil"/>
            </w:tcBorders>
            <w:shd w:val="clear" w:color="auto" w:fill="auto"/>
            <w:noWrap/>
            <w:vAlign w:val="center"/>
          </w:tcPr>
          <w:p w14:paraId="624E71B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1300</w:t>
            </w:r>
          </w:p>
        </w:tc>
        <w:tc>
          <w:tcPr>
            <w:tcW w:w="0" w:type="auto"/>
            <w:tcBorders>
              <w:tl2br w:val="nil"/>
              <w:tr2bl w:val="nil"/>
            </w:tcBorders>
            <w:shd w:val="clear" w:color="auto" w:fill="auto"/>
            <w:noWrap/>
            <w:vAlign w:val="center"/>
          </w:tcPr>
          <w:p w14:paraId="18BD16A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20</w:t>
            </w:r>
          </w:p>
        </w:tc>
        <w:tc>
          <w:tcPr>
            <w:tcW w:w="0" w:type="auto"/>
            <w:tcBorders>
              <w:tl2br w:val="nil"/>
              <w:tr2bl w:val="nil"/>
            </w:tcBorders>
            <w:shd w:val="clear" w:color="auto" w:fill="auto"/>
            <w:noWrap/>
            <w:vAlign w:val="center"/>
          </w:tcPr>
          <w:p w14:paraId="00823D65">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0.889</w:t>
            </w:r>
          </w:p>
        </w:tc>
        <w:tc>
          <w:tcPr>
            <w:tcW w:w="0" w:type="auto"/>
            <w:tcBorders>
              <w:tl2br w:val="nil"/>
              <w:tr2bl w:val="nil"/>
            </w:tcBorders>
            <w:shd w:val="clear" w:color="auto" w:fill="auto"/>
            <w:noWrap/>
            <w:vAlign w:val="center"/>
          </w:tcPr>
          <w:p w14:paraId="1C190EE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1900</w:t>
            </w:r>
          </w:p>
        </w:tc>
        <w:tc>
          <w:tcPr>
            <w:tcW w:w="0" w:type="auto"/>
            <w:tcBorders>
              <w:tl2br w:val="nil"/>
              <w:tr2bl w:val="nil"/>
            </w:tcBorders>
            <w:shd w:val="clear" w:color="auto" w:fill="auto"/>
            <w:noWrap/>
            <w:vAlign w:val="center"/>
          </w:tcPr>
          <w:p w14:paraId="0D65E0F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40</w:t>
            </w:r>
          </w:p>
        </w:tc>
        <w:tc>
          <w:tcPr>
            <w:tcW w:w="0" w:type="auto"/>
            <w:tcBorders>
              <w:tl2br w:val="nil"/>
              <w:tr2bl w:val="nil"/>
            </w:tcBorders>
            <w:shd w:val="clear" w:color="auto" w:fill="auto"/>
            <w:noWrap/>
            <w:vAlign w:val="center"/>
          </w:tcPr>
          <w:p w14:paraId="304F736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c>
          <w:tcPr>
            <w:tcW w:w="0" w:type="auto"/>
            <w:tcBorders>
              <w:tl2br w:val="nil"/>
              <w:tr2bl w:val="nil"/>
            </w:tcBorders>
            <w:shd w:val="clear" w:color="auto" w:fill="auto"/>
            <w:noWrap/>
            <w:vAlign w:val="center"/>
          </w:tcPr>
          <w:p w14:paraId="5F3F59C3">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2500</w:t>
            </w:r>
          </w:p>
        </w:tc>
        <w:tc>
          <w:tcPr>
            <w:tcW w:w="0" w:type="auto"/>
            <w:tcBorders>
              <w:tl2br w:val="nil"/>
              <w:tr2bl w:val="nil"/>
            </w:tcBorders>
            <w:shd w:val="clear" w:color="auto" w:fill="auto"/>
            <w:noWrap/>
            <w:vAlign w:val="center"/>
          </w:tcPr>
          <w:p w14:paraId="4571856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60</w:t>
            </w:r>
          </w:p>
        </w:tc>
        <w:tc>
          <w:tcPr>
            <w:tcW w:w="0" w:type="auto"/>
            <w:tcBorders>
              <w:tl2br w:val="nil"/>
              <w:tr2bl w:val="nil"/>
            </w:tcBorders>
            <w:shd w:val="clear" w:color="auto" w:fill="auto"/>
            <w:noWrap/>
            <w:vAlign w:val="center"/>
          </w:tcPr>
          <w:p w14:paraId="713DE37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snapToGrid w:val="0"/>
                <w:color w:val="auto"/>
                <w:kern w:val="0"/>
                <w:sz w:val="21"/>
                <w:szCs w:val="21"/>
                <w:u w:val="none"/>
                <w:lang w:val="en-US" w:eastAsia="zh-CN" w:bidi="ar"/>
              </w:rPr>
              <w:t>0.887</w:t>
            </w:r>
          </w:p>
        </w:tc>
      </w:tr>
    </w:tbl>
    <w:p w14:paraId="69AF2095">
      <w:pPr>
        <w:keepNext w:val="0"/>
        <w:keepLines w:val="0"/>
        <w:pageBreakBefore w:val="0"/>
        <w:wordWrap/>
        <w:overflowPunct/>
        <w:topLinePunct w:val="0"/>
        <w:bidi w:val="0"/>
        <w:adjustRightInd w:val="0"/>
        <w:snapToGrid w:val="0"/>
        <w:spacing w:line="360" w:lineRule="auto"/>
        <w:rPr>
          <w:rFonts w:hint="default" w:ascii="Times New Roman" w:hAnsi="Times New Roman" w:eastAsia="宋体" w:cs="Times New Roman"/>
          <w:b/>
          <w:bCs w:val="0"/>
          <w:i w:val="0"/>
          <w:snapToGrid w:val="0"/>
          <w:color w:val="auto"/>
          <w:kern w:val="0"/>
          <w:sz w:val="30"/>
          <w:szCs w:val="30"/>
          <w:lang w:val="en-US" w:eastAsia="zh-CN"/>
        </w:rPr>
      </w:pPr>
      <w:r>
        <w:rPr>
          <w:rFonts w:hint="default" w:ascii="Times New Roman" w:hAnsi="Times New Roman" w:eastAsia="宋体" w:cs="Times New Roman"/>
          <w:b/>
          <w:bCs w:val="0"/>
          <w:i w:val="0"/>
          <w:snapToGrid w:val="0"/>
          <w:color w:val="auto"/>
          <w:kern w:val="0"/>
          <w:sz w:val="30"/>
          <w:szCs w:val="30"/>
          <w:lang w:val="en-US" w:eastAsia="zh-CN"/>
        </w:rPr>
        <w:t>4.9地表水环境影响评价</w:t>
      </w:r>
    </w:p>
    <w:p w14:paraId="32B1BA2F">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t>1、水污染控制和水环境影响减缓措施有效性评价</w:t>
      </w:r>
    </w:p>
    <w:p w14:paraId="04E9567A">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fldChar w:fldCharType="begin"/>
      </w:r>
      <w:r>
        <w:rPr>
          <w:rFonts w:hint="default" w:ascii="Times New Roman" w:hAnsi="Times New Roman" w:eastAsia="宋体" w:cs="Times New Roman"/>
          <w:snapToGrid w:val="0"/>
          <w:color w:val="auto"/>
          <w:spacing w:val="-5"/>
          <w:kern w:val="0"/>
          <w:sz w:val="24"/>
          <w:szCs w:val="24"/>
          <w:lang w:val="en-US" w:eastAsia="zh-CN" w:bidi="ar-SA"/>
        </w:rPr>
        <w:instrText xml:space="preserve"> = 1 \* GB3 \* MERGEFORMAT </w:instrText>
      </w:r>
      <w:r>
        <w:rPr>
          <w:rFonts w:hint="default" w:ascii="Times New Roman" w:hAnsi="Times New Roman" w:eastAsia="宋体" w:cs="Times New Roman"/>
          <w:snapToGrid w:val="0"/>
          <w:color w:val="auto"/>
          <w:spacing w:val="-5"/>
          <w:kern w:val="0"/>
          <w:sz w:val="24"/>
          <w:szCs w:val="24"/>
          <w:lang w:val="en-US" w:eastAsia="zh-CN" w:bidi="ar-SA"/>
        </w:rPr>
        <w:fldChar w:fldCharType="separate"/>
      </w:r>
      <w:r>
        <w:rPr>
          <w:rFonts w:hint="default" w:ascii="Times New Roman" w:hAnsi="Times New Roman" w:eastAsia="宋体" w:cs="Times New Roman"/>
          <w:snapToGrid w:val="0"/>
          <w:color w:val="auto"/>
          <w:spacing w:val="-5"/>
          <w:kern w:val="0"/>
          <w:sz w:val="24"/>
          <w:szCs w:val="24"/>
          <w:lang w:val="en-US" w:eastAsia="zh-CN" w:bidi="ar-SA"/>
        </w:rPr>
        <w:t>①</w:t>
      </w:r>
      <w:r>
        <w:rPr>
          <w:rFonts w:hint="default" w:ascii="Times New Roman" w:hAnsi="Times New Roman" w:eastAsia="宋体" w:cs="Times New Roman"/>
          <w:snapToGrid w:val="0"/>
          <w:color w:val="auto"/>
          <w:spacing w:val="-5"/>
          <w:kern w:val="0"/>
          <w:sz w:val="24"/>
          <w:szCs w:val="24"/>
          <w:lang w:val="en-US" w:eastAsia="zh-CN" w:bidi="ar-SA"/>
        </w:rPr>
        <w:fldChar w:fldCharType="end"/>
      </w:r>
      <w:r>
        <w:rPr>
          <w:rFonts w:hint="default" w:ascii="Times New Roman" w:hAnsi="Times New Roman" w:eastAsia="宋体" w:cs="Times New Roman"/>
          <w:snapToGrid w:val="0"/>
          <w:color w:val="auto"/>
          <w:spacing w:val="-5"/>
          <w:kern w:val="0"/>
          <w:sz w:val="24"/>
          <w:szCs w:val="24"/>
          <w:lang w:val="en-US" w:eastAsia="zh-CN" w:bidi="ar-SA"/>
        </w:rPr>
        <w:t>本项目采取絮凝、压滤的处理方式，根据监测数据，</w:t>
      </w:r>
      <w:r>
        <w:rPr>
          <w:rFonts w:hint="eastAsia" w:ascii="Times New Roman" w:hAnsi="Times New Roman" w:eastAsia="宋体" w:cs="Times New Roman"/>
          <w:snapToGrid w:val="0"/>
          <w:color w:val="auto"/>
          <w:spacing w:val="-5"/>
          <w:kern w:val="0"/>
          <w:sz w:val="24"/>
          <w:szCs w:val="24"/>
          <w:lang w:val="en-US" w:eastAsia="zh-CN" w:bidi="ar-SA"/>
        </w:rPr>
        <w:t>排泥水</w:t>
      </w:r>
      <w:r>
        <w:rPr>
          <w:rFonts w:hint="default" w:ascii="Times New Roman" w:hAnsi="Times New Roman" w:eastAsia="宋体" w:cs="Times New Roman"/>
          <w:snapToGrid w:val="0"/>
          <w:color w:val="auto"/>
          <w:spacing w:val="-5"/>
          <w:kern w:val="0"/>
          <w:sz w:val="24"/>
          <w:szCs w:val="24"/>
          <w:lang w:val="en-US" w:eastAsia="zh-CN" w:bidi="ar-SA"/>
        </w:rPr>
        <w:t>上清液各项污染物浓度满足《地表水环境质量标准》（GB3838-2002）表1中三类标准，废水处理措施可行。</w:t>
      </w:r>
    </w:p>
    <w:p w14:paraId="02DD4DBC">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fldChar w:fldCharType="begin"/>
      </w:r>
      <w:r>
        <w:rPr>
          <w:rFonts w:hint="default" w:ascii="Times New Roman" w:hAnsi="Times New Roman" w:eastAsia="宋体" w:cs="Times New Roman"/>
          <w:snapToGrid w:val="0"/>
          <w:color w:val="auto"/>
          <w:spacing w:val="-5"/>
          <w:kern w:val="0"/>
          <w:sz w:val="24"/>
          <w:szCs w:val="24"/>
          <w:lang w:val="en-US" w:eastAsia="zh-CN" w:bidi="ar-SA"/>
        </w:rPr>
        <w:instrText xml:space="preserve"> = 2 \* GB3 \* MERGEFORMAT </w:instrText>
      </w:r>
      <w:r>
        <w:rPr>
          <w:rFonts w:hint="default" w:ascii="Times New Roman" w:hAnsi="Times New Roman" w:eastAsia="宋体" w:cs="Times New Roman"/>
          <w:snapToGrid w:val="0"/>
          <w:color w:val="auto"/>
          <w:spacing w:val="-5"/>
          <w:kern w:val="0"/>
          <w:sz w:val="24"/>
          <w:szCs w:val="24"/>
          <w:lang w:val="en-US" w:eastAsia="zh-CN" w:bidi="ar-SA"/>
        </w:rPr>
        <w:fldChar w:fldCharType="separate"/>
      </w:r>
      <w:r>
        <w:rPr>
          <w:rFonts w:hint="default" w:ascii="Times New Roman" w:hAnsi="Times New Roman" w:eastAsia="宋体" w:cs="Times New Roman"/>
          <w:snapToGrid w:val="0"/>
          <w:color w:val="auto"/>
          <w:spacing w:val="-5"/>
          <w:kern w:val="0"/>
          <w:sz w:val="24"/>
          <w:szCs w:val="24"/>
          <w:lang w:val="en-US" w:eastAsia="zh-CN" w:bidi="ar-SA"/>
        </w:rPr>
        <w:t>②</w:t>
      </w:r>
      <w:r>
        <w:rPr>
          <w:rFonts w:hint="default" w:ascii="Times New Roman" w:hAnsi="Times New Roman" w:eastAsia="宋体" w:cs="Times New Roman"/>
          <w:snapToGrid w:val="0"/>
          <w:color w:val="auto"/>
          <w:spacing w:val="-5"/>
          <w:kern w:val="0"/>
          <w:sz w:val="24"/>
          <w:szCs w:val="24"/>
          <w:lang w:val="en-US" w:eastAsia="zh-CN" w:bidi="ar-SA"/>
        </w:rPr>
        <w:fldChar w:fldCharType="end"/>
      </w:r>
      <w:r>
        <w:rPr>
          <w:rFonts w:hint="default" w:ascii="Times New Roman" w:hAnsi="Times New Roman" w:eastAsia="宋体" w:cs="Times New Roman"/>
          <w:snapToGrid w:val="0"/>
          <w:color w:val="auto"/>
          <w:spacing w:val="-5"/>
          <w:kern w:val="0"/>
          <w:sz w:val="24"/>
          <w:szCs w:val="24"/>
          <w:lang w:val="en-US" w:eastAsia="zh-CN" w:bidi="ar-SA"/>
        </w:rPr>
        <w:t>本项目受纳水体穆棱河为水环境质量达标区，项目采取的废水处理措施满足行业可行性技术指南要求，废水稳定达标排放。</w:t>
      </w:r>
    </w:p>
    <w:p w14:paraId="6FA77821">
      <w:pPr>
        <w:pStyle w:val="8"/>
        <w:keepNext w:val="0"/>
        <w:keepLines w:val="0"/>
        <w:pageBreakBefore w:val="0"/>
        <w:widowControl w:val="0"/>
        <w:numPr>
          <w:ilvl w:val="0"/>
          <w:numId w:val="8"/>
        </w:numPr>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t>水环境影响评价</w:t>
      </w:r>
    </w:p>
    <w:p w14:paraId="5F5FA9B2">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fldChar w:fldCharType="begin"/>
      </w:r>
      <w:r>
        <w:rPr>
          <w:rFonts w:hint="default" w:ascii="Times New Roman" w:hAnsi="Times New Roman" w:eastAsia="宋体" w:cs="Times New Roman"/>
          <w:snapToGrid w:val="0"/>
          <w:color w:val="auto"/>
          <w:spacing w:val="-5"/>
          <w:kern w:val="0"/>
          <w:sz w:val="24"/>
          <w:szCs w:val="24"/>
          <w:lang w:val="en-US" w:eastAsia="zh-CN" w:bidi="ar-SA"/>
        </w:rPr>
        <w:instrText xml:space="preserve"> = 1 \* GB3 \* MERGEFORMAT </w:instrText>
      </w:r>
      <w:r>
        <w:rPr>
          <w:rFonts w:hint="default" w:ascii="Times New Roman" w:hAnsi="Times New Roman" w:eastAsia="宋体" w:cs="Times New Roman"/>
          <w:snapToGrid w:val="0"/>
          <w:color w:val="auto"/>
          <w:spacing w:val="-5"/>
          <w:kern w:val="0"/>
          <w:sz w:val="24"/>
          <w:szCs w:val="24"/>
          <w:lang w:val="en-US" w:eastAsia="zh-CN" w:bidi="ar-SA"/>
        </w:rPr>
        <w:fldChar w:fldCharType="separate"/>
      </w:r>
      <w:r>
        <w:rPr>
          <w:rFonts w:hint="default" w:ascii="Times New Roman" w:hAnsi="Times New Roman" w:eastAsia="宋体" w:cs="Times New Roman"/>
          <w:snapToGrid w:val="0"/>
          <w:color w:val="auto"/>
          <w:spacing w:val="-5"/>
          <w:kern w:val="0"/>
          <w:sz w:val="24"/>
          <w:szCs w:val="24"/>
          <w:lang w:val="en-US" w:eastAsia="zh-CN" w:bidi="ar-SA"/>
        </w:rPr>
        <w:t>①</w:t>
      </w:r>
      <w:r>
        <w:rPr>
          <w:rFonts w:hint="default" w:ascii="Times New Roman" w:hAnsi="Times New Roman" w:eastAsia="宋体" w:cs="Times New Roman"/>
          <w:snapToGrid w:val="0"/>
          <w:color w:val="auto"/>
          <w:spacing w:val="-5"/>
          <w:kern w:val="0"/>
          <w:sz w:val="24"/>
          <w:szCs w:val="24"/>
          <w:lang w:val="en-US" w:eastAsia="zh-CN" w:bidi="ar-SA"/>
        </w:rPr>
        <w:fldChar w:fldCharType="end"/>
      </w:r>
      <w:r>
        <w:rPr>
          <w:rFonts w:hint="default" w:ascii="Times New Roman" w:hAnsi="Times New Roman" w:eastAsia="宋体" w:cs="Times New Roman"/>
          <w:snapToGrid w:val="0"/>
          <w:color w:val="auto"/>
          <w:spacing w:val="-5"/>
          <w:kern w:val="0"/>
          <w:sz w:val="24"/>
          <w:szCs w:val="24"/>
          <w:lang w:val="en-US" w:eastAsia="zh-CN" w:bidi="ar-SA"/>
        </w:rPr>
        <w:t>本</w:t>
      </w:r>
      <w:r>
        <w:rPr>
          <w:rFonts w:hint="default" w:ascii="Times New Roman" w:hAnsi="Times New Roman" w:eastAsia="宋体" w:cs="Times New Roman"/>
          <w:color w:val="auto"/>
          <w:sz w:val="24"/>
          <w:szCs w:val="24"/>
          <w:lang w:val="en-US" w:eastAsia="zh-CN"/>
        </w:rPr>
        <w:t>项目排放口COD、NH</w:t>
      </w:r>
      <w:r>
        <w:rPr>
          <w:rFonts w:hint="default" w:ascii="Times New Roman" w:hAnsi="Times New Roman" w:eastAsia="宋体" w:cs="Times New Roman"/>
          <w:color w:val="auto"/>
          <w:sz w:val="24"/>
          <w:szCs w:val="24"/>
          <w:vertAlign w:val="subscript"/>
          <w:lang w:val="en-US" w:eastAsia="zh-CN"/>
        </w:rPr>
        <w:t>3</w:t>
      </w:r>
      <w:r>
        <w:rPr>
          <w:rFonts w:hint="default" w:ascii="Times New Roman" w:hAnsi="Times New Roman" w:eastAsia="宋体" w:cs="Times New Roman"/>
          <w:color w:val="auto"/>
          <w:sz w:val="24"/>
          <w:szCs w:val="24"/>
          <w:lang w:val="en-US" w:eastAsia="zh-CN"/>
        </w:rPr>
        <w:t>-N所在水域形成的混合区，限制在知一桥国控断面断面以外水域，未与已有排放口形成的混合区叠加，且混合区外水域满足</w:t>
      </w:r>
      <w:r>
        <w:rPr>
          <w:rFonts w:hint="default" w:ascii="Times New Roman" w:hAnsi="Times New Roman" w:eastAsia="宋体" w:cs="Times New Roman"/>
          <w:snapToGrid w:val="0"/>
          <w:color w:val="auto"/>
          <w:spacing w:val="-5"/>
          <w:kern w:val="0"/>
          <w:sz w:val="24"/>
          <w:szCs w:val="24"/>
          <w:lang w:val="en-US" w:eastAsia="zh-CN" w:bidi="ar-SA"/>
        </w:rPr>
        <w:t>满足《地表水环境质量标准》（GB3838-2002）表1中三类标准及安全余量要求。</w:t>
      </w:r>
    </w:p>
    <w:p w14:paraId="2F54EB8E">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 2 \* GB3 \* MERGEFORMAT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sz w:val="24"/>
          <w:szCs w:val="24"/>
          <w:lang w:val="en-US" w:eastAsia="zh-CN"/>
        </w:rPr>
        <w:t>②</w:t>
      </w:r>
      <w:r>
        <w:rPr>
          <w:rFonts w:hint="default" w:ascii="Times New Roman" w:hAnsi="Times New Roman" w:eastAsia="宋体" w:cs="Times New Roman"/>
          <w:color w:val="auto"/>
          <w:sz w:val="24"/>
          <w:szCs w:val="24"/>
          <w:lang w:val="en-US" w:eastAsia="zh-CN"/>
        </w:rPr>
        <w:fldChar w:fldCharType="end"/>
      </w:r>
      <w:r>
        <w:rPr>
          <w:rFonts w:hint="default" w:ascii="Times New Roman" w:hAnsi="Times New Roman" w:eastAsia="宋体" w:cs="Times New Roman"/>
          <w:color w:val="auto"/>
          <w:sz w:val="24"/>
          <w:szCs w:val="24"/>
          <w:lang w:val="en-US" w:eastAsia="zh-CN"/>
        </w:rPr>
        <w:t>本项目受纳水体穆棱河预测范围属于地表水水域环境功能III类，根据预测结果，预测范围内的穆棱河COD、NH</w:t>
      </w:r>
      <w:r>
        <w:rPr>
          <w:rFonts w:hint="default" w:ascii="Times New Roman" w:hAnsi="Times New Roman" w:eastAsia="宋体" w:cs="Times New Roman"/>
          <w:color w:val="auto"/>
          <w:sz w:val="24"/>
          <w:szCs w:val="24"/>
          <w:vertAlign w:val="subscript"/>
          <w:lang w:val="en-US" w:eastAsia="zh-CN"/>
        </w:rPr>
        <w:t>3</w:t>
      </w:r>
      <w:r>
        <w:rPr>
          <w:rFonts w:hint="default" w:ascii="Times New Roman" w:hAnsi="Times New Roman" w:eastAsia="宋体" w:cs="Times New Roman"/>
          <w:color w:val="auto"/>
          <w:sz w:val="24"/>
          <w:szCs w:val="24"/>
          <w:lang w:val="en-US" w:eastAsia="zh-CN"/>
        </w:rPr>
        <w:t>-N满足</w:t>
      </w:r>
      <w:r>
        <w:rPr>
          <w:rFonts w:hint="default" w:ascii="Times New Roman" w:hAnsi="Times New Roman" w:eastAsia="宋体" w:cs="Times New Roman"/>
          <w:snapToGrid w:val="0"/>
          <w:color w:val="auto"/>
          <w:spacing w:val="-5"/>
          <w:kern w:val="0"/>
          <w:sz w:val="24"/>
          <w:szCs w:val="24"/>
          <w:lang w:val="en-US" w:eastAsia="zh-CN" w:bidi="ar-SA"/>
        </w:rPr>
        <w:t>《地表水环境质量标准》（GB3838-2002）表1中三类标准及安全余量要求。</w:t>
      </w:r>
    </w:p>
    <w:p w14:paraId="632F9FB0">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 3 \* GB3 \* MERGEFORMAT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sz w:val="24"/>
          <w:szCs w:val="24"/>
          <w:lang w:val="en-US" w:eastAsia="zh-CN"/>
        </w:rPr>
        <w:t>③</w:t>
      </w:r>
      <w:r>
        <w:rPr>
          <w:rFonts w:hint="default" w:ascii="Times New Roman" w:hAnsi="Times New Roman" w:eastAsia="宋体" w:cs="Times New Roman"/>
          <w:color w:val="auto"/>
          <w:sz w:val="24"/>
          <w:szCs w:val="24"/>
          <w:lang w:val="en-US" w:eastAsia="zh-CN"/>
        </w:rPr>
        <w:fldChar w:fldCharType="end"/>
      </w:r>
      <w:r>
        <w:rPr>
          <w:rFonts w:hint="default" w:ascii="Times New Roman" w:hAnsi="Times New Roman" w:eastAsia="宋体" w:cs="Times New Roman"/>
          <w:color w:val="auto"/>
          <w:sz w:val="24"/>
          <w:szCs w:val="24"/>
          <w:lang w:val="en-US" w:eastAsia="zh-CN"/>
        </w:rPr>
        <w:t>根据预测结果，下游关心断面水质能够满足《农田灌溉水质标准》（GB 5084—2021）。</w:t>
      </w:r>
    </w:p>
    <w:p w14:paraId="7526F577">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 4 \* GB3 \* MERGEFORMAT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sz w:val="24"/>
          <w:szCs w:val="24"/>
          <w:lang w:val="en-US" w:eastAsia="zh-CN"/>
        </w:rPr>
        <w:t>④</w:t>
      </w:r>
      <w:r>
        <w:rPr>
          <w:rFonts w:hint="default" w:ascii="Times New Roman" w:hAnsi="Times New Roman" w:eastAsia="宋体" w:cs="Times New Roman"/>
          <w:color w:val="auto"/>
          <w:sz w:val="24"/>
          <w:szCs w:val="24"/>
          <w:lang w:val="en-US" w:eastAsia="zh-CN"/>
        </w:rPr>
        <w:fldChar w:fldCharType="end"/>
      </w:r>
      <w:r>
        <w:rPr>
          <w:rFonts w:hint="default" w:ascii="Times New Roman" w:hAnsi="Times New Roman" w:eastAsia="宋体" w:cs="Times New Roman"/>
          <w:color w:val="auto"/>
          <w:sz w:val="24"/>
          <w:szCs w:val="24"/>
          <w:lang w:val="en-US" w:eastAsia="zh-CN"/>
        </w:rPr>
        <w:t>根据预测结果，</w:t>
      </w:r>
      <w:r>
        <w:rPr>
          <w:rFonts w:hint="eastAsia" w:ascii="Times New Roman" w:hAnsi="Times New Roman" w:eastAsia="宋体" w:cs="Times New Roman"/>
          <w:snapToGrid w:val="0"/>
          <w:color w:val="auto"/>
          <w:spacing w:val="-5"/>
          <w:kern w:val="0"/>
          <w:sz w:val="24"/>
          <w:szCs w:val="24"/>
          <w:lang w:val="en-US" w:eastAsia="zh-CN" w:bidi="ar-SA"/>
        </w:rPr>
        <w:t>入穆棱河</w:t>
      </w:r>
      <w:r>
        <w:rPr>
          <w:rFonts w:hint="default" w:ascii="Times New Roman" w:hAnsi="Times New Roman" w:eastAsia="宋体" w:cs="Times New Roman"/>
          <w:snapToGrid w:val="0"/>
          <w:color w:val="auto"/>
          <w:spacing w:val="-5"/>
          <w:kern w:val="0"/>
          <w:sz w:val="24"/>
          <w:szCs w:val="24"/>
          <w:lang w:val="en-US" w:eastAsia="zh-CN" w:bidi="ar-SA"/>
        </w:rPr>
        <w:t>排污口</w:t>
      </w:r>
      <w:r>
        <w:rPr>
          <w:rFonts w:hint="default" w:ascii="Times New Roman" w:hAnsi="Times New Roman" w:eastAsia="宋体" w:cs="Times New Roman"/>
          <w:color w:val="auto"/>
          <w:sz w:val="24"/>
          <w:szCs w:val="24"/>
          <w:lang w:val="en-US" w:eastAsia="zh-CN"/>
        </w:rPr>
        <w:t>下游知一桥国控断面COD、NH</w:t>
      </w:r>
      <w:r>
        <w:rPr>
          <w:rFonts w:hint="default" w:ascii="Times New Roman" w:hAnsi="Times New Roman" w:eastAsia="宋体" w:cs="Times New Roman"/>
          <w:color w:val="auto"/>
          <w:sz w:val="24"/>
          <w:szCs w:val="24"/>
          <w:vertAlign w:val="subscript"/>
          <w:lang w:val="en-US" w:eastAsia="zh-CN"/>
        </w:rPr>
        <w:t>3</w:t>
      </w:r>
      <w:r>
        <w:rPr>
          <w:rFonts w:hint="default" w:ascii="Times New Roman" w:hAnsi="Times New Roman" w:eastAsia="宋体" w:cs="Times New Roman"/>
          <w:color w:val="auto"/>
          <w:sz w:val="24"/>
          <w:szCs w:val="24"/>
          <w:lang w:val="en-US" w:eastAsia="zh-CN"/>
        </w:rPr>
        <w:t>-N满足</w:t>
      </w:r>
      <w:r>
        <w:rPr>
          <w:rFonts w:hint="default" w:ascii="Times New Roman" w:hAnsi="Times New Roman" w:eastAsia="宋体" w:cs="Times New Roman"/>
          <w:snapToGrid w:val="0"/>
          <w:color w:val="auto"/>
          <w:spacing w:val="-5"/>
          <w:kern w:val="0"/>
          <w:sz w:val="24"/>
          <w:szCs w:val="24"/>
          <w:lang w:val="en-US" w:eastAsia="zh-CN" w:bidi="ar-SA"/>
        </w:rPr>
        <w:t>《地表水环境质量标准》（GB3838-2002）表1中三类标准及安全余量要求。</w:t>
      </w:r>
    </w:p>
    <w:p w14:paraId="4B78FD87">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 5 \* GB3 \* MERGEFORMAT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sz w:val="24"/>
          <w:szCs w:val="24"/>
          <w:lang w:val="en-US" w:eastAsia="zh-CN"/>
        </w:rPr>
        <w:t>⑤</w:t>
      </w:r>
      <w:r>
        <w:rPr>
          <w:rFonts w:hint="default" w:ascii="Times New Roman" w:hAnsi="Times New Roman" w:eastAsia="宋体" w:cs="Times New Roman"/>
          <w:color w:val="auto"/>
          <w:sz w:val="24"/>
          <w:szCs w:val="24"/>
          <w:lang w:val="en-US" w:eastAsia="zh-CN"/>
        </w:rPr>
        <w:fldChar w:fldCharType="end"/>
      </w:r>
      <w:r>
        <w:rPr>
          <w:rFonts w:hint="default" w:ascii="Times New Roman" w:hAnsi="Times New Roman" w:eastAsia="宋体" w:cs="Times New Roman"/>
          <w:color w:val="auto"/>
          <w:sz w:val="24"/>
          <w:szCs w:val="24"/>
          <w:lang w:val="en-US" w:eastAsia="zh-CN"/>
        </w:rPr>
        <w:t>本项目排污口设置点不涉及饮用水源保护区、自然保护区、水产养殖区等敏感目标，符合国家法律、法规、规划和相关政策的要求和规定。影响范围内无重要敏感保护目标，满足穆棱河水环境功能区和水功能区要求。排污口设置合理。</w:t>
      </w:r>
    </w:p>
    <w:p w14:paraId="72799CF8">
      <w:pPr>
        <w:keepNext w:val="0"/>
        <w:keepLines w:val="0"/>
        <w:pageBreakBefore w:val="0"/>
        <w:wordWrap/>
        <w:overflowPunct/>
        <w:topLinePunct w:val="0"/>
        <w:bidi w:val="0"/>
        <w:adjustRightInd w:val="0"/>
        <w:snapToGrid w:val="0"/>
        <w:spacing w:line="360" w:lineRule="auto"/>
        <w:rPr>
          <w:rFonts w:hint="default" w:ascii="Times New Roman" w:hAnsi="Times New Roman" w:eastAsia="宋体" w:cs="Times New Roman"/>
          <w:b/>
          <w:bCs w:val="0"/>
          <w:i w:val="0"/>
          <w:snapToGrid w:val="0"/>
          <w:color w:val="auto"/>
          <w:kern w:val="0"/>
          <w:sz w:val="30"/>
          <w:szCs w:val="30"/>
          <w:lang w:val="en-US" w:eastAsia="zh-CN"/>
        </w:rPr>
      </w:pPr>
      <w:r>
        <w:rPr>
          <w:rFonts w:hint="default" w:ascii="Times New Roman" w:hAnsi="Times New Roman" w:eastAsia="宋体" w:cs="Times New Roman"/>
          <w:b/>
          <w:bCs w:val="0"/>
          <w:i w:val="0"/>
          <w:snapToGrid w:val="0"/>
          <w:color w:val="auto"/>
          <w:kern w:val="0"/>
          <w:sz w:val="30"/>
          <w:szCs w:val="30"/>
          <w:lang w:val="en-US" w:eastAsia="zh-CN"/>
        </w:rPr>
        <w:t>4.10结论</w:t>
      </w:r>
    </w:p>
    <w:p w14:paraId="70C6A9E2">
      <w:pPr>
        <w:pStyle w:val="8"/>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left"/>
        <w:textAlignment w:val="auto"/>
        <w:rPr>
          <w:rFonts w:hint="default" w:ascii="Times New Roman" w:hAnsi="Times New Roman" w:eastAsia="宋体" w:cs="Times New Roman"/>
          <w:snapToGrid w:val="0"/>
          <w:color w:val="auto"/>
          <w:spacing w:val="-5"/>
          <w:kern w:val="0"/>
          <w:sz w:val="24"/>
          <w:szCs w:val="24"/>
          <w:lang w:val="en-US" w:eastAsia="zh-CN" w:bidi="ar-SA"/>
        </w:rPr>
      </w:pPr>
      <w:r>
        <w:rPr>
          <w:rFonts w:hint="default" w:ascii="Times New Roman" w:hAnsi="Times New Roman" w:eastAsia="宋体" w:cs="Times New Roman"/>
          <w:snapToGrid w:val="0"/>
          <w:color w:val="auto"/>
          <w:spacing w:val="-5"/>
          <w:kern w:val="0"/>
          <w:sz w:val="24"/>
          <w:szCs w:val="24"/>
          <w:lang w:val="en-US" w:eastAsia="zh-CN" w:bidi="ar-SA"/>
        </w:rPr>
        <w:t>本项目对水环境影响较小，水环境影响可接受。</w:t>
      </w:r>
    </w:p>
    <w:p w14:paraId="36095DC6">
      <w:pPr>
        <w:rPr>
          <w:rFonts w:ascii="Times New Roman" w:hAnsi="Times New Roman" w:eastAsia="Times New Roman" w:cs="Times New Roman"/>
          <w:b/>
          <w:bCs/>
          <w:color w:val="auto"/>
          <w:spacing w:val="-4"/>
          <w:sz w:val="35"/>
          <w:szCs w:val="35"/>
        </w:rPr>
      </w:pPr>
      <w:r>
        <w:rPr>
          <w:rFonts w:ascii="Times New Roman" w:hAnsi="Times New Roman" w:eastAsia="Times New Roman" w:cs="Times New Roman"/>
          <w:b/>
          <w:bCs/>
          <w:color w:val="auto"/>
          <w:spacing w:val="-4"/>
          <w:sz w:val="35"/>
          <w:szCs w:val="35"/>
        </w:rPr>
        <w:br w:type="page"/>
      </w:r>
    </w:p>
    <w:p w14:paraId="7AB5B573">
      <w:pPr>
        <w:spacing w:before="130" w:line="220" w:lineRule="auto"/>
        <w:jc w:val="center"/>
        <w:outlineLvl w:val="0"/>
        <w:rPr>
          <w:rFonts w:ascii="宋体" w:hAnsi="宋体" w:eastAsia="宋体" w:cs="宋体"/>
          <w:color w:val="auto"/>
          <w:sz w:val="35"/>
          <w:szCs w:val="35"/>
        </w:rPr>
      </w:pPr>
      <w:r>
        <w:rPr>
          <w:rFonts w:ascii="Times New Roman" w:hAnsi="Times New Roman" w:eastAsia="Times New Roman" w:cs="Times New Roman"/>
          <w:b/>
          <w:bCs/>
          <w:color w:val="auto"/>
          <w:spacing w:val="-4"/>
          <w:sz w:val="35"/>
          <w:szCs w:val="35"/>
        </w:rPr>
        <w:t xml:space="preserve">5  </w:t>
      </w:r>
      <w:r>
        <w:rPr>
          <w:rFonts w:ascii="宋体" w:hAnsi="宋体" w:eastAsia="宋体" w:cs="宋体"/>
          <w:b/>
          <w:bCs/>
          <w:color w:val="auto"/>
          <w:spacing w:val="-4"/>
          <w:sz w:val="35"/>
          <w:szCs w:val="35"/>
        </w:rPr>
        <w:t>水污染防治措施及监测计划</w:t>
      </w:r>
    </w:p>
    <w:p w14:paraId="1AA457F4">
      <w:pPr>
        <w:spacing w:before="292" w:line="225" w:lineRule="auto"/>
        <w:ind w:left="1"/>
        <w:outlineLvl w:val="1"/>
        <w:rPr>
          <w:rFonts w:ascii="宋体" w:hAnsi="宋体" w:eastAsia="宋体" w:cs="宋体"/>
          <w:color w:val="auto"/>
          <w:sz w:val="31"/>
          <w:szCs w:val="31"/>
        </w:rPr>
      </w:pPr>
      <w:bookmarkStart w:id="62" w:name="bookmark59"/>
      <w:bookmarkEnd w:id="62"/>
      <w:r>
        <w:rPr>
          <w:rFonts w:ascii="Times New Roman" w:hAnsi="Times New Roman" w:eastAsia="Times New Roman" w:cs="Times New Roman"/>
          <w:b/>
          <w:bCs/>
          <w:color w:val="auto"/>
          <w:spacing w:val="4"/>
          <w:sz w:val="31"/>
          <w:szCs w:val="31"/>
        </w:rPr>
        <w:t xml:space="preserve">5.1  </w:t>
      </w:r>
      <w:r>
        <w:rPr>
          <w:rFonts w:ascii="宋体" w:hAnsi="宋体" w:eastAsia="宋体" w:cs="宋体"/>
          <w:b/>
          <w:bCs/>
          <w:color w:val="auto"/>
          <w:spacing w:val="4"/>
          <w:sz w:val="31"/>
          <w:szCs w:val="31"/>
        </w:rPr>
        <w:t>废水处理措施</w:t>
      </w:r>
    </w:p>
    <w:p w14:paraId="61F3F14A">
      <w:pPr>
        <w:spacing w:before="234" w:line="360" w:lineRule="auto"/>
        <w:ind w:left="3" w:firstLine="477"/>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本项目运行期间工作人员产生的生活</w:t>
      </w:r>
      <w:r>
        <w:rPr>
          <w:rFonts w:hint="eastAsia" w:ascii="宋体" w:hAnsi="宋体" w:eastAsia="宋体" w:cs="宋体"/>
          <w:color w:val="auto"/>
          <w:spacing w:val="5"/>
          <w:sz w:val="24"/>
          <w:szCs w:val="24"/>
          <w:highlight w:val="none"/>
          <w:lang w:val="en-US" w:eastAsia="zh-CN"/>
        </w:rPr>
        <w:t>污水排入市政污水管网</w:t>
      </w:r>
      <w:r>
        <w:rPr>
          <w:rFonts w:ascii="宋体" w:hAnsi="宋体" w:eastAsia="宋体" w:cs="宋体"/>
          <w:color w:val="auto"/>
          <w:spacing w:val="-1"/>
          <w:sz w:val="24"/>
          <w:szCs w:val="24"/>
          <w:highlight w:val="none"/>
        </w:rPr>
        <w:t>，</w:t>
      </w:r>
      <w:r>
        <w:rPr>
          <w:rFonts w:hint="default" w:ascii="Times New Roman" w:hAnsi="Times New Roman" w:eastAsia="宋体" w:cs="Times New Roman"/>
          <w:bCs/>
          <w:color w:val="auto"/>
          <w:spacing w:val="0"/>
          <w:kern w:val="0"/>
          <w:sz w:val="24"/>
          <w:szCs w:val="24"/>
          <w:highlight w:val="none"/>
          <w:lang w:val="en-US" w:eastAsia="zh-CN"/>
        </w:rPr>
        <w:t>反冲洗废水</w:t>
      </w:r>
      <w:r>
        <w:rPr>
          <w:rFonts w:hint="eastAsia" w:cs="Times New Roman"/>
          <w:color w:val="auto"/>
          <w:sz w:val="24"/>
          <w:szCs w:val="24"/>
          <w:highlight w:val="none"/>
          <w:lang w:eastAsia="zh-CN"/>
        </w:rPr>
        <w:t>回收</w:t>
      </w:r>
      <w:r>
        <w:rPr>
          <w:rFonts w:hint="eastAsia" w:cs="Times New Roman"/>
          <w:color w:val="auto"/>
          <w:sz w:val="24"/>
          <w:szCs w:val="24"/>
          <w:highlight w:val="none"/>
          <w:lang w:val="en-US" w:eastAsia="zh-CN"/>
        </w:rPr>
        <w:t>排入</w:t>
      </w:r>
      <w:r>
        <w:rPr>
          <w:rFonts w:hint="eastAsia" w:cs="Times New Roman"/>
          <w:color w:val="auto"/>
          <w:sz w:val="24"/>
          <w:szCs w:val="24"/>
          <w:highlight w:val="none"/>
          <w:lang w:eastAsia="zh-CN"/>
        </w:rPr>
        <w:t>配水</w:t>
      </w:r>
      <w:r>
        <w:rPr>
          <w:rFonts w:hint="eastAsia" w:cs="Times New Roman"/>
          <w:color w:val="auto"/>
          <w:sz w:val="24"/>
          <w:szCs w:val="24"/>
          <w:highlight w:val="none"/>
          <w:lang w:val="en-US" w:eastAsia="zh-CN"/>
        </w:rPr>
        <w:t>井</w:t>
      </w:r>
      <w:r>
        <w:rPr>
          <w:rFonts w:hint="eastAsia" w:cs="Times New Roman"/>
          <w:color w:val="auto"/>
          <w:sz w:val="24"/>
          <w:szCs w:val="24"/>
          <w:highlight w:val="none"/>
          <w:lang w:eastAsia="zh-CN"/>
        </w:rPr>
        <w:t>与原水混合回用，不外排，</w:t>
      </w:r>
      <w:r>
        <w:rPr>
          <w:rFonts w:hint="eastAsia" w:ascii="宋体" w:hAnsi="宋体" w:eastAsia="宋体" w:cs="宋体"/>
          <w:color w:val="auto"/>
          <w:spacing w:val="-1"/>
          <w:sz w:val="24"/>
          <w:szCs w:val="24"/>
          <w:highlight w:val="none"/>
          <w:lang w:val="en-US" w:eastAsia="zh-CN"/>
        </w:rPr>
        <w:t>排泥水经絮凝、压滤处理后，</w:t>
      </w:r>
      <w:r>
        <w:rPr>
          <w:rFonts w:ascii="宋体" w:hAnsi="宋体" w:eastAsia="宋体" w:cs="宋体"/>
          <w:color w:val="auto"/>
          <w:spacing w:val="-2"/>
          <w:sz w:val="24"/>
          <w:szCs w:val="24"/>
          <w:highlight w:val="none"/>
        </w:rPr>
        <w:t>出水水质达到</w:t>
      </w:r>
      <w:r>
        <w:rPr>
          <w:rFonts w:hint="default" w:ascii="Times New Roman" w:hAnsi="Times New Roman" w:cs="Times New Roman"/>
          <w:b w:val="0"/>
          <w:bCs w:val="0"/>
          <w:color w:val="auto"/>
          <w:spacing w:val="0"/>
          <w:position w:val="0"/>
          <w:sz w:val="24"/>
          <w:szCs w:val="24"/>
          <w:highlight w:val="none"/>
          <w:lang w:val="en-US" w:eastAsia="zh-CN"/>
        </w:rPr>
        <w:t>《地表水环境质量标准》（GB3838-2002）表1中三类标准</w:t>
      </w:r>
      <w:r>
        <w:rPr>
          <w:rFonts w:ascii="宋体" w:hAnsi="宋体" w:eastAsia="宋体" w:cs="宋体"/>
          <w:color w:val="auto"/>
          <w:spacing w:val="-1"/>
          <w:sz w:val="24"/>
          <w:szCs w:val="24"/>
          <w:highlight w:val="none"/>
        </w:rPr>
        <w:t>，</w:t>
      </w:r>
      <w:r>
        <w:rPr>
          <w:rFonts w:hint="default" w:ascii="Times New Roman" w:hAnsi="Times New Roman" w:cs="Times New Roman"/>
          <w:color w:val="auto"/>
          <w:spacing w:val="0"/>
          <w:sz w:val="24"/>
          <w:szCs w:val="24"/>
          <w:highlight w:val="none"/>
          <w:lang w:val="en-US" w:eastAsia="zh-CN"/>
        </w:rPr>
        <w:t>悬浮物</w:t>
      </w:r>
      <w:r>
        <w:rPr>
          <w:rFonts w:hint="eastAsia" w:ascii="Times New Roman" w:hAnsi="Times New Roman" w:cs="Times New Roman"/>
          <w:color w:val="auto"/>
          <w:spacing w:val="0"/>
          <w:sz w:val="24"/>
          <w:szCs w:val="24"/>
          <w:highlight w:val="none"/>
          <w:lang w:val="en-US" w:eastAsia="zh-CN"/>
        </w:rPr>
        <w:t>满足</w:t>
      </w:r>
      <w:r>
        <w:rPr>
          <w:rFonts w:hint="default" w:ascii="Times New Roman" w:hAnsi="Times New Roman" w:eastAsia="宋体" w:cs="Times New Roman"/>
          <w:color w:val="auto"/>
          <w:sz w:val="24"/>
          <w:szCs w:val="24"/>
          <w:highlight w:val="none"/>
          <w:lang w:val="en-US" w:eastAsia="zh-CN"/>
        </w:rPr>
        <w:t>《污水综合排放标准》</w:t>
      </w:r>
      <w:r>
        <w:rPr>
          <w:rFonts w:hint="default" w:ascii="Times New Roman" w:hAnsi="Times New Roman" w:cs="Times New Roman"/>
          <w:color w:val="auto"/>
          <w:sz w:val="24"/>
          <w:szCs w:val="24"/>
          <w:highlight w:val="none"/>
          <w:lang w:val="en-US" w:eastAsia="zh-CN"/>
        </w:rPr>
        <w:t>（GB8978-1996）一级标准</w:t>
      </w:r>
      <w:r>
        <w:rPr>
          <w:rFonts w:ascii="宋体" w:hAnsi="宋体" w:eastAsia="宋体" w:cs="宋体"/>
          <w:color w:val="auto"/>
          <w:spacing w:val="-1"/>
          <w:sz w:val="24"/>
          <w:szCs w:val="24"/>
          <w:highlight w:val="none"/>
        </w:rPr>
        <w:t>最终排入</w:t>
      </w:r>
      <w:r>
        <w:rPr>
          <w:rFonts w:hint="eastAsia" w:ascii="宋体" w:hAnsi="宋体" w:eastAsia="宋体" w:cs="宋体"/>
          <w:color w:val="auto"/>
          <w:spacing w:val="-1"/>
          <w:sz w:val="24"/>
          <w:szCs w:val="24"/>
          <w:highlight w:val="none"/>
          <w:lang w:val="en-US" w:eastAsia="zh-CN"/>
        </w:rPr>
        <w:t>穆棱河</w:t>
      </w:r>
      <w:r>
        <w:rPr>
          <w:rFonts w:ascii="宋体" w:hAnsi="宋体" w:eastAsia="宋体" w:cs="宋体"/>
          <w:color w:val="auto"/>
          <w:spacing w:val="-1"/>
          <w:sz w:val="24"/>
          <w:szCs w:val="24"/>
          <w:highlight w:val="none"/>
        </w:rPr>
        <w:t>。</w:t>
      </w:r>
    </w:p>
    <w:p w14:paraId="40E8A26B">
      <w:pPr>
        <w:keepNext w:val="0"/>
        <w:keepLines w:val="0"/>
        <w:pageBreakBefore w:val="0"/>
        <w:widowControl/>
        <w:wordWrap/>
        <w:overflowPunct/>
        <w:topLinePunct w:val="0"/>
        <w:bidi w:val="0"/>
        <w:spacing w:line="360" w:lineRule="auto"/>
        <w:ind w:left="0"/>
        <w:outlineLvl w:val="1"/>
        <w:rPr>
          <w:rFonts w:ascii="宋体" w:hAnsi="宋体" w:eastAsia="宋体" w:cs="宋体"/>
          <w:color w:val="auto"/>
          <w:sz w:val="31"/>
          <w:szCs w:val="31"/>
          <w:highlight w:val="none"/>
        </w:rPr>
      </w:pPr>
      <w:bookmarkStart w:id="63" w:name="bookmark43"/>
      <w:bookmarkEnd w:id="63"/>
      <w:bookmarkStart w:id="64" w:name="bookmark44"/>
      <w:bookmarkEnd w:id="64"/>
      <w:r>
        <w:rPr>
          <w:rFonts w:ascii="Times New Roman" w:hAnsi="Times New Roman" w:eastAsia="Times New Roman" w:cs="Times New Roman"/>
          <w:b/>
          <w:bCs/>
          <w:color w:val="auto"/>
          <w:spacing w:val="5"/>
          <w:sz w:val="31"/>
          <w:szCs w:val="31"/>
          <w:highlight w:val="none"/>
        </w:rPr>
        <w:t xml:space="preserve">5.2  </w:t>
      </w:r>
      <w:r>
        <w:rPr>
          <w:rFonts w:ascii="宋体" w:hAnsi="宋体" w:eastAsia="宋体" w:cs="宋体"/>
          <w:b/>
          <w:bCs/>
          <w:color w:val="auto"/>
          <w:spacing w:val="5"/>
          <w:sz w:val="31"/>
          <w:szCs w:val="31"/>
          <w:highlight w:val="none"/>
        </w:rPr>
        <w:t>废水处理措施可行性分析</w:t>
      </w:r>
    </w:p>
    <w:p w14:paraId="4398EB75">
      <w:pPr>
        <w:keepNext w:val="0"/>
        <w:keepLines w:val="0"/>
        <w:pageBreakBefore w:val="0"/>
        <w:widowControl/>
        <w:wordWrap/>
        <w:overflowPunct/>
        <w:topLinePunct w:val="0"/>
        <w:bidi w:val="0"/>
        <w:spacing w:line="360" w:lineRule="auto"/>
        <w:ind w:left="0"/>
        <w:outlineLvl w:val="2"/>
        <w:rPr>
          <w:rFonts w:ascii="宋体" w:hAnsi="宋体" w:eastAsia="宋体" w:cs="宋体"/>
          <w:color w:val="auto"/>
          <w:sz w:val="28"/>
          <w:szCs w:val="28"/>
          <w:highlight w:val="none"/>
        </w:rPr>
      </w:pPr>
      <w:bookmarkStart w:id="65" w:name="bookmark60"/>
      <w:bookmarkEnd w:id="65"/>
      <w:r>
        <w:rPr>
          <w:rFonts w:ascii="Times New Roman" w:hAnsi="Times New Roman" w:eastAsia="Times New Roman" w:cs="Times New Roman"/>
          <w:b/>
          <w:bCs/>
          <w:color w:val="auto"/>
          <w:spacing w:val="-2"/>
          <w:sz w:val="28"/>
          <w:szCs w:val="28"/>
          <w:highlight w:val="none"/>
        </w:rPr>
        <w:t xml:space="preserve">5.2.1 </w:t>
      </w:r>
      <w:r>
        <w:rPr>
          <w:rFonts w:ascii="宋体" w:hAnsi="宋体" w:eastAsia="宋体" w:cs="宋体"/>
          <w:b/>
          <w:bCs/>
          <w:color w:val="auto"/>
          <w:spacing w:val="-2"/>
          <w:sz w:val="28"/>
          <w:szCs w:val="28"/>
          <w:highlight w:val="none"/>
        </w:rPr>
        <w:t>废水处理工艺可行性分析</w:t>
      </w:r>
    </w:p>
    <w:p w14:paraId="2539A486">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360" w:lineRule="auto"/>
        <w:ind w:left="0" w:right="0" w:rightChars="0" w:firstLine="472" w:firstLineChars="200"/>
        <w:textAlignment w:val="auto"/>
        <w:rPr>
          <w:rFonts w:ascii="宋体" w:hAnsi="宋体" w:eastAsia="宋体" w:cs="宋体"/>
          <w:color w:val="auto"/>
          <w:sz w:val="24"/>
          <w:szCs w:val="24"/>
          <w:highlight w:val="none"/>
        </w:rPr>
      </w:pPr>
      <w:r>
        <w:rPr>
          <w:rFonts w:hint="default" w:ascii="Times New Roman" w:hAnsi="Times New Roman" w:eastAsia="宋体" w:cs="Times New Roman"/>
          <w:color w:val="auto"/>
          <w:spacing w:val="-2"/>
          <w:sz w:val="24"/>
          <w:szCs w:val="24"/>
          <w:highlight w:val="none"/>
        </w:rPr>
        <w:t>本项目运营期工作人员生活污水</w:t>
      </w:r>
      <w:r>
        <w:rPr>
          <w:rFonts w:hint="default" w:ascii="Times New Roman" w:hAnsi="Times New Roman" w:eastAsia="宋体" w:cs="Times New Roman"/>
          <w:color w:val="auto"/>
          <w:spacing w:val="-2"/>
          <w:sz w:val="24"/>
          <w:szCs w:val="24"/>
          <w:highlight w:val="none"/>
          <w:lang w:val="en-US" w:eastAsia="zh-CN"/>
        </w:rPr>
        <w:t>排入市政污水管网，</w:t>
      </w:r>
      <w:r>
        <w:rPr>
          <w:rFonts w:hint="default" w:ascii="Times New Roman" w:hAnsi="Times New Roman" w:eastAsia="宋体" w:cs="Times New Roman"/>
          <w:bCs/>
          <w:color w:val="auto"/>
          <w:spacing w:val="0"/>
          <w:kern w:val="0"/>
          <w:sz w:val="24"/>
          <w:szCs w:val="24"/>
          <w:highlight w:val="none"/>
          <w:lang w:val="en-US" w:eastAsia="zh-CN"/>
        </w:rPr>
        <w:t>反冲洗废水</w:t>
      </w:r>
      <w:r>
        <w:rPr>
          <w:rFonts w:hint="eastAsia" w:cs="Times New Roman"/>
          <w:color w:val="auto"/>
          <w:sz w:val="24"/>
          <w:szCs w:val="24"/>
          <w:highlight w:val="none"/>
          <w:lang w:eastAsia="zh-CN"/>
        </w:rPr>
        <w:t>回收</w:t>
      </w:r>
      <w:r>
        <w:rPr>
          <w:rFonts w:hint="eastAsia" w:cs="Times New Roman"/>
          <w:color w:val="auto"/>
          <w:sz w:val="24"/>
          <w:szCs w:val="24"/>
          <w:highlight w:val="none"/>
          <w:lang w:val="en-US" w:eastAsia="zh-CN"/>
        </w:rPr>
        <w:t>排入</w:t>
      </w:r>
      <w:r>
        <w:rPr>
          <w:rFonts w:hint="eastAsia" w:cs="Times New Roman"/>
          <w:color w:val="auto"/>
          <w:sz w:val="24"/>
          <w:szCs w:val="24"/>
          <w:highlight w:val="none"/>
          <w:lang w:eastAsia="zh-CN"/>
        </w:rPr>
        <w:t>配水</w:t>
      </w:r>
      <w:r>
        <w:rPr>
          <w:rFonts w:hint="eastAsia" w:cs="Times New Roman"/>
          <w:color w:val="auto"/>
          <w:sz w:val="24"/>
          <w:szCs w:val="24"/>
          <w:highlight w:val="none"/>
          <w:lang w:val="en-US" w:eastAsia="zh-CN"/>
        </w:rPr>
        <w:t>井</w:t>
      </w:r>
      <w:r>
        <w:rPr>
          <w:rFonts w:hint="eastAsia" w:cs="Times New Roman"/>
          <w:color w:val="auto"/>
          <w:sz w:val="24"/>
          <w:szCs w:val="24"/>
          <w:highlight w:val="none"/>
          <w:lang w:eastAsia="zh-CN"/>
        </w:rPr>
        <w:t>与原水混合回用，不外排，</w:t>
      </w:r>
      <w:r>
        <w:rPr>
          <w:rFonts w:hint="default" w:ascii="Times New Roman" w:hAnsi="Times New Roman" w:eastAsia="宋体" w:cs="Times New Roman"/>
          <w:color w:val="auto"/>
          <w:spacing w:val="-2"/>
          <w:sz w:val="24"/>
          <w:szCs w:val="24"/>
          <w:highlight w:val="none"/>
          <w:lang w:val="en-US" w:eastAsia="zh-CN"/>
        </w:rPr>
        <w:t>排泥水</w:t>
      </w:r>
      <w:r>
        <w:rPr>
          <w:rFonts w:hint="eastAsia"/>
          <w:color w:val="auto"/>
          <w:sz w:val="24"/>
          <w:szCs w:val="24"/>
          <w:highlight w:val="none"/>
          <w:lang w:val="en-US" w:eastAsia="zh-CN"/>
        </w:rPr>
        <w:t>采取絮凝、压滤的处理方式</w:t>
      </w:r>
      <w:r>
        <w:rPr>
          <w:rFonts w:hint="eastAsia" w:ascii="宋体" w:hAnsi="宋体" w:eastAsia="宋体" w:cs="宋体"/>
          <w:color w:val="auto"/>
          <w:sz w:val="24"/>
          <w:szCs w:val="24"/>
          <w:highlight w:val="none"/>
          <w:lang w:eastAsia="zh-CN"/>
        </w:rPr>
        <w:t>处理，</w:t>
      </w:r>
      <w:r>
        <w:rPr>
          <w:rFonts w:hint="default" w:ascii="Times New Roman" w:hAnsi="Times New Roman" w:eastAsia="宋体" w:cs="Times New Roman"/>
          <w:color w:val="auto"/>
          <w:spacing w:val="-2"/>
          <w:sz w:val="24"/>
          <w:szCs w:val="24"/>
          <w:highlight w:val="none"/>
          <w:lang w:val="en-US" w:eastAsia="zh-CN"/>
        </w:rPr>
        <w:t>根据监测数据，各项污染物浓度满足</w:t>
      </w:r>
      <w:r>
        <w:rPr>
          <w:rFonts w:hint="default" w:ascii="Times New Roman" w:hAnsi="Times New Roman" w:cs="Times New Roman"/>
          <w:b w:val="0"/>
          <w:bCs w:val="0"/>
          <w:color w:val="auto"/>
          <w:spacing w:val="0"/>
          <w:position w:val="0"/>
          <w:sz w:val="24"/>
          <w:szCs w:val="24"/>
          <w:highlight w:val="none"/>
          <w:lang w:val="en-US" w:eastAsia="zh-CN"/>
        </w:rPr>
        <w:t>《地表水环境质量标准》（GB3838-2002）表1中三类标准</w:t>
      </w:r>
      <w:r>
        <w:rPr>
          <w:rFonts w:hint="eastAsia" w:ascii="Times New Roman" w:hAnsi="Times New Roman" w:cs="Times New Roman"/>
          <w:b w:val="0"/>
          <w:bCs w:val="0"/>
          <w:color w:val="auto"/>
          <w:spacing w:val="0"/>
          <w:position w:val="0"/>
          <w:sz w:val="24"/>
          <w:szCs w:val="24"/>
          <w:highlight w:val="none"/>
          <w:lang w:val="en-US" w:eastAsia="zh-CN"/>
        </w:rPr>
        <w:t>，</w:t>
      </w:r>
      <w:r>
        <w:rPr>
          <w:rFonts w:hint="default" w:ascii="Times New Roman" w:hAnsi="Times New Roman" w:cs="Times New Roman"/>
          <w:color w:val="auto"/>
          <w:spacing w:val="0"/>
          <w:sz w:val="24"/>
          <w:szCs w:val="24"/>
          <w:highlight w:val="none"/>
          <w:lang w:val="en-US" w:eastAsia="zh-CN"/>
        </w:rPr>
        <w:t>悬浮物</w:t>
      </w:r>
      <w:r>
        <w:rPr>
          <w:rFonts w:hint="eastAsia" w:ascii="Times New Roman" w:hAnsi="Times New Roman" w:cs="Times New Roman"/>
          <w:color w:val="auto"/>
          <w:spacing w:val="0"/>
          <w:sz w:val="24"/>
          <w:szCs w:val="24"/>
          <w:highlight w:val="none"/>
          <w:lang w:val="en-US" w:eastAsia="zh-CN"/>
        </w:rPr>
        <w:t>满足</w:t>
      </w:r>
      <w:r>
        <w:rPr>
          <w:rFonts w:hint="default" w:ascii="Times New Roman" w:hAnsi="Times New Roman" w:eastAsia="宋体" w:cs="Times New Roman"/>
          <w:color w:val="auto"/>
          <w:sz w:val="24"/>
          <w:szCs w:val="24"/>
          <w:highlight w:val="none"/>
          <w:lang w:val="en-US" w:eastAsia="zh-CN"/>
        </w:rPr>
        <w:t>《污水综合排放标准》</w:t>
      </w:r>
      <w:r>
        <w:rPr>
          <w:rFonts w:hint="default" w:ascii="Times New Roman" w:hAnsi="Times New Roman" w:cs="Times New Roman"/>
          <w:color w:val="auto"/>
          <w:sz w:val="24"/>
          <w:szCs w:val="24"/>
          <w:highlight w:val="none"/>
          <w:lang w:val="en-US" w:eastAsia="zh-CN"/>
        </w:rPr>
        <w:t>（GB8978-1996）一级标准</w:t>
      </w:r>
      <w:r>
        <w:rPr>
          <w:rFonts w:hint="default" w:ascii="Times New Roman" w:hAnsi="Times New Roman" w:eastAsia="宋体" w:cs="Times New Roman"/>
          <w:color w:val="auto"/>
          <w:spacing w:val="-2"/>
          <w:sz w:val="24"/>
          <w:szCs w:val="24"/>
          <w:highlight w:val="none"/>
          <w:lang w:eastAsia="zh-CN"/>
        </w:rPr>
        <w:t>，</w:t>
      </w:r>
      <w:r>
        <w:rPr>
          <w:rFonts w:hint="default" w:ascii="Times New Roman" w:hAnsi="Times New Roman" w:eastAsia="宋体" w:cs="Times New Roman"/>
          <w:color w:val="auto"/>
          <w:spacing w:val="-2"/>
          <w:sz w:val="24"/>
          <w:szCs w:val="24"/>
          <w:highlight w:val="none"/>
          <w:lang w:val="en-US" w:eastAsia="zh-CN"/>
        </w:rPr>
        <w:t>故认为废水处理措施可行</w:t>
      </w:r>
      <w:r>
        <w:rPr>
          <w:rFonts w:hint="eastAsia" w:ascii="Times New Roman" w:hAnsi="Times New Roman" w:eastAsia="宋体" w:cs="Times New Roman"/>
          <w:color w:val="auto"/>
          <w:spacing w:val="-2"/>
          <w:sz w:val="24"/>
          <w:szCs w:val="24"/>
          <w:highlight w:val="none"/>
          <w:lang w:val="en-US" w:eastAsia="zh-CN"/>
        </w:rPr>
        <w:t>，</w:t>
      </w:r>
      <w:r>
        <w:rPr>
          <w:rFonts w:ascii="宋体" w:hAnsi="宋体" w:eastAsia="宋体" w:cs="宋体"/>
          <w:color w:val="auto"/>
          <w:spacing w:val="-1"/>
          <w:sz w:val="24"/>
          <w:szCs w:val="24"/>
          <w:highlight w:val="none"/>
        </w:rPr>
        <w:t>不会对纳污水体产生明显影响。</w:t>
      </w:r>
    </w:p>
    <w:p w14:paraId="6BAD4285">
      <w:pPr>
        <w:spacing w:before="2" w:line="220" w:lineRule="auto"/>
        <w:outlineLvl w:val="2"/>
        <w:rPr>
          <w:rFonts w:ascii="宋体" w:hAnsi="宋体" w:eastAsia="宋体" w:cs="宋体"/>
          <w:color w:val="auto"/>
          <w:sz w:val="28"/>
          <w:szCs w:val="28"/>
          <w:highlight w:val="none"/>
        </w:rPr>
      </w:pPr>
      <w:bookmarkStart w:id="66" w:name="bookmark45"/>
      <w:bookmarkEnd w:id="66"/>
      <w:r>
        <w:rPr>
          <w:rFonts w:ascii="Times New Roman" w:hAnsi="Times New Roman" w:eastAsia="Times New Roman" w:cs="Times New Roman"/>
          <w:b/>
          <w:bCs/>
          <w:color w:val="auto"/>
          <w:spacing w:val="-2"/>
          <w:sz w:val="28"/>
          <w:szCs w:val="28"/>
          <w:highlight w:val="none"/>
        </w:rPr>
        <w:t xml:space="preserve">5.2.2 </w:t>
      </w:r>
      <w:r>
        <w:rPr>
          <w:rFonts w:ascii="宋体" w:hAnsi="宋体" w:eastAsia="宋体" w:cs="宋体"/>
          <w:b/>
          <w:bCs/>
          <w:color w:val="auto"/>
          <w:spacing w:val="-2"/>
          <w:sz w:val="28"/>
          <w:szCs w:val="28"/>
          <w:highlight w:val="none"/>
        </w:rPr>
        <w:t>水质环境目标可达性分析</w:t>
      </w:r>
    </w:p>
    <w:p w14:paraId="553E1C1B">
      <w:pPr>
        <w:spacing w:before="206" w:line="359" w:lineRule="auto"/>
        <w:ind w:left="2" w:firstLine="479"/>
        <w:jc w:val="both"/>
        <w:rPr>
          <w:rFonts w:hint="default" w:ascii="Times New Roman" w:hAnsi="Times New Roman" w:eastAsia="宋体" w:cs="Times New Roman"/>
          <w:color w:val="auto"/>
          <w:spacing w:val="-6"/>
          <w:sz w:val="24"/>
          <w:szCs w:val="24"/>
        </w:rPr>
      </w:pPr>
      <w:r>
        <w:rPr>
          <w:rFonts w:hint="default" w:ascii="Times New Roman" w:hAnsi="Times New Roman" w:eastAsia="宋体" w:cs="Times New Roman"/>
          <w:color w:val="auto"/>
          <w:spacing w:val="-5"/>
          <w:sz w:val="24"/>
          <w:szCs w:val="24"/>
        </w:rPr>
        <w:t>根据监测结果表明，项</w:t>
      </w:r>
      <w:r>
        <w:rPr>
          <w:rFonts w:hint="default" w:ascii="Times New Roman" w:hAnsi="Times New Roman" w:eastAsia="宋体" w:cs="Times New Roman"/>
          <w:color w:val="auto"/>
          <w:spacing w:val="-5"/>
          <w:sz w:val="24"/>
          <w:szCs w:val="24"/>
          <w:highlight w:val="none"/>
        </w:rPr>
        <w:t>目纳污水体</w:t>
      </w:r>
      <w:r>
        <w:rPr>
          <w:rFonts w:hint="default" w:ascii="Times New Roman" w:hAnsi="Times New Roman" w:eastAsia="宋体" w:cs="Times New Roman"/>
          <w:color w:val="auto"/>
          <w:spacing w:val="-5"/>
          <w:sz w:val="24"/>
          <w:szCs w:val="24"/>
          <w:highlight w:val="none"/>
          <w:lang w:val="en-US" w:eastAsia="zh-CN"/>
        </w:rPr>
        <w:t>穆棱河</w:t>
      </w:r>
      <w:r>
        <w:rPr>
          <w:rFonts w:hint="default" w:ascii="Times New Roman" w:hAnsi="Times New Roman" w:eastAsia="宋体" w:cs="Times New Roman"/>
          <w:color w:val="auto"/>
          <w:spacing w:val="-5"/>
          <w:sz w:val="24"/>
          <w:szCs w:val="24"/>
          <w:highlight w:val="none"/>
        </w:rPr>
        <w:t>水质因子现状均达到</w:t>
      </w:r>
      <w:r>
        <w:rPr>
          <w:rFonts w:hint="default" w:ascii="Times New Roman" w:hAnsi="Times New Roman" w:eastAsia="宋体" w:cs="Times New Roman"/>
          <w:color w:val="auto"/>
          <w:spacing w:val="-6"/>
          <w:sz w:val="24"/>
          <w:szCs w:val="24"/>
          <w:highlight w:val="none"/>
        </w:rPr>
        <w:t>《地表水环境质量标准》</w:t>
      </w:r>
      <w:r>
        <w:rPr>
          <w:rFonts w:hint="default" w:ascii="Times New Roman" w:hAnsi="Times New Roman" w:eastAsia="宋体" w:cs="Times New Roman"/>
          <w:color w:val="auto"/>
          <w:spacing w:val="-1"/>
          <w:sz w:val="24"/>
          <w:szCs w:val="24"/>
          <w:highlight w:val="none"/>
        </w:rPr>
        <w:t>（</w:t>
      </w:r>
      <w:r>
        <w:rPr>
          <w:rFonts w:hint="default" w:ascii="Times New Roman" w:hAnsi="Times New Roman" w:eastAsia="Times New Roman" w:cs="Times New Roman"/>
          <w:color w:val="auto"/>
          <w:spacing w:val="-1"/>
          <w:sz w:val="24"/>
          <w:szCs w:val="24"/>
          <w:highlight w:val="none"/>
        </w:rPr>
        <w:t>GB3838-2002</w:t>
      </w:r>
      <w:r>
        <w:rPr>
          <w:rFonts w:hint="default" w:ascii="Times New Roman" w:hAnsi="Times New Roman" w:eastAsia="宋体" w:cs="Times New Roman"/>
          <w:color w:val="auto"/>
          <w:spacing w:val="-1"/>
          <w:sz w:val="24"/>
          <w:szCs w:val="24"/>
          <w:highlight w:val="none"/>
          <w:lang w:eastAsia="zh-CN"/>
        </w:rPr>
        <w:t>）</w:t>
      </w:r>
      <w:r>
        <w:rPr>
          <w:rFonts w:hint="default" w:ascii="Times New Roman" w:hAnsi="Times New Roman" w:eastAsia="宋体" w:cs="Times New Roman"/>
          <w:color w:val="auto"/>
          <w:spacing w:val="-1"/>
          <w:sz w:val="24"/>
          <w:szCs w:val="24"/>
          <w:highlight w:val="none"/>
          <w:lang w:val="en-US" w:eastAsia="zh-CN"/>
        </w:rPr>
        <w:t>Ⅲ</w:t>
      </w:r>
      <w:r>
        <w:rPr>
          <w:rFonts w:hint="default" w:ascii="Times New Roman" w:hAnsi="Times New Roman" w:eastAsia="宋体" w:cs="Times New Roman"/>
          <w:color w:val="auto"/>
          <w:spacing w:val="-1"/>
          <w:sz w:val="24"/>
          <w:szCs w:val="24"/>
          <w:highlight w:val="none"/>
        </w:rPr>
        <w:t>类水质标准的要求，项目纳污水体地表水环境质量良好，为达标区。</w:t>
      </w:r>
      <w:r>
        <w:rPr>
          <w:rFonts w:hint="default" w:ascii="Times New Roman" w:hAnsi="Times New Roman" w:eastAsia="宋体" w:cs="Times New Roman"/>
          <w:color w:val="auto"/>
          <w:sz w:val="24"/>
          <w:szCs w:val="24"/>
          <w:highlight w:val="none"/>
        </w:rPr>
        <w:t>本项目废水经收集处理后，达到</w:t>
      </w:r>
      <w:r>
        <w:rPr>
          <w:rFonts w:hint="default" w:ascii="Times New Roman" w:hAnsi="Times New Roman" w:cs="Times New Roman"/>
          <w:b w:val="0"/>
          <w:bCs w:val="0"/>
          <w:color w:val="auto"/>
          <w:spacing w:val="0"/>
          <w:position w:val="0"/>
          <w:sz w:val="24"/>
          <w:szCs w:val="24"/>
          <w:highlight w:val="none"/>
          <w:lang w:val="en-US" w:eastAsia="zh-CN"/>
        </w:rPr>
        <w:t>《地表水环境质量标准》（GB3838-2002）表1中三类标准</w:t>
      </w:r>
      <w:r>
        <w:rPr>
          <w:rFonts w:hint="eastAsia" w:ascii="Times New Roman" w:hAnsi="Times New Roman" w:cs="Times New Roman"/>
          <w:b w:val="0"/>
          <w:bCs w:val="0"/>
          <w:color w:val="auto"/>
          <w:spacing w:val="0"/>
          <w:position w:val="0"/>
          <w:sz w:val="24"/>
          <w:szCs w:val="24"/>
          <w:highlight w:val="none"/>
          <w:lang w:val="en-US" w:eastAsia="zh-CN"/>
        </w:rPr>
        <w:t>，</w:t>
      </w:r>
      <w:r>
        <w:rPr>
          <w:rFonts w:hint="default" w:ascii="Times New Roman" w:hAnsi="Times New Roman" w:cs="Times New Roman"/>
          <w:color w:val="auto"/>
          <w:spacing w:val="0"/>
          <w:sz w:val="24"/>
          <w:szCs w:val="24"/>
          <w:highlight w:val="none"/>
          <w:lang w:val="en-US" w:eastAsia="zh-CN"/>
        </w:rPr>
        <w:t>悬浮物</w:t>
      </w:r>
      <w:r>
        <w:rPr>
          <w:rFonts w:hint="eastAsia" w:ascii="Times New Roman" w:hAnsi="Times New Roman" w:cs="Times New Roman"/>
          <w:color w:val="auto"/>
          <w:spacing w:val="0"/>
          <w:sz w:val="24"/>
          <w:szCs w:val="24"/>
          <w:highlight w:val="none"/>
          <w:lang w:val="en-US" w:eastAsia="zh-CN"/>
        </w:rPr>
        <w:t>满足</w:t>
      </w:r>
      <w:r>
        <w:rPr>
          <w:rFonts w:hint="default" w:ascii="Times New Roman" w:hAnsi="Times New Roman" w:eastAsia="宋体" w:cs="Times New Roman"/>
          <w:color w:val="auto"/>
          <w:sz w:val="24"/>
          <w:szCs w:val="24"/>
          <w:highlight w:val="none"/>
          <w:lang w:val="en-US" w:eastAsia="zh-CN"/>
        </w:rPr>
        <w:t>《污水综合排放标准》</w:t>
      </w:r>
      <w:r>
        <w:rPr>
          <w:rFonts w:hint="default" w:ascii="Times New Roman" w:hAnsi="Times New Roman" w:cs="Times New Roman"/>
          <w:color w:val="auto"/>
          <w:sz w:val="24"/>
          <w:szCs w:val="24"/>
          <w:highlight w:val="none"/>
          <w:lang w:val="en-US" w:eastAsia="zh-CN"/>
        </w:rPr>
        <w:t>（GB8978-1996）一级标准</w:t>
      </w:r>
      <w:r>
        <w:rPr>
          <w:rFonts w:hint="default" w:ascii="Times New Roman" w:hAnsi="Times New Roman" w:eastAsia="宋体" w:cs="Times New Roman"/>
          <w:color w:val="auto"/>
          <w:sz w:val="24"/>
          <w:szCs w:val="24"/>
          <w:highlight w:val="none"/>
        </w:rPr>
        <w:t>。同时根据预测结果，本项目正常排放工况下，排污口下游未形成超标准污</w:t>
      </w:r>
      <w:r>
        <w:rPr>
          <w:rFonts w:hint="default" w:ascii="Times New Roman" w:hAnsi="Times New Roman" w:eastAsia="宋体" w:cs="Times New Roman"/>
          <w:color w:val="auto"/>
          <w:spacing w:val="1"/>
          <w:sz w:val="24"/>
          <w:szCs w:val="24"/>
          <w:highlight w:val="none"/>
        </w:rPr>
        <w:t>染带，影响预测值均满足现状《地表水环境质量标准》（</w:t>
      </w:r>
      <w:r>
        <w:rPr>
          <w:rFonts w:hint="default" w:ascii="Times New Roman" w:hAnsi="Times New Roman" w:eastAsia="Times New Roman" w:cs="Times New Roman"/>
          <w:color w:val="auto"/>
          <w:sz w:val="24"/>
          <w:szCs w:val="24"/>
          <w:highlight w:val="none"/>
        </w:rPr>
        <w:t>GB</w:t>
      </w:r>
      <w:r>
        <w:rPr>
          <w:rFonts w:hint="default" w:ascii="Times New Roman" w:hAnsi="Times New Roman" w:eastAsia="Times New Roman" w:cs="Times New Roman"/>
          <w:color w:val="auto"/>
          <w:spacing w:val="1"/>
          <w:sz w:val="24"/>
          <w:szCs w:val="24"/>
          <w:highlight w:val="none"/>
        </w:rPr>
        <w:t xml:space="preserve"> 383</w:t>
      </w:r>
      <w:r>
        <w:rPr>
          <w:rFonts w:hint="default" w:ascii="Times New Roman" w:hAnsi="Times New Roman" w:eastAsia="Times New Roman" w:cs="Times New Roman"/>
          <w:color w:val="auto"/>
          <w:sz w:val="24"/>
          <w:szCs w:val="24"/>
          <w:highlight w:val="none"/>
        </w:rPr>
        <w:t>8-2002</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Ⅲ</w:t>
      </w:r>
      <w:r>
        <w:rPr>
          <w:rFonts w:hint="default" w:ascii="Times New Roman" w:hAnsi="Times New Roman" w:eastAsia="宋体" w:cs="Times New Roman"/>
          <w:color w:val="auto"/>
          <w:sz w:val="24"/>
          <w:szCs w:val="24"/>
          <w:highlight w:val="none"/>
        </w:rPr>
        <w:t>类标准，同</w:t>
      </w:r>
      <w:r>
        <w:rPr>
          <w:rFonts w:hint="default" w:ascii="Times New Roman" w:hAnsi="Times New Roman" w:eastAsia="宋体" w:cs="Times New Roman"/>
          <w:color w:val="auto"/>
          <w:spacing w:val="1"/>
          <w:sz w:val="24"/>
          <w:szCs w:val="24"/>
          <w:highlight w:val="none"/>
        </w:rPr>
        <w:t>时也满足该水体功能区的</w:t>
      </w:r>
      <w:r>
        <w:rPr>
          <w:rFonts w:hint="default" w:ascii="Times New Roman" w:hAnsi="Times New Roman" w:eastAsia="宋体" w:cs="Times New Roman"/>
          <w:color w:val="auto"/>
          <w:sz w:val="24"/>
          <w:szCs w:val="24"/>
          <w:highlight w:val="none"/>
          <w:lang w:val="en-US" w:eastAsia="zh-CN"/>
        </w:rPr>
        <w:t>Ⅲ</w:t>
      </w:r>
      <w:r>
        <w:rPr>
          <w:rFonts w:hint="default" w:ascii="Times New Roman" w:hAnsi="Times New Roman" w:eastAsia="宋体" w:cs="Times New Roman"/>
          <w:color w:val="auto"/>
          <w:spacing w:val="1"/>
          <w:sz w:val="24"/>
          <w:szCs w:val="24"/>
          <w:highlight w:val="none"/>
        </w:rPr>
        <w:t>类水质要求。在非正常排</w:t>
      </w:r>
      <w:r>
        <w:rPr>
          <w:rFonts w:hint="default" w:ascii="Times New Roman" w:hAnsi="Times New Roman" w:eastAsia="宋体" w:cs="Times New Roman"/>
          <w:color w:val="auto"/>
          <w:sz w:val="24"/>
          <w:szCs w:val="24"/>
          <w:highlight w:val="none"/>
        </w:rPr>
        <w:t>放工况下，只是排污口区域会形成局</w:t>
      </w:r>
      <w:r>
        <w:rPr>
          <w:rFonts w:hint="default" w:ascii="Times New Roman" w:hAnsi="Times New Roman" w:eastAsia="宋体" w:cs="Times New Roman"/>
          <w:color w:val="auto"/>
          <w:sz w:val="24"/>
          <w:szCs w:val="24"/>
        </w:rPr>
        <w:t>部的污染带，经过下游河道对污染物的削减，能够完全达到水功能区水质管理要求</w:t>
      </w:r>
      <w:r>
        <w:rPr>
          <w:rFonts w:hint="default" w:ascii="Times New Roman" w:hAnsi="Times New Roman" w:eastAsia="宋体" w:cs="Times New Roman"/>
          <w:color w:val="auto"/>
          <w:spacing w:val="17"/>
          <w:sz w:val="24"/>
          <w:szCs w:val="24"/>
        </w:rPr>
        <w:t xml:space="preserve"> </w:t>
      </w:r>
      <w:r>
        <w:rPr>
          <w:rFonts w:hint="default" w:ascii="Times New Roman" w:hAnsi="Times New Roman" w:eastAsia="宋体" w:cs="Times New Roman"/>
          <w:color w:val="auto"/>
          <w:spacing w:val="-6"/>
          <w:sz w:val="24"/>
          <w:szCs w:val="24"/>
        </w:rPr>
        <w:t>项目排放污染物总量满足水功能区纳污能力。因此，项目实施后对</w:t>
      </w:r>
      <w:r>
        <w:rPr>
          <w:rFonts w:hint="eastAsia" w:ascii="Times New Roman" w:hAnsi="Times New Roman" w:eastAsia="宋体" w:cs="Times New Roman"/>
          <w:color w:val="auto"/>
          <w:spacing w:val="-6"/>
          <w:sz w:val="24"/>
          <w:szCs w:val="24"/>
          <w:lang w:val="en-US" w:eastAsia="zh-CN"/>
        </w:rPr>
        <w:t>穆棱河</w:t>
      </w:r>
      <w:r>
        <w:rPr>
          <w:rFonts w:hint="default" w:ascii="Times New Roman" w:hAnsi="Times New Roman" w:eastAsia="宋体" w:cs="Times New Roman"/>
          <w:color w:val="auto"/>
          <w:spacing w:val="-6"/>
          <w:sz w:val="24"/>
          <w:szCs w:val="24"/>
        </w:rPr>
        <w:t>地表水影响较小。</w:t>
      </w:r>
    </w:p>
    <w:p w14:paraId="74D5500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2"/>
        <w:rPr>
          <w:rFonts w:hint="eastAsia" w:ascii="宋体" w:hAnsi="宋体" w:eastAsia="宋体" w:cs="宋体"/>
          <w:color w:val="auto"/>
          <w:sz w:val="28"/>
          <w:szCs w:val="28"/>
          <w:lang w:eastAsia="zh-CN"/>
        </w:rPr>
      </w:pPr>
      <w:r>
        <w:rPr>
          <w:rFonts w:ascii="Times New Roman" w:hAnsi="Times New Roman" w:eastAsia="Times New Roman" w:cs="Times New Roman"/>
          <w:b/>
          <w:bCs/>
          <w:color w:val="auto"/>
          <w:spacing w:val="-2"/>
          <w:sz w:val="28"/>
          <w:szCs w:val="28"/>
        </w:rPr>
        <w:t>5.2.</w:t>
      </w:r>
      <w:r>
        <w:rPr>
          <w:rFonts w:hint="eastAsia" w:ascii="Times New Roman" w:hAnsi="Times New Roman" w:eastAsia="宋体" w:cs="Times New Roman"/>
          <w:b/>
          <w:bCs/>
          <w:color w:val="auto"/>
          <w:spacing w:val="-2"/>
          <w:sz w:val="28"/>
          <w:szCs w:val="28"/>
          <w:lang w:val="en-US" w:eastAsia="zh-CN"/>
        </w:rPr>
        <w:t>3</w:t>
      </w:r>
      <w:r>
        <w:rPr>
          <w:rFonts w:ascii="Times New Roman" w:hAnsi="Times New Roman" w:eastAsia="Times New Roman" w:cs="Times New Roman"/>
          <w:b/>
          <w:bCs/>
          <w:color w:val="auto"/>
          <w:spacing w:val="-2"/>
          <w:sz w:val="28"/>
          <w:szCs w:val="28"/>
        </w:rPr>
        <w:t xml:space="preserve"> </w:t>
      </w:r>
      <w:r>
        <w:rPr>
          <w:rFonts w:hint="eastAsia" w:ascii="宋体" w:hAnsi="宋体" w:eastAsia="宋体" w:cs="宋体"/>
          <w:b/>
          <w:bCs/>
          <w:color w:val="auto"/>
          <w:spacing w:val="-2"/>
          <w:sz w:val="28"/>
          <w:szCs w:val="28"/>
          <w:lang w:eastAsia="zh-CN"/>
        </w:rPr>
        <w:t>排放口设置合理性分析</w:t>
      </w:r>
    </w:p>
    <w:p w14:paraId="097E76F5">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企业入河排污口</w:t>
      </w:r>
      <w:r>
        <w:rPr>
          <w:rFonts w:hint="default" w:ascii="Times New Roman" w:hAnsi="Times New Roman" w:eastAsia="宋体" w:cs="Times New Roman"/>
          <w:color w:val="auto"/>
          <w:sz w:val="24"/>
          <w:szCs w:val="24"/>
        </w:rPr>
        <w:t>位于</w:t>
      </w:r>
      <w:r>
        <w:rPr>
          <w:rFonts w:hint="default" w:ascii="Times New Roman" w:hAnsi="Times New Roman" w:eastAsia="宋体" w:cs="Times New Roman"/>
          <w:bCs/>
          <w:color w:val="auto"/>
          <w:spacing w:val="0"/>
          <w:kern w:val="0"/>
          <w:sz w:val="24"/>
          <w:szCs w:val="24"/>
        </w:rPr>
        <w:t>鸡西市鸡冠区鸡西北方热电厂北侧</w:t>
      </w:r>
      <w:r>
        <w:rPr>
          <w:rFonts w:hint="default" w:ascii="Times New Roman" w:hAnsi="Times New Roman" w:eastAsia="宋体" w:cs="Times New Roman"/>
          <w:color w:val="auto"/>
          <w:sz w:val="24"/>
          <w:szCs w:val="24"/>
          <w:lang w:val="en-US" w:eastAsia="zh-CN"/>
        </w:rPr>
        <w:t>，地理坐标为</w:t>
      </w:r>
      <w:r>
        <w:rPr>
          <w:rFonts w:hint="default" w:ascii="Times New Roman" w:hAnsi="Times New Roman" w:eastAsia="宋体" w:cs="Times New Roman"/>
          <w:bCs/>
          <w:color w:val="auto"/>
          <w:spacing w:val="0"/>
          <w:kern w:val="0"/>
          <w:sz w:val="24"/>
          <w:szCs w:val="24"/>
        </w:rPr>
        <w:t>经度为131.015052°，纬度为45.281099°。</w:t>
      </w:r>
      <w:r>
        <w:rPr>
          <w:rFonts w:hint="default" w:ascii="Times New Roman" w:hAnsi="Times New Roman" w:eastAsia="宋体" w:cs="Times New Roman"/>
          <w:color w:val="auto"/>
          <w:sz w:val="24"/>
          <w:szCs w:val="24"/>
          <w:lang w:val="en-US" w:eastAsia="zh-CN"/>
        </w:rPr>
        <w:t>企业入河排污口排放方式属于间歇性排放。</w:t>
      </w:r>
    </w:p>
    <w:p w14:paraId="70FED9CB">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该排污口的选址不涉及区域饮用水水源保护区、风景名胜区水体、重要渔业水体和其他具有特殊经济文化价值的水体的保护区，且符合《入河排污口监督管理办法》（部令 第35号）、《</w:t>
      </w:r>
      <w:r>
        <w:rPr>
          <w:rFonts w:hint="default" w:ascii="Times New Roman" w:hAnsi="Times New Roman" w:eastAsia="宋体" w:cs="Times New Roman"/>
          <w:color w:val="auto"/>
          <w:sz w:val="24"/>
          <w:szCs w:val="24"/>
          <w:lang w:eastAsia="zh-CN"/>
        </w:rPr>
        <w:t>黑龙江省水污染防治条例</w:t>
      </w:r>
      <w:r>
        <w:rPr>
          <w:rFonts w:hint="default" w:ascii="Times New Roman" w:hAnsi="Times New Roman" w:eastAsia="宋体" w:cs="Times New Roman"/>
          <w:color w:val="auto"/>
          <w:sz w:val="24"/>
          <w:szCs w:val="24"/>
          <w:lang w:val="en-US" w:eastAsia="zh-CN"/>
        </w:rPr>
        <w:t>》等相关法律法规要求和区域生态环境分区管控管理要求；同时，通过预测可知，</w:t>
      </w:r>
      <w:r>
        <w:rPr>
          <w:rFonts w:hint="eastAsia" w:ascii="Times New Roman" w:hAnsi="Times New Roman" w:eastAsia="宋体" w:cs="Times New Roman"/>
          <w:color w:val="auto"/>
          <w:sz w:val="24"/>
          <w:szCs w:val="24"/>
          <w:lang w:val="en-US" w:eastAsia="zh-CN"/>
        </w:rPr>
        <w:t>净水厂</w:t>
      </w:r>
      <w:r>
        <w:rPr>
          <w:rFonts w:hint="default" w:ascii="Times New Roman" w:hAnsi="Times New Roman" w:eastAsia="宋体" w:cs="Times New Roman"/>
          <w:color w:val="auto"/>
          <w:sz w:val="24"/>
          <w:szCs w:val="24"/>
          <w:lang w:val="en-US" w:eastAsia="zh-CN"/>
        </w:rPr>
        <w:t>达标排放的废水经入河排污口排放后对区域水环境质量影响不明显，且对相关水域的影响不大，因此设置可行。另外，通过企业入河排污口所排放的废水不会改变区域河流走向和水域形态，综上所述，从环</w:t>
      </w:r>
      <w:r>
        <w:rPr>
          <w:rFonts w:hint="default" w:ascii="Times New Roman" w:hAnsi="Times New Roman" w:eastAsia="宋体" w:cs="Times New Roman"/>
          <w:color w:val="auto"/>
          <w:sz w:val="24"/>
          <w:szCs w:val="24"/>
          <w:lang w:val="en-US" w:eastAsia="zh-CN"/>
        </w:rPr>
        <w:t>境保护角度考虑，企业入河排污口的选址合理。</w:t>
      </w:r>
    </w:p>
    <w:p w14:paraId="5CF117F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宋体" w:cs="Times New Roman"/>
          <w:b/>
          <w:bCs/>
          <w:color w:val="auto"/>
          <w:sz w:val="32"/>
          <w:szCs w:val="32"/>
          <w:lang w:val="en-US" w:eastAsia="zh-CN"/>
        </w:rPr>
      </w:pPr>
      <w:r>
        <w:rPr>
          <w:rFonts w:hint="default" w:ascii="Times New Roman" w:hAnsi="Times New Roman" w:eastAsia="宋体" w:cs="Times New Roman"/>
          <w:b/>
          <w:bCs/>
          <w:color w:val="auto"/>
          <w:sz w:val="32"/>
          <w:szCs w:val="32"/>
          <w:lang w:val="en-US" w:eastAsia="zh-CN"/>
        </w:rPr>
        <w:t>5.3监测计划</w:t>
      </w:r>
    </w:p>
    <w:p w14:paraId="4A57B36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根据《排污单位自行监测技术指南 总则》（HJ 819-2017）本项目废</w:t>
      </w:r>
      <w:r>
        <w:rPr>
          <w:rFonts w:hint="default" w:ascii="Times New Roman" w:hAnsi="Times New Roman" w:eastAsia="宋体" w:cs="Times New Roman"/>
          <w:color w:val="auto"/>
          <w:sz w:val="24"/>
          <w:szCs w:val="24"/>
          <w:lang w:eastAsia="zh-CN"/>
        </w:rPr>
        <w:t>水</w:t>
      </w:r>
      <w:r>
        <w:rPr>
          <w:rFonts w:hint="default" w:ascii="Times New Roman" w:hAnsi="Times New Roman" w:eastAsia="宋体" w:cs="Times New Roman"/>
          <w:color w:val="auto"/>
          <w:sz w:val="24"/>
          <w:szCs w:val="24"/>
        </w:rPr>
        <w:t>监测计划如下：</w:t>
      </w:r>
    </w:p>
    <w:p w14:paraId="3481876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表</w:t>
      </w:r>
      <w:r>
        <w:rPr>
          <w:rFonts w:hint="eastAsia" w:ascii="Times New Roman" w:hAnsi="Times New Roman" w:eastAsia="宋体" w:cs="Times New Roman"/>
          <w:b/>
          <w:color w:val="auto"/>
          <w:sz w:val="24"/>
          <w:szCs w:val="24"/>
          <w:highlight w:val="none"/>
          <w:lang w:val="en-US" w:eastAsia="zh-CN"/>
        </w:rPr>
        <w:t>5</w:t>
      </w:r>
      <w:r>
        <w:rPr>
          <w:rFonts w:hint="default" w:ascii="Times New Roman" w:hAnsi="Times New Roman" w:eastAsia="宋体" w:cs="Times New Roman"/>
          <w:b/>
          <w:color w:val="auto"/>
          <w:sz w:val="24"/>
          <w:szCs w:val="24"/>
          <w:highlight w:val="none"/>
        </w:rPr>
        <w:t>-</w:t>
      </w:r>
      <w:r>
        <w:rPr>
          <w:rFonts w:hint="eastAsia" w:ascii="Times New Roman" w:hAnsi="Times New Roman" w:eastAsia="宋体" w:cs="Times New Roman"/>
          <w:b/>
          <w:color w:val="auto"/>
          <w:sz w:val="24"/>
          <w:szCs w:val="24"/>
          <w:highlight w:val="none"/>
          <w:lang w:val="en-US" w:eastAsia="zh-CN"/>
        </w:rPr>
        <w:t>1</w:t>
      </w:r>
      <w:r>
        <w:rPr>
          <w:rFonts w:hint="default" w:ascii="Times New Roman" w:hAnsi="Times New Roman" w:eastAsia="宋体" w:cs="Times New Roman"/>
          <w:b/>
          <w:color w:val="auto"/>
          <w:sz w:val="24"/>
          <w:szCs w:val="24"/>
          <w:highlight w:val="none"/>
        </w:rPr>
        <w:t>水污染物监测计划</w:t>
      </w:r>
    </w:p>
    <w:tbl>
      <w:tblPr>
        <w:tblStyle w:val="35"/>
        <w:tblW w:w="4973"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12"/>
        <w:gridCol w:w="6451"/>
        <w:gridCol w:w="1475"/>
      </w:tblGrid>
      <w:tr w14:paraId="18AE508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73" w:hRule="atLeast"/>
          <w:jc w:val="center"/>
        </w:trPr>
        <w:tc>
          <w:tcPr>
            <w:tcW w:w="710" w:type="pct"/>
            <w:vAlign w:val="center"/>
          </w:tcPr>
          <w:p w14:paraId="6E610AD0">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监测点位</w:t>
            </w:r>
          </w:p>
        </w:tc>
        <w:tc>
          <w:tcPr>
            <w:tcW w:w="3491" w:type="pct"/>
            <w:vAlign w:val="center"/>
          </w:tcPr>
          <w:p w14:paraId="0B07E97D">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监测因子</w:t>
            </w:r>
          </w:p>
        </w:tc>
        <w:tc>
          <w:tcPr>
            <w:tcW w:w="798" w:type="pct"/>
            <w:vAlign w:val="center"/>
          </w:tcPr>
          <w:p w14:paraId="32E1A0DB">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监测频次</w:t>
            </w:r>
          </w:p>
        </w:tc>
      </w:tr>
      <w:tr w14:paraId="676F8A1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710" w:type="pct"/>
            <w:vMerge w:val="restart"/>
            <w:vAlign w:val="center"/>
          </w:tcPr>
          <w:p w14:paraId="3AFBC7A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DW00</w:t>
            </w:r>
            <w:r>
              <w:rPr>
                <w:rFonts w:hint="eastAsia" w:ascii="Times New Roman" w:hAnsi="Times New Roman" w:eastAsia="宋体" w:cs="Times New Roman"/>
                <w:color w:val="auto"/>
                <w:sz w:val="21"/>
                <w:szCs w:val="21"/>
                <w:highlight w:val="none"/>
                <w:lang w:val="en-US" w:eastAsia="zh-CN"/>
              </w:rPr>
              <w:t>2</w:t>
            </w:r>
          </w:p>
        </w:tc>
        <w:tc>
          <w:tcPr>
            <w:tcW w:w="3491" w:type="pct"/>
            <w:vAlign w:val="center"/>
          </w:tcPr>
          <w:p w14:paraId="2094FC02">
            <w:pPr>
              <w:pStyle w:val="157"/>
              <w:keepNext w:val="0"/>
              <w:keepLines w:val="0"/>
              <w:suppressLineNumbers w:val="0"/>
              <w:adjustRightInd/>
              <w:snapToGrid/>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化学需氧量、五日生化需氧量、氨氮、总磷、总氮、悬浮物</w:t>
            </w:r>
          </w:p>
        </w:tc>
        <w:tc>
          <w:tcPr>
            <w:tcW w:w="798" w:type="pct"/>
            <w:vAlign w:val="center"/>
          </w:tcPr>
          <w:p w14:paraId="38EDDE1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1次/</w:t>
            </w:r>
            <w:r>
              <w:rPr>
                <w:rFonts w:hint="default" w:ascii="Times New Roman" w:hAnsi="Times New Roman" w:cs="Times New Roman"/>
                <w:color w:val="auto"/>
                <w:sz w:val="21"/>
                <w:szCs w:val="21"/>
                <w:highlight w:val="none"/>
                <w:lang w:eastAsia="zh-CN"/>
              </w:rPr>
              <w:t>季度</w:t>
            </w:r>
          </w:p>
        </w:tc>
      </w:tr>
      <w:tr w14:paraId="4427658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10" w:type="pct"/>
            <w:vMerge w:val="continue"/>
            <w:vAlign w:val="center"/>
          </w:tcPr>
          <w:p w14:paraId="1040298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p>
        </w:tc>
        <w:tc>
          <w:tcPr>
            <w:tcW w:w="3491" w:type="pct"/>
            <w:vAlign w:val="center"/>
          </w:tcPr>
          <w:p w14:paraId="4B39C173">
            <w:pPr>
              <w:pStyle w:val="157"/>
              <w:keepNext w:val="0"/>
              <w:keepLines w:val="0"/>
              <w:suppressLineNumbers w:val="0"/>
              <w:adjustRightInd/>
              <w:snapToGrid/>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动植物油、阴离子表面活性剂、色度、pH、粪大肠菌群数、石油类</w:t>
            </w:r>
          </w:p>
        </w:tc>
        <w:tc>
          <w:tcPr>
            <w:tcW w:w="798" w:type="pct"/>
            <w:vAlign w:val="center"/>
          </w:tcPr>
          <w:p w14:paraId="092D310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1次/年</w:t>
            </w:r>
          </w:p>
        </w:tc>
      </w:tr>
    </w:tbl>
    <w:p w14:paraId="3A0639F7">
      <w:pPr>
        <w:rPr>
          <w:rFonts w:ascii="Times New Roman" w:hAnsi="Times New Roman" w:eastAsia="Times New Roman" w:cs="Times New Roman"/>
          <w:b/>
          <w:bCs/>
          <w:color w:val="auto"/>
          <w:spacing w:val="-4"/>
          <w:sz w:val="35"/>
          <w:szCs w:val="35"/>
        </w:rPr>
      </w:pPr>
      <w:bookmarkStart w:id="67" w:name="bookmark46"/>
      <w:bookmarkEnd w:id="67"/>
      <w:bookmarkStart w:id="68" w:name="bookmark47"/>
      <w:bookmarkEnd w:id="68"/>
      <w:r>
        <w:rPr>
          <w:rFonts w:ascii="Times New Roman" w:hAnsi="Times New Roman" w:eastAsia="Times New Roman" w:cs="Times New Roman"/>
          <w:b/>
          <w:bCs/>
          <w:color w:val="auto"/>
          <w:spacing w:val="-4"/>
          <w:sz w:val="35"/>
          <w:szCs w:val="35"/>
        </w:rPr>
        <w:br w:type="page"/>
      </w:r>
    </w:p>
    <w:p w14:paraId="39F7065A">
      <w:pPr>
        <w:spacing w:before="130" w:line="218" w:lineRule="auto"/>
        <w:jc w:val="center"/>
        <w:outlineLvl w:val="0"/>
        <w:rPr>
          <w:rFonts w:ascii="宋体" w:hAnsi="宋体" w:eastAsia="宋体" w:cs="宋体"/>
          <w:color w:val="auto"/>
          <w:sz w:val="35"/>
          <w:szCs w:val="35"/>
        </w:rPr>
      </w:pPr>
      <w:r>
        <w:rPr>
          <w:rFonts w:ascii="Times New Roman" w:hAnsi="Times New Roman" w:eastAsia="Times New Roman" w:cs="Times New Roman"/>
          <w:b/>
          <w:bCs/>
          <w:color w:val="auto"/>
          <w:spacing w:val="-4"/>
          <w:sz w:val="35"/>
          <w:szCs w:val="35"/>
        </w:rPr>
        <w:t xml:space="preserve">6  </w:t>
      </w:r>
      <w:r>
        <w:rPr>
          <w:rFonts w:ascii="宋体" w:hAnsi="宋体" w:eastAsia="宋体" w:cs="宋体"/>
          <w:b/>
          <w:bCs/>
          <w:color w:val="auto"/>
          <w:spacing w:val="-4"/>
          <w:sz w:val="35"/>
          <w:szCs w:val="35"/>
        </w:rPr>
        <w:t>地表水环境影响评价结论</w:t>
      </w:r>
    </w:p>
    <w:p w14:paraId="6FAFB35E">
      <w:pPr>
        <w:spacing w:before="295" w:line="225" w:lineRule="auto"/>
        <w:ind w:left="2"/>
        <w:outlineLvl w:val="1"/>
        <w:rPr>
          <w:rFonts w:ascii="宋体" w:hAnsi="宋体" w:eastAsia="宋体" w:cs="宋体"/>
          <w:color w:val="auto"/>
          <w:sz w:val="31"/>
          <w:szCs w:val="31"/>
        </w:rPr>
      </w:pPr>
      <w:bookmarkStart w:id="69" w:name="bookmark61"/>
      <w:bookmarkEnd w:id="69"/>
      <w:r>
        <w:rPr>
          <w:rFonts w:ascii="Times New Roman" w:hAnsi="Times New Roman" w:eastAsia="Times New Roman" w:cs="Times New Roman"/>
          <w:b/>
          <w:bCs/>
          <w:color w:val="auto"/>
          <w:spacing w:val="5"/>
          <w:sz w:val="31"/>
          <w:szCs w:val="31"/>
        </w:rPr>
        <w:t xml:space="preserve">6.1  </w:t>
      </w:r>
      <w:r>
        <w:rPr>
          <w:rFonts w:ascii="宋体" w:hAnsi="宋体" w:eastAsia="宋体" w:cs="宋体"/>
          <w:b/>
          <w:bCs/>
          <w:color w:val="auto"/>
          <w:spacing w:val="5"/>
          <w:sz w:val="31"/>
          <w:szCs w:val="31"/>
        </w:rPr>
        <w:t>地表水环境质量现状</w:t>
      </w:r>
    </w:p>
    <w:p w14:paraId="32EA66E2">
      <w:pPr>
        <w:spacing w:before="234" w:line="360" w:lineRule="auto"/>
        <w:ind w:right="2" w:firstLine="480"/>
        <w:jc w:val="both"/>
        <w:rPr>
          <w:rFonts w:ascii="宋体" w:hAnsi="宋体" w:eastAsia="宋体" w:cs="宋体"/>
          <w:color w:val="auto"/>
          <w:sz w:val="24"/>
          <w:szCs w:val="24"/>
        </w:rPr>
      </w:pPr>
      <w:r>
        <w:rPr>
          <w:rFonts w:ascii="宋体" w:hAnsi="宋体" w:eastAsia="宋体" w:cs="宋体"/>
          <w:color w:val="auto"/>
          <w:spacing w:val="2"/>
          <w:sz w:val="24"/>
          <w:szCs w:val="24"/>
        </w:rPr>
        <w:t>本项目</w:t>
      </w:r>
      <w:r>
        <w:rPr>
          <w:rFonts w:hint="eastAsia" w:ascii="宋体" w:hAnsi="宋体" w:eastAsia="宋体" w:cs="宋体"/>
          <w:color w:val="auto"/>
          <w:spacing w:val="2"/>
          <w:sz w:val="24"/>
          <w:szCs w:val="24"/>
          <w:lang w:val="en-US" w:eastAsia="zh-CN"/>
        </w:rPr>
        <w:t>入河</w:t>
      </w:r>
      <w:r>
        <w:rPr>
          <w:rFonts w:ascii="宋体" w:hAnsi="宋体" w:eastAsia="宋体" w:cs="宋体"/>
          <w:color w:val="auto"/>
          <w:spacing w:val="2"/>
          <w:sz w:val="24"/>
          <w:szCs w:val="24"/>
        </w:rPr>
        <w:t>排污口上游</w:t>
      </w:r>
      <w:r>
        <w:rPr>
          <w:rFonts w:ascii="Times New Roman" w:hAnsi="Times New Roman" w:eastAsia="Times New Roman" w:cs="Times New Roman"/>
          <w:color w:val="auto"/>
          <w:spacing w:val="2"/>
          <w:sz w:val="24"/>
          <w:szCs w:val="24"/>
        </w:rPr>
        <w:t>500</w:t>
      </w:r>
      <w:r>
        <w:rPr>
          <w:rFonts w:ascii="宋体" w:hAnsi="宋体" w:eastAsia="宋体" w:cs="宋体"/>
          <w:color w:val="auto"/>
          <w:spacing w:val="2"/>
          <w:sz w:val="24"/>
          <w:szCs w:val="24"/>
        </w:rPr>
        <w:t>米、下游</w:t>
      </w:r>
      <w:r>
        <w:rPr>
          <w:rFonts w:hint="eastAsia" w:ascii="Times New Roman" w:hAnsi="Times New Roman" w:eastAsia="宋体" w:cs="Times New Roman"/>
          <w:color w:val="auto"/>
          <w:spacing w:val="2"/>
          <w:sz w:val="24"/>
          <w:szCs w:val="24"/>
          <w:lang w:val="en-US" w:eastAsia="zh-CN"/>
        </w:rPr>
        <w:t>2</w:t>
      </w:r>
      <w:r>
        <w:rPr>
          <w:rFonts w:ascii="Times New Roman" w:hAnsi="Times New Roman" w:eastAsia="Times New Roman" w:cs="Times New Roman"/>
          <w:color w:val="auto"/>
          <w:spacing w:val="2"/>
          <w:sz w:val="24"/>
          <w:szCs w:val="24"/>
        </w:rPr>
        <w:t>000</w:t>
      </w:r>
      <w:r>
        <w:rPr>
          <w:rFonts w:ascii="宋体" w:hAnsi="宋体" w:eastAsia="宋体" w:cs="宋体"/>
          <w:color w:val="auto"/>
          <w:spacing w:val="1"/>
          <w:sz w:val="24"/>
          <w:szCs w:val="24"/>
        </w:rPr>
        <w:t>米断面水质监测指标均满足《地表水环境质量</w:t>
      </w:r>
      <w:r>
        <w:rPr>
          <w:rFonts w:ascii="宋体" w:hAnsi="宋体" w:eastAsia="宋体" w:cs="宋体"/>
          <w:color w:val="auto"/>
          <w:spacing w:val="2"/>
          <w:sz w:val="24"/>
          <w:szCs w:val="24"/>
        </w:rPr>
        <w:t>标准》（</w:t>
      </w:r>
      <w:r>
        <w:rPr>
          <w:rFonts w:ascii="Times New Roman" w:hAnsi="Times New Roman" w:eastAsia="Times New Roman" w:cs="Times New Roman"/>
          <w:color w:val="auto"/>
          <w:sz w:val="24"/>
          <w:szCs w:val="24"/>
        </w:rPr>
        <w:t>GB</w:t>
      </w:r>
      <w:r>
        <w:rPr>
          <w:rFonts w:ascii="Times New Roman" w:hAnsi="Times New Roman" w:eastAsia="Times New Roman" w:cs="Times New Roman"/>
          <w:color w:val="auto"/>
          <w:spacing w:val="2"/>
          <w:sz w:val="24"/>
          <w:szCs w:val="24"/>
        </w:rPr>
        <w:t>3838-</w:t>
      </w:r>
      <w:r>
        <w:rPr>
          <w:rFonts w:hint="default" w:ascii="Times New Roman" w:hAnsi="Times New Roman" w:eastAsia="Times New Roman" w:cs="Times New Roman"/>
          <w:color w:val="auto"/>
          <w:spacing w:val="2"/>
          <w:sz w:val="24"/>
          <w:szCs w:val="24"/>
        </w:rPr>
        <w:t>2002</w:t>
      </w:r>
      <w:r>
        <w:rPr>
          <w:rFonts w:hint="default" w:ascii="Times New Roman" w:hAnsi="Times New Roman" w:eastAsia="宋体" w:cs="Times New Roman"/>
          <w:color w:val="auto"/>
          <w:spacing w:val="2"/>
          <w:sz w:val="24"/>
          <w:szCs w:val="24"/>
        </w:rPr>
        <w:t>）</w:t>
      </w:r>
      <w:r>
        <w:rPr>
          <w:rFonts w:hint="default" w:ascii="Times New Roman" w:hAnsi="Times New Roman" w:eastAsia="宋体" w:cs="Times New Roman"/>
          <w:color w:val="auto"/>
          <w:spacing w:val="2"/>
          <w:sz w:val="24"/>
          <w:szCs w:val="24"/>
          <w:lang w:val="en-US" w:eastAsia="zh-CN"/>
        </w:rPr>
        <w:t>Ⅲ</w:t>
      </w:r>
      <w:r>
        <w:rPr>
          <w:rFonts w:hint="default" w:ascii="Times New Roman" w:hAnsi="Times New Roman" w:eastAsia="宋体" w:cs="Times New Roman"/>
          <w:color w:val="auto"/>
          <w:spacing w:val="2"/>
          <w:sz w:val="24"/>
          <w:szCs w:val="24"/>
        </w:rPr>
        <w:t>类水</w:t>
      </w:r>
      <w:r>
        <w:rPr>
          <w:rFonts w:ascii="宋体" w:hAnsi="宋体" w:eastAsia="宋体" w:cs="宋体"/>
          <w:color w:val="auto"/>
          <w:spacing w:val="2"/>
          <w:sz w:val="24"/>
          <w:szCs w:val="24"/>
        </w:rPr>
        <w:t>域标准，纳污水体水质状况良好。综上，项目受纳水体</w:t>
      </w:r>
      <w:r>
        <w:rPr>
          <w:rFonts w:ascii="宋体" w:hAnsi="宋体" w:eastAsia="宋体" w:cs="宋体"/>
          <w:color w:val="auto"/>
          <w:spacing w:val="-1"/>
          <w:sz w:val="24"/>
          <w:szCs w:val="24"/>
        </w:rPr>
        <w:t>水环境质量现状属于达标区。</w:t>
      </w:r>
    </w:p>
    <w:p w14:paraId="7D887116">
      <w:pPr>
        <w:spacing w:before="6" w:line="225" w:lineRule="auto"/>
        <w:ind w:left="2"/>
        <w:outlineLvl w:val="1"/>
        <w:rPr>
          <w:rFonts w:ascii="宋体" w:hAnsi="宋体" w:eastAsia="宋体" w:cs="宋体"/>
          <w:color w:val="auto"/>
          <w:sz w:val="31"/>
          <w:szCs w:val="31"/>
        </w:rPr>
      </w:pPr>
      <w:bookmarkStart w:id="70" w:name="bookmark48"/>
      <w:bookmarkEnd w:id="70"/>
      <w:r>
        <w:rPr>
          <w:rFonts w:ascii="Times New Roman" w:hAnsi="Times New Roman" w:eastAsia="Times New Roman" w:cs="Times New Roman"/>
          <w:b/>
          <w:bCs/>
          <w:color w:val="auto"/>
          <w:spacing w:val="4"/>
          <w:sz w:val="31"/>
          <w:szCs w:val="31"/>
        </w:rPr>
        <w:t xml:space="preserve">6.2  </w:t>
      </w:r>
      <w:r>
        <w:rPr>
          <w:rFonts w:ascii="宋体" w:hAnsi="宋体" w:eastAsia="宋体" w:cs="宋体"/>
          <w:b/>
          <w:bCs/>
          <w:color w:val="auto"/>
          <w:spacing w:val="4"/>
          <w:sz w:val="31"/>
          <w:szCs w:val="31"/>
        </w:rPr>
        <w:t>水污染防治措施</w:t>
      </w:r>
    </w:p>
    <w:p w14:paraId="67675E9A">
      <w:pPr>
        <w:spacing w:before="231" w:line="362" w:lineRule="auto"/>
        <w:ind w:left="2" w:right="2" w:firstLine="478"/>
        <w:rPr>
          <w:rFonts w:ascii="宋体" w:hAnsi="宋体" w:eastAsia="宋体" w:cs="宋体"/>
          <w:color w:val="auto"/>
          <w:sz w:val="24"/>
          <w:szCs w:val="24"/>
          <w:highlight w:val="none"/>
        </w:rPr>
      </w:pPr>
      <w:r>
        <w:rPr>
          <w:rFonts w:ascii="宋体" w:hAnsi="宋体" w:eastAsia="宋体" w:cs="宋体"/>
          <w:color w:val="auto"/>
          <w:spacing w:val="-1"/>
          <w:sz w:val="24"/>
          <w:szCs w:val="24"/>
        </w:rPr>
        <w:t>本项目</w:t>
      </w:r>
      <w:r>
        <w:rPr>
          <w:rFonts w:hint="eastAsia" w:ascii="宋体" w:hAnsi="宋体" w:eastAsia="宋体" w:cs="宋体"/>
          <w:color w:val="auto"/>
          <w:spacing w:val="-1"/>
          <w:sz w:val="24"/>
          <w:szCs w:val="24"/>
          <w:lang w:val="en-US" w:eastAsia="zh-CN"/>
        </w:rPr>
        <w:t>排泥水</w:t>
      </w:r>
      <w:r>
        <w:rPr>
          <w:rFonts w:ascii="宋体" w:hAnsi="宋体" w:eastAsia="宋体" w:cs="宋体"/>
          <w:color w:val="auto"/>
          <w:spacing w:val="-1"/>
          <w:sz w:val="24"/>
          <w:szCs w:val="24"/>
        </w:rPr>
        <w:t>处理工艺为：</w:t>
      </w:r>
      <w:r>
        <w:rPr>
          <w:rFonts w:hint="eastAsia" w:ascii="宋体" w:hAnsi="宋体" w:eastAsia="宋体" w:cs="宋体"/>
          <w:color w:val="auto"/>
          <w:spacing w:val="-1"/>
          <w:sz w:val="24"/>
          <w:szCs w:val="24"/>
          <w:lang w:eastAsia="zh-CN"/>
        </w:rPr>
        <w:t>“</w:t>
      </w:r>
      <w:r>
        <w:rPr>
          <w:rFonts w:hint="default" w:ascii="Times New Roman" w:hAnsi="Times New Roman" w:eastAsia="宋体" w:cs="Times New Roman"/>
          <w:color w:val="auto"/>
          <w:spacing w:val="0"/>
          <w:sz w:val="24"/>
          <w:szCs w:val="24"/>
        </w:rPr>
        <w:t>压一体化污泥深度脱水</w:t>
      </w:r>
      <w:r>
        <w:rPr>
          <w:rFonts w:hint="eastAsia" w:ascii="Times New Roman" w:hAnsi="Times New Roman" w:eastAsia="宋体" w:cs="Times New Roman"/>
          <w:color w:val="auto"/>
          <w:spacing w:val="0"/>
          <w:sz w:val="24"/>
          <w:szCs w:val="24"/>
          <w:lang w:eastAsia="zh-CN"/>
        </w:rPr>
        <w:t>”</w:t>
      </w:r>
      <w:r>
        <w:rPr>
          <w:rFonts w:hint="eastAsia" w:ascii="Times New Roman" w:hAnsi="Times New Roman" w:eastAsia="宋体" w:cs="Times New Roman"/>
          <w:color w:val="auto"/>
          <w:spacing w:val="0"/>
          <w:sz w:val="24"/>
          <w:szCs w:val="24"/>
          <w:lang w:val="en-US" w:eastAsia="zh-CN"/>
        </w:rPr>
        <w:t>工艺</w:t>
      </w:r>
      <w:r>
        <w:rPr>
          <w:rFonts w:ascii="宋体" w:hAnsi="宋体" w:eastAsia="宋体" w:cs="宋体"/>
          <w:color w:val="auto"/>
          <w:spacing w:val="-2"/>
          <w:sz w:val="24"/>
          <w:szCs w:val="24"/>
          <w:highlight w:val="none"/>
        </w:rPr>
        <w:t>，处理后达到</w:t>
      </w:r>
      <w:r>
        <w:rPr>
          <w:rFonts w:hint="default" w:ascii="Times New Roman" w:hAnsi="Times New Roman" w:cs="Times New Roman"/>
          <w:b w:val="0"/>
          <w:bCs w:val="0"/>
          <w:color w:val="auto"/>
          <w:spacing w:val="0"/>
          <w:position w:val="0"/>
          <w:sz w:val="24"/>
          <w:szCs w:val="24"/>
          <w:highlight w:val="none"/>
          <w:lang w:val="en-US" w:eastAsia="zh-CN"/>
        </w:rPr>
        <w:t>《地表水环境质量标准》（GB3838-2002）表1中三类标准</w:t>
      </w:r>
      <w:r>
        <w:rPr>
          <w:rFonts w:hint="eastAsia" w:ascii="Times New Roman" w:hAnsi="Times New Roman" w:cs="Times New Roman"/>
          <w:b w:val="0"/>
          <w:bCs w:val="0"/>
          <w:color w:val="auto"/>
          <w:spacing w:val="0"/>
          <w:position w:val="0"/>
          <w:sz w:val="24"/>
          <w:szCs w:val="24"/>
          <w:highlight w:val="none"/>
          <w:lang w:val="en-US" w:eastAsia="zh-CN"/>
        </w:rPr>
        <w:t>，</w:t>
      </w:r>
      <w:r>
        <w:rPr>
          <w:rFonts w:hint="default" w:ascii="Times New Roman" w:hAnsi="Times New Roman" w:cs="Times New Roman"/>
          <w:color w:val="auto"/>
          <w:spacing w:val="0"/>
          <w:sz w:val="24"/>
          <w:szCs w:val="24"/>
          <w:highlight w:val="none"/>
          <w:lang w:val="en-US" w:eastAsia="zh-CN"/>
        </w:rPr>
        <w:t>悬浮物</w:t>
      </w:r>
      <w:r>
        <w:rPr>
          <w:rFonts w:hint="eastAsia" w:ascii="Times New Roman" w:hAnsi="Times New Roman" w:cs="Times New Roman"/>
          <w:color w:val="auto"/>
          <w:spacing w:val="0"/>
          <w:sz w:val="24"/>
          <w:szCs w:val="24"/>
          <w:highlight w:val="none"/>
          <w:lang w:val="en-US" w:eastAsia="zh-CN"/>
        </w:rPr>
        <w:t>满足</w:t>
      </w:r>
      <w:r>
        <w:rPr>
          <w:rFonts w:hint="default" w:ascii="Times New Roman" w:hAnsi="Times New Roman" w:eastAsia="宋体" w:cs="Times New Roman"/>
          <w:color w:val="auto"/>
          <w:sz w:val="24"/>
          <w:szCs w:val="24"/>
          <w:highlight w:val="none"/>
          <w:lang w:val="en-US" w:eastAsia="zh-CN"/>
        </w:rPr>
        <w:t>《污水综合排放标准》</w:t>
      </w:r>
      <w:r>
        <w:rPr>
          <w:rFonts w:hint="default" w:ascii="Times New Roman" w:hAnsi="Times New Roman" w:cs="Times New Roman"/>
          <w:color w:val="auto"/>
          <w:sz w:val="24"/>
          <w:szCs w:val="24"/>
          <w:highlight w:val="none"/>
          <w:lang w:val="en-US" w:eastAsia="zh-CN"/>
        </w:rPr>
        <w:t>（GB8978-1996）一级标准</w:t>
      </w:r>
      <w:r>
        <w:rPr>
          <w:rFonts w:ascii="宋体" w:hAnsi="宋体" w:eastAsia="宋体" w:cs="宋体"/>
          <w:color w:val="auto"/>
          <w:spacing w:val="-1"/>
          <w:sz w:val="24"/>
          <w:szCs w:val="24"/>
          <w:highlight w:val="none"/>
        </w:rPr>
        <w:t>，最终排入</w:t>
      </w:r>
      <w:r>
        <w:rPr>
          <w:rFonts w:hint="eastAsia" w:ascii="宋体" w:hAnsi="宋体" w:eastAsia="宋体" w:cs="宋体"/>
          <w:color w:val="auto"/>
          <w:spacing w:val="-1"/>
          <w:sz w:val="24"/>
          <w:szCs w:val="24"/>
          <w:highlight w:val="none"/>
          <w:lang w:val="en-US" w:eastAsia="zh-CN"/>
        </w:rPr>
        <w:t>穆棱河</w:t>
      </w:r>
      <w:r>
        <w:rPr>
          <w:rFonts w:ascii="宋体" w:hAnsi="宋体" w:eastAsia="宋体" w:cs="宋体"/>
          <w:color w:val="auto"/>
          <w:spacing w:val="-1"/>
          <w:sz w:val="24"/>
          <w:szCs w:val="24"/>
          <w:highlight w:val="none"/>
        </w:rPr>
        <w:t>。</w:t>
      </w:r>
    </w:p>
    <w:p w14:paraId="409DC820">
      <w:pPr>
        <w:spacing w:before="6" w:line="223" w:lineRule="auto"/>
        <w:ind w:left="2"/>
        <w:outlineLvl w:val="1"/>
        <w:rPr>
          <w:rFonts w:ascii="宋体" w:hAnsi="宋体" w:eastAsia="宋体" w:cs="宋体"/>
          <w:color w:val="auto"/>
          <w:sz w:val="31"/>
          <w:szCs w:val="31"/>
          <w:highlight w:val="none"/>
        </w:rPr>
      </w:pPr>
      <w:bookmarkStart w:id="71" w:name="bookmark49"/>
      <w:bookmarkEnd w:id="71"/>
      <w:r>
        <w:rPr>
          <w:rFonts w:ascii="Times New Roman" w:hAnsi="Times New Roman" w:eastAsia="Times New Roman" w:cs="Times New Roman"/>
          <w:b/>
          <w:bCs/>
          <w:color w:val="auto"/>
          <w:spacing w:val="5"/>
          <w:sz w:val="31"/>
          <w:szCs w:val="31"/>
          <w:highlight w:val="none"/>
        </w:rPr>
        <w:t xml:space="preserve">6.3  </w:t>
      </w:r>
      <w:r>
        <w:rPr>
          <w:rFonts w:ascii="宋体" w:hAnsi="宋体" w:eastAsia="宋体" w:cs="宋体"/>
          <w:b/>
          <w:bCs/>
          <w:color w:val="auto"/>
          <w:spacing w:val="5"/>
          <w:sz w:val="31"/>
          <w:szCs w:val="31"/>
          <w:highlight w:val="none"/>
        </w:rPr>
        <w:t>地表水环境影响预测与评价</w:t>
      </w:r>
    </w:p>
    <w:p w14:paraId="4BC93435">
      <w:pPr>
        <w:spacing w:before="231" w:line="360" w:lineRule="auto"/>
        <w:ind w:firstLine="480"/>
        <w:jc w:val="both"/>
        <w:rPr>
          <w:rFonts w:ascii="宋体" w:hAnsi="宋体" w:eastAsia="宋体" w:cs="宋体"/>
          <w:color w:val="auto"/>
          <w:sz w:val="24"/>
          <w:szCs w:val="24"/>
        </w:rPr>
      </w:pPr>
      <w:r>
        <w:rPr>
          <w:rFonts w:ascii="宋体" w:hAnsi="宋体" w:eastAsia="宋体" w:cs="宋体"/>
          <w:color w:val="auto"/>
          <w:spacing w:val="-4"/>
          <w:sz w:val="24"/>
          <w:szCs w:val="24"/>
          <w:highlight w:val="none"/>
        </w:rPr>
        <w:t>本</w:t>
      </w:r>
      <w:r>
        <w:rPr>
          <w:rFonts w:hint="default" w:ascii="Times New Roman" w:hAnsi="Times New Roman" w:eastAsia="宋体" w:cs="Times New Roman"/>
          <w:color w:val="auto"/>
          <w:spacing w:val="-4"/>
          <w:sz w:val="24"/>
          <w:szCs w:val="24"/>
          <w:highlight w:val="none"/>
        </w:rPr>
        <w:t>项目属于</w:t>
      </w:r>
      <w:r>
        <w:rPr>
          <w:rFonts w:hint="default" w:ascii="Times New Roman" w:hAnsi="Times New Roman" w:eastAsia="宋体" w:cs="Times New Roman"/>
          <w:color w:val="auto"/>
          <w:spacing w:val="-4"/>
          <w:sz w:val="24"/>
          <w:szCs w:val="24"/>
          <w:highlight w:val="none"/>
          <w:lang w:val="en-US" w:eastAsia="zh-CN"/>
        </w:rPr>
        <w:t>自来水供应项目</w:t>
      </w:r>
      <w:r>
        <w:rPr>
          <w:rFonts w:hint="default" w:ascii="Times New Roman" w:hAnsi="Times New Roman" w:eastAsia="宋体" w:cs="Times New Roman"/>
          <w:color w:val="auto"/>
          <w:spacing w:val="-4"/>
          <w:sz w:val="24"/>
          <w:szCs w:val="24"/>
          <w:highlight w:val="none"/>
        </w:rPr>
        <w:t>，</w:t>
      </w:r>
      <w:r>
        <w:rPr>
          <w:rFonts w:hint="default" w:ascii="Times New Roman" w:hAnsi="Times New Roman" w:eastAsia="宋体" w:cs="Times New Roman"/>
          <w:color w:val="auto"/>
          <w:spacing w:val="-4"/>
          <w:sz w:val="24"/>
          <w:szCs w:val="24"/>
          <w:highlight w:val="none"/>
          <w:lang w:val="en-US" w:eastAsia="zh-CN"/>
        </w:rPr>
        <w:t>排泥水上清液排放量为</w:t>
      </w:r>
      <w:r>
        <w:rPr>
          <w:rFonts w:hint="default" w:ascii="Times New Roman" w:hAnsi="Times New Roman" w:eastAsia="宋体" w:cs="Times New Roman"/>
          <w:color w:val="auto"/>
          <w:kern w:val="0"/>
          <w:sz w:val="24"/>
          <w:szCs w:val="24"/>
        </w:rPr>
        <w:t>7</w:t>
      </w:r>
      <w:r>
        <w:rPr>
          <w:rFonts w:hint="default" w:ascii="Times New Roman" w:hAnsi="Times New Roman" w:eastAsia="宋体" w:cs="Times New Roman"/>
          <w:color w:val="auto"/>
          <w:kern w:val="0"/>
          <w:sz w:val="24"/>
          <w:szCs w:val="24"/>
          <w:lang w:val="en-US" w:eastAsia="zh-CN"/>
        </w:rPr>
        <w:t>08.435</w:t>
      </w:r>
      <w:r>
        <w:rPr>
          <w:rFonts w:hint="default" w:ascii="Times New Roman" w:hAnsi="Times New Roman" w:eastAsia="Times New Roman" w:cs="Times New Roman"/>
          <w:color w:val="auto"/>
          <w:spacing w:val="-4"/>
          <w:sz w:val="24"/>
          <w:szCs w:val="24"/>
          <w:highlight w:val="none"/>
        </w:rPr>
        <w:t>m</w:t>
      </w:r>
      <w:r>
        <w:rPr>
          <w:rFonts w:hint="default" w:ascii="Times New Roman" w:hAnsi="Times New Roman" w:eastAsia="Times New Roman" w:cs="Times New Roman"/>
          <w:color w:val="auto"/>
          <w:spacing w:val="-4"/>
          <w:position w:val="8"/>
          <w:sz w:val="15"/>
          <w:szCs w:val="15"/>
          <w:highlight w:val="none"/>
        </w:rPr>
        <w:t>3</w:t>
      </w:r>
      <w:r>
        <w:rPr>
          <w:rFonts w:hint="default" w:ascii="Times New Roman" w:hAnsi="Times New Roman" w:eastAsia="Times New Roman" w:cs="Times New Roman"/>
          <w:color w:val="auto"/>
          <w:spacing w:val="-4"/>
          <w:sz w:val="24"/>
          <w:szCs w:val="24"/>
          <w:highlight w:val="none"/>
        </w:rPr>
        <w:t>/d</w:t>
      </w:r>
      <w:r>
        <w:rPr>
          <w:rFonts w:hint="default" w:ascii="Times New Roman" w:hAnsi="Times New Roman" w:eastAsia="Times New Roman" w:cs="Times New Roman"/>
          <w:color w:val="auto"/>
          <w:spacing w:val="-32"/>
          <w:sz w:val="24"/>
          <w:szCs w:val="24"/>
          <w:highlight w:val="none"/>
        </w:rPr>
        <w:t xml:space="preserve"> </w:t>
      </w:r>
      <w:r>
        <w:rPr>
          <w:rFonts w:hint="default" w:ascii="Times New Roman" w:hAnsi="Times New Roman" w:eastAsia="宋体" w:cs="Times New Roman"/>
          <w:color w:val="auto"/>
          <w:spacing w:val="-4"/>
          <w:sz w:val="24"/>
          <w:szCs w:val="24"/>
          <w:highlight w:val="none"/>
        </w:rPr>
        <w:t>，</w:t>
      </w:r>
      <w:r>
        <w:rPr>
          <w:rFonts w:hint="default" w:ascii="Times New Roman" w:hAnsi="Times New Roman" w:eastAsia="宋体" w:cs="Times New Roman"/>
          <w:color w:val="auto"/>
          <w:spacing w:val="-2"/>
          <w:sz w:val="24"/>
          <w:szCs w:val="24"/>
          <w:highlight w:val="none"/>
        </w:rPr>
        <w:t>在正</w:t>
      </w:r>
      <w:r>
        <w:rPr>
          <w:rFonts w:ascii="宋体" w:hAnsi="宋体" w:eastAsia="宋体" w:cs="宋体"/>
          <w:color w:val="auto"/>
          <w:spacing w:val="-3"/>
          <w:sz w:val="24"/>
          <w:szCs w:val="24"/>
          <w:highlight w:val="none"/>
        </w:rPr>
        <w:t>常排放工况下，排污口</w:t>
      </w:r>
      <w:r>
        <w:rPr>
          <w:rFonts w:hint="default" w:ascii="Times New Roman" w:hAnsi="Times New Roman" w:eastAsia="宋体" w:cs="Times New Roman"/>
          <w:color w:val="auto"/>
          <w:spacing w:val="-3"/>
          <w:sz w:val="24"/>
          <w:szCs w:val="24"/>
          <w:highlight w:val="none"/>
        </w:rPr>
        <w:t>下游未形成超</w:t>
      </w:r>
      <w:r>
        <w:rPr>
          <w:rFonts w:hint="default" w:ascii="Times New Roman" w:hAnsi="Times New Roman" w:eastAsia="宋体" w:cs="Times New Roman"/>
          <w:color w:val="auto"/>
          <w:spacing w:val="1"/>
          <w:sz w:val="24"/>
          <w:szCs w:val="24"/>
          <w:highlight w:val="none"/>
        </w:rPr>
        <w:t>标准污染带，影响预测值均满足现状《地表水环境质量标准》（</w:t>
      </w:r>
      <w:r>
        <w:rPr>
          <w:rFonts w:hint="default" w:ascii="Times New Roman" w:hAnsi="Times New Roman" w:eastAsia="Times New Roman" w:cs="Times New Roman"/>
          <w:color w:val="auto"/>
          <w:sz w:val="24"/>
          <w:szCs w:val="24"/>
          <w:highlight w:val="none"/>
        </w:rPr>
        <w:t>GB</w:t>
      </w:r>
      <w:r>
        <w:rPr>
          <w:rFonts w:hint="default" w:ascii="Times New Roman" w:hAnsi="Times New Roman" w:eastAsia="Times New Roman" w:cs="Times New Roman"/>
          <w:color w:val="auto"/>
          <w:spacing w:val="1"/>
          <w:sz w:val="24"/>
          <w:szCs w:val="24"/>
          <w:highlight w:val="none"/>
        </w:rPr>
        <w:t xml:space="preserve"> 383</w:t>
      </w:r>
      <w:r>
        <w:rPr>
          <w:rFonts w:hint="default" w:ascii="Times New Roman" w:hAnsi="Times New Roman" w:eastAsia="Times New Roman" w:cs="Times New Roman"/>
          <w:color w:val="auto"/>
          <w:sz w:val="24"/>
          <w:szCs w:val="24"/>
          <w:highlight w:val="none"/>
        </w:rPr>
        <w:t>8-2002</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Ⅲ</w:t>
      </w:r>
      <w:r>
        <w:rPr>
          <w:rFonts w:hint="default" w:ascii="Times New Roman" w:hAnsi="Times New Roman" w:eastAsia="宋体" w:cs="Times New Roman"/>
          <w:color w:val="auto"/>
          <w:sz w:val="24"/>
          <w:szCs w:val="24"/>
          <w:highlight w:val="none"/>
        </w:rPr>
        <w:t>类标</w:t>
      </w:r>
      <w:r>
        <w:rPr>
          <w:rFonts w:hint="default" w:ascii="Times New Roman" w:hAnsi="Times New Roman" w:eastAsia="宋体" w:cs="Times New Roman"/>
          <w:color w:val="auto"/>
          <w:spacing w:val="1"/>
          <w:sz w:val="24"/>
          <w:szCs w:val="24"/>
          <w:highlight w:val="none"/>
        </w:rPr>
        <w:t>准，同时也满足该水体功能区的</w:t>
      </w:r>
      <w:r>
        <w:rPr>
          <w:rFonts w:hint="default" w:ascii="Times New Roman" w:hAnsi="Times New Roman" w:eastAsia="宋体" w:cs="Times New Roman"/>
          <w:color w:val="auto"/>
          <w:sz w:val="24"/>
          <w:szCs w:val="24"/>
          <w:highlight w:val="none"/>
          <w:lang w:val="en-US" w:eastAsia="zh-CN"/>
        </w:rPr>
        <w:t>Ⅲ</w:t>
      </w:r>
      <w:r>
        <w:rPr>
          <w:rFonts w:hint="default" w:ascii="Times New Roman" w:hAnsi="Times New Roman" w:eastAsia="宋体" w:cs="Times New Roman"/>
          <w:color w:val="auto"/>
          <w:spacing w:val="1"/>
          <w:sz w:val="24"/>
          <w:szCs w:val="24"/>
          <w:highlight w:val="none"/>
        </w:rPr>
        <w:t>类水质要求</w:t>
      </w:r>
      <w:r>
        <w:rPr>
          <w:rFonts w:hint="default" w:ascii="Times New Roman" w:hAnsi="Times New Roman" w:eastAsia="宋体" w:cs="Times New Roman"/>
          <w:color w:val="auto"/>
          <w:sz w:val="24"/>
          <w:szCs w:val="24"/>
          <w:highlight w:val="none"/>
        </w:rPr>
        <w:t>。在非正</w:t>
      </w:r>
      <w:r>
        <w:rPr>
          <w:rFonts w:hint="default" w:ascii="Times New Roman" w:hAnsi="Times New Roman" w:eastAsia="宋体" w:cs="Times New Roman"/>
          <w:color w:val="auto"/>
          <w:sz w:val="24"/>
          <w:szCs w:val="24"/>
        </w:rPr>
        <w:t xml:space="preserve">常排放工况下，只是排污口附近 </w:t>
      </w:r>
      <w:r>
        <w:rPr>
          <w:rFonts w:hint="default" w:ascii="Times New Roman" w:hAnsi="Times New Roman" w:eastAsia="宋体" w:cs="Times New Roman"/>
          <w:color w:val="auto"/>
          <w:spacing w:val="-2"/>
          <w:sz w:val="24"/>
          <w:szCs w:val="24"/>
        </w:rPr>
        <w:t>区域会形成局部的污染带，但经过下游河道对污染物的削减，能够完全达到水功能区水质管理要求，项目排放污染物总量</w:t>
      </w:r>
      <w:r>
        <w:rPr>
          <w:rFonts w:ascii="宋体" w:hAnsi="宋体" w:eastAsia="宋体" w:cs="宋体"/>
          <w:color w:val="auto"/>
          <w:spacing w:val="-2"/>
          <w:sz w:val="24"/>
          <w:szCs w:val="24"/>
        </w:rPr>
        <w:t>满足水功能区纳污能力。</w:t>
      </w:r>
    </w:p>
    <w:p w14:paraId="1E1BD044">
      <w:pPr>
        <w:spacing w:before="12" w:line="225" w:lineRule="auto"/>
        <w:ind w:left="2"/>
        <w:outlineLvl w:val="1"/>
        <w:rPr>
          <w:rFonts w:ascii="宋体" w:hAnsi="宋体" w:eastAsia="宋体" w:cs="宋体"/>
          <w:color w:val="auto"/>
          <w:sz w:val="31"/>
          <w:szCs w:val="31"/>
        </w:rPr>
      </w:pPr>
      <w:bookmarkStart w:id="72" w:name="bookmark50"/>
      <w:bookmarkEnd w:id="72"/>
      <w:r>
        <w:rPr>
          <w:rFonts w:ascii="Times New Roman" w:hAnsi="Times New Roman" w:eastAsia="Times New Roman" w:cs="Times New Roman"/>
          <w:b/>
          <w:bCs/>
          <w:color w:val="auto"/>
          <w:spacing w:val="2"/>
          <w:sz w:val="31"/>
          <w:szCs w:val="31"/>
        </w:rPr>
        <w:t>6.4</w:t>
      </w:r>
      <w:r>
        <w:rPr>
          <w:rFonts w:ascii="Times New Roman" w:hAnsi="Times New Roman" w:eastAsia="Times New Roman" w:cs="Times New Roman"/>
          <w:b/>
          <w:bCs/>
          <w:color w:val="auto"/>
          <w:spacing w:val="10"/>
          <w:sz w:val="31"/>
          <w:szCs w:val="31"/>
        </w:rPr>
        <w:t xml:space="preserve">  </w:t>
      </w:r>
      <w:r>
        <w:rPr>
          <w:rFonts w:ascii="宋体" w:hAnsi="宋体" w:eastAsia="宋体" w:cs="宋体"/>
          <w:b/>
          <w:bCs/>
          <w:color w:val="auto"/>
          <w:spacing w:val="2"/>
          <w:sz w:val="31"/>
          <w:szCs w:val="31"/>
        </w:rPr>
        <w:t>综合结论</w:t>
      </w:r>
    </w:p>
    <w:p w14:paraId="2D62FB5C">
      <w:pPr>
        <w:spacing w:before="230" w:line="360" w:lineRule="auto"/>
        <w:ind w:right="2" w:firstLine="480"/>
        <w:jc w:val="both"/>
        <w:rPr>
          <w:rFonts w:hint="eastAsia" w:ascii="宋体" w:hAnsi="宋体" w:eastAsia="宋体" w:cs="宋体"/>
          <w:color w:val="auto"/>
          <w:spacing w:val="-1"/>
          <w:sz w:val="24"/>
          <w:szCs w:val="24"/>
          <w:lang w:eastAsia="zh-CN"/>
        </w:rPr>
      </w:pPr>
      <w:r>
        <w:rPr>
          <w:rFonts w:ascii="宋体" w:hAnsi="宋体" w:eastAsia="宋体" w:cs="宋体"/>
          <w:color w:val="auto"/>
          <w:spacing w:val="-2"/>
          <w:sz w:val="24"/>
          <w:szCs w:val="24"/>
        </w:rPr>
        <w:t>通过对水污染物分析、建设项目地表水环境影响现状调查与评价、地表水环境影响</w:t>
      </w:r>
      <w:r>
        <w:rPr>
          <w:rFonts w:ascii="宋体" w:hAnsi="宋体" w:eastAsia="宋体" w:cs="宋体"/>
          <w:color w:val="auto"/>
          <w:spacing w:val="11"/>
          <w:sz w:val="24"/>
          <w:szCs w:val="24"/>
        </w:rPr>
        <w:t xml:space="preserve"> </w:t>
      </w:r>
      <w:r>
        <w:rPr>
          <w:rFonts w:ascii="宋体" w:hAnsi="宋体" w:eastAsia="宋体" w:cs="宋体"/>
          <w:color w:val="auto"/>
          <w:spacing w:val="-1"/>
          <w:sz w:val="24"/>
          <w:szCs w:val="24"/>
        </w:rPr>
        <w:t>预测与评价及水污染物治理措施分析，建设单位在严格执行</w:t>
      </w:r>
      <w:r>
        <w:rPr>
          <w:rFonts w:hint="eastAsia" w:ascii="宋体" w:hAnsi="宋体" w:eastAsia="宋体" w:cs="宋体"/>
          <w:color w:val="auto"/>
          <w:spacing w:val="-1"/>
          <w:sz w:val="24"/>
          <w:szCs w:val="24"/>
        </w:rPr>
        <w:t>建设项目“三同时”制度与监</w:t>
      </w:r>
      <w:r>
        <w:rPr>
          <w:rFonts w:hint="eastAsia" w:ascii="宋体" w:hAnsi="宋体" w:eastAsia="宋体" w:cs="宋体"/>
          <w:color w:val="auto"/>
          <w:spacing w:val="-2"/>
          <w:sz w:val="24"/>
          <w:szCs w:val="24"/>
        </w:rPr>
        <w:t>测计划，加强运营期的环境管理，确保废水治理设施正常运行，各类污染物稳</w:t>
      </w:r>
      <w:r>
        <w:rPr>
          <w:rFonts w:ascii="宋体" w:hAnsi="宋体" w:eastAsia="宋体" w:cs="宋体"/>
          <w:color w:val="auto"/>
          <w:spacing w:val="-2"/>
          <w:sz w:val="24"/>
          <w:szCs w:val="24"/>
        </w:rPr>
        <w:t>定达标排</w:t>
      </w:r>
      <w:r>
        <w:rPr>
          <w:rFonts w:ascii="宋体" w:hAnsi="宋体" w:eastAsia="宋体" w:cs="宋体"/>
          <w:color w:val="auto"/>
          <w:spacing w:val="-1"/>
          <w:sz w:val="24"/>
          <w:szCs w:val="24"/>
        </w:rPr>
        <w:t>放，对环境影响较小。从环保角度讲，项目建设可行</w:t>
      </w:r>
      <w:r>
        <w:rPr>
          <w:rFonts w:hint="eastAsia" w:ascii="宋体" w:hAnsi="宋体" w:eastAsia="宋体" w:cs="宋体"/>
          <w:color w:val="auto"/>
          <w:spacing w:val="-1"/>
          <w:sz w:val="24"/>
          <w:szCs w:val="24"/>
          <w:lang w:eastAsia="zh-CN"/>
        </w:rPr>
        <w:t>。</w:t>
      </w:r>
    </w:p>
    <w:p w14:paraId="48BAA6FB">
      <w:pPr>
        <w:keepNext w:val="0"/>
        <w:keepLines w:val="0"/>
        <w:pageBreakBefore w:val="0"/>
        <w:widowControl/>
        <w:kinsoku/>
        <w:wordWrap/>
        <w:overflowPunct/>
        <w:topLinePunct w:val="0"/>
        <w:autoSpaceDE/>
        <w:autoSpaceDN/>
        <w:bidi w:val="0"/>
        <w:adjustRightInd/>
        <w:snapToGrid/>
        <w:spacing w:line="360" w:lineRule="auto"/>
        <w:ind w:firstLine="475" w:firstLineChars="198"/>
        <w:textAlignment w:val="auto"/>
        <w:rPr>
          <w:rFonts w:hint="default" w:ascii="Times New Roman" w:hAnsi="Times New Roman" w:cs="Times New Roman"/>
          <w:color w:val="auto"/>
          <w:sz w:val="24"/>
          <w:highlight w:val="none"/>
        </w:rPr>
      </w:pPr>
      <w:r>
        <w:rPr>
          <w:rFonts w:hint="eastAsia" w:cs="Times New Roman"/>
          <w:color w:val="auto"/>
          <w:sz w:val="24"/>
          <w:highlight w:val="none"/>
          <w:lang w:val="en-US" w:eastAsia="zh-CN"/>
        </w:rPr>
        <w:t>本项目建成后，</w:t>
      </w:r>
      <w:r>
        <w:rPr>
          <w:rFonts w:hint="default" w:ascii="Times New Roman" w:hAnsi="Times New Roman" w:cs="Times New Roman"/>
          <w:color w:val="auto"/>
          <w:sz w:val="24"/>
          <w:highlight w:val="none"/>
        </w:rPr>
        <w:t>污染物总量控制指标如下：</w:t>
      </w:r>
    </w:p>
    <w:p w14:paraId="057115CF">
      <w:pPr>
        <w:pStyle w:val="173"/>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4"/>
          <w:highlight w:val="none"/>
        </w:rPr>
        <w:t>水污染物总量：COD</w:t>
      </w:r>
      <w:r>
        <w:rPr>
          <w:rFonts w:hint="default" w:ascii="Times New Roman" w:hAnsi="Times New Roman" w:eastAsia="宋体" w:cs="Times New Roman"/>
          <w:color w:val="auto"/>
          <w:sz w:val="24"/>
          <w:highlight w:val="none"/>
          <w:lang w:val="en-US" w:eastAsia="zh-CN"/>
        </w:rPr>
        <w:t xml:space="preserve"> </w:t>
      </w:r>
      <w:r>
        <w:rPr>
          <w:rFonts w:hint="default" w:ascii="Times New Roman" w:hAnsi="Times New Roman" w:eastAsia="宋体" w:cs="Times New Roman"/>
          <w:color w:val="auto"/>
          <w:highlight w:val="none"/>
          <w:lang w:val="en-US" w:eastAsia="zh-CN"/>
        </w:rPr>
        <w:t>5.154</w:t>
      </w:r>
      <w:r>
        <w:rPr>
          <w:rFonts w:hint="default" w:ascii="Times New Roman" w:hAnsi="Times New Roman" w:eastAsia="宋体" w:cs="Times New Roman"/>
          <w:color w:val="auto"/>
          <w:highlight w:val="none"/>
        </w:rPr>
        <w:t>t/a</w:t>
      </w:r>
      <w:r>
        <w:rPr>
          <w:rFonts w:hint="default" w:ascii="Times New Roman" w:hAnsi="Times New Roman" w:eastAsia="宋体" w:cs="Times New Roman"/>
          <w:color w:val="auto"/>
          <w:sz w:val="24"/>
          <w:highlight w:val="none"/>
        </w:rPr>
        <w:t>、氨氮</w:t>
      </w:r>
      <w:r>
        <w:rPr>
          <w:rFonts w:hint="default" w:ascii="Times New Roman" w:hAnsi="Times New Roman" w:eastAsia="宋体" w:cs="Times New Roman"/>
          <w:color w:val="auto"/>
          <w:highlight w:val="none"/>
          <w:lang w:val="en-US" w:eastAsia="zh-CN"/>
        </w:rPr>
        <w:t>0.18</w:t>
      </w:r>
      <w:r>
        <w:rPr>
          <w:rFonts w:hint="default" w:ascii="Times New Roman" w:hAnsi="Times New Roman" w:eastAsia="宋体" w:cs="Times New Roman"/>
          <w:color w:val="auto"/>
          <w:highlight w:val="none"/>
        </w:rPr>
        <w:t>t/a</w:t>
      </w:r>
      <w:r>
        <w:rPr>
          <w:rFonts w:hint="default" w:ascii="Times New Roman" w:hAnsi="Times New Roman" w:cs="Times New Roman"/>
          <w:color w:val="auto"/>
          <w:highlight w:val="none"/>
        </w:rPr>
        <w:t>。</w:t>
      </w:r>
    </w:p>
    <w:p w14:paraId="7DFDA6BA">
      <w:pPr>
        <w:rPr>
          <w:rFonts w:hint="default" w:ascii="Times New Roman" w:hAnsi="Times New Roman" w:cs="Times New Roman"/>
          <w:color w:val="auto"/>
        </w:rPr>
      </w:pPr>
      <w:r>
        <w:rPr>
          <w:rFonts w:hint="default" w:ascii="Times New Roman" w:hAnsi="Times New Roman" w:cs="Times New Roman"/>
          <w:color w:val="auto"/>
        </w:rPr>
        <w:br w:type="page"/>
      </w:r>
    </w:p>
    <w:p w14:paraId="3E696A1D">
      <w:pPr>
        <w:pStyle w:val="2"/>
        <w:numPr>
          <w:ilvl w:val="0"/>
          <w:numId w:val="0"/>
        </w:numPr>
        <w:bidi w:val="0"/>
        <w:ind w:leftChars="0"/>
        <w:jc w:val="left"/>
        <w:rPr>
          <w:rFonts w:hint="default" w:ascii="Times New Roman" w:hAnsi="Times New Roman" w:cs="Times New Roman"/>
          <w:color w:val="auto"/>
        </w:rPr>
      </w:pPr>
      <w:r>
        <w:rPr>
          <w:rFonts w:hint="default" w:ascii="Times New Roman" w:hAnsi="Times New Roman" w:cs="Times New Roman"/>
          <w:color w:val="auto"/>
        </w:rPr>
        <w:t>附件1：建设项目地表水环境影响评价自查表</w:t>
      </w:r>
    </w:p>
    <w:p w14:paraId="2EACABA7">
      <w:pPr>
        <w:pStyle w:val="176"/>
        <w:spacing w:line="500" w:lineRule="exact"/>
        <w:rPr>
          <w:rFonts w:hint="default" w:ascii="Times New Roman" w:hAnsi="Times New Roman" w:cs="Times New Roman"/>
          <w:color w:val="auto"/>
          <w:szCs w:val="24"/>
        </w:rPr>
      </w:pPr>
      <w:r>
        <w:rPr>
          <w:rFonts w:hint="default" w:ascii="Times New Roman" w:hAnsi="Times New Roman" w:cs="Times New Roman"/>
          <w:color w:val="auto"/>
          <w:szCs w:val="24"/>
        </w:rPr>
        <w:t>建设项目地表水环境影响评价自查表</w:t>
      </w:r>
    </w:p>
    <w:tbl>
      <w:tblPr>
        <w:tblStyle w:val="35"/>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310"/>
        <w:gridCol w:w="1477"/>
        <w:gridCol w:w="761"/>
        <w:gridCol w:w="751"/>
        <w:gridCol w:w="55"/>
        <w:gridCol w:w="403"/>
        <w:gridCol w:w="863"/>
        <w:gridCol w:w="481"/>
        <w:gridCol w:w="504"/>
        <w:gridCol w:w="874"/>
        <w:gridCol w:w="81"/>
        <w:gridCol w:w="443"/>
        <w:gridCol w:w="933"/>
        <w:gridCol w:w="1167"/>
      </w:tblGrid>
      <w:tr w14:paraId="455CF5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tblHeader/>
          <w:jc w:val="center"/>
        </w:trPr>
        <w:tc>
          <w:tcPr>
            <w:tcW w:w="981" w:type="pct"/>
            <w:gridSpan w:val="2"/>
            <w:noWrap/>
            <w:tcMar>
              <w:top w:w="15" w:type="dxa"/>
              <w:left w:w="15" w:type="dxa"/>
              <w:right w:w="15" w:type="dxa"/>
            </w:tcMar>
            <w:vAlign w:val="center"/>
          </w:tcPr>
          <w:p w14:paraId="7851DF96">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b/>
                <w:color w:val="auto"/>
                <w:sz w:val="21"/>
                <w:szCs w:val="21"/>
              </w:rPr>
            </w:pPr>
            <w:r>
              <w:rPr>
                <w:rFonts w:hint="default" w:ascii="Times New Roman" w:hAnsi="Times New Roman" w:cs="Times New Roman"/>
                <w:b/>
                <w:color w:val="auto"/>
                <w:kern w:val="0"/>
                <w:sz w:val="21"/>
                <w:szCs w:val="21"/>
              </w:rPr>
              <w:t>工作内容</w:t>
            </w:r>
          </w:p>
        </w:tc>
        <w:tc>
          <w:tcPr>
            <w:tcW w:w="4018" w:type="pct"/>
            <w:gridSpan w:val="12"/>
            <w:noWrap/>
            <w:tcMar>
              <w:top w:w="15" w:type="dxa"/>
              <w:left w:w="15" w:type="dxa"/>
              <w:right w:w="15" w:type="dxa"/>
            </w:tcMar>
            <w:vAlign w:val="center"/>
          </w:tcPr>
          <w:p w14:paraId="34B3CA65">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b/>
                <w:color w:val="auto"/>
                <w:sz w:val="21"/>
                <w:szCs w:val="21"/>
              </w:rPr>
            </w:pPr>
            <w:r>
              <w:rPr>
                <w:rFonts w:hint="default" w:ascii="Times New Roman" w:hAnsi="Times New Roman" w:cs="Times New Roman"/>
                <w:b/>
                <w:color w:val="auto"/>
                <w:kern w:val="0"/>
                <w:sz w:val="21"/>
                <w:szCs w:val="21"/>
              </w:rPr>
              <w:t>自查项目</w:t>
            </w:r>
          </w:p>
        </w:tc>
      </w:tr>
      <w:tr w14:paraId="4F88D6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restart"/>
            <w:noWrap/>
            <w:tcMar>
              <w:top w:w="15" w:type="dxa"/>
              <w:left w:w="15" w:type="dxa"/>
              <w:right w:w="15" w:type="dxa"/>
            </w:tcMar>
            <w:vAlign w:val="center"/>
          </w:tcPr>
          <w:p w14:paraId="526FF874">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影响识别</w:t>
            </w:r>
          </w:p>
        </w:tc>
        <w:tc>
          <w:tcPr>
            <w:tcW w:w="811" w:type="pct"/>
            <w:noWrap/>
            <w:tcMar>
              <w:top w:w="15" w:type="dxa"/>
              <w:left w:w="15" w:type="dxa"/>
              <w:right w:w="15" w:type="dxa"/>
            </w:tcMar>
            <w:vAlign w:val="center"/>
          </w:tcPr>
          <w:p w14:paraId="458DD617">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影响类型</w:t>
            </w:r>
          </w:p>
        </w:tc>
        <w:tc>
          <w:tcPr>
            <w:tcW w:w="4018" w:type="pct"/>
            <w:gridSpan w:val="12"/>
            <w:noWrap/>
            <w:tcMar>
              <w:top w:w="15" w:type="dxa"/>
              <w:left w:w="15" w:type="dxa"/>
              <w:right w:w="15" w:type="dxa"/>
            </w:tcMar>
            <w:vAlign w:val="center"/>
          </w:tcPr>
          <w:p w14:paraId="5864EF0F">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水污染影响型</w:t>
            </w:r>
            <w:r>
              <w:rPr>
                <w:rFonts w:hint="default" w:ascii="Times New Roman" w:hAnsi="Times New Roman" w:cs="Times New Roman"/>
                <w:color w:val="auto"/>
                <w:sz w:val="21"/>
                <w:szCs w:val="21"/>
              </w:rPr>
              <w:sym w:font="Wingdings 2" w:char="F052"/>
            </w:r>
            <w:r>
              <w:rPr>
                <w:rFonts w:hint="default" w:ascii="Times New Roman" w:hAnsi="Times New Roman" w:cs="Times New Roman"/>
                <w:color w:val="auto"/>
                <w:kern w:val="0"/>
                <w:sz w:val="21"/>
                <w:szCs w:val="21"/>
              </w:rPr>
              <w:t>；水文要素影响型</w:t>
            </w:r>
            <w:r>
              <w:rPr>
                <w:rFonts w:hint="default" w:ascii="Times New Roman" w:hAnsi="Times New Roman" w:cs="Times New Roman"/>
                <w:color w:val="auto"/>
                <w:kern w:val="0"/>
                <w:sz w:val="21"/>
                <w:szCs w:val="21"/>
              </w:rPr>
              <w:sym w:font="Wingdings 2" w:char="00A3"/>
            </w:r>
          </w:p>
        </w:tc>
      </w:tr>
      <w:tr w14:paraId="0ABB89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44505A8B">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noWrap/>
            <w:tcMar>
              <w:top w:w="15" w:type="dxa"/>
              <w:left w:w="15" w:type="dxa"/>
              <w:right w:w="15" w:type="dxa"/>
            </w:tcMar>
            <w:vAlign w:val="center"/>
          </w:tcPr>
          <w:p w14:paraId="067264BC">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水环境保护目标</w:t>
            </w:r>
          </w:p>
        </w:tc>
        <w:tc>
          <w:tcPr>
            <w:tcW w:w="4018" w:type="pct"/>
            <w:gridSpan w:val="12"/>
            <w:noWrap/>
            <w:tcMar>
              <w:top w:w="15" w:type="dxa"/>
              <w:left w:w="15" w:type="dxa"/>
              <w:right w:w="15" w:type="dxa"/>
            </w:tcMar>
            <w:vAlign w:val="center"/>
          </w:tcPr>
          <w:p w14:paraId="147BEE3B">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饮用水水源保护区</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；饮用水取水口</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；涉水的自然保护区</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；重要湿地</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；重点保护与珍稀水生生物的栖息地</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；重要水生生物的自然产卵场及索饵场、越冬场和洄游通道、天然渔场等渔业水体</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；涉水的风景名胜区</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；其他</w:t>
            </w:r>
            <w:r>
              <w:rPr>
                <w:rFonts w:hint="default" w:ascii="Times New Roman" w:hAnsi="Times New Roman" w:cs="Times New Roman"/>
                <w:color w:val="auto"/>
                <w:kern w:val="0"/>
                <w:sz w:val="21"/>
                <w:szCs w:val="21"/>
              </w:rPr>
              <w:sym w:font="Wingdings 2" w:char="0052"/>
            </w:r>
          </w:p>
        </w:tc>
      </w:tr>
      <w:tr w14:paraId="0EA180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3FC2499B">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vMerge w:val="restart"/>
            <w:noWrap/>
            <w:tcMar>
              <w:top w:w="15" w:type="dxa"/>
              <w:left w:w="15" w:type="dxa"/>
              <w:right w:w="15" w:type="dxa"/>
            </w:tcMar>
            <w:vAlign w:val="center"/>
          </w:tcPr>
          <w:p w14:paraId="2DD3803A">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影响途径</w:t>
            </w:r>
          </w:p>
        </w:tc>
        <w:tc>
          <w:tcPr>
            <w:tcW w:w="1556" w:type="pct"/>
            <w:gridSpan w:val="5"/>
            <w:noWrap/>
            <w:tcMar>
              <w:top w:w="15" w:type="dxa"/>
              <w:left w:w="15" w:type="dxa"/>
              <w:right w:w="15" w:type="dxa"/>
            </w:tcMar>
            <w:vAlign w:val="center"/>
          </w:tcPr>
          <w:p w14:paraId="40D52520">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水污染影响型</w:t>
            </w:r>
          </w:p>
        </w:tc>
        <w:tc>
          <w:tcPr>
            <w:tcW w:w="2462" w:type="pct"/>
            <w:gridSpan w:val="7"/>
            <w:noWrap/>
            <w:tcMar>
              <w:top w:w="15" w:type="dxa"/>
              <w:left w:w="15" w:type="dxa"/>
              <w:right w:w="15" w:type="dxa"/>
            </w:tcMar>
            <w:vAlign w:val="center"/>
          </w:tcPr>
          <w:p w14:paraId="2AAB7C6D">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水文要素影响型</w:t>
            </w:r>
          </w:p>
        </w:tc>
      </w:tr>
      <w:tr w14:paraId="23ABD5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565A1674">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vMerge w:val="continue"/>
            <w:noWrap/>
            <w:tcMar>
              <w:top w:w="15" w:type="dxa"/>
              <w:left w:w="15" w:type="dxa"/>
              <w:right w:w="15" w:type="dxa"/>
            </w:tcMar>
            <w:vAlign w:val="center"/>
          </w:tcPr>
          <w:p w14:paraId="57A7F1C5">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1556" w:type="pct"/>
            <w:gridSpan w:val="5"/>
            <w:noWrap/>
            <w:tcMar>
              <w:top w:w="15" w:type="dxa"/>
              <w:left w:w="15" w:type="dxa"/>
              <w:right w:w="15" w:type="dxa"/>
            </w:tcMar>
            <w:vAlign w:val="center"/>
          </w:tcPr>
          <w:p w14:paraId="56F91E36">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直接排放</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；间接排放</w:t>
            </w:r>
            <w:r>
              <w:rPr>
                <w:rFonts w:hint="default" w:ascii="Times New Roman" w:hAnsi="Times New Roman" w:cs="Times New Roman"/>
                <w:color w:val="auto"/>
                <w:sz w:val="21"/>
                <w:szCs w:val="21"/>
              </w:rPr>
              <w:sym w:font="Wingdings 2" w:char="00A3"/>
            </w:r>
            <w:r>
              <w:rPr>
                <w:rFonts w:hint="default" w:ascii="Times New Roman" w:hAnsi="Times New Roman" w:cs="Times New Roman"/>
                <w:color w:val="auto"/>
                <w:kern w:val="0"/>
                <w:sz w:val="21"/>
                <w:szCs w:val="21"/>
              </w:rPr>
              <w:t>；其他</w:t>
            </w:r>
            <w:r>
              <w:rPr>
                <w:rFonts w:hint="default" w:ascii="Times New Roman" w:hAnsi="Times New Roman" w:cs="Times New Roman"/>
                <w:color w:val="auto"/>
                <w:kern w:val="0"/>
                <w:sz w:val="21"/>
                <w:szCs w:val="21"/>
              </w:rPr>
              <w:sym w:font="Wingdings 2" w:char="00A3"/>
            </w:r>
          </w:p>
        </w:tc>
        <w:tc>
          <w:tcPr>
            <w:tcW w:w="2462" w:type="pct"/>
            <w:gridSpan w:val="7"/>
            <w:noWrap/>
            <w:tcMar>
              <w:top w:w="15" w:type="dxa"/>
              <w:left w:w="15" w:type="dxa"/>
              <w:right w:w="15" w:type="dxa"/>
            </w:tcMar>
            <w:vAlign w:val="center"/>
          </w:tcPr>
          <w:p w14:paraId="748A3902">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水温</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；径流</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；水域面积</w:t>
            </w:r>
            <w:r>
              <w:rPr>
                <w:rFonts w:hint="default" w:ascii="Times New Roman" w:hAnsi="Times New Roman" w:cs="Times New Roman"/>
                <w:color w:val="auto"/>
                <w:kern w:val="0"/>
                <w:sz w:val="21"/>
                <w:szCs w:val="21"/>
              </w:rPr>
              <w:sym w:font="Wingdings 2" w:char="00A3"/>
            </w:r>
          </w:p>
        </w:tc>
      </w:tr>
      <w:tr w14:paraId="17FD7D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27ECE8DC">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noWrap/>
            <w:tcMar>
              <w:top w:w="15" w:type="dxa"/>
              <w:left w:w="15" w:type="dxa"/>
              <w:right w:w="15" w:type="dxa"/>
            </w:tcMar>
            <w:vAlign w:val="center"/>
          </w:tcPr>
          <w:p w14:paraId="07B9461F">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影响因子</w:t>
            </w:r>
          </w:p>
        </w:tc>
        <w:tc>
          <w:tcPr>
            <w:tcW w:w="1556" w:type="pct"/>
            <w:gridSpan w:val="5"/>
            <w:noWrap/>
            <w:tcMar>
              <w:top w:w="15" w:type="dxa"/>
              <w:left w:w="15" w:type="dxa"/>
              <w:right w:w="15" w:type="dxa"/>
            </w:tcMar>
            <w:vAlign w:val="center"/>
          </w:tcPr>
          <w:p w14:paraId="37A9495F">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持久性污染物</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；有毒有害污染物</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；非持久性污染物</w:t>
            </w:r>
            <w:r>
              <w:rPr>
                <w:rFonts w:hint="default" w:ascii="Times New Roman" w:hAnsi="Times New Roman" w:cs="Times New Roman"/>
                <w:color w:val="auto"/>
                <w:sz w:val="21"/>
                <w:szCs w:val="21"/>
              </w:rPr>
              <w:sym w:font="Wingdings 2" w:char="F052"/>
            </w:r>
            <w:r>
              <w:rPr>
                <w:rFonts w:hint="default" w:ascii="Times New Roman" w:hAnsi="Times New Roman" w:cs="Times New Roman"/>
                <w:color w:val="auto"/>
                <w:kern w:val="0"/>
                <w:sz w:val="21"/>
                <w:szCs w:val="21"/>
              </w:rPr>
              <w:t>；</w:t>
            </w:r>
          </w:p>
          <w:p w14:paraId="7B623D4E">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pH值</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；热污染</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；富营养化</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；其他</w:t>
            </w:r>
            <w:r>
              <w:rPr>
                <w:rFonts w:hint="default" w:ascii="Times New Roman" w:hAnsi="Times New Roman" w:cs="Times New Roman"/>
                <w:color w:val="auto"/>
                <w:sz w:val="21"/>
                <w:szCs w:val="21"/>
              </w:rPr>
              <w:sym w:font="Wingdings 2" w:char="00A3"/>
            </w:r>
          </w:p>
        </w:tc>
        <w:tc>
          <w:tcPr>
            <w:tcW w:w="2462" w:type="pct"/>
            <w:gridSpan w:val="7"/>
            <w:noWrap/>
            <w:tcMar>
              <w:top w:w="15" w:type="dxa"/>
              <w:left w:w="15" w:type="dxa"/>
              <w:right w:w="15" w:type="dxa"/>
            </w:tcMar>
            <w:vAlign w:val="center"/>
          </w:tcPr>
          <w:p w14:paraId="0A8BE542">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水温</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；水位（水深）</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；流速</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；流量</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；其他</w:t>
            </w:r>
            <w:r>
              <w:rPr>
                <w:rFonts w:hint="default" w:ascii="Times New Roman" w:hAnsi="Times New Roman" w:cs="Times New Roman"/>
                <w:color w:val="auto"/>
                <w:kern w:val="0"/>
                <w:sz w:val="21"/>
                <w:szCs w:val="21"/>
              </w:rPr>
              <w:sym w:font="Wingdings 2" w:char="00A3"/>
            </w:r>
          </w:p>
        </w:tc>
      </w:tr>
      <w:tr w14:paraId="289D3F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981" w:type="pct"/>
            <w:gridSpan w:val="2"/>
            <w:vMerge w:val="restart"/>
            <w:noWrap/>
            <w:tcMar>
              <w:top w:w="15" w:type="dxa"/>
              <w:left w:w="15" w:type="dxa"/>
              <w:right w:w="15" w:type="dxa"/>
            </w:tcMar>
            <w:vAlign w:val="center"/>
          </w:tcPr>
          <w:p w14:paraId="15D1D485">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评级等级</w:t>
            </w:r>
          </w:p>
        </w:tc>
        <w:tc>
          <w:tcPr>
            <w:tcW w:w="1556" w:type="pct"/>
            <w:gridSpan w:val="5"/>
            <w:noWrap/>
            <w:tcMar>
              <w:top w:w="15" w:type="dxa"/>
              <w:left w:w="15" w:type="dxa"/>
              <w:right w:w="15" w:type="dxa"/>
            </w:tcMar>
            <w:vAlign w:val="center"/>
          </w:tcPr>
          <w:p w14:paraId="0F2AEB12">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水污染影响型</w:t>
            </w:r>
          </w:p>
        </w:tc>
        <w:tc>
          <w:tcPr>
            <w:tcW w:w="2462" w:type="pct"/>
            <w:gridSpan w:val="7"/>
            <w:noWrap/>
            <w:tcMar>
              <w:top w:w="15" w:type="dxa"/>
              <w:left w:w="15" w:type="dxa"/>
              <w:right w:w="15" w:type="dxa"/>
            </w:tcMar>
            <w:vAlign w:val="center"/>
          </w:tcPr>
          <w:p w14:paraId="1D3A425F">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水文要素影响型</w:t>
            </w:r>
          </w:p>
        </w:tc>
      </w:tr>
      <w:tr w14:paraId="3C020C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981" w:type="pct"/>
            <w:gridSpan w:val="2"/>
            <w:vMerge w:val="continue"/>
            <w:noWrap/>
            <w:tcMar>
              <w:top w:w="15" w:type="dxa"/>
              <w:left w:w="15" w:type="dxa"/>
              <w:right w:w="15" w:type="dxa"/>
            </w:tcMar>
            <w:vAlign w:val="center"/>
          </w:tcPr>
          <w:p w14:paraId="7CE6FFC7">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1556" w:type="pct"/>
            <w:gridSpan w:val="5"/>
            <w:noWrap/>
            <w:tcMar>
              <w:top w:w="15" w:type="dxa"/>
              <w:left w:w="15" w:type="dxa"/>
              <w:right w:w="15" w:type="dxa"/>
            </w:tcMar>
            <w:vAlign w:val="center"/>
          </w:tcPr>
          <w:p w14:paraId="5E287331">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一级</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；二级</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；三级A</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；三级B</w:t>
            </w:r>
            <w:r>
              <w:rPr>
                <w:rFonts w:hint="default" w:ascii="Times New Roman" w:hAnsi="Times New Roman" w:cs="Times New Roman"/>
                <w:color w:val="auto"/>
                <w:sz w:val="21"/>
                <w:szCs w:val="21"/>
              </w:rPr>
              <w:sym w:font="Wingdings 2" w:char="00A3"/>
            </w:r>
          </w:p>
        </w:tc>
        <w:tc>
          <w:tcPr>
            <w:tcW w:w="2462" w:type="pct"/>
            <w:gridSpan w:val="7"/>
            <w:noWrap/>
            <w:tcMar>
              <w:top w:w="15" w:type="dxa"/>
              <w:left w:w="15" w:type="dxa"/>
              <w:right w:w="15" w:type="dxa"/>
            </w:tcMar>
            <w:vAlign w:val="center"/>
          </w:tcPr>
          <w:p w14:paraId="6BE7E753">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一级</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；二级</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；三级</w:t>
            </w:r>
            <w:r>
              <w:rPr>
                <w:rFonts w:hint="default" w:ascii="Times New Roman" w:hAnsi="Times New Roman" w:cs="Times New Roman"/>
                <w:color w:val="auto"/>
                <w:kern w:val="0"/>
                <w:sz w:val="21"/>
                <w:szCs w:val="21"/>
              </w:rPr>
              <w:sym w:font="Wingdings 2" w:char="00A3"/>
            </w:r>
          </w:p>
        </w:tc>
      </w:tr>
      <w:tr w14:paraId="731982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restart"/>
            <w:noWrap/>
            <w:tcMar>
              <w:top w:w="15" w:type="dxa"/>
              <w:left w:w="15" w:type="dxa"/>
              <w:right w:w="15" w:type="dxa"/>
            </w:tcMar>
            <w:vAlign w:val="center"/>
          </w:tcPr>
          <w:p w14:paraId="6A0CB86B">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现状调查</w:t>
            </w:r>
          </w:p>
        </w:tc>
        <w:tc>
          <w:tcPr>
            <w:tcW w:w="811" w:type="pct"/>
            <w:vMerge w:val="restart"/>
            <w:noWrap/>
            <w:tcMar>
              <w:top w:w="15" w:type="dxa"/>
              <w:left w:w="15" w:type="dxa"/>
              <w:right w:w="15" w:type="dxa"/>
            </w:tcMar>
            <w:vAlign w:val="center"/>
          </w:tcPr>
          <w:p w14:paraId="57DB14D4">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区域污染源</w:t>
            </w:r>
          </w:p>
        </w:tc>
        <w:tc>
          <w:tcPr>
            <w:tcW w:w="1556" w:type="pct"/>
            <w:gridSpan w:val="5"/>
            <w:noWrap/>
            <w:tcMar>
              <w:top w:w="15" w:type="dxa"/>
              <w:left w:w="15" w:type="dxa"/>
              <w:right w:w="15" w:type="dxa"/>
            </w:tcMar>
            <w:vAlign w:val="center"/>
          </w:tcPr>
          <w:p w14:paraId="5D351288">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调查项目</w:t>
            </w:r>
          </w:p>
        </w:tc>
        <w:tc>
          <w:tcPr>
            <w:tcW w:w="2462" w:type="pct"/>
            <w:gridSpan w:val="7"/>
            <w:noWrap/>
            <w:tcMar>
              <w:top w:w="15" w:type="dxa"/>
              <w:left w:w="15" w:type="dxa"/>
              <w:right w:w="15" w:type="dxa"/>
            </w:tcMar>
            <w:vAlign w:val="center"/>
          </w:tcPr>
          <w:p w14:paraId="5FE8C07A">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数据来源</w:t>
            </w:r>
          </w:p>
        </w:tc>
      </w:tr>
      <w:tr w14:paraId="70C45F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5E2032BC">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vMerge w:val="continue"/>
            <w:noWrap/>
            <w:tcMar>
              <w:top w:w="15" w:type="dxa"/>
              <w:left w:w="15" w:type="dxa"/>
              <w:right w:w="15" w:type="dxa"/>
            </w:tcMar>
            <w:vAlign w:val="center"/>
          </w:tcPr>
          <w:p w14:paraId="4439D766">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30" w:type="pct"/>
            <w:gridSpan w:val="2"/>
            <w:noWrap/>
            <w:tcMar>
              <w:top w:w="15" w:type="dxa"/>
              <w:left w:w="15" w:type="dxa"/>
              <w:right w:w="15" w:type="dxa"/>
            </w:tcMar>
            <w:vAlign w:val="center"/>
          </w:tcPr>
          <w:p w14:paraId="37FD09EB">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已建</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；在建</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；拟建</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；其他</w:t>
            </w:r>
            <w:r>
              <w:rPr>
                <w:rFonts w:hint="default" w:ascii="Times New Roman" w:hAnsi="Times New Roman" w:cs="Times New Roman"/>
                <w:color w:val="auto"/>
                <w:kern w:val="0"/>
                <w:sz w:val="21"/>
                <w:szCs w:val="21"/>
              </w:rPr>
              <w:sym w:font="Wingdings 2" w:char="00A3"/>
            </w:r>
          </w:p>
        </w:tc>
        <w:tc>
          <w:tcPr>
            <w:tcW w:w="725" w:type="pct"/>
            <w:gridSpan w:val="3"/>
            <w:noWrap/>
            <w:tcMar>
              <w:top w:w="15" w:type="dxa"/>
              <w:left w:w="15" w:type="dxa"/>
              <w:right w:w="15" w:type="dxa"/>
            </w:tcMar>
            <w:vAlign w:val="center"/>
          </w:tcPr>
          <w:p w14:paraId="669699B0">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拟替代的污染源</w:t>
            </w:r>
            <w:r>
              <w:rPr>
                <w:rFonts w:hint="default" w:ascii="Times New Roman" w:hAnsi="Times New Roman" w:cs="Times New Roman"/>
                <w:color w:val="auto"/>
                <w:kern w:val="0"/>
                <w:sz w:val="21"/>
                <w:szCs w:val="21"/>
              </w:rPr>
              <w:sym w:font="Wingdings 2" w:char="00A3"/>
            </w:r>
          </w:p>
        </w:tc>
        <w:tc>
          <w:tcPr>
            <w:tcW w:w="2462" w:type="pct"/>
            <w:gridSpan w:val="7"/>
            <w:noWrap/>
            <w:tcMar>
              <w:top w:w="15" w:type="dxa"/>
              <w:left w:w="15" w:type="dxa"/>
              <w:right w:w="15" w:type="dxa"/>
            </w:tcMar>
            <w:vAlign w:val="center"/>
          </w:tcPr>
          <w:p w14:paraId="385799C0">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排污许可证</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；环评</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；环保验收</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；既有实测</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；现场监测</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；入河排污口数据</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；其他</w:t>
            </w:r>
            <w:r>
              <w:rPr>
                <w:rFonts w:hint="default" w:ascii="Times New Roman" w:hAnsi="Times New Roman" w:cs="Times New Roman"/>
                <w:color w:val="auto"/>
                <w:kern w:val="0"/>
                <w:sz w:val="21"/>
                <w:szCs w:val="21"/>
              </w:rPr>
              <w:sym w:font="Wingdings 2" w:char="00A3"/>
            </w:r>
          </w:p>
        </w:tc>
      </w:tr>
      <w:tr w14:paraId="3F7917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0B2E9668">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vMerge w:val="restart"/>
            <w:noWrap/>
            <w:tcMar>
              <w:top w:w="15" w:type="dxa"/>
              <w:left w:w="15" w:type="dxa"/>
              <w:right w:w="15" w:type="dxa"/>
            </w:tcMar>
            <w:vAlign w:val="center"/>
          </w:tcPr>
          <w:p w14:paraId="477237FF">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受影响水体水环境质量</w:t>
            </w:r>
          </w:p>
        </w:tc>
        <w:tc>
          <w:tcPr>
            <w:tcW w:w="1556" w:type="pct"/>
            <w:gridSpan w:val="5"/>
            <w:noWrap/>
            <w:tcMar>
              <w:top w:w="15" w:type="dxa"/>
              <w:left w:w="15" w:type="dxa"/>
              <w:right w:w="15" w:type="dxa"/>
            </w:tcMar>
            <w:vAlign w:val="center"/>
          </w:tcPr>
          <w:p w14:paraId="733A3890">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调查时期</w:t>
            </w:r>
          </w:p>
        </w:tc>
        <w:tc>
          <w:tcPr>
            <w:tcW w:w="2462" w:type="pct"/>
            <w:gridSpan w:val="7"/>
            <w:noWrap/>
            <w:tcMar>
              <w:top w:w="15" w:type="dxa"/>
              <w:left w:w="15" w:type="dxa"/>
              <w:right w:w="15" w:type="dxa"/>
            </w:tcMar>
            <w:vAlign w:val="center"/>
          </w:tcPr>
          <w:p w14:paraId="06FA2CC0">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数据来源</w:t>
            </w:r>
          </w:p>
        </w:tc>
      </w:tr>
      <w:tr w14:paraId="6A9105F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63DA5B80">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vMerge w:val="continue"/>
            <w:noWrap/>
            <w:tcMar>
              <w:top w:w="15" w:type="dxa"/>
              <w:left w:w="15" w:type="dxa"/>
              <w:right w:w="15" w:type="dxa"/>
            </w:tcMar>
            <w:vAlign w:val="center"/>
          </w:tcPr>
          <w:p w14:paraId="50ACBE78">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1556" w:type="pct"/>
            <w:gridSpan w:val="5"/>
            <w:noWrap/>
            <w:tcMar>
              <w:top w:w="15" w:type="dxa"/>
              <w:left w:w="15" w:type="dxa"/>
              <w:right w:w="15" w:type="dxa"/>
            </w:tcMar>
            <w:vAlign w:val="center"/>
          </w:tcPr>
          <w:p w14:paraId="765F6749">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丰水期</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；平水期</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；枯水期</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；冰封期</w:t>
            </w:r>
            <w:r>
              <w:rPr>
                <w:rFonts w:hint="default" w:ascii="Times New Roman" w:hAnsi="Times New Roman" w:cs="Times New Roman"/>
                <w:color w:val="auto"/>
                <w:kern w:val="0"/>
                <w:sz w:val="21"/>
                <w:szCs w:val="21"/>
              </w:rPr>
              <w:sym w:font="Wingdings 2" w:char="00A3"/>
            </w:r>
            <w:r>
              <w:rPr>
                <w:rFonts w:hint="eastAsia" w:ascii="Times New Roman" w:hAnsi="Times New Roman" w:eastAsia="宋体" w:cs="Times New Roman"/>
                <w:color w:val="auto"/>
                <w:kern w:val="0"/>
                <w:sz w:val="21"/>
                <w:szCs w:val="21"/>
                <w:lang w:eastAsia="zh-CN"/>
              </w:rPr>
              <w:t>；</w:t>
            </w:r>
            <w:r>
              <w:rPr>
                <w:rFonts w:hint="default" w:ascii="Times New Roman" w:hAnsi="Times New Roman" w:cs="Times New Roman"/>
                <w:color w:val="auto"/>
                <w:kern w:val="0"/>
                <w:sz w:val="21"/>
                <w:szCs w:val="21"/>
              </w:rPr>
              <w:t>春季</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；夏季</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；秋季</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；冬季</w:t>
            </w:r>
            <w:r>
              <w:rPr>
                <w:rFonts w:hint="default" w:ascii="Times New Roman" w:hAnsi="Times New Roman" w:cs="Times New Roman"/>
                <w:color w:val="auto"/>
                <w:kern w:val="0"/>
                <w:sz w:val="21"/>
                <w:szCs w:val="21"/>
              </w:rPr>
              <w:sym w:font="Wingdings 2" w:char="00A3"/>
            </w:r>
          </w:p>
        </w:tc>
        <w:tc>
          <w:tcPr>
            <w:tcW w:w="2462" w:type="pct"/>
            <w:gridSpan w:val="7"/>
            <w:noWrap/>
            <w:tcMar>
              <w:top w:w="15" w:type="dxa"/>
              <w:left w:w="15" w:type="dxa"/>
              <w:right w:w="15" w:type="dxa"/>
            </w:tcMar>
            <w:vAlign w:val="center"/>
          </w:tcPr>
          <w:p w14:paraId="193B86CA">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生态环境保护主管部门</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；补充监测</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；其他</w:t>
            </w:r>
            <w:r>
              <w:rPr>
                <w:rFonts w:hint="default" w:ascii="Times New Roman" w:hAnsi="Times New Roman" w:cs="Times New Roman"/>
                <w:color w:val="auto"/>
                <w:kern w:val="0"/>
                <w:sz w:val="21"/>
                <w:szCs w:val="21"/>
              </w:rPr>
              <w:sym w:font="Wingdings 2" w:char="00A3"/>
            </w:r>
          </w:p>
        </w:tc>
      </w:tr>
      <w:tr w14:paraId="238665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20D5EB37">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noWrap/>
            <w:tcMar>
              <w:top w:w="15" w:type="dxa"/>
              <w:left w:w="15" w:type="dxa"/>
              <w:right w:w="15" w:type="dxa"/>
            </w:tcMar>
            <w:vAlign w:val="center"/>
          </w:tcPr>
          <w:p w14:paraId="2E0F23D3">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区域水资源开发利用状况</w:t>
            </w:r>
          </w:p>
        </w:tc>
        <w:tc>
          <w:tcPr>
            <w:tcW w:w="4018" w:type="pct"/>
            <w:gridSpan w:val="12"/>
            <w:noWrap/>
            <w:tcMar>
              <w:top w:w="15" w:type="dxa"/>
              <w:left w:w="15" w:type="dxa"/>
              <w:right w:w="15" w:type="dxa"/>
            </w:tcMar>
            <w:vAlign w:val="center"/>
          </w:tcPr>
          <w:p w14:paraId="76D13D57">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未开发</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；开发量40%以下</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；开发量40%以上</w:t>
            </w:r>
            <w:r>
              <w:rPr>
                <w:rFonts w:hint="default" w:ascii="Times New Roman" w:hAnsi="Times New Roman" w:cs="Times New Roman"/>
                <w:color w:val="auto"/>
                <w:kern w:val="0"/>
                <w:sz w:val="21"/>
                <w:szCs w:val="21"/>
              </w:rPr>
              <w:sym w:font="Wingdings 2" w:char="00A3"/>
            </w:r>
          </w:p>
        </w:tc>
      </w:tr>
      <w:tr w14:paraId="4BE0FB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5DE40ABA">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vMerge w:val="restart"/>
            <w:noWrap/>
            <w:tcMar>
              <w:top w:w="15" w:type="dxa"/>
              <w:left w:w="15" w:type="dxa"/>
              <w:right w:w="15" w:type="dxa"/>
            </w:tcMar>
            <w:vAlign w:val="center"/>
          </w:tcPr>
          <w:p w14:paraId="05A4BC6A">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水文情势调查</w:t>
            </w:r>
          </w:p>
        </w:tc>
        <w:tc>
          <w:tcPr>
            <w:tcW w:w="1556" w:type="pct"/>
            <w:gridSpan w:val="5"/>
            <w:noWrap/>
            <w:tcMar>
              <w:top w:w="15" w:type="dxa"/>
              <w:left w:w="15" w:type="dxa"/>
              <w:right w:w="15" w:type="dxa"/>
            </w:tcMar>
            <w:vAlign w:val="center"/>
          </w:tcPr>
          <w:p w14:paraId="2A09B9B7">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调查时期</w:t>
            </w:r>
          </w:p>
        </w:tc>
        <w:tc>
          <w:tcPr>
            <w:tcW w:w="2462" w:type="pct"/>
            <w:gridSpan w:val="7"/>
            <w:noWrap/>
            <w:tcMar>
              <w:top w:w="15" w:type="dxa"/>
              <w:left w:w="15" w:type="dxa"/>
              <w:right w:w="15" w:type="dxa"/>
            </w:tcMar>
            <w:vAlign w:val="center"/>
          </w:tcPr>
          <w:p w14:paraId="2DC9FD88">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数据来源</w:t>
            </w:r>
          </w:p>
        </w:tc>
      </w:tr>
      <w:tr w14:paraId="57C552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23CCD6B9">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vMerge w:val="continue"/>
            <w:noWrap/>
            <w:tcMar>
              <w:top w:w="15" w:type="dxa"/>
              <w:left w:w="15" w:type="dxa"/>
              <w:right w:w="15" w:type="dxa"/>
            </w:tcMar>
            <w:vAlign w:val="center"/>
          </w:tcPr>
          <w:p w14:paraId="76714BD6">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1556" w:type="pct"/>
            <w:gridSpan w:val="5"/>
            <w:noWrap/>
            <w:tcMar>
              <w:top w:w="15" w:type="dxa"/>
              <w:left w:w="15" w:type="dxa"/>
              <w:right w:w="15" w:type="dxa"/>
            </w:tcMar>
            <w:vAlign w:val="center"/>
          </w:tcPr>
          <w:p w14:paraId="5CCCA92E">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丰水期</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；平水期</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；枯水期</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；冰封期</w:t>
            </w:r>
            <w:r>
              <w:rPr>
                <w:rFonts w:hint="default" w:ascii="Times New Roman" w:hAnsi="Times New Roman" w:cs="Times New Roman"/>
                <w:color w:val="auto"/>
                <w:kern w:val="0"/>
                <w:sz w:val="21"/>
                <w:szCs w:val="21"/>
              </w:rPr>
              <w:sym w:font="Wingdings 2" w:char="00A3"/>
            </w:r>
            <w:r>
              <w:rPr>
                <w:rFonts w:hint="eastAsia" w:ascii="Times New Roman" w:hAnsi="Times New Roman" w:eastAsia="宋体" w:cs="Times New Roman"/>
                <w:color w:val="auto"/>
                <w:kern w:val="0"/>
                <w:sz w:val="21"/>
                <w:szCs w:val="21"/>
                <w:lang w:eastAsia="zh-CN"/>
              </w:rPr>
              <w:t>；</w:t>
            </w:r>
            <w:r>
              <w:rPr>
                <w:rFonts w:hint="default" w:ascii="Times New Roman" w:hAnsi="Times New Roman" w:cs="Times New Roman"/>
                <w:color w:val="auto"/>
                <w:kern w:val="0"/>
                <w:sz w:val="21"/>
                <w:szCs w:val="21"/>
              </w:rPr>
              <w:t>春季</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；夏季</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；秋季</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；冬季</w:t>
            </w:r>
            <w:r>
              <w:rPr>
                <w:rFonts w:hint="default" w:ascii="Times New Roman" w:hAnsi="Times New Roman" w:cs="Times New Roman"/>
                <w:color w:val="auto"/>
                <w:kern w:val="0"/>
                <w:sz w:val="21"/>
                <w:szCs w:val="21"/>
              </w:rPr>
              <w:sym w:font="Wingdings 2" w:char="00A3"/>
            </w:r>
          </w:p>
        </w:tc>
        <w:tc>
          <w:tcPr>
            <w:tcW w:w="2462" w:type="pct"/>
            <w:gridSpan w:val="7"/>
            <w:noWrap/>
            <w:tcMar>
              <w:top w:w="15" w:type="dxa"/>
              <w:left w:w="15" w:type="dxa"/>
              <w:right w:w="15" w:type="dxa"/>
            </w:tcMar>
            <w:vAlign w:val="center"/>
          </w:tcPr>
          <w:p w14:paraId="6D86527F">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水行政主管部门</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；补充监测</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；其他</w:t>
            </w:r>
            <w:r>
              <w:rPr>
                <w:rFonts w:hint="default" w:ascii="Times New Roman" w:hAnsi="Times New Roman" w:cs="Times New Roman"/>
                <w:color w:val="auto"/>
                <w:kern w:val="0"/>
                <w:sz w:val="21"/>
                <w:szCs w:val="21"/>
              </w:rPr>
              <w:sym w:font="Wingdings 2" w:char="00A3"/>
            </w:r>
          </w:p>
        </w:tc>
      </w:tr>
      <w:tr w14:paraId="24A359E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2E71E2B9">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vMerge w:val="restart"/>
            <w:noWrap/>
            <w:tcMar>
              <w:top w:w="15" w:type="dxa"/>
              <w:left w:w="15" w:type="dxa"/>
              <w:right w:w="15" w:type="dxa"/>
            </w:tcMar>
            <w:vAlign w:val="center"/>
          </w:tcPr>
          <w:p w14:paraId="26C113CE">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补充监测</w:t>
            </w:r>
          </w:p>
        </w:tc>
        <w:tc>
          <w:tcPr>
            <w:tcW w:w="1556" w:type="pct"/>
            <w:gridSpan w:val="5"/>
            <w:noWrap/>
            <w:tcMar>
              <w:top w:w="15" w:type="dxa"/>
              <w:left w:w="15" w:type="dxa"/>
              <w:right w:w="15" w:type="dxa"/>
            </w:tcMar>
            <w:vAlign w:val="center"/>
          </w:tcPr>
          <w:p w14:paraId="550C7C50">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监测时期</w:t>
            </w:r>
          </w:p>
        </w:tc>
        <w:tc>
          <w:tcPr>
            <w:tcW w:w="1021" w:type="pct"/>
            <w:gridSpan w:val="3"/>
            <w:noWrap/>
            <w:tcMar>
              <w:top w:w="15" w:type="dxa"/>
              <w:left w:w="15" w:type="dxa"/>
              <w:right w:w="15" w:type="dxa"/>
            </w:tcMar>
            <w:vAlign w:val="center"/>
          </w:tcPr>
          <w:p w14:paraId="25385F1A">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监测因子</w:t>
            </w:r>
          </w:p>
        </w:tc>
        <w:tc>
          <w:tcPr>
            <w:tcW w:w="1441" w:type="pct"/>
            <w:gridSpan w:val="4"/>
            <w:noWrap/>
            <w:tcMar>
              <w:top w:w="15" w:type="dxa"/>
              <w:left w:w="15" w:type="dxa"/>
              <w:right w:w="15" w:type="dxa"/>
            </w:tcMar>
            <w:vAlign w:val="center"/>
          </w:tcPr>
          <w:p w14:paraId="14F3226F">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监测断面或点位</w:t>
            </w:r>
          </w:p>
        </w:tc>
      </w:tr>
      <w:tr w14:paraId="125ADFA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14A865EC">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vMerge w:val="continue"/>
            <w:noWrap/>
            <w:tcMar>
              <w:top w:w="15" w:type="dxa"/>
              <w:left w:w="15" w:type="dxa"/>
              <w:right w:w="15" w:type="dxa"/>
            </w:tcMar>
            <w:vAlign w:val="center"/>
          </w:tcPr>
          <w:p w14:paraId="703C02F5">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1556" w:type="pct"/>
            <w:gridSpan w:val="5"/>
            <w:noWrap/>
            <w:tcMar>
              <w:top w:w="15" w:type="dxa"/>
              <w:left w:w="15" w:type="dxa"/>
              <w:right w:w="15" w:type="dxa"/>
            </w:tcMar>
            <w:vAlign w:val="center"/>
          </w:tcPr>
          <w:p w14:paraId="0B49BE2A">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丰水期</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；平水期</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；枯水期</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；冰封期</w:t>
            </w:r>
            <w:r>
              <w:rPr>
                <w:rFonts w:hint="default" w:ascii="Times New Roman" w:hAnsi="Times New Roman" w:cs="Times New Roman"/>
                <w:color w:val="auto"/>
                <w:kern w:val="0"/>
                <w:sz w:val="21"/>
                <w:szCs w:val="21"/>
              </w:rPr>
              <w:sym w:font="Wingdings 2" w:char="00A3"/>
            </w:r>
            <w:r>
              <w:rPr>
                <w:rFonts w:hint="eastAsia" w:ascii="Times New Roman" w:hAnsi="Times New Roman" w:eastAsia="宋体" w:cs="Times New Roman"/>
                <w:color w:val="auto"/>
                <w:kern w:val="0"/>
                <w:sz w:val="21"/>
                <w:szCs w:val="21"/>
                <w:lang w:eastAsia="zh-CN"/>
              </w:rPr>
              <w:t>；</w:t>
            </w:r>
            <w:r>
              <w:rPr>
                <w:rFonts w:hint="default" w:ascii="Times New Roman" w:hAnsi="Times New Roman" w:cs="Times New Roman"/>
                <w:color w:val="auto"/>
                <w:kern w:val="0"/>
                <w:sz w:val="21"/>
                <w:szCs w:val="21"/>
              </w:rPr>
              <w:t>春季</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；夏季</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；秋季</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；冬季</w:t>
            </w:r>
            <w:r>
              <w:rPr>
                <w:rFonts w:hint="default" w:ascii="Times New Roman" w:hAnsi="Times New Roman" w:cs="Times New Roman"/>
                <w:color w:val="auto"/>
                <w:kern w:val="0"/>
                <w:sz w:val="21"/>
                <w:szCs w:val="21"/>
              </w:rPr>
              <w:sym w:font="Wingdings 2" w:char="00A3"/>
            </w:r>
          </w:p>
        </w:tc>
        <w:tc>
          <w:tcPr>
            <w:tcW w:w="1021" w:type="pct"/>
            <w:gridSpan w:val="3"/>
            <w:noWrap/>
            <w:tcMar>
              <w:top w:w="15" w:type="dxa"/>
              <w:left w:w="15" w:type="dxa"/>
              <w:right w:w="15" w:type="dxa"/>
            </w:tcMar>
            <w:vAlign w:val="center"/>
          </w:tcPr>
          <w:p w14:paraId="5A00B093">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w:t>
            </w:r>
          </w:p>
        </w:tc>
        <w:tc>
          <w:tcPr>
            <w:tcW w:w="1441" w:type="pct"/>
            <w:gridSpan w:val="4"/>
            <w:noWrap/>
            <w:tcMar>
              <w:top w:w="15" w:type="dxa"/>
              <w:left w:w="15" w:type="dxa"/>
              <w:right w:w="15" w:type="dxa"/>
            </w:tcMar>
            <w:vAlign w:val="center"/>
          </w:tcPr>
          <w:p w14:paraId="4144B54B">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监测断面或点位个数（</w:t>
            </w:r>
            <w:r>
              <w:rPr>
                <w:rFonts w:hint="eastAsia" w:ascii="Times New Roman" w:hAnsi="Times New Roman" w:eastAsia="宋体" w:cs="Times New Roman"/>
                <w:color w:val="auto"/>
                <w:kern w:val="0"/>
                <w:sz w:val="21"/>
                <w:szCs w:val="21"/>
                <w:lang w:val="en-US" w:eastAsia="zh-CN"/>
              </w:rPr>
              <w:t>3</w:t>
            </w:r>
            <w:r>
              <w:rPr>
                <w:rFonts w:hint="default" w:ascii="Times New Roman" w:hAnsi="Times New Roman" w:cs="Times New Roman"/>
                <w:color w:val="auto"/>
                <w:kern w:val="0"/>
                <w:sz w:val="21"/>
                <w:szCs w:val="21"/>
              </w:rPr>
              <w:t>）个</w:t>
            </w:r>
          </w:p>
        </w:tc>
      </w:tr>
      <w:tr w14:paraId="099B805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2" w:hRule="atLeast"/>
          <w:jc w:val="center"/>
        </w:trPr>
        <w:tc>
          <w:tcPr>
            <w:tcW w:w="170" w:type="pct"/>
            <w:vMerge w:val="restart"/>
            <w:noWrap/>
            <w:tcMar>
              <w:top w:w="15" w:type="dxa"/>
              <w:left w:w="15" w:type="dxa"/>
              <w:right w:w="15" w:type="dxa"/>
            </w:tcMar>
            <w:vAlign w:val="center"/>
          </w:tcPr>
          <w:p w14:paraId="2AAD62AF">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现状评价</w:t>
            </w:r>
          </w:p>
        </w:tc>
        <w:tc>
          <w:tcPr>
            <w:tcW w:w="811" w:type="pct"/>
            <w:noWrap/>
            <w:tcMar>
              <w:top w:w="15" w:type="dxa"/>
              <w:left w:w="15" w:type="dxa"/>
              <w:right w:w="15" w:type="dxa"/>
            </w:tcMar>
            <w:vAlign w:val="center"/>
          </w:tcPr>
          <w:p w14:paraId="1CCFC0DB">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评价范围</w:t>
            </w:r>
          </w:p>
        </w:tc>
        <w:tc>
          <w:tcPr>
            <w:tcW w:w="4018" w:type="pct"/>
            <w:gridSpan w:val="12"/>
            <w:noWrap/>
            <w:tcMar>
              <w:top w:w="15" w:type="dxa"/>
              <w:left w:w="15" w:type="dxa"/>
              <w:right w:w="15" w:type="dxa"/>
            </w:tcMar>
            <w:vAlign w:val="center"/>
          </w:tcPr>
          <w:p w14:paraId="7B331D35">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河流：长度（</w:t>
            </w:r>
            <w:r>
              <w:rPr>
                <w:rFonts w:hint="eastAsia" w:ascii="Times New Roman" w:hAnsi="Times New Roman" w:eastAsia="宋体" w:cs="Times New Roman"/>
                <w:color w:val="auto"/>
                <w:kern w:val="0"/>
                <w:sz w:val="21"/>
                <w:szCs w:val="21"/>
                <w:highlight w:val="none"/>
                <w:lang w:val="en-US" w:eastAsia="zh-CN"/>
              </w:rPr>
              <w:t>109.4</w:t>
            </w:r>
            <w:r>
              <w:rPr>
                <w:rFonts w:hint="default" w:ascii="Times New Roman" w:hAnsi="Times New Roman" w:cs="Times New Roman"/>
                <w:color w:val="auto"/>
                <w:kern w:val="0"/>
                <w:sz w:val="21"/>
                <w:szCs w:val="21"/>
                <w:highlight w:val="none"/>
              </w:rPr>
              <w:t>）km；湖库、河口及近岸海域：面积（   ）km</w:t>
            </w:r>
            <w:r>
              <w:rPr>
                <w:rFonts w:hint="default" w:ascii="Times New Roman" w:hAnsi="Times New Roman" w:cs="Times New Roman"/>
                <w:color w:val="auto"/>
                <w:kern w:val="0"/>
                <w:sz w:val="21"/>
                <w:szCs w:val="21"/>
                <w:highlight w:val="none"/>
                <w:vertAlign w:val="superscript"/>
              </w:rPr>
              <w:t>2</w:t>
            </w:r>
          </w:p>
        </w:tc>
      </w:tr>
      <w:tr w14:paraId="5753CC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3F55A6D8">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noWrap/>
            <w:tcMar>
              <w:top w:w="15" w:type="dxa"/>
              <w:left w:w="15" w:type="dxa"/>
              <w:right w:w="15" w:type="dxa"/>
            </w:tcMar>
            <w:vAlign w:val="center"/>
          </w:tcPr>
          <w:p w14:paraId="78913BCF">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评价因子</w:t>
            </w:r>
          </w:p>
        </w:tc>
        <w:tc>
          <w:tcPr>
            <w:tcW w:w="4018" w:type="pct"/>
            <w:gridSpan w:val="12"/>
            <w:noWrap/>
            <w:tcMar>
              <w:top w:w="15" w:type="dxa"/>
              <w:left w:w="15" w:type="dxa"/>
              <w:right w:w="15" w:type="dxa"/>
            </w:tcMar>
            <w:vAlign w:val="center"/>
          </w:tcPr>
          <w:p w14:paraId="2ACE6C4B">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w:t>
            </w:r>
            <w:r>
              <w:rPr>
                <w:rFonts w:hint="eastAsia" w:ascii="Times New Roman" w:hAnsi="Times New Roman" w:eastAsia="宋体" w:cs="Times New Roman"/>
                <w:color w:val="auto"/>
                <w:kern w:val="0"/>
                <w:sz w:val="21"/>
                <w:szCs w:val="21"/>
                <w:lang w:val="en-US" w:eastAsia="zh-CN"/>
              </w:rPr>
              <w:t>pH、</w:t>
            </w:r>
            <w:r>
              <w:rPr>
                <w:rFonts w:hint="default" w:ascii="Times New Roman" w:hAnsi="Times New Roman" w:cs="Times New Roman"/>
                <w:color w:val="auto"/>
                <w:kern w:val="0"/>
                <w:sz w:val="21"/>
                <w:szCs w:val="21"/>
              </w:rPr>
              <w:t>COD、BOD</w:t>
            </w:r>
            <w:r>
              <w:rPr>
                <w:rFonts w:hint="default" w:ascii="Times New Roman" w:hAnsi="Times New Roman" w:cs="Times New Roman"/>
                <w:color w:val="auto"/>
                <w:kern w:val="0"/>
                <w:sz w:val="21"/>
                <w:szCs w:val="21"/>
                <w:vertAlign w:val="subscript"/>
              </w:rPr>
              <w:t>5</w:t>
            </w:r>
            <w:r>
              <w:rPr>
                <w:rFonts w:hint="default" w:ascii="Times New Roman" w:hAnsi="Times New Roman" w:cs="Times New Roman"/>
                <w:color w:val="auto"/>
                <w:kern w:val="0"/>
                <w:sz w:val="21"/>
                <w:szCs w:val="21"/>
              </w:rPr>
              <w:t>、NH</w:t>
            </w:r>
            <w:r>
              <w:rPr>
                <w:rFonts w:hint="default" w:ascii="Times New Roman" w:hAnsi="Times New Roman" w:cs="Times New Roman"/>
                <w:color w:val="auto"/>
                <w:kern w:val="0"/>
                <w:sz w:val="21"/>
                <w:szCs w:val="21"/>
                <w:vertAlign w:val="subscript"/>
              </w:rPr>
              <w:t>3</w:t>
            </w:r>
            <w:r>
              <w:rPr>
                <w:rFonts w:hint="default" w:ascii="Times New Roman" w:hAnsi="Times New Roman" w:cs="Times New Roman"/>
                <w:color w:val="auto"/>
                <w:kern w:val="0"/>
                <w:sz w:val="21"/>
                <w:szCs w:val="21"/>
              </w:rPr>
              <w:t>-N、总氮）</w:t>
            </w:r>
          </w:p>
        </w:tc>
      </w:tr>
      <w:tr w14:paraId="61689C2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6DDD7269">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noWrap/>
            <w:tcMar>
              <w:top w:w="15" w:type="dxa"/>
              <w:left w:w="15" w:type="dxa"/>
              <w:right w:w="15" w:type="dxa"/>
            </w:tcMar>
            <w:vAlign w:val="center"/>
          </w:tcPr>
          <w:p w14:paraId="6FBAA73B">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评价标准</w:t>
            </w:r>
          </w:p>
        </w:tc>
        <w:tc>
          <w:tcPr>
            <w:tcW w:w="4018" w:type="pct"/>
            <w:gridSpan w:val="12"/>
            <w:noWrap/>
            <w:tcMar>
              <w:top w:w="15" w:type="dxa"/>
              <w:left w:w="15" w:type="dxa"/>
              <w:right w:w="15" w:type="dxa"/>
            </w:tcMar>
            <w:vAlign w:val="center"/>
          </w:tcPr>
          <w:p w14:paraId="7711B24D">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河流、湖库、河口：Ⅰ类</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；Ⅱ类</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；Ⅲ类</w:t>
            </w:r>
            <w:r>
              <w:rPr>
                <w:rFonts w:hint="default" w:ascii="Times New Roman" w:hAnsi="Times New Roman" w:cs="Times New Roman"/>
                <w:color w:val="auto"/>
                <w:sz w:val="21"/>
                <w:szCs w:val="21"/>
              </w:rPr>
              <w:sym w:font="Wingdings 2" w:char="0052"/>
            </w:r>
            <w:r>
              <w:rPr>
                <w:rFonts w:hint="default" w:ascii="Times New Roman" w:hAnsi="Times New Roman" w:cs="Times New Roman"/>
                <w:color w:val="auto"/>
                <w:kern w:val="0"/>
                <w:sz w:val="21"/>
                <w:szCs w:val="21"/>
              </w:rPr>
              <w:t>；Ⅳ类</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；Ⅴ类</w:t>
            </w:r>
            <w:r>
              <w:rPr>
                <w:rFonts w:hint="default" w:ascii="Times New Roman" w:hAnsi="Times New Roman" w:cs="Times New Roman"/>
                <w:color w:val="auto"/>
                <w:kern w:val="0"/>
                <w:sz w:val="21"/>
                <w:szCs w:val="21"/>
              </w:rPr>
              <w:sym w:font="Wingdings 2" w:char="00A3"/>
            </w:r>
          </w:p>
          <w:p w14:paraId="54A49DDE">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近岸海域：第一类</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；第二类</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；第三类</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；第四类</w:t>
            </w:r>
            <w:r>
              <w:rPr>
                <w:rFonts w:hint="default" w:ascii="Times New Roman" w:hAnsi="Times New Roman" w:cs="Times New Roman"/>
                <w:color w:val="auto"/>
                <w:kern w:val="0"/>
                <w:sz w:val="21"/>
                <w:szCs w:val="21"/>
              </w:rPr>
              <w:sym w:font="Wingdings 2" w:char="00A3"/>
            </w:r>
          </w:p>
          <w:p w14:paraId="0370548D">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规划年评价标准（    ）</w:t>
            </w:r>
          </w:p>
        </w:tc>
      </w:tr>
      <w:tr w14:paraId="5BDE5A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7319FAD2">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noWrap/>
            <w:tcMar>
              <w:top w:w="15" w:type="dxa"/>
              <w:left w:w="15" w:type="dxa"/>
              <w:right w:w="15" w:type="dxa"/>
            </w:tcMar>
            <w:vAlign w:val="center"/>
          </w:tcPr>
          <w:p w14:paraId="37DBF4F5">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评价时期</w:t>
            </w:r>
          </w:p>
        </w:tc>
        <w:tc>
          <w:tcPr>
            <w:tcW w:w="4018" w:type="pct"/>
            <w:gridSpan w:val="12"/>
            <w:noWrap/>
            <w:tcMar>
              <w:top w:w="15" w:type="dxa"/>
              <w:left w:w="15" w:type="dxa"/>
              <w:right w:w="15" w:type="dxa"/>
            </w:tcMar>
            <w:vAlign w:val="center"/>
          </w:tcPr>
          <w:p w14:paraId="7B7041D8">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丰水期</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；平水期</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；枯水期</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；冰封期</w:t>
            </w:r>
            <w:r>
              <w:rPr>
                <w:rFonts w:hint="default" w:ascii="Times New Roman" w:hAnsi="Times New Roman" w:cs="Times New Roman"/>
                <w:color w:val="auto"/>
                <w:kern w:val="0"/>
                <w:sz w:val="21"/>
                <w:szCs w:val="21"/>
              </w:rPr>
              <w:sym w:font="Wingdings 2" w:char="00A3"/>
            </w:r>
          </w:p>
          <w:p w14:paraId="6AA47B04">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春季</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；夏季</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；秋季</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；冬季</w:t>
            </w:r>
            <w:r>
              <w:rPr>
                <w:rFonts w:hint="default" w:ascii="Times New Roman" w:hAnsi="Times New Roman" w:cs="Times New Roman"/>
                <w:color w:val="auto"/>
                <w:kern w:val="0"/>
                <w:sz w:val="21"/>
                <w:szCs w:val="21"/>
              </w:rPr>
              <w:sym w:font="Wingdings 2" w:char="00A3"/>
            </w:r>
          </w:p>
        </w:tc>
      </w:tr>
      <w:tr w14:paraId="16A28EC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31269172">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noWrap/>
            <w:tcMar>
              <w:top w:w="15" w:type="dxa"/>
              <w:left w:w="15" w:type="dxa"/>
              <w:right w:w="15" w:type="dxa"/>
            </w:tcMar>
            <w:vAlign w:val="center"/>
          </w:tcPr>
          <w:p w14:paraId="02A5685C">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评价结论</w:t>
            </w:r>
          </w:p>
        </w:tc>
        <w:tc>
          <w:tcPr>
            <w:tcW w:w="3377" w:type="pct"/>
            <w:gridSpan w:val="11"/>
            <w:noWrap/>
            <w:tcMar>
              <w:top w:w="15" w:type="dxa"/>
              <w:left w:w="15" w:type="dxa"/>
              <w:right w:w="15" w:type="dxa"/>
            </w:tcMar>
            <w:vAlign w:val="center"/>
          </w:tcPr>
          <w:p w14:paraId="43B2FC07">
            <w:pPr>
              <w:keepNext w:val="0"/>
              <w:keepLines w:val="0"/>
              <w:widowControl/>
              <w:suppressLineNumbers w:val="0"/>
              <w:spacing w:before="0" w:beforeAutospacing="0" w:after="0" w:afterAutospacing="0" w:line="240" w:lineRule="auto"/>
              <w:ind w:left="0" w:right="0" w:firstLine="0" w:firstLineChars="0"/>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水环境功能区或水功能区、近岸海域环境功能区水质达标状况</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：达标</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；不达标</w:t>
            </w:r>
            <w:r>
              <w:rPr>
                <w:rFonts w:hint="default" w:ascii="Times New Roman" w:hAnsi="Times New Roman" w:cs="Times New Roman"/>
                <w:color w:val="auto"/>
                <w:kern w:val="0"/>
                <w:sz w:val="21"/>
                <w:szCs w:val="21"/>
              </w:rPr>
              <w:sym w:font="Wingdings 2" w:char="00A3"/>
            </w:r>
          </w:p>
          <w:p w14:paraId="3697B53C">
            <w:pPr>
              <w:keepNext w:val="0"/>
              <w:keepLines w:val="0"/>
              <w:widowControl/>
              <w:suppressLineNumbers w:val="0"/>
              <w:spacing w:before="0" w:beforeAutospacing="0" w:after="0" w:afterAutospacing="0" w:line="240" w:lineRule="auto"/>
              <w:ind w:left="0" w:right="0" w:firstLine="0" w:firstLineChars="0"/>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水环境控制单元或断面水质达标状况</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：达标</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；不达标</w:t>
            </w:r>
            <w:r>
              <w:rPr>
                <w:rFonts w:hint="default" w:ascii="Times New Roman" w:hAnsi="Times New Roman" w:cs="Times New Roman"/>
                <w:color w:val="auto"/>
                <w:kern w:val="0"/>
                <w:sz w:val="21"/>
                <w:szCs w:val="21"/>
              </w:rPr>
              <w:sym w:font="Wingdings 2" w:char="00A3"/>
            </w:r>
          </w:p>
          <w:p w14:paraId="43E79B3C">
            <w:pPr>
              <w:keepNext w:val="0"/>
              <w:keepLines w:val="0"/>
              <w:widowControl/>
              <w:suppressLineNumbers w:val="0"/>
              <w:spacing w:before="0" w:beforeAutospacing="0" w:after="0" w:afterAutospacing="0" w:line="240" w:lineRule="auto"/>
              <w:ind w:left="0" w:right="0" w:firstLine="0" w:firstLineChars="0"/>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水环境保护目标质量状况</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：达标</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；不达标</w:t>
            </w:r>
            <w:r>
              <w:rPr>
                <w:rFonts w:hint="default" w:ascii="Times New Roman" w:hAnsi="Times New Roman" w:cs="Times New Roman"/>
                <w:color w:val="auto"/>
                <w:kern w:val="0"/>
                <w:sz w:val="21"/>
                <w:szCs w:val="21"/>
              </w:rPr>
              <w:sym w:font="Wingdings 2" w:char="00A3"/>
            </w:r>
          </w:p>
          <w:p w14:paraId="6725218E">
            <w:pPr>
              <w:keepNext w:val="0"/>
              <w:keepLines w:val="0"/>
              <w:widowControl/>
              <w:suppressLineNumbers w:val="0"/>
              <w:spacing w:before="0" w:beforeAutospacing="0" w:after="0" w:afterAutospacing="0" w:line="240" w:lineRule="auto"/>
              <w:ind w:left="0" w:right="0" w:firstLine="0" w:firstLineChars="0"/>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对照断面、控制断面等代表性断面的水质状况</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：达标</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；不达标</w:t>
            </w:r>
            <w:r>
              <w:rPr>
                <w:rFonts w:hint="default" w:ascii="Times New Roman" w:hAnsi="Times New Roman" w:cs="Times New Roman"/>
                <w:color w:val="auto"/>
                <w:kern w:val="0"/>
                <w:sz w:val="21"/>
                <w:szCs w:val="21"/>
              </w:rPr>
              <w:sym w:font="Wingdings 2" w:char="00A3"/>
            </w:r>
          </w:p>
          <w:p w14:paraId="4EAA5DFB">
            <w:pPr>
              <w:keepNext w:val="0"/>
              <w:keepLines w:val="0"/>
              <w:widowControl/>
              <w:suppressLineNumbers w:val="0"/>
              <w:spacing w:before="0" w:beforeAutospacing="0" w:after="0" w:afterAutospacing="0" w:line="240" w:lineRule="auto"/>
              <w:ind w:left="0" w:right="0" w:firstLine="0" w:firstLineChars="0"/>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底泥污染评价</w:t>
            </w:r>
            <w:r>
              <w:rPr>
                <w:rFonts w:hint="default" w:ascii="Times New Roman" w:hAnsi="Times New Roman" w:cs="Times New Roman"/>
                <w:color w:val="auto"/>
                <w:kern w:val="0"/>
                <w:sz w:val="21"/>
                <w:szCs w:val="21"/>
              </w:rPr>
              <w:sym w:font="Wingdings 2" w:char="00A3"/>
            </w:r>
          </w:p>
          <w:p w14:paraId="5226B0ED">
            <w:pPr>
              <w:keepNext w:val="0"/>
              <w:keepLines w:val="0"/>
              <w:widowControl/>
              <w:suppressLineNumbers w:val="0"/>
              <w:spacing w:before="0" w:beforeAutospacing="0" w:after="0" w:afterAutospacing="0" w:line="240" w:lineRule="auto"/>
              <w:ind w:left="0" w:right="0" w:firstLine="0" w:firstLineChars="0"/>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水资源与开发利用程度及其水文情势评价</w:t>
            </w:r>
            <w:r>
              <w:rPr>
                <w:rFonts w:hint="default" w:ascii="Times New Roman" w:hAnsi="Times New Roman" w:cs="Times New Roman"/>
                <w:color w:val="auto"/>
                <w:kern w:val="0"/>
                <w:sz w:val="21"/>
                <w:szCs w:val="21"/>
              </w:rPr>
              <w:sym w:font="Wingdings 2" w:char="00A3"/>
            </w:r>
          </w:p>
          <w:p w14:paraId="0D9C4891">
            <w:pPr>
              <w:keepNext w:val="0"/>
              <w:keepLines w:val="0"/>
              <w:widowControl/>
              <w:suppressLineNumbers w:val="0"/>
              <w:spacing w:before="0" w:beforeAutospacing="0" w:after="0" w:afterAutospacing="0" w:line="240" w:lineRule="auto"/>
              <w:ind w:left="0" w:right="0" w:firstLine="0" w:firstLineChars="0"/>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水环境质量回顾评价</w:t>
            </w:r>
            <w:r>
              <w:rPr>
                <w:rFonts w:hint="default" w:ascii="Times New Roman" w:hAnsi="Times New Roman" w:cs="Times New Roman"/>
                <w:color w:val="auto"/>
                <w:kern w:val="0"/>
                <w:sz w:val="21"/>
                <w:szCs w:val="21"/>
              </w:rPr>
              <w:sym w:font="Wingdings 2" w:char="0052"/>
            </w:r>
          </w:p>
          <w:p w14:paraId="20E23B1F">
            <w:pPr>
              <w:keepNext w:val="0"/>
              <w:keepLines w:val="0"/>
              <w:widowControl/>
              <w:suppressLineNumbers w:val="0"/>
              <w:spacing w:before="0" w:beforeAutospacing="0" w:after="0" w:afterAutospacing="0" w:line="240" w:lineRule="auto"/>
              <w:ind w:left="0" w:right="0" w:firstLine="0" w:firstLineChars="0"/>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流域（区域）水资源（包括水能资源）与开发利用总体状况、生态流量管理要求与现状满足程度、建设项目占用水域空间的水流状况与河湖演变状况</w:t>
            </w:r>
            <w:r>
              <w:rPr>
                <w:rFonts w:hint="default" w:ascii="Times New Roman" w:hAnsi="Times New Roman" w:cs="Times New Roman"/>
                <w:color w:val="auto"/>
                <w:kern w:val="0"/>
                <w:sz w:val="21"/>
                <w:szCs w:val="21"/>
              </w:rPr>
              <w:sym w:font="Wingdings 2" w:char="00A3"/>
            </w:r>
          </w:p>
        </w:tc>
        <w:tc>
          <w:tcPr>
            <w:tcW w:w="640" w:type="pct"/>
            <w:noWrap/>
            <w:tcMar>
              <w:top w:w="15" w:type="dxa"/>
              <w:left w:w="15" w:type="dxa"/>
              <w:right w:w="15" w:type="dxa"/>
            </w:tcMar>
            <w:vAlign w:val="center"/>
          </w:tcPr>
          <w:p w14:paraId="16673439">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达标区</w:t>
            </w:r>
            <w:r>
              <w:rPr>
                <w:rFonts w:hint="default" w:ascii="Times New Roman" w:hAnsi="Times New Roman" w:cs="Times New Roman"/>
                <w:color w:val="auto"/>
                <w:sz w:val="21"/>
                <w:szCs w:val="21"/>
              </w:rPr>
              <w:sym w:font="Wingdings 2" w:char="00A3"/>
            </w:r>
          </w:p>
          <w:p w14:paraId="5E42447F">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不达标区</w:t>
            </w:r>
            <w:r>
              <w:rPr>
                <w:rFonts w:hint="default" w:ascii="Times New Roman" w:hAnsi="Times New Roman" w:cs="Times New Roman"/>
                <w:color w:val="auto"/>
                <w:kern w:val="0"/>
                <w:sz w:val="21"/>
                <w:szCs w:val="21"/>
              </w:rPr>
              <w:sym w:font="Wingdings 2" w:char="00A3"/>
            </w:r>
          </w:p>
        </w:tc>
      </w:tr>
      <w:tr w14:paraId="33DC512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restart"/>
            <w:noWrap/>
            <w:tcMar>
              <w:top w:w="15" w:type="dxa"/>
              <w:left w:w="15" w:type="dxa"/>
              <w:right w:w="15" w:type="dxa"/>
            </w:tcMar>
            <w:vAlign w:val="center"/>
          </w:tcPr>
          <w:p w14:paraId="1BE93994">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影响预测</w:t>
            </w:r>
          </w:p>
        </w:tc>
        <w:tc>
          <w:tcPr>
            <w:tcW w:w="811" w:type="pct"/>
            <w:noWrap/>
            <w:tcMar>
              <w:top w:w="15" w:type="dxa"/>
              <w:left w:w="15" w:type="dxa"/>
              <w:right w:w="15" w:type="dxa"/>
            </w:tcMar>
            <w:vAlign w:val="center"/>
          </w:tcPr>
          <w:p w14:paraId="5ED21DD9">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预测范围</w:t>
            </w:r>
          </w:p>
        </w:tc>
        <w:tc>
          <w:tcPr>
            <w:tcW w:w="4018" w:type="pct"/>
            <w:gridSpan w:val="12"/>
            <w:noWrap/>
            <w:tcMar>
              <w:top w:w="15" w:type="dxa"/>
              <w:left w:w="15" w:type="dxa"/>
              <w:right w:w="15" w:type="dxa"/>
            </w:tcMar>
            <w:vAlign w:val="center"/>
          </w:tcPr>
          <w:p w14:paraId="7A952595">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河</w:t>
            </w:r>
            <w:r>
              <w:rPr>
                <w:rFonts w:hint="default" w:ascii="Times New Roman" w:hAnsi="Times New Roman" w:cs="Times New Roman"/>
                <w:color w:val="auto"/>
                <w:kern w:val="0"/>
                <w:sz w:val="21"/>
                <w:szCs w:val="21"/>
                <w:highlight w:val="none"/>
              </w:rPr>
              <w:t>流：长度（</w:t>
            </w:r>
            <w:r>
              <w:rPr>
                <w:rFonts w:hint="eastAsia" w:ascii="Times New Roman" w:hAnsi="Times New Roman" w:eastAsia="宋体" w:cs="Times New Roman"/>
                <w:color w:val="auto"/>
                <w:kern w:val="0"/>
                <w:sz w:val="21"/>
                <w:szCs w:val="21"/>
                <w:highlight w:val="none"/>
                <w:lang w:val="en-US" w:eastAsia="zh-CN"/>
              </w:rPr>
              <w:t>109.4</w:t>
            </w:r>
            <w:r>
              <w:rPr>
                <w:rFonts w:hint="default" w:ascii="Times New Roman" w:hAnsi="Times New Roman" w:cs="Times New Roman"/>
                <w:color w:val="auto"/>
                <w:kern w:val="0"/>
                <w:sz w:val="21"/>
                <w:szCs w:val="21"/>
                <w:highlight w:val="none"/>
              </w:rPr>
              <w:t>）km</w:t>
            </w:r>
            <w:r>
              <w:rPr>
                <w:rFonts w:hint="default" w:ascii="Times New Roman" w:hAnsi="Times New Roman" w:cs="Times New Roman"/>
                <w:color w:val="auto"/>
                <w:kern w:val="0"/>
                <w:sz w:val="21"/>
                <w:szCs w:val="21"/>
              </w:rPr>
              <w:t>；湖库、河口及近岸海域：面积（   ）km</w:t>
            </w:r>
            <w:r>
              <w:rPr>
                <w:rFonts w:hint="default" w:ascii="Times New Roman" w:hAnsi="Times New Roman" w:cs="Times New Roman"/>
                <w:color w:val="auto"/>
                <w:kern w:val="0"/>
                <w:sz w:val="21"/>
                <w:szCs w:val="21"/>
                <w:vertAlign w:val="superscript"/>
              </w:rPr>
              <w:t>2</w:t>
            </w:r>
          </w:p>
        </w:tc>
      </w:tr>
      <w:tr w14:paraId="48B40B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54846349">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noWrap/>
            <w:tcMar>
              <w:top w:w="15" w:type="dxa"/>
              <w:left w:w="15" w:type="dxa"/>
              <w:right w:w="15" w:type="dxa"/>
            </w:tcMar>
            <w:vAlign w:val="center"/>
          </w:tcPr>
          <w:p w14:paraId="0C134AF1">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预测因子</w:t>
            </w:r>
          </w:p>
        </w:tc>
        <w:tc>
          <w:tcPr>
            <w:tcW w:w="4018" w:type="pct"/>
            <w:gridSpan w:val="12"/>
            <w:noWrap/>
            <w:tcMar>
              <w:top w:w="15" w:type="dxa"/>
              <w:left w:w="15" w:type="dxa"/>
              <w:right w:w="15" w:type="dxa"/>
            </w:tcMar>
            <w:vAlign w:val="center"/>
          </w:tcPr>
          <w:p w14:paraId="3B8115B5">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 COD、氨氮   ）</w:t>
            </w:r>
          </w:p>
        </w:tc>
      </w:tr>
      <w:tr w14:paraId="2D4EDC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0002E2AA">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noWrap/>
            <w:tcMar>
              <w:top w:w="15" w:type="dxa"/>
              <w:left w:w="15" w:type="dxa"/>
              <w:right w:w="15" w:type="dxa"/>
            </w:tcMar>
            <w:vAlign w:val="center"/>
          </w:tcPr>
          <w:p w14:paraId="7113FDDD">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预测时期</w:t>
            </w:r>
          </w:p>
        </w:tc>
        <w:tc>
          <w:tcPr>
            <w:tcW w:w="4018" w:type="pct"/>
            <w:gridSpan w:val="12"/>
            <w:noWrap/>
            <w:tcMar>
              <w:top w:w="15" w:type="dxa"/>
              <w:left w:w="15" w:type="dxa"/>
              <w:right w:w="15" w:type="dxa"/>
            </w:tcMar>
            <w:vAlign w:val="center"/>
          </w:tcPr>
          <w:p w14:paraId="088804CC">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丰水期</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；平水期</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；枯水期</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；冰封期</w:t>
            </w:r>
            <w:r>
              <w:rPr>
                <w:rFonts w:hint="default" w:ascii="Times New Roman" w:hAnsi="Times New Roman" w:cs="Times New Roman"/>
                <w:color w:val="auto"/>
                <w:kern w:val="0"/>
                <w:sz w:val="21"/>
                <w:szCs w:val="21"/>
              </w:rPr>
              <w:sym w:font="Wingdings 2" w:char="00A3"/>
            </w:r>
          </w:p>
          <w:p w14:paraId="5420FBF9">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春季</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；夏季</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；秋季</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；冬季</w:t>
            </w:r>
            <w:r>
              <w:rPr>
                <w:rFonts w:hint="default" w:ascii="Times New Roman" w:hAnsi="Times New Roman" w:cs="Times New Roman"/>
                <w:color w:val="auto"/>
                <w:kern w:val="0"/>
                <w:sz w:val="21"/>
                <w:szCs w:val="21"/>
              </w:rPr>
              <w:sym w:font="Wingdings 2" w:char="00A3"/>
            </w:r>
          </w:p>
          <w:p w14:paraId="435F49B3">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设计水文条件</w:t>
            </w:r>
            <w:r>
              <w:rPr>
                <w:rFonts w:hint="default" w:ascii="Times New Roman" w:hAnsi="Times New Roman" w:cs="Times New Roman"/>
                <w:color w:val="auto"/>
                <w:kern w:val="0"/>
                <w:sz w:val="21"/>
                <w:szCs w:val="21"/>
              </w:rPr>
              <w:sym w:font="Wingdings 2" w:char="0052"/>
            </w:r>
          </w:p>
        </w:tc>
      </w:tr>
      <w:tr w14:paraId="78D559E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4694D58A">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noWrap/>
            <w:tcMar>
              <w:top w:w="15" w:type="dxa"/>
              <w:left w:w="15" w:type="dxa"/>
              <w:right w:w="15" w:type="dxa"/>
            </w:tcMar>
            <w:vAlign w:val="center"/>
          </w:tcPr>
          <w:p w14:paraId="46C69365">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预测情景</w:t>
            </w:r>
          </w:p>
        </w:tc>
        <w:tc>
          <w:tcPr>
            <w:tcW w:w="4018" w:type="pct"/>
            <w:gridSpan w:val="12"/>
            <w:noWrap/>
            <w:tcMar>
              <w:top w:w="15" w:type="dxa"/>
              <w:left w:w="15" w:type="dxa"/>
              <w:right w:w="15" w:type="dxa"/>
            </w:tcMar>
            <w:vAlign w:val="center"/>
          </w:tcPr>
          <w:p w14:paraId="0CD08E60">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建设期</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；生产运行期</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；服务期满后</w:t>
            </w:r>
            <w:r>
              <w:rPr>
                <w:rFonts w:hint="default" w:ascii="Times New Roman" w:hAnsi="Times New Roman" w:cs="Times New Roman"/>
                <w:color w:val="auto"/>
                <w:kern w:val="0"/>
                <w:sz w:val="21"/>
                <w:szCs w:val="21"/>
              </w:rPr>
              <w:sym w:font="Wingdings 2" w:char="00A3"/>
            </w:r>
          </w:p>
          <w:p w14:paraId="7145CE36">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正常工况</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；非正常工况</w:t>
            </w:r>
            <w:r>
              <w:rPr>
                <w:rFonts w:hint="default" w:ascii="Times New Roman" w:hAnsi="Times New Roman" w:cs="Times New Roman"/>
                <w:color w:val="auto"/>
                <w:kern w:val="0"/>
                <w:sz w:val="21"/>
                <w:szCs w:val="21"/>
              </w:rPr>
              <w:sym w:font="Wingdings 2" w:char="0052"/>
            </w:r>
          </w:p>
          <w:p w14:paraId="6017C6ED">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污染控制和减缓措施方案</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w:t>
            </w:r>
          </w:p>
          <w:p w14:paraId="3A0A5250">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区（流）域环境质量改善目标要求情景</w:t>
            </w:r>
            <w:r>
              <w:rPr>
                <w:rFonts w:hint="default" w:ascii="Times New Roman" w:hAnsi="Times New Roman" w:cs="Times New Roman"/>
                <w:color w:val="auto"/>
                <w:kern w:val="0"/>
                <w:sz w:val="21"/>
                <w:szCs w:val="21"/>
              </w:rPr>
              <w:sym w:font="Wingdings 2" w:char="00A3"/>
            </w:r>
          </w:p>
        </w:tc>
      </w:tr>
      <w:tr w14:paraId="3559954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7FCB4E89">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noWrap/>
            <w:tcMar>
              <w:top w:w="15" w:type="dxa"/>
              <w:left w:w="15" w:type="dxa"/>
              <w:right w:w="15" w:type="dxa"/>
            </w:tcMar>
            <w:vAlign w:val="center"/>
          </w:tcPr>
          <w:p w14:paraId="59779DC3">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预测方法</w:t>
            </w:r>
          </w:p>
        </w:tc>
        <w:tc>
          <w:tcPr>
            <w:tcW w:w="4018" w:type="pct"/>
            <w:gridSpan w:val="12"/>
            <w:noWrap/>
            <w:tcMar>
              <w:top w:w="15" w:type="dxa"/>
              <w:left w:w="15" w:type="dxa"/>
              <w:right w:w="15" w:type="dxa"/>
            </w:tcMar>
            <w:vAlign w:val="center"/>
          </w:tcPr>
          <w:p w14:paraId="219306E2">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数值解</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；解析解</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；其他</w:t>
            </w:r>
            <w:r>
              <w:rPr>
                <w:rFonts w:hint="default" w:ascii="Times New Roman" w:hAnsi="Times New Roman" w:cs="Times New Roman"/>
                <w:color w:val="auto"/>
                <w:kern w:val="0"/>
                <w:sz w:val="21"/>
                <w:szCs w:val="21"/>
              </w:rPr>
              <w:sym w:font="Wingdings 2" w:char="00A3"/>
            </w:r>
          </w:p>
          <w:p w14:paraId="0E56B667">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导则推荐模式</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；其他</w:t>
            </w:r>
            <w:r>
              <w:rPr>
                <w:rFonts w:hint="default" w:ascii="Times New Roman" w:hAnsi="Times New Roman" w:cs="Times New Roman"/>
                <w:color w:val="auto"/>
                <w:kern w:val="0"/>
                <w:sz w:val="21"/>
                <w:szCs w:val="21"/>
              </w:rPr>
              <w:sym w:font="Wingdings 2" w:char="00A3"/>
            </w:r>
          </w:p>
        </w:tc>
      </w:tr>
      <w:tr w14:paraId="2AA0BD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restart"/>
            <w:noWrap/>
            <w:tcMar>
              <w:top w:w="15" w:type="dxa"/>
              <w:left w:w="15" w:type="dxa"/>
              <w:right w:w="15" w:type="dxa"/>
            </w:tcMar>
            <w:vAlign w:val="center"/>
          </w:tcPr>
          <w:p w14:paraId="0C7A9F57">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影响评价</w:t>
            </w:r>
          </w:p>
        </w:tc>
        <w:tc>
          <w:tcPr>
            <w:tcW w:w="811" w:type="pct"/>
            <w:noWrap/>
            <w:tcMar>
              <w:top w:w="15" w:type="dxa"/>
              <w:left w:w="15" w:type="dxa"/>
              <w:right w:w="15" w:type="dxa"/>
            </w:tcMar>
            <w:vAlign w:val="center"/>
          </w:tcPr>
          <w:p w14:paraId="4B9A0D76">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水污染控制和水环境影响减缓措施有效性评价</w:t>
            </w:r>
          </w:p>
        </w:tc>
        <w:tc>
          <w:tcPr>
            <w:tcW w:w="4018" w:type="pct"/>
            <w:gridSpan w:val="12"/>
            <w:noWrap/>
            <w:tcMar>
              <w:top w:w="15" w:type="dxa"/>
              <w:left w:w="15" w:type="dxa"/>
              <w:right w:w="15" w:type="dxa"/>
            </w:tcMar>
            <w:vAlign w:val="center"/>
          </w:tcPr>
          <w:p w14:paraId="3B72B904">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区（流）域水环境质量改善目标</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；替代削减源</w:t>
            </w:r>
            <w:r>
              <w:rPr>
                <w:rFonts w:hint="default" w:ascii="Times New Roman" w:hAnsi="Times New Roman" w:cs="Times New Roman"/>
                <w:color w:val="auto"/>
                <w:kern w:val="0"/>
                <w:sz w:val="21"/>
                <w:szCs w:val="21"/>
              </w:rPr>
              <w:sym w:font="Wingdings 2" w:char="00A3"/>
            </w:r>
          </w:p>
        </w:tc>
      </w:tr>
      <w:tr w14:paraId="416690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2ED77F0A">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noWrap/>
            <w:tcMar>
              <w:top w:w="15" w:type="dxa"/>
              <w:left w:w="15" w:type="dxa"/>
              <w:right w:w="15" w:type="dxa"/>
            </w:tcMar>
            <w:vAlign w:val="center"/>
          </w:tcPr>
          <w:p w14:paraId="3C215173">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水环境影响评价</w:t>
            </w:r>
          </w:p>
        </w:tc>
        <w:tc>
          <w:tcPr>
            <w:tcW w:w="4018" w:type="pct"/>
            <w:gridSpan w:val="12"/>
            <w:noWrap/>
            <w:tcMar>
              <w:top w:w="15" w:type="dxa"/>
              <w:left w:w="15" w:type="dxa"/>
              <w:right w:w="15" w:type="dxa"/>
            </w:tcMar>
            <w:vAlign w:val="center"/>
          </w:tcPr>
          <w:p w14:paraId="7D722924">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排放口混合区外满足水环境管理要求</w:t>
            </w:r>
            <w:r>
              <w:rPr>
                <w:rFonts w:hint="default" w:ascii="Times New Roman" w:hAnsi="Times New Roman" w:cs="Times New Roman"/>
                <w:color w:val="auto"/>
                <w:kern w:val="0"/>
                <w:sz w:val="21"/>
                <w:szCs w:val="21"/>
              </w:rPr>
              <w:sym w:font="Wingdings 2" w:char="0052"/>
            </w:r>
          </w:p>
          <w:p w14:paraId="50EB5963">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水环境功能区或水功能区、近岸海域环境功能区水质达标</w:t>
            </w:r>
            <w:r>
              <w:rPr>
                <w:rFonts w:hint="default" w:ascii="Times New Roman" w:hAnsi="Times New Roman" w:cs="Times New Roman"/>
                <w:color w:val="auto"/>
                <w:kern w:val="0"/>
                <w:sz w:val="21"/>
                <w:szCs w:val="21"/>
              </w:rPr>
              <w:sym w:font="Wingdings 2" w:char="0052"/>
            </w:r>
          </w:p>
          <w:p w14:paraId="799DC097">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满足水环境保护目标水域水环境质量要求</w:t>
            </w:r>
            <w:r>
              <w:rPr>
                <w:rFonts w:hint="default" w:ascii="Times New Roman" w:hAnsi="Times New Roman" w:cs="Times New Roman"/>
                <w:color w:val="auto"/>
                <w:kern w:val="0"/>
                <w:sz w:val="21"/>
                <w:szCs w:val="21"/>
              </w:rPr>
              <w:sym w:font="Wingdings 2" w:char="0052"/>
            </w:r>
          </w:p>
          <w:p w14:paraId="5BECB182">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水环境控制单元或断面水质达标</w:t>
            </w:r>
            <w:r>
              <w:rPr>
                <w:rFonts w:hint="default" w:ascii="Times New Roman" w:hAnsi="Times New Roman" w:cs="Times New Roman"/>
                <w:color w:val="auto"/>
                <w:kern w:val="0"/>
                <w:sz w:val="21"/>
                <w:szCs w:val="21"/>
              </w:rPr>
              <w:sym w:font="Wingdings 2" w:char="0052"/>
            </w:r>
          </w:p>
          <w:p w14:paraId="6AEE1CCF">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满足重点水污染物排放总量控制指标要求，重点行业建设项目，主要污染物排放满足等量或减量替代要求</w:t>
            </w:r>
            <w:r>
              <w:rPr>
                <w:rFonts w:hint="default" w:ascii="Times New Roman" w:hAnsi="Times New Roman" w:cs="Times New Roman"/>
                <w:color w:val="auto"/>
                <w:kern w:val="0"/>
                <w:sz w:val="21"/>
                <w:szCs w:val="21"/>
              </w:rPr>
              <w:sym w:font="Wingdings 2" w:char="00A3"/>
            </w:r>
          </w:p>
          <w:p w14:paraId="19A2F27C">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满足区（流）域水环境质量改善目标要求</w:t>
            </w:r>
            <w:r>
              <w:rPr>
                <w:rFonts w:hint="default" w:ascii="Times New Roman" w:hAnsi="Times New Roman" w:cs="Times New Roman"/>
                <w:color w:val="auto"/>
                <w:kern w:val="0"/>
                <w:sz w:val="21"/>
                <w:szCs w:val="21"/>
              </w:rPr>
              <w:sym w:font="Wingdings 2" w:char="00A3"/>
            </w:r>
          </w:p>
          <w:p w14:paraId="6F489394">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水文要素影响型建设项目同时应包括水文情势变化评价、主要水文特征值影响评价、生态流量符合性评价</w:t>
            </w:r>
            <w:r>
              <w:rPr>
                <w:rFonts w:hint="default" w:ascii="Times New Roman" w:hAnsi="Times New Roman" w:cs="Times New Roman"/>
                <w:color w:val="auto"/>
                <w:kern w:val="0"/>
                <w:sz w:val="21"/>
                <w:szCs w:val="21"/>
              </w:rPr>
              <w:sym w:font="Wingdings 2" w:char="00A3"/>
            </w:r>
          </w:p>
          <w:p w14:paraId="238D0700">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对于新设或调整入河（湖库、近岸海域）排放口的建设项目，应包括排放口设置的环境合理性评价</w:t>
            </w:r>
            <w:r>
              <w:rPr>
                <w:rFonts w:hint="default" w:ascii="Times New Roman" w:hAnsi="Times New Roman" w:cs="Times New Roman"/>
                <w:color w:val="auto"/>
                <w:kern w:val="0"/>
                <w:sz w:val="21"/>
                <w:szCs w:val="21"/>
              </w:rPr>
              <w:sym w:font="Wingdings 2" w:char="00A3"/>
            </w:r>
          </w:p>
          <w:p w14:paraId="6F04061E">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满足生态保护红线、水环境质量底线、资源利用上线和环境准入清单管理要求</w:t>
            </w:r>
            <w:r>
              <w:rPr>
                <w:rFonts w:hint="default" w:ascii="Times New Roman" w:hAnsi="Times New Roman" w:cs="Times New Roman"/>
                <w:color w:val="auto"/>
                <w:kern w:val="0"/>
                <w:sz w:val="21"/>
                <w:szCs w:val="21"/>
              </w:rPr>
              <w:sym w:font="Wingdings 2" w:char="0052"/>
            </w:r>
          </w:p>
        </w:tc>
      </w:tr>
      <w:tr w14:paraId="6963A3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0CAE812A">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vMerge w:val="restart"/>
            <w:noWrap/>
            <w:tcMar>
              <w:top w:w="15" w:type="dxa"/>
              <w:left w:w="15" w:type="dxa"/>
              <w:right w:w="15" w:type="dxa"/>
            </w:tcMar>
            <w:vAlign w:val="center"/>
          </w:tcPr>
          <w:p w14:paraId="45BDB539">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污染源排放量核算</w:t>
            </w:r>
          </w:p>
        </w:tc>
        <w:tc>
          <w:tcPr>
            <w:tcW w:w="1556" w:type="pct"/>
            <w:gridSpan w:val="5"/>
            <w:noWrap/>
            <w:tcMar>
              <w:top w:w="15" w:type="dxa"/>
              <w:left w:w="15" w:type="dxa"/>
              <w:right w:w="15" w:type="dxa"/>
            </w:tcMar>
            <w:vAlign w:val="center"/>
          </w:tcPr>
          <w:p w14:paraId="46D5E3EA">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污染物名称</w:t>
            </w:r>
          </w:p>
        </w:tc>
        <w:tc>
          <w:tcPr>
            <w:tcW w:w="1065" w:type="pct"/>
            <w:gridSpan w:val="4"/>
            <w:noWrap/>
            <w:tcMar>
              <w:top w:w="15" w:type="dxa"/>
              <w:left w:w="15" w:type="dxa"/>
              <w:right w:w="15" w:type="dxa"/>
            </w:tcMar>
            <w:vAlign w:val="center"/>
          </w:tcPr>
          <w:p w14:paraId="10C38D6E">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排放量/（t/a）</w:t>
            </w:r>
          </w:p>
        </w:tc>
        <w:tc>
          <w:tcPr>
            <w:tcW w:w="1396" w:type="pct"/>
            <w:gridSpan w:val="3"/>
            <w:noWrap/>
            <w:tcMar>
              <w:top w:w="15" w:type="dxa"/>
              <w:left w:w="15" w:type="dxa"/>
              <w:right w:w="15" w:type="dxa"/>
            </w:tcMar>
            <w:vAlign w:val="center"/>
          </w:tcPr>
          <w:p w14:paraId="1CDB6DCF">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排放浓度/（mg/L）</w:t>
            </w:r>
          </w:p>
        </w:tc>
      </w:tr>
      <w:tr w14:paraId="2C879B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541A86CE">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vMerge w:val="continue"/>
            <w:noWrap/>
            <w:tcMar>
              <w:top w:w="15" w:type="dxa"/>
              <w:left w:w="15" w:type="dxa"/>
              <w:right w:w="15" w:type="dxa"/>
            </w:tcMar>
            <w:vAlign w:val="center"/>
          </w:tcPr>
          <w:p w14:paraId="478859F9">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1556" w:type="pct"/>
            <w:gridSpan w:val="5"/>
            <w:noWrap/>
            <w:tcMar>
              <w:top w:w="15" w:type="dxa"/>
              <w:left w:w="15" w:type="dxa"/>
              <w:right w:w="15" w:type="dxa"/>
            </w:tcMar>
            <w:vAlign w:val="center"/>
          </w:tcPr>
          <w:p w14:paraId="08AE0EC7">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（COD、氨氮）</w:t>
            </w:r>
          </w:p>
        </w:tc>
        <w:tc>
          <w:tcPr>
            <w:tcW w:w="1940" w:type="dxa"/>
            <w:gridSpan w:val="4"/>
            <w:noWrap/>
            <w:tcMar>
              <w:top w:w="15" w:type="dxa"/>
              <w:left w:w="15" w:type="dxa"/>
              <w:right w:w="15" w:type="dxa"/>
            </w:tcMar>
            <w:vAlign w:val="center"/>
          </w:tcPr>
          <w:p w14:paraId="2BB092E0">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（COD</w:t>
            </w:r>
            <w:r>
              <w:rPr>
                <w:rFonts w:hint="default" w:ascii="Times New Roman" w:hAnsi="Times New Roman" w:cs="Times New Roman"/>
                <w:color w:val="auto"/>
                <w:sz w:val="21"/>
                <w:szCs w:val="21"/>
                <w:highlight w:val="none"/>
                <w:lang w:val="en-US" w:eastAsia="zh-CN"/>
              </w:rPr>
              <w:t>4.65</w:t>
            </w:r>
            <w:r>
              <w:rPr>
                <w:rFonts w:hint="default" w:ascii="Times New Roman" w:hAnsi="Times New Roman" w:cs="Times New Roman"/>
                <w:color w:val="auto"/>
                <w:kern w:val="0"/>
                <w:sz w:val="21"/>
                <w:szCs w:val="21"/>
                <w:highlight w:val="none"/>
              </w:rPr>
              <w:t>t/a、氨氮</w:t>
            </w:r>
            <w:r>
              <w:rPr>
                <w:rFonts w:hint="default" w:ascii="Times New Roman" w:hAnsi="Times New Roman" w:cs="Times New Roman"/>
                <w:color w:val="auto"/>
                <w:kern w:val="0"/>
                <w:sz w:val="21"/>
                <w:szCs w:val="21"/>
                <w:highlight w:val="none"/>
                <w:shd w:val="clear" w:color="auto" w:fill="auto"/>
                <w:lang w:val="en-US" w:eastAsia="zh-CN"/>
              </w:rPr>
              <w:t>0.13t</w:t>
            </w:r>
            <w:r>
              <w:rPr>
                <w:rFonts w:hint="default" w:ascii="Times New Roman" w:hAnsi="Times New Roman" w:cs="Times New Roman"/>
                <w:color w:val="auto"/>
                <w:kern w:val="0"/>
                <w:sz w:val="21"/>
                <w:szCs w:val="21"/>
                <w:highlight w:val="none"/>
              </w:rPr>
              <w:t>/a）</w:t>
            </w:r>
          </w:p>
        </w:tc>
        <w:tc>
          <w:tcPr>
            <w:tcW w:w="2543" w:type="dxa"/>
            <w:gridSpan w:val="3"/>
            <w:noWrap/>
            <w:tcMar>
              <w:top w:w="15" w:type="dxa"/>
              <w:left w:w="15" w:type="dxa"/>
              <w:right w:w="15" w:type="dxa"/>
            </w:tcMar>
            <w:vAlign w:val="center"/>
          </w:tcPr>
          <w:p w14:paraId="3312194E">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（COD</w:t>
            </w:r>
            <w:r>
              <w:rPr>
                <w:rFonts w:hint="default" w:ascii="Times New Roman" w:hAnsi="Times New Roman" w:eastAsia="宋体" w:cs="Times New Roman"/>
                <w:color w:val="auto"/>
                <w:kern w:val="0"/>
                <w:sz w:val="21"/>
                <w:szCs w:val="21"/>
                <w:highlight w:val="none"/>
                <w:lang w:val="en-US" w:eastAsia="zh-CN"/>
              </w:rPr>
              <w:t>18</w:t>
            </w:r>
            <w:r>
              <w:rPr>
                <w:rFonts w:hint="default" w:ascii="Times New Roman" w:hAnsi="Times New Roman" w:cs="Times New Roman"/>
                <w:color w:val="auto"/>
                <w:kern w:val="0"/>
                <w:sz w:val="21"/>
                <w:szCs w:val="21"/>
                <w:highlight w:val="none"/>
              </w:rPr>
              <w:t>mg/L、氨氮</w:t>
            </w:r>
            <w:r>
              <w:rPr>
                <w:rFonts w:hint="default" w:ascii="Times New Roman" w:hAnsi="Times New Roman" w:eastAsia="宋体" w:cs="Times New Roman"/>
                <w:color w:val="auto"/>
                <w:kern w:val="0"/>
                <w:sz w:val="21"/>
                <w:szCs w:val="21"/>
                <w:highlight w:val="none"/>
                <w:lang w:val="en-US" w:eastAsia="zh-CN"/>
              </w:rPr>
              <w:t>0.5</w:t>
            </w:r>
            <w:r>
              <w:rPr>
                <w:rFonts w:hint="default" w:ascii="Times New Roman" w:hAnsi="Times New Roman" w:cs="Times New Roman"/>
                <w:color w:val="auto"/>
                <w:kern w:val="0"/>
                <w:sz w:val="21"/>
                <w:szCs w:val="21"/>
                <w:highlight w:val="none"/>
              </w:rPr>
              <w:t>mg/L）</w:t>
            </w:r>
          </w:p>
        </w:tc>
      </w:tr>
      <w:tr w14:paraId="0E8D21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22E1B366">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vMerge w:val="restart"/>
            <w:noWrap/>
            <w:tcMar>
              <w:top w:w="15" w:type="dxa"/>
              <w:left w:w="15" w:type="dxa"/>
              <w:right w:w="15" w:type="dxa"/>
            </w:tcMar>
            <w:vAlign w:val="center"/>
          </w:tcPr>
          <w:p w14:paraId="3709B970">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替代源排放情况</w:t>
            </w:r>
          </w:p>
        </w:tc>
        <w:tc>
          <w:tcPr>
            <w:tcW w:w="417" w:type="pct"/>
            <w:noWrap/>
            <w:tcMar>
              <w:top w:w="15" w:type="dxa"/>
              <w:left w:w="15" w:type="dxa"/>
              <w:right w:w="15" w:type="dxa"/>
            </w:tcMar>
            <w:vAlign w:val="center"/>
          </w:tcPr>
          <w:p w14:paraId="33574141">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污染源名称</w:t>
            </w:r>
          </w:p>
        </w:tc>
        <w:tc>
          <w:tcPr>
            <w:tcW w:w="664" w:type="pct"/>
            <w:gridSpan w:val="3"/>
            <w:noWrap/>
            <w:tcMar>
              <w:top w:w="15" w:type="dxa"/>
              <w:left w:w="15" w:type="dxa"/>
              <w:right w:w="15" w:type="dxa"/>
            </w:tcMar>
            <w:vAlign w:val="center"/>
          </w:tcPr>
          <w:p w14:paraId="2C4C83E8">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排污许可证编号</w:t>
            </w:r>
          </w:p>
        </w:tc>
        <w:tc>
          <w:tcPr>
            <w:tcW w:w="738" w:type="pct"/>
            <w:gridSpan w:val="2"/>
            <w:noWrap/>
            <w:tcMar>
              <w:top w:w="15" w:type="dxa"/>
              <w:left w:w="15" w:type="dxa"/>
              <w:right w:w="15" w:type="dxa"/>
            </w:tcMar>
            <w:vAlign w:val="center"/>
          </w:tcPr>
          <w:p w14:paraId="6CEC63C1">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污染物名称</w:t>
            </w:r>
          </w:p>
        </w:tc>
        <w:tc>
          <w:tcPr>
            <w:tcW w:w="1044" w:type="pct"/>
            <w:gridSpan w:val="4"/>
            <w:noWrap/>
            <w:tcMar>
              <w:top w:w="15" w:type="dxa"/>
              <w:left w:w="15" w:type="dxa"/>
              <w:right w:w="15" w:type="dxa"/>
            </w:tcMar>
            <w:vAlign w:val="center"/>
          </w:tcPr>
          <w:p w14:paraId="4E4AE4DC">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排放量/（t/a）</w:t>
            </w:r>
          </w:p>
        </w:tc>
        <w:tc>
          <w:tcPr>
            <w:tcW w:w="1153" w:type="pct"/>
            <w:gridSpan w:val="2"/>
            <w:noWrap/>
            <w:tcMar>
              <w:top w:w="15" w:type="dxa"/>
              <w:left w:w="15" w:type="dxa"/>
              <w:right w:w="15" w:type="dxa"/>
            </w:tcMar>
            <w:vAlign w:val="center"/>
          </w:tcPr>
          <w:p w14:paraId="5F6415BC">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排放浓度/（mg/L）</w:t>
            </w:r>
          </w:p>
        </w:tc>
      </w:tr>
      <w:tr w14:paraId="66D6F2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0CA6AE01">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vMerge w:val="continue"/>
            <w:noWrap/>
            <w:tcMar>
              <w:top w:w="15" w:type="dxa"/>
              <w:left w:w="15" w:type="dxa"/>
              <w:right w:w="15" w:type="dxa"/>
            </w:tcMar>
            <w:vAlign w:val="center"/>
          </w:tcPr>
          <w:p w14:paraId="2DACE57D">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417" w:type="pct"/>
            <w:noWrap/>
            <w:tcMar>
              <w:top w:w="15" w:type="dxa"/>
              <w:left w:w="15" w:type="dxa"/>
              <w:right w:w="15" w:type="dxa"/>
            </w:tcMar>
            <w:vAlign w:val="center"/>
          </w:tcPr>
          <w:p w14:paraId="46365E6A">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    ）</w:t>
            </w:r>
          </w:p>
        </w:tc>
        <w:tc>
          <w:tcPr>
            <w:tcW w:w="664" w:type="pct"/>
            <w:gridSpan w:val="3"/>
            <w:noWrap/>
            <w:tcMar>
              <w:top w:w="15" w:type="dxa"/>
              <w:left w:w="15" w:type="dxa"/>
              <w:right w:w="15" w:type="dxa"/>
            </w:tcMar>
            <w:vAlign w:val="center"/>
          </w:tcPr>
          <w:p w14:paraId="0E933106">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    ）</w:t>
            </w:r>
          </w:p>
        </w:tc>
        <w:tc>
          <w:tcPr>
            <w:tcW w:w="738" w:type="pct"/>
            <w:gridSpan w:val="2"/>
            <w:noWrap/>
            <w:tcMar>
              <w:top w:w="15" w:type="dxa"/>
              <w:left w:w="15" w:type="dxa"/>
              <w:right w:w="15" w:type="dxa"/>
            </w:tcMar>
            <w:vAlign w:val="center"/>
          </w:tcPr>
          <w:p w14:paraId="6182FEA7">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    ）</w:t>
            </w:r>
          </w:p>
        </w:tc>
        <w:tc>
          <w:tcPr>
            <w:tcW w:w="1044" w:type="pct"/>
            <w:gridSpan w:val="4"/>
            <w:noWrap/>
            <w:tcMar>
              <w:top w:w="15" w:type="dxa"/>
              <w:left w:w="15" w:type="dxa"/>
              <w:right w:w="15" w:type="dxa"/>
            </w:tcMar>
            <w:vAlign w:val="center"/>
          </w:tcPr>
          <w:p w14:paraId="4D494FAB">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    ）</w:t>
            </w:r>
          </w:p>
        </w:tc>
        <w:tc>
          <w:tcPr>
            <w:tcW w:w="1153" w:type="pct"/>
            <w:gridSpan w:val="2"/>
            <w:noWrap/>
            <w:tcMar>
              <w:top w:w="15" w:type="dxa"/>
              <w:left w:w="15" w:type="dxa"/>
              <w:right w:w="15" w:type="dxa"/>
            </w:tcMar>
            <w:vAlign w:val="center"/>
          </w:tcPr>
          <w:p w14:paraId="3C3A0AED">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    ）</w:t>
            </w:r>
          </w:p>
        </w:tc>
      </w:tr>
      <w:tr w14:paraId="5C0E0F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5E1A3AD1">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noWrap/>
            <w:tcMar>
              <w:top w:w="15" w:type="dxa"/>
              <w:left w:w="15" w:type="dxa"/>
              <w:right w:w="15" w:type="dxa"/>
            </w:tcMar>
            <w:vAlign w:val="center"/>
          </w:tcPr>
          <w:p w14:paraId="7952A56F">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生态流量确定</w:t>
            </w:r>
          </w:p>
        </w:tc>
        <w:tc>
          <w:tcPr>
            <w:tcW w:w="4018" w:type="pct"/>
            <w:gridSpan w:val="12"/>
            <w:noWrap/>
            <w:tcMar>
              <w:top w:w="15" w:type="dxa"/>
              <w:left w:w="15" w:type="dxa"/>
              <w:right w:w="15" w:type="dxa"/>
            </w:tcMar>
            <w:vAlign w:val="center"/>
          </w:tcPr>
          <w:p w14:paraId="0FD8ADD1">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生态流量：一般水期（    ）m</w:t>
            </w:r>
            <w:r>
              <w:rPr>
                <w:rFonts w:hint="default" w:ascii="Times New Roman" w:hAnsi="Times New Roman" w:cs="Times New Roman"/>
                <w:color w:val="auto"/>
                <w:kern w:val="0"/>
                <w:sz w:val="21"/>
                <w:szCs w:val="21"/>
                <w:vertAlign w:val="superscript"/>
              </w:rPr>
              <w:t>3</w:t>
            </w:r>
            <w:r>
              <w:rPr>
                <w:rFonts w:hint="default" w:ascii="Times New Roman" w:hAnsi="Times New Roman" w:cs="Times New Roman"/>
                <w:color w:val="auto"/>
                <w:kern w:val="0"/>
                <w:sz w:val="21"/>
                <w:szCs w:val="21"/>
              </w:rPr>
              <w:t>/s；鱼类繁殖期（    ）m</w:t>
            </w:r>
            <w:r>
              <w:rPr>
                <w:rFonts w:hint="default" w:ascii="Times New Roman" w:hAnsi="Times New Roman" w:cs="Times New Roman"/>
                <w:color w:val="auto"/>
                <w:kern w:val="0"/>
                <w:sz w:val="21"/>
                <w:szCs w:val="21"/>
                <w:vertAlign w:val="superscript"/>
              </w:rPr>
              <w:t>3</w:t>
            </w:r>
            <w:r>
              <w:rPr>
                <w:rFonts w:hint="default" w:ascii="Times New Roman" w:hAnsi="Times New Roman" w:cs="Times New Roman"/>
                <w:color w:val="auto"/>
                <w:kern w:val="0"/>
                <w:sz w:val="21"/>
                <w:szCs w:val="21"/>
              </w:rPr>
              <w:t>/s；其他（    ）m</w:t>
            </w:r>
            <w:r>
              <w:rPr>
                <w:rFonts w:hint="default" w:ascii="Times New Roman" w:hAnsi="Times New Roman" w:cs="Times New Roman"/>
                <w:color w:val="auto"/>
                <w:kern w:val="0"/>
                <w:sz w:val="21"/>
                <w:szCs w:val="21"/>
                <w:vertAlign w:val="superscript"/>
              </w:rPr>
              <w:t>3</w:t>
            </w:r>
            <w:r>
              <w:rPr>
                <w:rFonts w:hint="default" w:ascii="Times New Roman" w:hAnsi="Times New Roman" w:cs="Times New Roman"/>
                <w:color w:val="auto"/>
                <w:kern w:val="0"/>
                <w:sz w:val="21"/>
                <w:szCs w:val="21"/>
              </w:rPr>
              <w:t>/s</w:t>
            </w:r>
          </w:p>
          <w:p w14:paraId="6A213643">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生态水位：一般水期（    ）m/s；鱼类繁殖期（    ）m/s；其他（    ）m/s</w:t>
            </w:r>
          </w:p>
        </w:tc>
      </w:tr>
      <w:tr w14:paraId="7786E3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restart"/>
            <w:noWrap/>
            <w:tcMar>
              <w:top w:w="15" w:type="dxa"/>
              <w:left w:w="15" w:type="dxa"/>
              <w:right w:w="15" w:type="dxa"/>
            </w:tcMar>
            <w:vAlign w:val="center"/>
          </w:tcPr>
          <w:p w14:paraId="2214911F">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防治措施</w:t>
            </w:r>
          </w:p>
        </w:tc>
        <w:tc>
          <w:tcPr>
            <w:tcW w:w="811" w:type="pct"/>
            <w:noWrap/>
            <w:tcMar>
              <w:top w:w="15" w:type="dxa"/>
              <w:left w:w="15" w:type="dxa"/>
              <w:right w:w="15" w:type="dxa"/>
            </w:tcMar>
            <w:vAlign w:val="center"/>
          </w:tcPr>
          <w:p w14:paraId="3B3E60AC">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环保措施</w:t>
            </w:r>
          </w:p>
        </w:tc>
        <w:tc>
          <w:tcPr>
            <w:tcW w:w="4018" w:type="pct"/>
            <w:gridSpan w:val="12"/>
            <w:noWrap/>
            <w:tcMar>
              <w:top w:w="15" w:type="dxa"/>
              <w:left w:w="15" w:type="dxa"/>
              <w:right w:w="15" w:type="dxa"/>
            </w:tcMar>
            <w:vAlign w:val="center"/>
          </w:tcPr>
          <w:p w14:paraId="1B59CBA3">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污水处理设施</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；水文减缓设施</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；生态流量保障设施</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；区域削减</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；依托其他工程措施</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；其他</w:t>
            </w:r>
            <w:r>
              <w:rPr>
                <w:rFonts w:hint="default" w:ascii="Times New Roman" w:hAnsi="Times New Roman" w:cs="Times New Roman"/>
                <w:color w:val="auto"/>
                <w:kern w:val="0"/>
                <w:sz w:val="21"/>
                <w:szCs w:val="21"/>
              </w:rPr>
              <w:sym w:font="Wingdings 2" w:char="00A3"/>
            </w:r>
          </w:p>
        </w:tc>
      </w:tr>
      <w:tr w14:paraId="65DC765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54A58FEA">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vMerge w:val="restart"/>
            <w:noWrap/>
            <w:tcMar>
              <w:top w:w="15" w:type="dxa"/>
              <w:left w:w="15" w:type="dxa"/>
              <w:right w:w="15" w:type="dxa"/>
            </w:tcMar>
            <w:vAlign w:val="center"/>
          </w:tcPr>
          <w:p w14:paraId="518DC286">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监测计划</w:t>
            </w:r>
          </w:p>
        </w:tc>
        <w:tc>
          <w:tcPr>
            <w:tcW w:w="860" w:type="pct"/>
            <w:gridSpan w:val="3"/>
            <w:noWrap/>
            <w:tcMar>
              <w:top w:w="15" w:type="dxa"/>
              <w:left w:w="15" w:type="dxa"/>
              <w:right w:w="15" w:type="dxa"/>
            </w:tcMar>
            <w:vAlign w:val="center"/>
          </w:tcPr>
          <w:p w14:paraId="360C4F54">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1236" w:type="pct"/>
            <w:gridSpan w:val="4"/>
            <w:noWrap/>
            <w:tcMar>
              <w:top w:w="15" w:type="dxa"/>
              <w:left w:w="15" w:type="dxa"/>
              <w:right w:w="15" w:type="dxa"/>
            </w:tcMar>
            <w:vAlign w:val="center"/>
          </w:tcPr>
          <w:p w14:paraId="7C3AC4B8">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环境质量</w:t>
            </w:r>
          </w:p>
        </w:tc>
        <w:tc>
          <w:tcPr>
            <w:tcW w:w="1921" w:type="pct"/>
            <w:gridSpan w:val="5"/>
            <w:noWrap/>
            <w:tcMar>
              <w:top w:w="15" w:type="dxa"/>
              <w:left w:w="15" w:type="dxa"/>
              <w:right w:w="15" w:type="dxa"/>
            </w:tcMar>
            <w:vAlign w:val="center"/>
          </w:tcPr>
          <w:p w14:paraId="3CCA2088">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污染源</w:t>
            </w:r>
          </w:p>
        </w:tc>
      </w:tr>
      <w:tr w14:paraId="4F53B52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72FB470C">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vMerge w:val="continue"/>
            <w:noWrap/>
            <w:tcMar>
              <w:top w:w="15" w:type="dxa"/>
              <w:left w:w="15" w:type="dxa"/>
              <w:right w:w="15" w:type="dxa"/>
            </w:tcMar>
            <w:vAlign w:val="center"/>
          </w:tcPr>
          <w:p w14:paraId="5A8D77C4">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60" w:type="pct"/>
            <w:gridSpan w:val="3"/>
            <w:noWrap/>
            <w:tcMar>
              <w:top w:w="15" w:type="dxa"/>
              <w:left w:w="15" w:type="dxa"/>
              <w:right w:w="15" w:type="dxa"/>
            </w:tcMar>
            <w:vAlign w:val="center"/>
          </w:tcPr>
          <w:p w14:paraId="3A99E5CA">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监测方式</w:t>
            </w:r>
          </w:p>
        </w:tc>
        <w:tc>
          <w:tcPr>
            <w:tcW w:w="1236" w:type="pct"/>
            <w:gridSpan w:val="4"/>
            <w:noWrap/>
            <w:tcMar>
              <w:top w:w="15" w:type="dxa"/>
              <w:left w:w="15" w:type="dxa"/>
              <w:right w:w="15" w:type="dxa"/>
            </w:tcMar>
            <w:vAlign w:val="center"/>
          </w:tcPr>
          <w:p w14:paraId="056B24C9">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手动</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；自动</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；无监测</w:t>
            </w:r>
            <w:r>
              <w:rPr>
                <w:rFonts w:hint="default" w:ascii="Times New Roman" w:hAnsi="Times New Roman" w:cs="Times New Roman"/>
                <w:color w:val="auto"/>
                <w:kern w:val="0"/>
                <w:sz w:val="21"/>
                <w:szCs w:val="21"/>
              </w:rPr>
              <w:sym w:font="Wingdings 2" w:char="00A3"/>
            </w:r>
          </w:p>
        </w:tc>
        <w:tc>
          <w:tcPr>
            <w:tcW w:w="1921" w:type="pct"/>
            <w:gridSpan w:val="5"/>
            <w:noWrap/>
            <w:tcMar>
              <w:top w:w="15" w:type="dxa"/>
              <w:left w:w="15" w:type="dxa"/>
              <w:right w:w="15" w:type="dxa"/>
            </w:tcMar>
            <w:vAlign w:val="center"/>
          </w:tcPr>
          <w:p w14:paraId="5127B0FD">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手动</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；自动</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；无监测</w:t>
            </w:r>
            <w:r>
              <w:rPr>
                <w:rFonts w:hint="default" w:ascii="Times New Roman" w:hAnsi="Times New Roman" w:cs="Times New Roman"/>
                <w:color w:val="auto"/>
                <w:kern w:val="0"/>
                <w:sz w:val="21"/>
                <w:szCs w:val="21"/>
              </w:rPr>
              <w:sym w:font="Wingdings 2" w:char="00A3"/>
            </w:r>
          </w:p>
        </w:tc>
      </w:tr>
      <w:tr w14:paraId="09EF1B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264B2B8E">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vMerge w:val="continue"/>
            <w:noWrap/>
            <w:tcMar>
              <w:top w:w="15" w:type="dxa"/>
              <w:left w:w="15" w:type="dxa"/>
              <w:right w:w="15" w:type="dxa"/>
            </w:tcMar>
            <w:vAlign w:val="center"/>
          </w:tcPr>
          <w:p w14:paraId="3F3944C1">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60" w:type="pct"/>
            <w:gridSpan w:val="3"/>
            <w:noWrap/>
            <w:tcMar>
              <w:top w:w="15" w:type="dxa"/>
              <w:left w:w="15" w:type="dxa"/>
              <w:right w:w="15" w:type="dxa"/>
            </w:tcMar>
            <w:vAlign w:val="center"/>
          </w:tcPr>
          <w:p w14:paraId="00157B7F">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监测点位</w:t>
            </w:r>
          </w:p>
        </w:tc>
        <w:tc>
          <w:tcPr>
            <w:tcW w:w="1236" w:type="pct"/>
            <w:gridSpan w:val="4"/>
            <w:noWrap/>
            <w:tcMar>
              <w:top w:w="15" w:type="dxa"/>
              <w:left w:w="15" w:type="dxa"/>
              <w:right w:w="15" w:type="dxa"/>
            </w:tcMar>
            <w:vAlign w:val="center"/>
          </w:tcPr>
          <w:p w14:paraId="65804019">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    ）</w:t>
            </w:r>
          </w:p>
        </w:tc>
        <w:tc>
          <w:tcPr>
            <w:tcW w:w="1921" w:type="pct"/>
            <w:gridSpan w:val="5"/>
            <w:noWrap/>
            <w:tcMar>
              <w:top w:w="15" w:type="dxa"/>
              <w:left w:w="15" w:type="dxa"/>
              <w:right w:w="15" w:type="dxa"/>
            </w:tcMar>
            <w:vAlign w:val="center"/>
          </w:tcPr>
          <w:p w14:paraId="0D983491">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  排污</w:t>
            </w:r>
            <w:r>
              <w:rPr>
                <w:rFonts w:hint="default" w:ascii="Times New Roman" w:hAnsi="Times New Roman" w:cs="Times New Roman"/>
                <w:color w:val="auto"/>
                <w:kern w:val="0"/>
                <w:sz w:val="21"/>
                <w:szCs w:val="21"/>
              </w:rPr>
              <w:sym w:font="Wingdings 2" w:char="0052"/>
            </w:r>
            <w:r>
              <w:rPr>
                <w:rFonts w:hint="default" w:ascii="Times New Roman" w:hAnsi="Times New Roman" w:cs="Times New Roman"/>
                <w:color w:val="auto"/>
                <w:kern w:val="0"/>
                <w:sz w:val="21"/>
                <w:szCs w:val="21"/>
              </w:rPr>
              <w:t xml:space="preserve">  ）</w:t>
            </w:r>
          </w:p>
        </w:tc>
      </w:tr>
      <w:tr w14:paraId="376B2FF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4A95CBAE">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vMerge w:val="continue"/>
            <w:noWrap/>
            <w:tcMar>
              <w:top w:w="15" w:type="dxa"/>
              <w:left w:w="15" w:type="dxa"/>
              <w:right w:w="15" w:type="dxa"/>
            </w:tcMar>
            <w:vAlign w:val="center"/>
          </w:tcPr>
          <w:p w14:paraId="16BEDB9E">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60" w:type="pct"/>
            <w:gridSpan w:val="3"/>
            <w:noWrap/>
            <w:tcMar>
              <w:top w:w="15" w:type="dxa"/>
              <w:left w:w="15" w:type="dxa"/>
              <w:right w:w="15" w:type="dxa"/>
            </w:tcMar>
            <w:vAlign w:val="center"/>
          </w:tcPr>
          <w:p w14:paraId="4B03F921">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监测因子</w:t>
            </w:r>
          </w:p>
        </w:tc>
        <w:tc>
          <w:tcPr>
            <w:tcW w:w="1236" w:type="pct"/>
            <w:gridSpan w:val="4"/>
            <w:noWrap/>
            <w:tcMar>
              <w:top w:w="15" w:type="dxa"/>
              <w:left w:w="15" w:type="dxa"/>
              <w:right w:w="15" w:type="dxa"/>
            </w:tcMar>
            <w:vAlign w:val="center"/>
          </w:tcPr>
          <w:p w14:paraId="729ADC0D">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    ）</w:t>
            </w:r>
          </w:p>
        </w:tc>
        <w:tc>
          <w:tcPr>
            <w:tcW w:w="1921" w:type="pct"/>
            <w:gridSpan w:val="5"/>
            <w:noWrap/>
            <w:tcMar>
              <w:top w:w="15" w:type="dxa"/>
              <w:left w:w="15" w:type="dxa"/>
              <w:right w:w="15" w:type="dxa"/>
            </w:tcMar>
            <w:vAlign w:val="center"/>
          </w:tcPr>
          <w:p w14:paraId="7C77730B">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  ）</w:t>
            </w:r>
          </w:p>
        </w:tc>
      </w:tr>
      <w:tr w14:paraId="6AD09F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170" w:type="pct"/>
            <w:vMerge w:val="continue"/>
            <w:noWrap/>
            <w:tcMar>
              <w:top w:w="15" w:type="dxa"/>
              <w:left w:w="15" w:type="dxa"/>
              <w:right w:w="15" w:type="dxa"/>
            </w:tcMar>
            <w:vAlign w:val="center"/>
          </w:tcPr>
          <w:p w14:paraId="3E1729BC">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p>
        </w:tc>
        <w:tc>
          <w:tcPr>
            <w:tcW w:w="811" w:type="pct"/>
            <w:noWrap/>
            <w:tcMar>
              <w:top w:w="15" w:type="dxa"/>
              <w:left w:w="15" w:type="dxa"/>
              <w:right w:w="15" w:type="dxa"/>
            </w:tcMar>
            <w:vAlign w:val="center"/>
          </w:tcPr>
          <w:p w14:paraId="3F910E57">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污染物排放清单</w:t>
            </w:r>
          </w:p>
        </w:tc>
        <w:tc>
          <w:tcPr>
            <w:tcW w:w="4018" w:type="pct"/>
            <w:gridSpan w:val="12"/>
            <w:noWrap/>
            <w:tcMar>
              <w:top w:w="15" w:type="dxa"/>
              <w:left w:w="15" w:type="dxa"/>
              <w:right w:w="15" w:type="dxa"/>
            </w:tcMar>
            <w:vAlign w:val="center"/>
          </w:tcPr>
          <w:p w14:paraId="3AD461F6">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sym w:font="Wingdings 2" w:char="00A3"/>
            </w:r>
          </w:p>
        </w:tc>
      </w:tr>
      <w:tr w14:paraId="7F5F05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981" w:type="pct"/>
            <w:gridSpan w:val="2"/>
            <w:noWrap/>
            <w:tcMar>
              <w:top w:w="15" w:type="dxa"/>
              <w:left w:w="15" w:type="dxa"/>
              <w:right w:w="15" w:type="dxa"/>
            </w:tcMar>
            <w:vAlign w:val="center"/>
          </w:tcPr>
          <w:p w14:paraId="141D3365">
            <w:pPr>
              <w:keepNext w:val="0"/>
              <w:keepLines w:val="0"/>
              <w:widowControl/>
              <w:suppressLineNumbers w:val="0"/>
              <w:spacing w:before="0" w:beforeAutospacing="0" w:after="0" w:afterAutospacing="0" w:line="240" w:lineRule="auto"/>
              <w:ind w:left="0" w:right="0" w:firstLine="0" w:firstLineChars="0"/>
              <w:jc w:val="center"/>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评价结论</w:t>
            </w:r>
          </w:p>
        </w:tc>
        <w:tc>
          <w:tcPr>
            <w:tcW w:w="4018" w:type="pct"/>
            <w:gridSpan w:val="12"/>
            <w:noWrap/>
            <w:tcMar>
              <w:top w:w="15" w:type="dxa"/>
              <w:left w:w="15" w:type="dxa"/>
              <w:right w:w="15" w:type="dxa"/>
            </w:tcMar>
            <w:vAlign w:val="center"/>
          </w:tcPr>
          <w:p w14:paraId="46583421">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可以接受</w:t>
            </w:r>
            <w:r>
              <w:rPr>
                <w:rFonts w:hint="default" w:ascii="Times New Roman" w:hAnsi="Times New Roman" w:cs="Times New Roman"/>
                <w:color w:val="auto"/>
                <w:sz w:val="21"/>
                <w:szCs w:val="21"/>
              </w:rPr>
              <w:sym w:font="Wingdings 2" w:char="F052"/>
            </w:r>
            <w:r>
              <w:rPr>
                <w:rFonts w:hint="default" w:ascii="Times New Roman" w:hAnsi="Times New Roman" w:cs="Times New Roman"/>
                <w:color w:val="auto"/>
                <w:kern w:val="0"/>
                <w:sz w:val="21"/>
                <w:szCs w:val="21"/>
              </w:rPr>
              <w:t>；不可以接受</w:t>
            </w:r>
            <w:r>
              <w:rPr>
                <w:rFonts w:hint="default" w:ascii="Times New Roman" w:hAnsi="Times New Roman" w:cs="Times New Roman"/>
                <w:color w:val="auto"/>
                <w:kern w:val="0"/>
                <w:sz w:val="21"/>
                <w:szCs w:val="21"/>
              </w:rPr>
              <w:sym w:font="Wingdings 2" w:char="00A3"/>
            </w:r>
          </w:p>
        </w:tc>
      </w:tr>
      <w:tr w14:paraId="701E8B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5000" w:type="pct"/>
            <w:gridSpan w:val="14"/>
            <w:noWrap/>
            <w:tcMar>
              <w:top w:w="15" w:type="dxa"/>
              <w:left w:w="15" w:type="dxa"/>
              <w:right w:w="15" w:type="dxa"/>
            </w:tcMar>
            <w:vAlign w:val="center"/>
          </w:tcPr>
          <w:p w14:paraId="1D31087D">
            <w:pPr>
              <w:keepNext w:val="0"/>
              <w:keepLines w:val="0"/>
              <w:widowControl/>
              <w:suppressLineNumbers w:val="0"/>
              <w:spacing w:before="0" w:beforeAutospacing="0" w:after="0" w:afterAutospacing="0" w:line="240" w:lineRule="auto"/>
              <w:ind w:left="0" w:right="0" w:firstLine="0" w:firstLineChars="0"/>
              <w:jc w:val="left"/>
              <w:textAlignment w:val="bottom"/>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注：“</w:t>
            </w:r>
            <w:r>
              <w:rPr>
                <w:rFonts w:hint="default" w:ascii="Times New Roman" w:hAnsi="Times New Roman" w:cs="Times New Roman"/>
                <w:color w:val="auto"/>
                <w:kern w:val="0"/>
                <w:sz w:val="21"/>
                <w:szCs w:val="21"/>
              </w:rPr>
              <w:sym w:font="Wingdings 2" w:char="00A3"/>
            </w:r>
            <w:r>
              <w:rPr>
                <w:rFonts w:hint="default" w:ascii="Times New Roman" w:hAnsi="Times New Roman" w:cs="Times New Roman"/>
                <w:color w:val="auto"/>
                <w:kern w:val="0"/>
                <w:sz w:val="21"/>
                <w:szCs w:val="21"/>
              </w:rPr>
              <w:t>”为勾选项，可√；“（  ）”为内容填写项；“备注”为其他补充内容。</w:t>
            </w:r>
          </w:p>
        </w:tc>
      </w:tr>
    </w:tbl>
    <w:p w14:paraId="7A37E1F0">
      <w:pPr>
        <w:pStyle w:val="53"/>
        <w:rPr>
          <w:rFonts w:hint="eastAsia"/>
          <w:color w:val="auto"/>
          <w:lang w:eastAsia="zh-CN"/>
        </w:rPr>
      </w:pPr>
    </w:p>
    <w:p w14:paraId="7E8199F6">
      <w:pPr>
        <w:rPr>
          <w:rFonts w:hint="eastAsia"/>
          <w:color w:val="auto"/>
          <w:lang w:eastAsia="zh-CN"/>
        </w:rPr>
      </w:pPr>
    </w:p>
    <w:p w14:paraId="76F17E11">
      <w:pPr>
        <w:rPr>
          <w:rFonts w:hint="eastAsia"/>
          <w:color w:val="auto"/>
          <w:lang w:eastAsia="zh-CN"/>
        </w:rPr>
      </w:pPr>
    </w:p>
    <w:p w14:paraId="0CB717F8">
      <w:pPr>
        <w:rPr>
          <w:rFonts w:hint="eastAsia"/>
          <w:color w:val="auto"/>
          <w:lang w:eastAsia="zh-CN"/>
        </w:rPr>
      </w:pPr>
    </w:p>
    <w:p w14:paraId="6C3221D2">
      <w:pPr>
        <w:rPr>
          <w:rFonts w:hint="eastAsia"/>
          <w:color w:val="auto"/>
          <w:lang w:eastAsia="zh-CN"/>
        </w:rPr>
      </w:pPr>
    </w:p>
    <w:p w14:paraId="5603F302">
      <w:pPr>
        <w:rPr>
          <w:rFonts w:hint="eastAsia"/>
          <w:color w:val="auto"/>
          <w:lang w:eastAsia="zh-CN"/>
        </w:rPr>
      </w:pPr>
    </w:p>
    <w:p w14:paraId="41B0E1E6">
      <w:pPr>
        <w:rPr>
          <w:rFonts w:hint="eastAsia"/>
          <w:color w:val="auto"/>
          <w:lang w:eastAsia="zh-CN"/>
        </w:rPr>
      </w:pPr>
    </w:p>
    <w:p w14:paraId="02F9B84E">
      <w:pPr>
        <w:rPr>
          <w:rFonts w:hint="eastAsia"/>
          <w:color w:val="auto"/>
          <w:lang w:eastAsia="zh-CN"/>
        </w:rPr>
      </w:pPr>
    </w:p>
    <w:p w14:paraId="3451A454">
      <w:pPr>
        <w:rPr>
          <w:rFonts w:hint="eastAsia"/>
          <w:color w:val="auto"/>
          <w:lang w:eastAsia="zh-CN"/>
        </w:rPr>
      </w:pPr>
    </w:p>
    <w:p w14:paraId="56636824">
      <w:pPr>
        <w:rPr>
          <w:rFonts w:hint="eastAsia"/>
          <w:color w:val="auto"/>
          <w:lang w:eastAsia="zh-CN"/>
        </w:rPr>
      </w:pPr>
    </w:p>
    <w:p w14:paraId="31456E87">
      <w:pPr>
        <w:rPr>
          <w:rFonts w:hint="eastAsia"/>
          <w:color w:val="auto"/>
          <w:lang w:eastAsia="zh-CN"/>
        </w:rPr>
      </w:pPr>
    </w:p>
    <w:p w14:paraId="2F8DA498">
      <w:pPr>
        <w:rPr>
          <w:rFonts w:hint="eastAsia"/>
          <w:color w:val="auto"/>
          <w:lang w:eastAsia="zh-CN"/>
        </w:rPr>
      </w:pPr>
    </w:p>
    <w:p w14:paraId="6F20F12C">
      <w:pPr>
        <w:rPr>
          <w:rFonts w:hint="eastAsia"/>
          <w:color w:val="auto"/>
          <w:lang w:eastAsia="zh-CN"/>
        </w:rPr>
      </w:pPr>
    </w:p>
    <w:p w14:paraId="20598ED3">
      <w:pPr>
        <w:rPr>
          <w:rFonts w:hint="eastAsia"/>
          <w:color w:val="auto"/>
          <w:lang w:eastAsia="zh-CN"/>
        </w:rPr>
      </w:pPr>
    </w:p>
    <w:p w14:paraId="25FA4885">
      <w:pPr>
        <w:rPr>
          <w:rFonts w:hint="eastAsia"/>
          <w:color w:val="auto"/>
          <w:lang w:eastAsia="zh-CN"/>
        </w:rPr>
      </w:pPr>
    </w:p>
    <w:p w14:paraId="4072554F">
      <w:pPr>
        <w:rPr>
          <w:rFonts w:hint="eastAsia"/>
          <w:color w:val="auto"/>
          <w:lang w:eastAsia="zh-CN"/>
        </w:rPr>
      </w:pPr>
    </w:p>
    <w:p w14:paraId="25B4E195">
      <w:pPr>
        <w:rPr>
          <w:rFonts w:hint="eastAsia"/>
          <w:color w:val="auto"/>
          <w:lang w:eastAsia="zh-CN"/>
        </w:rPr>
      </w:pPr>
    </w:p>
    <w:p w14:paraId="3F9944FC">
      <w:pPr>
        <w:rPr>
          <w:rFonts w:hint="eastAsia"/>
          <w:color w:val="auto"/>
          <w:lang w:eastAsia="zh-CN"/>
        </w:rPr>
      </w:pPr>
    </w:p>
    <w:p w14:paraId="35A50A49">
      <w:pPr>
        <w:rPr>
          <w:rFonts w:hint="eastAsia"/>
          <w:color w:val="auto"/>
          <w:lang w:eastAsia="zh-CN"/>
        </w:rPr>
      </w:pPr>
    </w:p>
    <w:p w14:paraId="552D5497">
      <w:pPr>
        <w:rPr>
          <w:rFonts w:hint="eastAsia"/>
          <w:color w:val="auto"/>
          <w:lang w:eastAsia="zh-CN"/>
        </w:rPr>
      </w:pPr>
    </w:p>
    <w:p w14:paraId="0E97B1FC">
      <w:pPr>
        <w:rPr>
          <w:rFonts w:hint="eastAsia"/>
          <w:color w:val="auto"/>
          <w:lang w:eastAsia="zh-CN"/>
        </w:rPr>
      </w:pPr>
    </w:p>
    <w:p w14:paraId="5C1554E6">
      <w:pPr>
        <w:pStyle w:val="33"/>
        <w:rPr>
          <w:rFonts w:hint="eastAsia"/>
          <w:color w:val="auto"/>
          <w:lang w:eastAsia="zh-CN"/>
        </w:rPr>
      </w:pPr>
    </w:p>
    <w:p w14:paraId="2D5AB7F2">
      <w:pPr>
        <w:pStyle w:val="34"/>
        <w:rPr>
          <w:rFonts w:hint="eastAsia"/>
          <w:color w:val="auto"/>
          <w:lang w:eastAsia="zh-CN"/>
        </w:rPr>
      </w:pPr>
    </w:p>
    <w:p w14:paraId="16144B25">
      <w:pPr>
        <w:pStyle w:val="21"/>
        <w:rPr>
          <w:rFonts w:hint="eastAsia"/>
          <w:color w:val="auto"/>
          <w:lang w:eastAsia="zh-CN"/>
        </w:rPr>
      </w:pPr>
    </w:p>
    <w:p w14:paraId="2DFE8A86">
      <w:pPr>
        <w:rPr>
          <w:rFonts w:hint="eastAsia"/>
          <w:color w:val="auto"/>
          <w:lang w:eastAsia="zh-CN"/>
        </w:rPr>
      </w:pPr>
    </w:p>
    <w:p w14:paraId="25FF0C20">
      <w:pPr>
        <w:pStyle w:val="33"/>
        <w:rPr>
          <w:rFonts w:hint="eastAsia"/>
          <w:color w:val="auto"/>
          <w:lang w:eastAsia="zh-CN"/>
        </w:rPr>
      </w:pPr>
    </w:p>
    <w:p w14:paraId="64E059B8">
      <w:pPr>
        <w:pStyle w:val="34"/>
        <w:rPr>
          <w:rFonts w:hint="eastAsia"/>
          <w:color w:val="auto"/>
          <w:lang w:eastAsia="zh-CN"/>
        </w:rPr>
      </w:pPr>
    </w:p>
    <w:p w14:paraId="7A5ACB06">
      <w:pPr>
        <w:pStyle w:val="21"/>
        <w:rPr>
          <w:rFonts w:hint="eastAsia"/>
          <w:color w:val="auto"/>
          <w:lang w:eastAsia="zh-CN"/>
        </w:rPr>
      </w:pPr>
    </w:p>
    <w:p w14:paraId="25C5B6EC">
      <w:pPr>
        <w:rPr>
          <w:rFonts w:hint="eastAsia"/>
          <w:color w:val="auto"/>
          <w:lang w:eastAsia="zh-CN"/>
        </w:rPr>
      </w:pPr>
    </w:p>
    <w:p w14:paraId="4A8061B6">
      <w:pPr>
        <w:pStyle w:val="33"/>
        <w:rPr>
          <w:rFonts w:hint="eastAsia"/>
          <w:color w:val="auto"/>
          <w:lang w:eastAsia="zh-CN"/>
        </w:rPr>
      </w:pPr>
    </w:p>
    <w:p w14:paraId="43466C17">
      <w:pPr>
        <w:pStyle w:val="34"/>
        <w:rPr>
          <w:rFonts w:hint="eastAsia"/>
          <w:color w:val="auto"/>
          <w:lang w:eastAsia="zh-CN"/>
        </w:rPr>
      </w:pPr>
    </w:p>
    <w:p w14:paraId="657C8857">
      <w:pPr>
        <w:pStyle w:val="21"/>
        <w:rPr>
          <w:rFonts w:hint="eastAsia"/>
          <w:color w:val="auto"/>
          <w:lang w:eastAsia="zh-CN"/>
        </w:rPr>
      </w:pPr>
    </w:p>
    <w:p w14:paraId="4EC097E2">
      <w:pPr>
        <w:rPr>
          <w:rFonts w:hint="eastAsia"/>
          <w:color w:val="auto"/>
          <w:lang w:eastAsia="zh-CN"/>
        </w:rPr>
      </w:pPr>
    </w:p>
    <w:p w14:paraId="558C62E0">
      <w:pPr>
        <w:pStyle w:val="33"/>
        <w:rPr>
          <w:rFonts w:hint="eastAsia"/>
          <w:color w:val="auto"/>
          <w:lang w:eastAsia="zh-CN"/>
        </w:rPr>
      </w:pPr>
    </w:p>
    <w:p w14:paraId="170CFD73">
      <w:pPr>
        <w:rPr>
          <w:rFonts w:hint="eastAsia"/>
          <w:color w:val="auto"/>
          <w:lang w:eastAsia="zh-CN"/>
        </w:rPr>
        <w:sectPr>
          <w:footerReference r:id="rId10" w:type="default"/>
          <w:pgSz w:w="11906" w:h="16839"/>
          <w:pgMar w:top="1417" w:right="1417" w:bottom="1417" w:left="1417"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7EFF2F1">
      <w:pPr>
        <w:jc w:val="center"/>
        <w:rPr>
          <w:rFonts w:hint="eastAsia"/>
          <w:color w:val="auto"/>
          <w:lang w:eastAsia="zh-CN"/>
        </w:rPr>
      </w:pPr>
      <w:r>
        <w:rPr>
          <w:color w:val="auto"/>
          <w:highlight w:val="none"/>
        </w:rPr>
        <w:drawing>
          <wp:anchor distT="0" distB="0" distL="114300" distR="114300" simplePos="0" relativeHeight="251679744" behindDoc="0" locked="0" layoutInCell="1" allowOverlap="1">
            <wp:simplePos x="0" y="0"/>
            <wp:positionH relativeFrom="column">
              <wp:posOffset>8335010</wp:posOffset>
            </wp:positionH>
            <wp:positionV relativeFrom="paragraph">
              <wp:posOffset>99695</wp:posOffset>
            </wp:positionV>
            <wp:extent cx="539750" cy="574675"/>
            <wp:effectExtent l="0" t="0" r="12700" b="15875"/>
            <wp:wrapNone/>
            <wp:docPr id="82" name="图片 222" descr="C:/Users/admin/Desktop/鸡西风玫瑰.png鸡西风玫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222" descr="C:/Users/admin/Desktop/鸡西风玫瑰.png鸡西风玫瑰"/>
                    <pic:cNvPicPr>
                      <a:picLocks noChangeAspect="1"/>
                    </pic:cNvPicPr>
                  </pic:nvPicPr>
                  <pic:blipFill>
                    <a:blip r:embed="rId73"/>
                    <a:srcRect l="4170" r="4170"/>
                    <a:stretch>
                      <a:fillRect/>
                    </a:stretch>
                  </pic:blipFill>
                  <pic:spPr>
                    <a:xfrm>
                      <a:off x="0" y="0"/>
                      <a:ext cx="539750" cy="574675"/>
                    </a:xfrm>
                    <a:prstGeom prst="rect">
                      <a:avLst/>
                    </a:prstGeom>
                    <a:noFill/>
                    <a:ln>
                      <a:noFill/>
                    </a:ln>
                  </pic:spPr>
                </pic:pic>
              </a:graphicData>
            </a:graphic>
          </wp:anchor>
        </w:drawing>
      </w:r>
      <w:r>
        <w:rPr>
          <w:color w:val="auto"/>
          <w:sz w:val="21"/>
        </w:rPr>
        <mc:AlternateContent>
          <mc:Choice Requires="wps">
            <w:drawing>
              <wp:anchor distT="0" distB="0" distL="114300" distR="114300" simplePos="0" relativeHeight="251669504" behindDoc="0" locked="0" layoutInCell="1" allowOverlap="1">
                <wp:simplePos x="0" y="0"/>
                <wp:positionH relativeFrom="column">
                  <wp:posOffset>7424420</wp:posOffset>
                </wp:positionH>
                <wp:positionV relativeFrom="paragraph">
                  <wp:posOffset>3730625</wp:posOffset>
                </wp:positionV>
                <wp:extent cx="1457325" cy="846455"/>
                <wp:effectExtent l="4445" t="4445" r="5080" b="6350"/>
                <wp:wrapNone/>
                <wp:docPr id="74" name="文本框 74"/>
                <wp:cNvGraphicFramePr/>
                <a:graphic xmlns:a="http://schemas.openxmlformats.org/drawingml/2006/main">
                  <a:graphicData uri="http://schemas.microsoft.com/office/word/2010/wordprocessingShape">
                    <wps:wsp>
                      <wps:cNvSpPr txBox="1"/>
                      <wps:spPr>
                        <a:xfrm>
                          <a:off x="7941945" y="5187315"/>
                          <a:ext cx="1457325" cy="8464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7C03540">
                            <w:pPr>
                              <w:jc w:val="center"/>
                              <w:rPr>
                                <w:rFonts w:hint="eastAsia" w:eastAsia="宋体"/>
                                <w:b/>
                                <w:bCs/>
                                <w:lang w:val="en-US" w:eastAsia="zh-CN"/>
                              </w:rPr>
                            </w:pPr>
                            <w:r>
                              <w:rPr>
                                <w:rFonts w:hint="eastAsia" w:eastAsia="宋体"/>
                                <w:b/>
                                <w:bCs/>
                                <w:lang w:val="en-US" w:eastAsia="zh-CN"/>
                              </w:rPr>
                              <w:t>图例</w:t>
                            </w:r>
                          </w:p>
                          <w:p w14:paraId="64CED15F">
                            <w:pPr>
                              <w:jc w:val="center"/>
                              <w:rPr>
                                <w:rFonts w:hint="eastAsia" w:eastAsia="宋体"/>
                                <w:lang w:val="en-US" w:eastAsia="zh-CN"/>
                              </w:rPr>
                            </w:pPr>
                            <w:r>
                              <w:rPr>
                                <w:rFonts w:hint="eastAsia" w:eastAsia="宋体"/>
                                <w:lang w:val="en-US" w:eastAsia="zh-CN"/>
                              </w:rPr>
                              <w:t>评价范围</w:t>
                            </w:r>
                          </w:p>
                          <w:p w14:paraId="11CC7681">
                            <w:pPr>
                              <w:rPr>
                                <w:rFonts w:hint="default" w:eastAsia="宋体"/>
                                <w:lang w:val="en-US" w:eastAsia="zh-CN"/>
                              </w:rPr>
                            </w:pPr>
                            <w:r>
                              <w:rPr>
                                <w:rFonts w:hint="eastAsia" w:eastAsia="宋体"/>
                                <w:lang w:val="en-US" w:eastAsia="zh-CN"/>
                              </w:rPr>
                              <w:t>比例尺：</w:t>
                            </w:r>
                            <w:r>
                              <w:rPr>
                                <w:rFonts w:hint="eastAsia" w:ascii="Times New Roman" w:hAnsi="Times New Roman" w:eastAsia="宋体" w:cs="Times New Roman"/>
                                <w:b/>
                                <w:bCs/>
                                <w:sz w:val="28"/>
                                <w:szCs w:val="28"/>
                                <w:lang w:val="en-US" w:eastAsia="zh-CN"/>
                              </w:rPr>
                              <w:drawing>
                                <wp:inline distT="0" distB="0" distL="114300" distR="114300">
                                  <wp:extent cx="517525" cy="215900"/>
                                  <wp:effectExtent l="0" t="0" r="15875" b="12700"/>
                                  <wp:docPr id="75" name="图片 75" descr="041e81e04f01a3fc313a3a90d2719b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041e81e04f01a3fc313a3a90d2719bab"/>
                                          <pic:cNvPicPr>
                                            <a:picLocks noChangeAspect="1"/>
                                          </pic:cNvPicPr>
                                        </pic:nvPicPr>
                                        <pic:blipFill>
                                          <a:blip r:embed="rId74"/>
                                          <a:stretch>
                                            <a:fillRect/>
                                          </a:stretch>
                                        </pic:blipFill>
                                        <pic:spPr>
                                          <a:xfrm>
                                            <a:off x="0" y="0"/>
                                            <a:ext cx="517525" cy="2159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84.6pt;margin-top:293.75pt;height:66.65pt;width:114.75pt;z-index:251669504;mso-width-relative:page;mso-height-relative:page;" fillcolor="#FFFFFF [3201]" filled="t" stroked="t" coordsize="21600,21600" o:gfxdata="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LufHyHZAAAADQEAAA8AAAAAAAAAAQAgAAAAIgAAAGRycy9kb3ducmV2LnhtbFBL&#10;AQIUABQAAAAIAIdO4kDHFEo6ZwIAAMUEAAAOAAAAAAAAAAEAIAAAACgBAABkcnMvZTJvRG9jLnht&#10;bFBLBQYAAAAABgAGAFkBAAABBgAAAAA=&#10;">
                <v:fill on="t" focussize="0,0"/>
                <v:stroke weight="0.5pt" color="#000000 [3204]" joinstyle="round"/>
                <v:imagedata o:title=""/>
                <o:lock v:ext="edit" aspectratio="f"/>
                <v:textbox>
                  <w:txbxContent>
                    <w:p w14:paraId="77C03540">
                      <w:pPr>
                        <w:jc w:val="center"/>
                        <w:rPr>
                          <w:rFonts w:hint="eastAsia" w:eastAsia="宋体"/>
                          <w:b/>
                          <w:bCs/>
                          <w:lang w:val="en-US" w:eastAsia="zh-CN"/>
                        </w:rPr>
                      </w:pPr>
                      <w:r>
                        <w:rPr>
                          <w:rFonts w:hint="eastAsia" w:eastAsia="宋体"/>
                          <w:b/>
                          <w:bCs/>
                          <w:lang w:val="en-US" w:eastAsia="zh-CN"/>
                        </w:rPr>
                        <w:t>图例</w:t>
                      </w:r>
                    </w:p>
                    <w:p w14:paraId="64CED15F">
                      <w:pPr>
                        <w:jc w:val="center"/>
                        <w:rPr>
                          <w:rFonts w:hint="eastAsia" w:eastAsia="宋体"/>
                          <w:lang w:val="en-US" w:eastAsia="zh-CN"/>
                        </w:rPr>
                      </w:pPr>
                      <w:r>
                        <w:rPr>
                          <w:rFonts w:hint="eastAsia" w:eastAsia="宋体"/>
                          <w:lang w:val="en-US" w:eastAsia="zh-CN"/>
                        </w:rPr>
                        <w:t>评价范围</w:t>
                      </w:r>
                    </w:p>
                    <w:p w14:paraId="11CC7681">
                      <w:pPr>
                        <w:rPr>
                          <w:rFonts w:hint="default" w:eastAsia="宋体"/>
                          <w:lang w:val="en-US" w:eastAsia="zh-CN"/>
                        </w:rPr>
                      </w:pPr>
                      <w:r>
                        <w:rPr>
                          <w:rFonts w:hint="eastAsia" w:eastAsia="宋体"/>
                          <w:lang w:val="en-US" w:eastAsia="zh-CN"/>
                        </w:rPr>
                        <w:t>比例尺：</w:t>
                      </w:r>
                      <w:r>
                        <w:rPr>
                          <w:rFonts w:hint="eastAsia" w:ascii="Times New Roman" w:hAnsi="Times New Roman" w:eastAsia="宋体" w:cs="Times New Roman"/>
                          <w:b/>
                          <w:bCs/>
                          <w:sz w:val="28"/>
                          <w:szCs w:val="28"/>
                          <w:lang w:val="en-US" w:eastAsia="zh-CN"/>
                        </w:rPr>
                        <w:drawing>
                          <wp:inline distT="0" distB="0" distL="114300" distR="114300">
                            <wp:extent cx="517525" cy="215900"/>
                            <wp:effectExtent l="0" t="0" r="15875" b="12700"/>
                            <wp:docPr id="75" name="图片 75" descr="041e81e04f01a3fc313a3a90d2719b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041e81e04f01a3fc313a3a90d2719bab"/>
                                    <pic:cNvPicPr>
                                      <a:picLocks noChangeAspect="1"/>
                                    </pic:cNvPicPr>
                                  </pic:nvPicPr>
                                  <pic:blipFill>
                                    <a:blip r:embed="rId74"/>
                                    <a:stretch>
                                      <a:fillRect/>
                                    </a:stretch>
                                  </pic:blipFill>
                                  <pic:spPr>
                                    <a:xfrm>
                                      <a:off x="0" y="0"/>
                                      <a:ext cx="517525" cy="215900"/>
                                    </a:xfrm>
                                    <a:prstGeom prst="rect">
                                      <a:avLst/>
                                    </a:prstGeom>
                                  </pic:spPr>
                                </pic:pic>
                              </a:graphicData>
                            </a:graphic>
                          </wp:inline>
                        </w:drawing>
                      </w:r>
                    </w:p>
                  </w:txbxContent>
                </v:textbox>
              </v:shape>
            </w:pict>
          </mc:Fallback>
        </mc:AlternateContent>
      </w:r>
      <w:r>
        <w:rPr>
          <w:color w:val="auto"/>
          <w:sz w:val="21"/>
        </w:rPr>
        <mc:AlternateContent>
          <mc:Choice Requires="wps">
            <w:drawing>
              <wp:anchor distT="0" distB="0" distL="114300" distR="114300" simplePos="0" relativeHeight="251673600" behindDoc="0" locked="0" layoutInCell="1" allowOverlap="1">
                <wp:simplePos x="0" y="0"/>
                <wp:positionH relativeFrom="column">
                  <wp:posOffset>62230</wp:posOffset>
                </wp:positionH>
                <wp:positionV relativeFrom="paragraph">
                  <wp:posOffset>1489075</wp:posOffset>
                </wp:positionV>
                <wp:extent cx="883285" cy="768985"/>
                <wp:effectExtent l="6350" t="6350" r="234315" b="729615"/>
                <wp:wrapNone/>
                <wp:docPr id="67" name="矩形标注 67"/>
                <wp:cNvGraphicFramePr/>
                <a:graphic xmlns:a="http://schemas.openxmlformats.org/drawingml/2006/main">
                  <a:graphicData uri="http://schemas.microsoft.com/office/word/2010/wordprocessingShape">
                    <wps:wsp>
                      <wps:cNvSpPr/>
                      <wps:spPr>
                        <a:xfrm>
                          <a:off x="0" y="0"/>
                          <a:ext cx="883285" cy="768985"/>
                        </a:xfrm>
                        <a:prstGeom prst="wedgeRectCallout">
                          <a:avLst>
                            <a:gd name="adj1" fmla="val 75521"/>
                            <a:gd name="adj2" fmla="val 142411"/>
                          </a:avLst>
                        </a:prstGeom>
                        <a:ln w="12700">
                          <a:solidFill>
                            <a:srgbClr val="FF0000"/>
                          </a:solidFill>
                        </a:ln>
                      </wps:spPr>
                      <wps:style>
                        <a:lnRef idx="2">
                          <a:schemeClr val="accent1"/>
                        </a:lnRef>
                        <a:fillRef idx="0">
                          <a:srgbClr val="FFFFFF"/>
                        </a:fillRef>
                        <a:effectRef idx="0">
                          <a:srgbClr val="FFFFFF"/>
                        </a:effectRef>
                        <a:fontRef idx="minor">
                          <a:schemeClr val="tx1"/>
                        </a:fontRef>
                      </wps:style>
                      <wps:txbx>
                        <w:txbxContent>
                          <w:p w14:paraId="7A295CD6">
                            <w:pPr>
                              <w:jc w:val="center"/>
                              <w:rPr>
                                <w:rFonts w:hint="default" w:eastAsia="宋体"/>
                                <w:color w:val="FF0000"/>
                                <w:lang w:val="en-US" w:eastAsia="zh-CN"/>
                              </w:rPr>
                            </w:pPr>
                            <w:r>
                              <w:rPr>
                                <w:rFonts w:hint="eastAsia" w:eastAsia="宋体"/>
                                <w:color w:val="FF0000"/>
                                <w:lang w:val="en-US" w:eastAsia="zh-CN"/>
                              </w:rPr>
                              <w:t>本项目位置入穆棱河排污口处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4.9pt;margin-top:117.25pt;height:60.55pt;width:69.55pt;z-index:251673600;v-text-anchor:middle;mso-width-relative:page;mso-height-relative:page;" filled="f" stroked="t" coordsize="21600,21600" o:gfxdata="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MKLV6bZAAAACQEAAA8AAAAAAAAAAQAgAAAAIgAAAGRycy9kb3ducmV2LnhtbFBLAQIU&#10;ABQAAAAIAIdO4kAq5OfTnQIAACQFAAAOAAAAAAAAAAEAIAAAACgBAABkcnMvZTJvRG9jLnhtbFBL&#10;BQYAAAAABgAGAFkBAAA3BgAAAAA=&#10;" adj="27113,41561">
                <v:fill on="f" focussize="0,0"/>
                <v:stroke weight="1pt" color="#FF0000 [3204]" joinstyle="round"/>
                <v:imagedata o:title=""/>
                <o:lock v:ext="edit" aspectratio="f"/>
                <v:textbox>
                  <w:txbxContent>
                    <w:p w14:paraId="7A295CD6">
                      <w:pPr>
                        <w:jc w:val="center"/>
                        <w:rPr>
                          <w:rFonts w:hint="default" w:eastAsia="宋体"/>
                          <w:color w:val="FF0000"/>
                          <w:lang w:val="en-US" w:eastAsia="zh-CN"/>
                        </w:rPr>
                      </w:pPr>
                      <w:r>
                        <w:rPr>
                          <w:rFonts w:hint="eastAsia" w:eastAsia="宋体"/>
                          <w:color w:val="FF0000"/>
                          <w:lang w:val="en-US" w:eastAsia="zh-CN"/>
                        </w:rPr>
                        <w:t>本项目位置入穆棱河排污口处</w:t>
                      </w:r>
                    </w:p>
                  </w:txbxContent>
                </v:textbox>
              </v:shape>
            </w:pict>
          </mc:Fallback>
        </mc:AlternateContent>
      </w:r>
      <w:r>
        <w:rPr>
          <w:color w:val="auto"/>
          <w:sz w:val="21"/>
        </w:rPr>
        <w:drawing>
          <wp:inline distT="0" distB="0" distL="114300" distR="114300">
            <wp:extent cx="8884920" cy="4618355"/>
            <wp:effectExtent l="0" t="0" r="11430" b="10795"/>
            <wp:docPr id="68" name="图片 68" descr="评价范围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评价范围图"/>
                    <pic:cNvPicPr>
                      <a:picLocks noChangeAspect="1"/>
                    </pic:cNvPicPr>
                  </pic:nvPicPr>
                  <pic:blipFill>
                    <a:blip r:embed="rId75"/>
                    <a:stretch>
                      <a:fillRect/>
                    </a:stretch>
                  </pic:blipFill>
                  <pic:spPr>
                    <a:xfrm>
                      <a:off x="0" y="0"/>
                      <a:ext cx="8884920" cy="4618355"/>
                    </a:xfrm>
                    <a:prstGeom prst="rect">
                      <a:avLst/>
                    </a:prstGeom>
                  </pic:spPr>
                </pic:pic>
              </a:graphicData>
            </a:graphic>
          </wp:inline>
        </w:drawing>
      </w:r>
      <w:r>
        <w:rPr>
          <w:color w:val="auto"/>
          <w:sz w:val="21"/>
        </w:rPr>
        <mc:AlternateContent>
          <mc:Choice Requires="wps">
            <w:drawing>
              <wp:anchor distT="0" distB="0" distL="114300" distR="114300" simplePos="0" relativeHeight="251670528" behindDoc="0" locked="0" layoutInCell="1" allowOverlap="1">
                <wp:simplePos x="0" y="0"/>
                <wp:positionH relativeFrom="column">
                  <wp:posOffset>7576820</wp:posOffset>
                </wp:positionH>
                <wp:positionV relativeFrom="paragraph">
                  <wp:posOffset>4199255</wp:posOffset>
                </wp:positionV>
                <wp:extent cx="257175" cy="0"/>
                <wp:effectExtent l="0" t="12700" r="0" b="12700"/>
                <wp:wrapNone/>
                <wp:docPr id="69" name="直接连接符 69"/>
                <wp:cNvGraphicFramePr/>
                <a:graphic xmlns:a="http://schemas.openxmlformats.org/drawingml/2006/main">
                  <a:graphicData uri="http://schemas.microsoft.com/office/word/2010/wordprocessingShape">
                    <wps:wsp>
                      <wps:cNvCnPr/>
                      <wps:spPr>
                        <a:xfrm>
                          <a:off x="8103870" y="5835015"/>
                          <a:ext cx="257175" cy="0"/>
                        </a:xfrm>
                        <a:prstGeom prst="line">
                          <a:avLst/>
                        </a:prstGeom>
                        <a:ln>
                          <a:solidFill>
                            <a:srgbClr val="0000FE"/>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96.6pt;margin-top:330.65pt;height:0pt;width:20.25pt;z-index:251670528;mso-width-relative:page;mso-height-relative:page;" filled="f" stroked="t" coordsize="21600,21600" o:gfxdata="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Q&#10;huT82QAAAA0BAAAPAAAAAAAAAAEAIAAAACIAAABkcnMvZG93bnJldi54bWxQSwECFAAUAAAACACH&#10;TuJAHum1JuoBAACoAwAADgAAAAAAAAABACAAAAAoAQAAZHJzL2Uyb0RvYy54bWxQSwUGAAAAAAYA&#10;BgBZAQAAhAUAAAAA&#10;">
                <v:fill on="f" focussize="0,0"/>
                <v:stroke weight="2pt" color="#0000FE [3204]" joinstyle="round"/>
                <v:imagedata o:title=""/>
                <o:lock v:ext="edit" aspectratio="f"/>
              </v:line>
            </w:pict>
          </mc:Fallback>
        </mc:AlternateContent>
      </w:r>
      <w:r>
        <w:rPr>
          <w:color w:val="auto"/>
          <w:sz w:val="21"/>
        </w:rPr>
        <mc:AlternateContent>
          <mc:Choice Requires="wps">
            <w:drawing>
              <wp:anchor distT="0" distB="0" distL="114300" distR="114300" simplePos="0" relativeHeight="251676672" behindDoc="0" locked="0" layoutInCell="1" allowOverlap="1">
                <wp:simplePos x="0" y="0"/>
                <wp:positionH relativeFrom="column">
                  <wp:posOffset>2628900</wp:posOffset>
                </wp:positionH>
                <wp:positionV relativeFrom="paragraph">
                  <wp:posOffset>2310765</wp:posOffset>
                </wp:positionV>
                <wp:extent cx="775970" cy="347345"/>
                <wp:effectExtent l="913130" t="6350" r="6350" b="179705"/>
                <wp:wrapNone/>
                <wp:docPr id="71" name="矩形标注 71"/>
                <wp:cNvGraphicFramePr/>
                <a:graphic xmlns:a="http://schemas.openxmlformats.org/drawingml/2006/main">
                  <a:graphicData uri="http://schemas.microsoft.com/office/word/2010/wordprocessingShape">
                    <wps:wsp>
                      <wps:cNvSpPr/>
                      <wps:spPr>
                        <a:xfrm>
                          <a:off x="0" y="0"/>
                          <a:ext cx="775970" cy="347345"/>
                        </a:xfrm>
                        <a:prstGeom prst="wedgeRectCallout">
                          <a:avLst>
                            <a:gd name="adj1" fmla="val -166857"/>
                            <a:gd name="adj2" fmla="val 99908"/>
                          </a:avLst>
                        </a:prstGeom>
                        <a:ln w="12700">
                          <a:solidFill>
                            <a:srgbClr val="FF0000"/>
                          </a:solidFill>
                        </a:ln>
                      </wps:spPr>
                      <wps:style>
                        <a:lnRef idx="2">
                          <a:schemeClr val="accent1"/>
                        </a:lnRef>
                        <a:fillRef idx="0">
                          <a:srgbClr val="FFFFFF"/>
                        </a:fillRef>
                        <a:effectRef idx="0">
                          <a:srgbClr val="FFFFFF"/>
                        </a:effectRef>
                        <a:fontRef idx="minor">
                          <a:schemeClr val="tx1"/>
                        </a:fontRef>
                      </wps:style>
                      <wps:txbx>
                        <w:txbxContent>
                          <w:p w14:paraId="1EAA92A0">
                            <w:pPr>
                              <w:jc w:val="center"/>
                              <w:rPr>
                                <w:rFonts w:hint="default"/>
                                <w:lang w:val="en-US" w:eastAsia="zh-CN"/>
                              </w:rPr>
                            </w:pPr>
                            <w:r>
                              <w:rPr>
                                <w:rFonts w:hint="eastAsia" w:eastAsia="宋体"/>
                                <w:color w:val="FF0000"/>
                                <w:lang w:val="en-US" w:eastAsia="zh-CN"/>
                              </w:rPr>
                              <w:t>关心断面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07pt;margin-top:181.95pt;height:27.35pt;width:61.1pt;z-index:251676672;v-text-anchor:middle;mso-width-relative:page;mso-height-relative:page;" filled="f" stroked="t" coordsize="21600,21600" o:gfxdata="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BWgqkXYAAAACwEAAA8AAAAAAAAAAQAgAAAAIgAAAGRycy9kb3ducmV2LnhtbFBLAQIU&#10;ABQAAAAIAIdO4kB5zwdNngIAACUFAAAOAAAAAAAAAAEAIAAAACcBAABkcnMvZTJvRG9jLnhtbFBL&#10;BQYAAAAABgAGAFkBAAA3BgAAAAA=&#10;" adj="-25241,32380">
                <v:fill on="f" focussize="0,0"/>
                <v:stroke weight="1pt" color="#FF0000 [3204]" joinstyle="round"/>
                <v:imagedata o:title=""/>
                <o:lock v:ext="edit" aspectratio="f"/>
                <v:textbox>
                  <w:txbxContent>
                    <w:p w14:paraId="1EAA92A0">
                      <w:pPr>
                        <w:jc w:val="center"/>
                        <w:rPr>
                          <w:rFonts w:hint="default"/>
                          <w:lang w:val="en-US" w:eastAsia="zh-CN"/>
                        </w:rPr>
                      </w:pPr>
                      <w:r>
                        <w:rPr>
                          <w:rFonts w:hint="eastAsia" w:eastAsia="宋体"/>
                          <w:color w:val="FF0000"/>
                          <w:lang w:val="en-US" w:eastAsia="zh-CN"/>
                        </w:rPr>
                        <w:t>关心断面</w:t>
                      </w:r>
                    </w:p>
                  </w:txbxContent>
                </v:textbox>
              </v:shape>
            </w:pict>
          </mc:Fallback>
        </mc:AlternateContent>
      </w:r>
      <w:r>
        <w:rPr>
          <w:color w:val="auto"/>
          <w:sz w:val="21"/>
        </w:rPr>
        <mc:AlternateContent>
          <mc:Choice Requires="wps">
            <w:drawing>
              <wp:anchor distT="0" distB="0" distL="114300" distR="114300" simplePos="0" relativeHeight="251674624" behindDoc="0" locked="0" layoutInCell="1" allowOverlap="1">
                <wp:simplePos x="0" y="0"/>
                <wp:positionH relativeFrom="column">
                  <wp:posOffset>338455</wp:posOffset>
                </wp:positionH>
                <wp:positionV relativeFrom="paragraph">
                  <wp:posOffset>3383280</wp:posOffset>
                </wp:positionV>
                <wp:extent cx="755650" cy="361950"/>
                <wp:effectExtent l="6350" t="475615" r="247650" b="19685"/>
                <wp:wrapNone/>
                <wp:docPr id="72" name="矩形标注 72"/>
                <wp:cNvGraphicFramePr/>
                <a:graphic xmlns:a="http://schemas.openxmlformats.org/drawingml/2006/main">
                  <a:graphicData uri="http://schemas.microsoft.com/office/word/2010/wordprocessingShape">
                    <wps:wsp>
                      <wps:cNvSpPr/>
                      <wps:spPr>
                        <a:xfrm flipH="1">
                          <a:off x="0" y="0"/>
                          <a:ext cx="755650" cy="361950"/>
                        </a:xfrm>
                        <a:prstGeom prst="wedgeRectCallout">
                          <a:avLst>
                            <a:gd name="adj1" fmla="val -80672"/>
                            <a:gd name="adj2" fmla="val -179649"/>
                          </a:avLst>
                        </a:prstGeom>
                        <a:ln w="12700">
                          <a:solidFill>
                            <a:srgbClr val="FF0000"/>
                          </a:solidFill>
                        </a:ln>
                      </wps:spPr>
                      <wps:style>
                        <a:lnRef idx="2">
                          <a:schemeClr val="accent1"/>
                        </a:lnRef>
                        <a:fillRef idx="0">
                          <a:srgbClr val="FFFFFF"/>
                        </a:fillRef>
                        <a:effectRef idx="0">
                          <a:srgbClr val="FFFFFF"/>
                        </a:effectRef>
                        <a:fontRef idx="minor">
                          <a:schemeClr val="tx1"/>
                        </a:fontRef>
                      </wps:style>
                      <wps:txbx>
                        <w:txbxContent>
                          <w:p w14:paraId="3165B02D">
                            <w:pPr>
                              <w:jc w:val="center"/>
                              <w:rPr>
                                <w:rFonts w:hint="default"/>
                                <w:lang w:val="en-US" w:eastAsia="zh-CN"/>
                              </w:rPr>
                            </w:pPr>
                            <w:r>
                              <w:rPr>
                                <w:rFonts w:hint="eastAsia" w:eastAsia="宋体"/>
                                <w:color w:val="FF0000"/>
                                <w:lang w:val="en-US" w:eastAsia="zh-CN"/>
                              </w:rPr>
                              <w:t>核算断面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flip:x;margin-left:26.65pt;margin-top:266.4pt;height:28.5pt;width:59.5pt;z-index:251674624;v-text-anchor:middle;mso-width-relative:page;mso-height-relative:page;" filled="f" stroked="t" coordsize="21600,21600" o:gfxdata="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L8erqzZAAAACgEAAA8AAAAAAAAAAQAgAAAAIgAAAGRycy9kb3ducmV2&#10;LnhtbFBLAQIUABQAAAAIAIdO4kDxW+FypgIAADAFAAAOAAAAAAAAAAEAIAAAACgBAABkcnMvZTJv&#10;RG9jLnhtbFBLBQYAAAAABgAGAFkBAABABgAAAAA=&#10;" adj="-6625,-28004">
                <v:fill on="f" focussize="0,0"/>
                <v:stroke weight="1pt" color="#FF0000 [3204]" joinstyle="round"/>
                <v:imagedata o:title=""/>
                <o:lock v:ext="edit" aspectratio="f"/>
                <v:textbox>
                  <w:txbxContent>
                    <w:p w14:paraId="3165B02D">
                      <w:pPr>
                        <w:jc w:val="center"/>
                        <w:rPr>
                          <w:rFonts w:hint="default"/>
                          <w:lang w:val="en-US" w:eastAsia="zh-CN"/>
                        </w:rPr>
                      </w:pPr>
                      <w:r>
                        <w:rPr>
                          <w:rFonts w:hint="eastAsia" w:eastAsia="宋体"/>
                          <w:color w:val="FF0000"/>
                          <w:lang w:val="en-US" w:eastAsia="zh-CN"/>
                        </w:rPr>
                        <w:t>核算断面</w:t>
                      </w:r>
                    </w:p>
                  </w:txbxContent>
                </v:textbox>
              </v:shape>
            </w:pict>
          </mc:Fallback>
        </mc:AlternateContent>
      </w:r>
      <w:r>
        <w:rPr>
          <w:color w:val="auto"/>
          <w:sz w:val="21"/>
        </w:rPr>
        <mc:AlternateContent>
          <mc:Choice Requires="wps">
            <w:drawing>
              <wp:anchor distT="0" distB="0" distL="114300" distR="114300" simplePos="0" relativeHeight="251675648" behindDoc="0" locked="0" layoutInCell="1" allowOverlap="1">
                <wp:simplePos x="0" y="0"/>
                <wp:positionH relativeFrom="column">
                  <wp:posOffset>7660640</wp:posOffset>
                </wp:positionH>
                <wp:positionV relativeFrom="paragraph">
                  <wp:posOffset>868680</wp:posOffset>
                </wp:positionV>
                <wp:extent cx="775970" cy="347345"/>
                <wp:effectExtent l="6350" t="381000" r="17780" b="14605"/>
                <wp:wrapNone/>
                <wp:docPr id="73" name="矩形标注 73"/>
                <wp:cNvGraphicFramePr/>
                <a:graphic xmlns:a="http://schemas.openxmlformats.org/drawingml/2006/main">
                  <a:graphicData uri="http://schemas.microsoft.com/office/word/2010/wordprocessingShape">
                    <wps:wsp>
                      <wps:cNvSpPr/>
                      <wps:spPr>
                        <a:xfrm>
                          <a:off x="0" y="0"/>
                          <a:ext cx="775970" cy="347345"/>
                        </a:xfrm>
                        <a:prstGeom prst="wedgeRectCallout">
                          <a:avLst>
                            <a:gd name="adj1" fmla="val -16530"/>
                            <a:gd name="adj2" fmla="val -157861"/>
                          </a:avLst>
                        </a:prstGeom>
                        <a:ln w="12700">
                          <a:solidFill>
                            <a:srgbClr val="FF0000"/>
                          </a:solidFill>
                        </a:ln>
                      </wps:spPr>
                      <wps:style>
                        <a:lnRef idx="2">
                          <a:schemeClr val="accent1"/>
                        </a:lnRef>
                        <a:fillRef idx="0">
                          <a:srgbClr val="FFFFFF"/>
                        </a:fillRef>
                        <a:effectRef idx="0">
                          <a:srgbClr val="FFFFFF"/>
                        </a:effectRef>
                        <a:fontRef idx="minor">
                          <a:schemeClr val="tx1"/>
                        </a:fontRef>
                      </wps:style>
                      <wps:txbx>
                        <w:txbxContent>
                          <w:p w14:paraId="2C82D7D8">
                            <w:pPr>
                              <w:jc w:val="center"/>
                              <w:rPr>
                                <w:rFonts w:hint="default"/>
                                <w:lang w:val="en-US" w:eastAsia="zh-CN"/>
                              </w:rPr>
                            </w:pPr>
                            <w:r>
                              <w:rPr>
                                <w:rFonts w:hint="eastAsia" w:eastAsia="宋体"/>
                                <w:color w:val="FF0000"/>
                                <w:lang w:val="en-US" w:eastAsia="zh-CN"/>
                              </w:rPr>
                              <w:t>控制断面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603.2pt;margin-top:68.4pt;height:27.35pt;width:61.1pt;z-index:251675648;v-text-anchor:middle;mso-width-relative:page;mso-height-relative:page;" filled="f" stroked="t" coordsize="21600,21600" o:gfxdata="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VjljIdsAAAANAQAADwAAAAAAAAABACAAAAAiAAAAZHJzL2Rvd25yZXYueG1sUEsB&#10;AhQAFAAAAAgAh07iQKkQhtSdAgAAJgUAAA4AAAAAAAAAAQAgAAAAKgEAAGRycy9lMm9Eb2MueG1s&#10;UEsFBgAAAAAGAAYAWQEAADkGAAAAAA==&#10;" adj="7230,-23298">
                <v:fill on="f" focussize="0,0"/>
                <v:stroke weight="1pt" color="#FF0000 [3204]" joinstyle="round"/>
                <v:imagedata o:title=""/>
                <o:lock v:ext="edit" aspectratio="f"/>
                <v:textbox>
                  <w:txbxContent>
                    <w:p w14:paraId="2C82D7D8">
                      <w:pPr>
                        <w:jc w:val="center"/>
                        <w:rPr>
                          <w:rFonts w:hint="default"/>
                          <w:lang w:val="en-US" w:eastAsia="zh-CN"/>
                        </w:rPr>
                      </w:pPr>
                      <w:r>
                        <w:rPr>
                          <w:rFonts w:hint="eastAsia" w:eastAsia="宋体"/>
                          <w:color w:val="FF0000"/>
                          <w:lang w:val="en-US" w:eastAsia="zh-CN"/>
                        </w:rPr>
                        <w:t>控制断面</w:t>
                      </w:r>
                    </w:p>
                  </w:txbxContent>
                </v:textbox>
              </v:shape>
            </w:pict>
          </mc:Fallback>
        </mc:AlternateContent>
      </w:r>
    </w:p>
    <w:p w14:paraId="3A56D05B">
      <w:pPr>
        <w:jc w:val="center"/>
        <w:rPr>
          <w:color w:val="auto"/>
          <w:sz w:val="21"/>
          <w:szCs w:val="21"/>
        </w:rPr>
      </w:pPr>
      <w:r>
        <w:rPr>
          <w:rFonts w:hint="default" w:ascii="Times New Roman" w:hAnsi="Times New Roman" w:eastAsia="宋体" w:cs="Times New Roman"/>
          <w:b/>
          <w:bCs/>
          <w:color w:val="auto"/>
          <w:sz w:val="21"/>
          <w:szCs w:val="21"/>
          <w:lang w:val="en-US" w:eastAsia="zh-CN"/>
        </w:rPr>
        <w:t>附图1评价范围图</w:t>
      </w:r>
    </w:p>
    <w:p w14:paraId="3BD660C7">
      <w:pPr>
        <w:rPr>
          <w:rFonts w:hint="eastAsia" w:ascii="Times New Roman" w:hAnsi="Times New Roman" w:eastAsia="宋体" w:cs="Times New Roman"/>
          <w:b/>
          <w:bCs/>
          <w:color w:val="auto"/>
          <w:sz w:val="28"/>
          <w:szCs w:val="28"/>
          <w:lang w:val="en-US" w:eastAsia="zh-CN"/>
        </w:rPr>
      </w:pPr>
    </w:p>
    <w:p w14:paraId="11833109">
      <w:pPr>
        <w:jc w:val="center"/>
        <w:rPr>
          <w:rFonts w:hint="eastAsia" w:ascii="Times New Roman" w:hAnsi="Times New Roman" w:eastAsia="宋体" w:cs="Times New Roman"/>
          <w:b/>
          <w:bCs/>
          <w:color w:val="auto"/>
          <w:sz w:val="28"/>
          <w:szCs w:val="28"/>
          <w:lang w:val="en-US" w:eastAsia="zh-CN"/>
        </w:rPr>
      </w:pPr>
      <w:r>
        <w:rPr>
          <w:color w:val="auto"/>
          <w:highlight w:val="none"/>
        </w:rPr>
        <w:drawing>
          <wp:anchor distT="0" distB="0" distL="114300" distR="114300" simplePos="0" relativeHeight="251680768" behindDoc="0" locked="0" layoutInCell="1" allowOverlap="1">
            <wp:simplePos x="0" y="0"/>
            <wp:positionH relativeFrom="column">
              <wp:posOffset>8335010</wp:posOffset>
            </wp:positionH>
            <wp:positionV relativeFrom="paragraph">
              <wp:posOffset>84455</wp:posOffset>
            </wp:positionV>
            <wp:extent cx="547370" cy="582295"/>
            <wp:effectExtent l="0" t="0" r="5080" b="8255"/>
            <wp:wrapNone/>
            <wp:docPr id="83" name="图片 222" descr="C:/Users/admin/Desktop/鸡西风玫瑰.png鸡西风玫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22" descr="C:/Users/admin/Desktop/鸡西风玫瑰.png鸡西风玫瑰"/>
                    <pic:cNvPicPr>
                      <a:picLocks noChangeAspect="1"/>
                    </pic:cNvPicPr>
                  </pic:nvPicPr>
                  <pic:blipFill>
                    <a:blip r:embed="rId73"/>
                    <a:srcRect l="4170" r="4170"/>
                    <a:stretch>
                      <a:fillRect/>
                    </a:stretch>
                  </pic:blipFill>
                  <pic:spPr>
                    <a:xfrm>
                      <a:off x="0" y="0"/>
                      <a:ext cx="547370" cy="582295"/>
                    </a:xfrm>
                    <a:prstGeom prst="rect">
                      <a:avLst/>
                    </a:prstGeom>
                    <a:noFill/>
                    <a:ln>
                      <a:noFill/>
                    </a:ln>
                  </pic:spPr>
                </pic:pic>
              </a:graphicData>
            </a:graphic>
          </wp:anchor>
        </w:drawing>
      </w:r>
      <w:r>
        <w:rPr>
          <w:color w:val="auto"/>
          <w:sz w:val="21"/>
        </w:rPr>
        <mc:AlternateContent>
          <mc:Choice Requires="wps">
            <w:drawing>
              <wp:anchor distT="0" distB="0" distL="114300" distR="114300" simplePos="0" relativeHeight="251671552" behindDoc="0" locked="0" layoutInCell="1" allowOverlap="1">
                <wp:simplePos x="0" y="0"/>
                <wp:positionH relativeFrom="column">
                  <wp:posOffset>7324725</wp:posOffset>
                </wp:positionH>
                <wp:positionV relativeFrom="paragraph">
                  <wp:posOffset>3779520</wp:posOffset>
                </wp:positionV>
                <wp:extent cx="1537970" cy="824230"/>
                <wp:effectExtent l="4445" t="4445" r="19685" b="9525"/>
                <wp:wrapNone/>
                <wp:docPr id="79" name="文本框 79"/>
                <wp:cNvGraphicFramePr/>
                <a:graphic xmlns:a="http://schemas.openxmlformats.org/drawingml/2006/main">
                  <a:graphicData uri="http://schemas.microsoft.com/office/word/2010/wordprocessingShape">
                    <wps:wsp>
                      <wps:cNvSpPr txBox="1"/>
                      <wps:spPr>
                        <a:xfrm>
                          <a:off x="0" y="0"/>
                          <a:ext cx="1537970" cy="82423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E2EC878">
                            <w:pPr>
                              <w:jc w:val="center"/>
                              <w:rPr>
                                <w:rFonts w:hint="eastAsia" w:eastAsia="宋体"/>
                                <w:b/>
                                <w:bCs/>
                                <w:lang w:val="en-US" w:eastAsia="zh-CN"/>
                              </w:rPr>
                            </w:pPr>
                            <w:r>
                              <w:rPr>
                                <w:rFonts w:hint="eastAsia" w:eastAsia="宋体"/>
                                <w:b/>
                                <w:bCs/>
                                <w:lang w:val="en-US" w:eastAsia="zh-CN"/>
                              </w:rPr>
                              <w:t>图例</w:t>
                            </w:r>
                          </w:p>
                          <w:p w14:paraId="1BFC9913">
                            <w:pPr>
                              <w:ind w:firstLine="420" w:firstLineChars="200"/>
                              <w:rPr>
                                <w:rFonts w:hint="eastAsia" w:eastAsia="宋体"/>
                                <w:lang w:val="en-US" w:eastAsia="zh-CN"/>
                              </w:rPr>
                            </w:pPr>
                            <w:r>
                              <w:rPr>
                                <w:rFonts w:hint="eastAsia" w:eastAsia="宋体"/>
                                <w:lang w:val="en-US" w:eastAsia="zh-CN"/>
                              </w:rPr>
                              <w:t>监测点位</w:t>
                            </w:r>
                          </w:p>
                          <w:p w14:paraId="7DDEAB5F">
                            <w:pPr>
                              <w:rPr>
                                <w:rFonts w:hint="default" w:eastAsia="宋体"/>
                                <w:lang w:val="en-US" w:eastAsia="zh-CN"/>
                              </w:rPr>
                            </w:pPr>
                            <w:r>
                              <w:rPr>
                                <w:rFonts w:hint="eastAsia" w:eastAsia="宋体"/>
                                <w:lang w:val="en-US" w:eastAsia="zh-CN"/>
                              </w:rPr>
                              <w:t>比例尺：</w:t>
                            </w:r>
                            <w:r>
                              <w:rPr>
                                <w:rFonts w:hint="eastAsia" w:ascii="Times New Roman" w:hAnsi="Times New Roman" w:eastAsia="宋体" w:cs="Times New Roman"/>
                                <w:b/>
                                <w:bCs/>
                                <w:sz w:val="28"/>
                                <w:szCs w:val="28"/>
                                <w:lang w:val="en-US" w:eastAsia="zh-CN"/>
                              </w:rPr>
                              <w:drawing>
                                <wp:inline distT="0" distB="0" distL="114300" distR="114300">
                                  <wp:extent cx="686435" cy="187325"/>
                                  <wp:effectExtent l="0" t="0" r="18415" b="3175"/>
                                  <wp:docPr id="80" name="图片 80" descr="1c335bdf55f01f45792a214d021751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1c335bdf55f01f45792a214d021751a2"/>
                                          <pic:cNvPicPr>
                                            <a:picLocks noChangeAspect="1"/>
                                          </pic:cNvPicPr>
                                        </pic:nvPicPr>
                                        <pic:blipFill>
                                          <a:blip r:embed="rId76"/>
                                          <a:stretch>
                                            <a:fillRect/>
                                          </a:stretch>
                                        </pic:blipFill>
                                        <pic:spPr>
                                          <a:xfrm>
                                            <a:off x="0" y="0"/>
                                            <a:ext cx="686435" cy="1873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6.75pt;margin-top:297.6pt;height:64.9pt;width:121.1pt;z-index:251671552;mso-width-relative:page;mso-height-relative:page;" fillcolor="#FFFFFF [3201]" filled="t" stroked="t" coordsize="21600,21600" o:gfxdata="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WKyV&#10;f9gAAAANAQAADwAAAAAAAAABACAAAAAiAAAAZHJzL2Rvd25yZXYueG1sUEsBAhQAFAAAAAgAh07i&#10;QN6OeKdbAgAAuQQAAA4AAAAAAAAAAQAgAAAAJwEAAGRycy9lMm9Eb2MueG1sUEsFBgAAAAAGAAYA&#10;WQEAAPQFAAAAAA==&#10;">
                <v:fill on="t" focussize="0,0"/>
                <v:stroke weight="0.5pt" color="#000000 [3204]" joinstyle="round"/>
                <v:imagedata o:title=""/>
                <o:lock v:ext="edit" aspectratio="f"/>
                <v:textbox>
                  <w:txbxContent>
                    <w:p w14:paraId="5E2EC878">
                      <w:pPr>
                        <w:jc w:val="center"/>
                        <w:rPr>
                          <w:rFonts w:hint="eastAsia" w:eastAsia="宋体"/>
                          <w:b/>
                          <w:bCs/>
                          <w:lang w:val="en-US" w:eastAsia="zh-CN"/>
                        </w:rPr>
                      </w:pPr>
                      <w:r>
                        <w:rPr>
                          <w:rFonts w:hint="eastAsia" w:eastAsia="宋体"/>
                          <w:b/>
                          <w:bCs/>
                          <w:lang w:val="en-US" w:eastAsia="zh-CN"/>
                        </w:rPr>
                        <w:t>图例</w:t>
                      </w:r>
                    </w:p>
                    <w:p w14:paraId="1BFC9913">
                      <w:pPr>
                        <w:ind w:firstLine="420" w:firstLineChars="200"/>
                        <w:rPr>
                          <w:rFonts w:hint="eastAsia" w:eastAsia="宋体"/>
                          <w:lang w:val="en-US" w:eastAsia="zh-CN"/>
                        </w:rPr>
                      </w:pPr>
                      <w:r>
                        <w:rPr>
                          <w:rFonts w:hint="eastAsia" w:eastAsia="宋体"/>
                          <w:lang w:val="en-US" w:eastAsia="zh-CN"/>
                        </w:rPr>
                        <w:t>监测点位</w:t>
                      </w:r>
                    </w:p>
                    <w:p w14:paraId="7DDEAB5F">
                      <w:pPr>
                        <w:rPr>
                          <w:rFonts w:hint="default" w:eastAsia="宋体"/>
                          <w:lang w:val="en-US" w:eastAsia="zh-CN"/>
                        </w:rPr>
                      </w:pPr>
                      <w:r>
                        <w:rPr>
                          <w:rFonts w:hint="eastAsia" w:eastAsia="宋体"/>
                          <w:lang w:val="en-US" w:eastAsia="zh-CN"/>
                        </w:rPr>
                        <w:t>比例尺：</w:t>
                      </w:r>
                      <w:r>
                        <w:rPr>
                          <w:rFonts w:hint="eastAsia" w:ascii="Times New Roman" w:hAnsi="Times New Roman" w:eastAsia="宋体" w:cs="Times New Roman"/>
                          <w:b/>
                          <w:bCs/>
                          <w:sz w:val="28"/>
                          <w:szCs w:val="28"/>
                          <w:lang w:val="en-US" w:eastAsia="zh-CN"/>
                        </w:rPr>
                        <w:drawing>
                          <wp:inline distT="0" distB="0" distL="114300" distR="114300">
                            <wp:extent cx="686435" cy="187325"/>
                            <wp:effectExtent l="0" t="0" r="18415" b="3175"/>
                            <wp:docPr id="80" name="图片 80" descr="1c335bdf55f01f45792a214d021751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1c335bdf55f01f45792a214d021751a2"/>
                                    <pic:cNvPicPr>
                                      <a:picLocks noChangeAspect="1"/>
                                    </pic:cNvPicPr>
                                  </pic:nvPicPr>
                                  <pic:blipFill>
                                    <a:blip r:embed="rId76"/>
                                    <a:stretch>
                                      <a:fillRect/>
                                    </a:stretch>
                                  </pic:blipFill>
                                  <pic:spPr>
                                    <a:xfrm>
                                      <a:off x="0" y="0"/>
                                      <a:ext cx="686435" cy="187325"/>
                                    </a:xfrm>
                                    <a:prstGeom prst="rect">
                                      <a:avLst/>
                                    </a:prstGeom>
                                  </pic:spPr>
                                </pic:pic>
                              </a:graphicData>
                            </a:graphic>
                          </wp:inline>
                        </w:drawing>
                      </w:r>
                    </w:p>
                  </w:txbxContent>
                </v:textbox>
              </v:shape>
            </w:pict>
          </mc:Fallback>
        </mc:AlternateContent>
      </w:r>
      <w:r>
        <w:rPr>
          <w:color w:val="auto"/>
        </w:rPr>
        <w:drawing>
          <wp:anchor distT="0" distB="0" distL="114300" distR="114300" simplePos="0" relativeHeight="251672576" behindDoc="0" locked="0" layoutInCell="1" allowOverlap="1">
            <wp:simplePos x="0" y="0"/>
            <wp:positionH relativeFrom="column">
              <wp:posOffset>7497445</wp:posOffset>
            </wp:positionH>
            <wp:positionV relativeFrom="paragraph">
              <wp:posOffset>4098925</wp:posOffset>
            </wp:positionV>
            <wp:extent cx="161925" cy="247650"/>
            <wp:effectExtent l="0" t="0" r="9525" b="0"/>
            <wp:wrapNone/>
            <wp:docPr id="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
                    <pic:cNvPicPr>
                      <a:picLocks noChangeAspect="1"/>
                    </pic:cNvPicPr>
                  </pic:nvPicPr>
                  <pic:blipFill>
                    <a:blip r:embed="rId77"/>
                    <a:stretch>
                      <a:fillRect/>
                    </a:stretch>
                  </pic:blipFill>
                  <pic:spPr>
                    <a:xfrm>
                      <a:off x="0" y="0"/>
                      <a:ext cx="161925" cy="247650"/>
                    </a:xfrm>
                    <a:prstGeom prst="rect">
                      <a:avLst/>
                    </a:prstGeom>
                    <a:noFill/>
                    <a:ln>
                      <a:noFill/>
                    </a:ln>
                  </pic:spPr>
                </pic:pic>
              </a:graphicData>
            </a:graphic>
          </wp:anchor>
        </w:drawing>
      </w:r>
      <w:r>
        <w:rPr>
          <w:rFonts w:hint="eastAsia" w:ascii="Times New Roman" w:hAnsi="Times New Roman" w:eastAsia="宋体" w:cs="Times New Roman"/>
          <w:b/>
          <w:bCs/>
          <w:color w:val="auto"/>
          <w:sz w:val="28"/>
          <w:szCs w:val="28"/>
          <w:lang w:val="en-US" w:eastAsia="zh-CN"/>
        </w:rPr>
        <w:drawing>
          <wp:inline distT="0" distB="0" distL="114300" distR="114300">
            <wp:extent cx="8884920" cy="4618355"/>
            <wp:effectExtent l="0" t="0" r="11430" b="10795"/>
            <wp:docPr id="81" name="图片 81" descr="监测点位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监测点位图"/>
                    <pic:cNvPicPr>
                      <a:picLocks noChangeAspect="1"/>
                    </pic:cNvPicPr>
                  </pic:nvPicPr>
                  <pic:blipFill>
                    <a:blip r:embed="rId78"/>
                    <a:stretch>
                      <a:fillRect/>
                    </a:stretch>
                  </pic:blipFill>
                  <pic:spPr>
                    <a:xfrm>
                      <a:off x="0" y="0"/>
                      <a:ext cx="8884920" cy="4618355"/>
                    </a:xfrm>
                    <a:prstGeom prst="rect">
                      <a:avLst/>
                    </a:prstGeom>
                  </pic:spPr>
                </pic:pic>
              </a:graphicData>
            </a:graphic>
          </wp:inline>
        </w:drawing>
      </w:r>
    </w:p>
    <w:p w14:paraId="318C7DFA">
      <w:pPr>
        <w:jc w:val="center"/>
        <w:rPr>
          <w:rFonts w:hint="eastAsia" w:ascii="Times New Roman" w:hAnsi="Times New Roman" w:eastAsia="宋体" w:cs="Times New Roman"/>
          <w:b/>
          <w:bCs/>
          <w:color w:val="auto"/>
          <w:sz w:val="28"/>
          <w:szCs w:val="28"/>
          <w:lang w:val="en-US" w:eastAsia="zh-CN"/>
        </w:rPr>
      </w:pPr>
      <w:r>
        <w:rPr>
          <w:rFonts w:hint="eastAsia" w:ascii="Times New Roman" w:hAnsi="Times New Roman" w:eastAsia="宋体" w:cs="Times New Roman"/>
          <w:b/>
          <w:bCs/>
          <w:color w:val="auto"/>
          <w:sz w:val="21"/>
          <w:szCs w:val="21"/>
          <w:lang w:val="en-US" w:eastAsia="zh-CN"/>
        </w:rPr>
        <w:t>附图2 地表水现状监测点位图</w:t>
      </w:r>
    </w:p>
    <w:p w14:paraId="553DAA19">
      <w:pPr>
        <w:rPr>
          <w:rFonts w:hint="default"/>
          <w:color w:val="auto"/>
          <w:highlight w:val="none"/>
          <w:lang w:val="en-US" w:eastAsia="zh-CN"/>
        </w:rPr>
        <w:sectPr>
          <w:pgSz w:w="16781" w:h="11849" w:orient="landscape"/>
          <w:pgMar w:top="1701" w:right="1531" w:bottom="1701" w:left="1531" w:header="851" w:footer="1077" w:gutter="0"/>
          <w:pgBorders>
            <w:top w:val="none" w:sz="0" w:space="0"/>
            <w:left w:val="none" w:sz="0" w:space="0"/>
            <w:bottom w:val="none" w:sz="0" w:space="0"/>
            <w:right w:val="none" w:sz="0" w:space="0"/>
          </w:pgBorders>
          <w:pgNumType w:fmt="decimal"/>
          <w:cols w:space="0" w:num="1"/>
          <w:docGrid w:type="lines" w:linePitch="316" w:charSpace="0"/>
        </w:sectPr>
      </w:pPr>
    </w:p>
    <w:p w14:paraId="4A80D917">
      <w:pPr>
        <w:spacing w:line="240" w:lineRule="auto"/>
        <w:jc w:val="center"/>
        <w:outlineLvl w:val="9"/>
        <w:rPr>
          <w:rFonts w:hint="eastAsia" w:eastAsia="宋体"/>
          <w:color w:val="auto"/>
          <w:highlight w:val="none"/>
          <w:lang w:eastAsia="zh-CN"/>
        </w:rPr>
      </w:pPr>
      <w:r>
        <w:rPr>
          <w:color w:val="auto"/>
          <w:sz w:val="21"/>
          <w:highlight w:val="none"/>
        </w:rPr>
        <mc:AlternateContent>
          <mc:Choice Requires="wps">
            <w:drawing>
              <wp:anchor distT="0" distB="0" distL="114300" distR="114300" simplePos="0" relativeHeight="251666432" behindDoc="0" locked="0" layoutInCell="1" allowOverlap="1">
                <wp:simplePos x="0" y="0"/>
                <wp:positionH relativeFrom="column">
                  <wp:posOffset>7817485</wp:posOffset>
                </wp:positionH>
                <wp:positionV relativeFrom="paragraph">
                  <wp:posOffset>3418205</wp:posOffset>
                </wp:positionV>
                <wp:extent cx="864870" cy="1132840"/>
                <wp:effectExtent l="4445" t="4445" r="6985" b="5715"/>
                <wp:wrapNone/>
                <wp:docPr id="76" name="文本框 76"/>
                <wp:cNvGraphicFramePr/>
                <a:graphic xmlns:a="http://schemas.openxmlformats.org/drawingml/2006/main">
                  <a:graphicData uri="http://schemas.microsoft.com/office/word/2010/wordprocessingShape">
                    <wps:wsp>
                      <wps:cNvSpPr txBox="1"/>
                      <wps:spPr>
                        <a:xfrm>
                          <a:off x="0" y="0"/>
                          <a:ext cx="864870" cy="11328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4BB3E">
                            <w:pPr>
                              <w:jc w:val="center"/>
                              <w:rPr>
                                <w:rFonts w:hint="eastAsia"/>
                                <w:lang w:eastAsia="zh-CN"/>
                              </w:rPr>
                            </w:pPr>
                            <w:r>
                              <w:rPr>
                                <w:rFonts w:hint="eastAsia"/>
                                <w:lang w:eastAsia="zh-CN"/>
                              </w:rPr>
                              <w:t>图例</w:t>
                            </w:r>
                          </w:p>
                          <w:p w14:paraId="1D762A73">
                            <w:pPr>
                              <w:jc w:val="center"/>
                              <w:rPr>
                                <w:rFonts w:hint="eastAsia"/>
                                <w:lang w:eastAsia="zh-CN"/>
                              </w:rPr>
                            </w:pPr>
                            <w:r>
                              <w:rPr>
                                <w:rFonts w:hint="eastAsia"/>
                                <w:color w:val="FF0000"/>
                                <w:lang w:eastAsia="zh-CN"/>
                              </w:rPr>
                              <w:t>★</w:t>
                            </w:r>
                          </w:p>
                          <w:p w14:paraId="0FDAE0D0">
                            <w:pPr>
                              <w:jc w:val="center"/>
                              <w:rPr>
                                <w:rFonts w:hint="eastAsia"/>
                                <w:lang w:eastAsia="zh-CN"/>
                              </w:rPr>
                            </w:pPr>
                            <w:r>
                              <w:rPr>
                                <w:rFonts w:hint="eastAsia"/>
                                <w:lang w:eastAsia="zh-CN"/>
                              </w:rPr>
                              <w:t>项目位置</w:t>
                            </w:r>
                          </w:p>
                          <w:p w14:paraId="6BB47811">
                            <w:pPr>
                              <w:pStyle w:val="8"/>
                              <w:keepNext w:val="0"/>
                              <w:keepLines w:val="0"/>
                              <w:pageBreakBefore w:val="0"/>
                              <w:widowControl/>
                              <w:kinsoku/>
                              <w:wordWrap/>
                              <w:overflowPunct/>
                              <w:topLinePunct w:val="0"/>
                              <w:autoSpaceDE/>
                              <w:autoSpaceDN/>
                              <w:bidi w:val="0"/>
                              <w:adjustRightInd/>
                              <w:snapToGrid/>
                              <w:spacing w:after="0"/>
                              <w:ind w:left="0" w:leftChars="0" w:firstLine="210" w:firstLineChars="100"/>
                              <w:textAlignment w:val="auto"/>
                              <w:rPr>
                                <w:rFonts w:hint="eastAsia"/>
                                <w:lang w:val="en-US" w:eastAsia="zh-CN"/>
                              </w:rPr>
                            </w:pPr>
                            <w:r>
                              <w:rPr>
                                <w:rFonts w:hint="eastAsia"/>
                                <w:lang w:val="en-US" w:eastAsia="zh-CN"/>
                              </w:rPr>
                              <w:t>比例尺</w:t>
                            </w:r>
                          </w:p>
                          <w:p w14:paraId="3CB41AAF">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drawing>
                                <wp:inline distT="0" distB="0" distL="114300" distR="114300">
                                  <wp:extent cx="671195" cy="158750"/>
                                  <wp:effectExtent l="0" t="0" r="14605" b="12700"/>
                                  <wp:docPr id="47" name="图片 47" descr="5937225058dbacc66a4f40f19bfee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5937225058dbacc66a4f40f19bfee576"/>
                                          <pic:cNvPicPr>
                                            <a:picLocks noChangeAspect="1"/>
                                          </pic:cNvPicPr>
                                        </pic:nvPicPr>
                                        <pic:blipFill>
                                          <a:blip r:embed="rId79"/>
                                          <a:stretch>
                                            <a:fillRect/>
                                          </a:stretch>
                                        </pic:blipFill>
                                        <pic:spPr>
                                          <a:xfrm>
                                            <a:off x="0" y="0"/>
                                            <a:ext cx="671195" cy="158750"/>
                                          </a:xfrm>
                                          <a:prstGeom prst="rect">
                                            <a:avLst/>
                                          </a:prstGeom>
                                        </pic:spPr>
                                      </pic:pic>
                                    </a:graphicData>
                                  </a:graphic>
                                </wp:inline>
                              </w:drawing>
                            </w:r>
                          </w:p>
                        </w:txbxContent>
                      </wps:txbx>
                      <wps:bodyPr upright="1"/>
                    </wps:wsp>
                  </a:graphicData>
                </a:graphic>
              </wp:anchor>
            </w:drawing>
          </mc:Choice>
          <mc:Fallback>
            <w:pict>
              <v:shape id="_x0000_s1026" o:spid="_x0000_s1026" o:spt="202" type="#_x0000_t202" style="position:absolute;left:0pt;margin-left:615.55pt;margin-top:269.15pt;height:89.2pt;width:68.1pt;z-index:251666432;mso-width-relative:page;mso-height-relative:page;" fillcolor="#FFFFFF" filled="t" stroked="t" coordsize="21600,21600" o:gfxdata="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g9h2wAAAA0BAAAPAAAAAAAA&#10;AAEAIAAAACIAAABkcnMvZG93bnJldi54bWxQSwECFAAUAAAACACHTuJAao2Wkg8CAAA4BAAADgAA&#10;AAAAAAABACAAAAAqAQAAZHJzL2Uyb0RvYy54bWxQSwUGAAAAAAYABgBZAQAAqwUAAAAA&#10;">
                <v:fill on="t" focussize="0,0"/>
                <v:stroke color="#000000" joinstyle="miter"/>
                <v:imagedata o:title=""/>
                <o:lock v:ext="edit" aspectratio="f"/>
                <v:textbox>
                  <w:txbxContent>
                    <w:p w14:paraId="4BA4BB3E">
                      <w:pPr>
                        <w:jc w:val="center"/>
                        <w:rPr>
                          <w:rFonts w:hint="eastAsia"/>
                          <w:lang w:eastAsia="zh-CN"/>
                        </w:rPr>
                      </w:pPr>
                      <w:r>
                        <w:rPr>
                          <w:rFonts w:hint="eastAsia"/>
                          <w:lang w:eastAsia="zh-CN"/>
                        </w:rPr>
                        <w:t>图例</w:t>
                      </w:r>
                    </w:p>
                    <w:p w14:paraId="1D762A73">
                      <w:pPr>
                        <w:jc w:val="center"/>
                        <w:rPr>
                          <w:rFonts w:hint="eastAsia"/>
                          <w:lang w:eastAsia="zh-CN"/>
                        </w:rPr>
                      </w:pPr>
                      <w:r>
                        <w:rPr>
                          <w:rFonts w:hint="eastAsia"/>
                          <w:color w:val="FF0000"/>
                          <w:lang w:eastAsia="zh-CN"/>
                        </w:rPr>
                        <w:t>★</w:t>
                      </w:r>
                    </w:p>
                    <w:p w14:paraId="0FDAE0D0">
                      <w:pPr>
                        <w:jc w:val="center"/>
                        <w:rPr>
                          <w:rFonts w:hint="eastAsia"/>
                          <w:lang w:eastAsia="zh-CN"/>
                        </w:rPr>
                      </w:pPr>
                      <w:r>
                        <w:rPr>
                          <w:rFonts w:hint="eastAsia"/>
                          <w:lang w:eastAsia="zh-CN"/>
                        </w:rPr>
                        <w:t>项目位置</w:t>
                      </w:r>
                    </w:p>
                    <w:p w14:paraId="6BB47811">
                      <w:pPr>
                        <w:pStyle w:val="8"/>
                        <w:keepNext w:val="0"/>
                        <w:keepLines w:val="0"/>
                        <w:pageBreakBefore w:val="0"/>
                        <w:widowControl/>
                        <w:kinsoku/>
                        <w:wordWrap/>
                        <w:overflowPunct/>
                        <w:topLinePunct w:val="0"/>
                        <w:autoSpaceDE/>
                        <w:autoSpaceDN/>
                        <w:bidi w:val="0"/>
                        <w:adjustRightInd/>
                        <w:snapToGrid/>
                        <w:spacing w:after="0"/>
                        <w:ind w:left="0" w:leftChars="0" w:firstLine="210" w:firstLineChars="100"/>
                        <w:textAlignment w:val="auto"/>
                        <w:rPr>
                          <w:rFonts w:hint="eastAsia"/>
                          <w:lang w:val="en-US" w:eastAsia="zh-CN"/>
                        </w:rPr>
                      </w:pPr>
                      <w:r>
                        <w:rPr>
                          <w:rFonts w:hint="eastAsia"/>
                          <w:lang w:val="en-US" w:eastAsia="zh-CN"/>
                        </w:rPr>
                        <w:t>比例尺</w:t>
                      </w:r>
                    </w:p>
                    <w:p w14:paraId="3CB41AAF">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drawing>
                          <wp:inline distT="0" distB="0" distL="114300" distR="114300">
                            <wp:extent cx="671195" cy="158750"/>
                            <wp:effectExtent l="0" t="0" r="14605" b="12700"/>
                            <wp:docPr id="47" name="图片 47" descr="5937225058dbacc66a4f40f19bfee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5937225058dbacc66a4f40f19bfee576"/>
                                    <pic:cNvPicPr>
                                      <a:picLocks noChangeAspect="1"/>
                                    </pic:cNvPicPr>
                                  </pic:nvPicPr>
                                  <pic:blipFill>
                                    <a:blip r:embed="rId79"/>
                                    <a:stretch>
                                      <a:fillRect/>
                                    </a:stretch>
                                  </pic:blipFill>
                                  <pic:spPr>
                                    <a:xfrm>
                                      <a:off x="0" y="0"/>
                                      <a:ext cx="671195" cy="158750"/>
                                    </a:xfrm>
                                    <a:prstGeom prst="rect">
                                      <a:avLst/>
                                    </a:prstGeom>
                                  </pic:spPr>
                                </pic:pic>
                              </a:graphicData>
                            </a:graphic>
                          </wp:inline>
                        </w:drawing>
                      </w:r>
                    </w:p>
                  </w:txbxContent>
                </v:textbox>
              </v:shape>
            </w:pict>
          </mc:Fallback>
        </mc:AlternateContent>
      </w:r>
      <w:r>
        <w:rPr>
          <w:color w:val="auto"/>
          <w:highlight w:val="none"/>
        </w:rPr>
        <w:drawing>
          <wp:anchor distT="0" distB="0" distL="114300" distR="114300" simplePos="0" relativeHeight="251665408" behindDoc="0" locked="0" layoutInCell="1" allowOverlap="1">
            <wp:simplePos x="0" y="0"/>
            <wp:positionH relativeFrom="column">
              <wp:posOffset>7853680</wp:posOffset>
            </wp:positionH>
            <wp:positionV relativeFrom="paragraph">
              <wp:posOffset>57150</wp:posOffset>
            </wp:positionV>
            <wp:extent cx="830580" cy="883285"/>
            <wp:effectExtent l="0" t="0" r="7620" b="12065"/>
            <wp:wrapNone/>
            <wp:docPr id="14" name="图片 222" descr="C:/Users/admin/Desktop/鸡西风玫瑰.png鸡西风玫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22" descr="C:/Users/admin/Desktop/鸡西风玫瑰.png鸡西风玫瑰"/>
                    <pic:cNvPicPr>
                      <a:picLocks noChangeAspect="1"/>
                    </pic:cNvPicPr>
                  </pic:nvPicPr>
                  <pic:blipFill>
                    <a:blip r:embed="rId73"/>
                    <a:srcRect l="4170" r="4170"/>
                    <a:stretch>
                      <a:fillRect/>
                    </a:stretch>
                  </pic:blipFill>
                  <pic:spPr>
                    <a:xfrm>
                      <a:off x="0" y="0"/>
                      <a:ext cx="830580" cy="883285"/>
                    </a:xfrm>
                    <a:prstGeom prst="rect">
                      <a:avLst/>
                    </a:prstGeom>
                    <a:noFill/>
                    <a:ln>
                      <a:noFill/>
                    </a:ln>
                  </pic:spPr>
                </pic:pic>
              </a:graphicData>
            </a:graphic>
          </wp:anchor>
        </w:drawing>
      </w:r>
      <w:r>
        <w:rPr>
          <w:rFonts w:hint="eastAsia" w:eastAsia="宋体"/>
          <w:color w:val="auto"/>
          <w:highlight w:val="none"/>
          <w:lang w:eastAsia="zh-CN"/>
        </w:rPr>
        <w:drawing>
          <wp:inline distT="0" distB="0" distL="114300" distR="114300">
            <wp:extent cx="8699500" cy="4521835"/>
            <wp:effectExtent l="0" t="0" r="6350" b="12065"/>
            <wp:docPr id="70" name="图片 70" descr="地理位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地理位置图"/>
                    <pic:cNvPicPr>
                      <a:picLocks noChangeAspect="1"/>
                    </pic:cNvPicPr>
                  </pic:nvPicPr>
                  <pic:blipFill>
                    <a:blip r:embed="rId80"/>
                    <a:stretch>
                      <a:fillRect/>
                    </a:stretch>
                  </pic:blipFill>
                  <pic:spPr>
                    <a:xfrm>
                      <a:off x="0" y="0"/>
                      <a:ext cx="8699500" cy="4521835"/>
                    </a:xfrm>
                    <a:prstGeom prst="rect">
                      <a:avLst/>
                    </a:prstGeom>
                  </pic:spPr>
                </pic:pic>
              </a:graphicData>
            </a:graphic>
          </wp:inline>
        </w:drawing>
      </w:r>
    </w:p>
    <w:p w14:paraId="5EA543F3">
      <w:pPr>
        <w:pStyle w:val="2"/>
        <w:keepNext w:val="0"/>
        <w:keepLines w:val="0"/>
        <w:pageBreakBefore w:val="0"/>
        <w:widowControl/>
        <w:kinsoku/>
        <w:wordWrap/>
        <w:overflowPunct w:val="0"/>
        <w:topLinePunct w:val="0"/>
        <w:autoSpaceDE/>
        <w:autoSpaceDN/>
        <w:bidi w:val="0"/>
        <w:adjustRightInd/>
        <w:snapToGrid/>
        <w:spacing w:before="0" w:after="0" w:line="240" w:lineRule="auto"/>
        <w:ind w:left="0" w:firstLine="0"/>
        <w:jc w:val="center"/>
        <w:textAlignment w:val="auto"/>
        <w:rPr>
          <w:rFonts w:hint="default" w:ascii="Times New Roman" w:hAnsi="Times New Roman" w:eastAsia="黑体" w:cs="Times New Roman"/>
          <w:snapToGrid w:val="0"/>
          <w:color w:val="auto"/>
          <w:kern w:val="21"/>
          <w:sz w:val="30"/>
          <w:szCs w:val="30"/>
          <w:highlight w:val="none"/>
        </w:rPr>
        <w:sectPr>
          <w:pgSz w:w="16781" w:h="11849" w:orient="landscape"/>
          <w:pgMar w:top="1701" w:right="1531" w:bottom="1701" w:left="1531" w:header="851" w:footer="1077" w:gutter="0"/>
          <w:pgBorders>
            <w:top w:val="none" w:sz="0" w:space="0"/>
            <w:left w:val="none" w:sz="0" w:space="0"/>
            <w:bottom w:val="none" w:sz="0" w:space="0"/>
            <w:right w:val="none" w:sz="0" w:space="0"/>
          </w:pgBorders>
          <w:pgNumType w:fmt="decimal"/>
          <w:cols w:space="0" w:num="1"/>
          <w:docGrid w:type="lines" w:linePitch="316" w:charSpace="0"/>
        </w:sectPr>
      </w:pPr>
      <w:r>
        <w:rPr>
          <w:rFonts w:hint="default" w:ascii="Times New Roman" w:hAnsi="Times New Roman" w:eastAsia="宋体" w:cs="Times New Roman"/>
          <w:b/>
          <w:bCs/>
          <w:color w:val="auto"/>
          <w:kern w:val="0"/>
          <w:sz w:val="21"/>
          <w:szCs w:val="21"/>
          <w:highlight w:val="none"/>
        </w:rPr>
        <w:t>附图</w:t>
      </w:r>
      <w:r>
        <w:rPr>
          <w:rFonts w:hint="eastAsia" w:eastAsia="宋体" w:cs="Times New Roman"/>
          <w:b/>
          <w:bCs/>
          <w:color w:val="auto"/>
          <w:kern w:val="0"/>
          <w:sz w:val="21"/>
          <w:szCs w:val="21"/>
          <w:highlight w:val="none"/>
          <w:lang w:val="en-US" w:eastAsia="zh-CN"/>
        </w:rPr>
        <w:t xml:space="preserve">3 </w:t>
      </w:r>
      <w:r>
        <w:rPr>
          <w:rFonts w:hint="default" w:ascii="Times New Roman" w:hAnsi="Times New Roman" w:eastAsia="宋体" w:cs="Times New Roman"/>
          <w:b/>
          <w:bCs/>
          <w:color w:val="auto"/>
          <w:kern w:val="0"/>
          <w:sz w:val="21"/>
          <w:szCs w:val="21"/>
          <w:highlight w:val="none"/>
        </w:rPr>
        <w:t>项目地理位置图</w:t>
      </w:r>
      <w:r>
        <w:rPr>
          <w:color w:val="auto"/>
          <w:highlight w:val="none"/>
        </w:rPr>
        <mc:AlternateContent>
          <mc:Choice Requires="wps">
            <w:drawing>
              <wp:anchor distT="0" distB="0" distL="114300" distR="114300" simplePos="0" relativeHeight="251667456" behindDoc="0" locked="1" layoutInCell="1" allowOverlap="1">
                <wp:simplePos x="0" y="0"/>
                <wp:positionH relativeFrom="column">
                  <wp:posOffset>4480560</wp:posOffset>
                </wp:positionH>
                <wp:positionV relativeFrom="paragraph">
                  <wp:posOffset>-2113280</wp:posOffset>
                </wp:positionV>
                <wp:extent cx="130810" cy="144145"/>
                <wp:effectExtent l="13335" t="17780" r="27305" b="28575"/>
                <wp:wrapNone/>
                <wp:docPr id="77" name="五角星 77"/>
                <wp:cNvGraphicFramePr/>
                <a:graphic xmlns:a="http://schemas.openxmlformats.org/drawingml/2006/main">
                  <a:graphicData uri="http://schemas.microsoft.com/office/word/2010/wordprocessingShape">
                    <wps:wsp>
                      <wps:cNvSpPr/>
                      <wps:spPr>
                        <a:xfrm>
                          <a:off x="0" y="0"/>
                          <a:ext cx="130810" cy="144145"/>
                        </a:xfrm>
                        <a:prstGeom prst="star5">
                          <a:avLst/>
                        </a:prstGeom>
                        <a:solidFill>
                          <a:srgbClr val="FF0000"/>
                        </a:solidFill>
                        <a:ln w="9525" cap="flat" cmpd="sng">
                          <a:solidFill>
                            <a:srgbClr val="FF0000"/>
                          </a:solidFill>
                          <a:prstDash val="solid"/>
                          <a:miter/>
                          <a:headEnd type="none" w="med" len="med"/>
                          <a:tailEnd type="none" w="med" len="med"/>
                        </a:ln>
                      </wps:spPr>
                      <wps:txbx>
                        <w:txbxContent>
                          <w:p w14:paraId="203447C5"/>
                        </w:txbxContent>
                      </wps:txbx>
                      <wps:bodyPr upright="1"/>
                    </wps:wsp>
                  </a:graphicData>
                </a:graphic>
              </wp:anchor>
            </w:drawing>
          </mc:Choice>
          <mc:Fallback>
            <w:pict>
              <v:shape id="_x0000_s1026" o:spid="_x0000_s1026" style="position:absolute;left:0pt;margin-left:352.8pt;margin-top:-166.4pt;height:11.35pt;width:10.3pt;z-index:251667456;mso-width-relative:page;mso-height-relative:page;" fillcolor="#FF0000" filled="t" stroked="t" coordsize="130810,144145" o:gfxdata="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l0PG7aAAAADQEAAA8AAAAAAAAAAQAgAAAAIgAA&#10;AGRycy9kb3ducmV2LnhtbFBLAQIUABQAAAAIAIdO4kCbCxJcBgIAAC4EAAAOAAAAAAAAAAEAIAAA&#10;ACkBAABkcnMvZTJvRG9jLnhtbFBLBQYAAAAABgAGAFkBAAChBQAAAAA=&#10;" path="m0,55058l49965,55058,65405,0,80844,55058,130809,55058,90387,89086,105827,144144,65405,110116,24982,144144,40422,89086xe">
                <v:path textboxrect="0,0,130810,144145" o:connectlocs="65405,0;0,55058;24982,144144;105827,144144;130809,55058" o:connectangles="247,164,82,82,0"/>
                <v:fill on="t" focussize="0,0"/>
                <v:stroke color="#FF0000" joinstyle="miter"/>
                <v:imagedata o:title=""/>
                <o:lock v:ext="edit" aspectratio="f"/>
                <v:textbox>
                  <w:txbxContent>
                    <w:p w14:paraId="203447C5"/>
                  </w:txbxContent>
                </v:textbox>
                <w10:anchorlock/>
              </v:shape>
            </w:pict>
          </mc:Fallback>
        </mc:AlternateContent>
      </w:r>
    </w:p>
    <w:bookmarkEnd w:id="28"/>
    <w:p w14:paraId="2CE20544">
      <w:pPr>
        <w:bidi w:val="0"/>
        <w:jc w:val="center"/>
        <w:rPr>
          <w:rFonts w:hint="eastAsia" w:eastAsia="宋体"/>
          <w:color w:val="auto"/>
          <w:highlight w:val="none"/>
          <w:lang w:eastAsia="zh-CN"/>
        </w:rPr>
      </w:pPr>
      <w:r>
        <w:rPr>
          <w:color w:val="auto"/>
          <w:sz w:val="21"/>
          <w:highlight w:val="none"/>
        </w:rPr>
        <mc:AlternateContent>
          <mc:Choice Requires="wps">
            <w:drawing>
              <wp:anchor distT="0" distB="0" distL="114300" distR="114300" simplePos="0" relativeHeight="251668480" behindDoc="0" locked="0" layoutInCell="1" allowOverlap="1">
                <wp:simplePos x="0" y="0"/>
                <wp:positionH relativeFrom="column">
                  <wp:posOffset>7033260</wp:posOffset>
                </wp:positionH>
                <wp:positionV relativeFrom="paragraph">
                  <wp:posOffset>3729355</wp:posOffset>
                </wp:positionV>
                <wp:extent cx="106680" cy="96520"/>
                <wp:effectExtent l="0" t="0" r="7620" b="17780"/>
                <wp:wrapNone/>
                <wp:docPr id="66" name="矩形 66"/>
                <wp:cNvGraphicFramePr/>
                <a:graphic xmlns:a="http://schemas.openxmlformats.org/drawingml/2006/main">
                  <a:graphicData uri="http://schemas.microsoft.com/office/word/2010/wordprocessingShape">
                    <wps:wsp>
                      <wps:cNvSpPr/>
                      <wps:spPr>
                        <a:xfrm>
                          <a:off x="0" y="0"/>
                          <a:ext cx="106680" cy="96520"/>
                        </a:xfrm>
                        <a:prstGeom prst="rect">
                          <a:avLst/>
                        </a:prstGeom>
                        <a:solidFill>
                          <a:srgbClr val="FFFF00"/>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53.8pt;margin-top:293.65pt;height:7.6pt;width:8.4pt;z-index:251668480;v-text-anchor:middle;mso-width-relative:page;mso-height-relative:page;" fillcolor="#FFFF00" filled="t" stroked="f" coordsize="21600,21600" o:gfxdata="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8+extsAAAANAQAADwAAAAAAAAABACAAAAAiAAAAZHJzL2Rvd25yZXYueG1sUEsBAhQAFAAA&#10;AAgAh07iQMWgZQdeAgAAtAQAAA4AAAAAAAAAAQAgAAAAKgEAAGRycy9lMm9Eb2MueG1sUEsFBgAA&#10;AAAGAAYAWQEAAPoFAAAAAA==&#10;">
                <v:fill on="t" focussize="0,0"/>
                <v:stroke on="f" weight="1.5pt"/>
                <v:imagedata o:title=""/>
                <o:lock v:ext="edit" aspectratio="f"/>
              </v:rect>
            </w:pict>
          </mc:Fallback>
        </mc:AlternateContent>
      </w:r>
      <w:r>
        <w:rPr>
          <w:color w:val="auto"/>
          <w:sz w:val="21"/>
          <w:highlight w:val="none"/>
        </w:rPr>
        <mc:AlternateContent>
          <mc:Choice Requires="wps">
            <w:drawing>
              <wp:anchor distT="0" distB="0" distL="114300" distR="114300" simplePos="0" relativeHeight="251663360" behindDoc="0" locked="0" layoutInCell="1" allowOverlap="1">
                <wp:simplePos x="0" y="0"/>
                <wp:positionH relativeFrom="column">
                  <wp:posOffset>7035165</wp:posOffset>
                </wp:positionH>
                <wp:positionV relativeFrom="paragraph">
                  <wp:posOffset>3549015</wp:posOffset>
                </wp:positionV>
                <wp:extent cx="106680" cy="96520"/>
                <wp:effectExtent l="9525" t="9525" r="17145" b="27305"/>
                <wp:wrapNone/>
                <wp:docPr id="10" name="矩形 10"/>
                <wp:cNvGraphicFramePr/>
                <a:graphic xmlns:a="http://schemas.openxmlformats.org/drawingml/2006/main">
                  <a:graphicData uri="http://schemas.microsoft.com/office/word/2010/wordprocessingShape">
                    <wps:wsp>
                      <wps:cNvSpPr/>
                      <wps:spPr>
                        <a:xfrm>
                          <a:off x="0" y="0"/>
                          <a:ext cx="106680" cy="96520"/>
                        </a:xfrm>
                        <a:prstGeom prst="rect">
                          <a:avLst/>
                        </a:prstGeom>
                        <a:noFill/>
                        <a:ln w="1905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53.95pt;margin-top:279.45pt;height:7.6pt;width:8.4pt;z-index:251663360;v-text-anchor:middle;mso-width-relative:page;mso-height-relative:page;" filled="f" stroked="t" coordsize="21600,21600" o:gfxdata="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OR&#10;39naAAAADQEAAA8AAAAAAAAAAQAgAAAAIgAAAGRycy9kb3ducmV2LnhtbFBLAQIUABQAAAAIAIdO&#10;4kCvqaLuWgIAALQEAAAOAAAAAAAAAAEAIAAAACkBAABkcnMvZTJvRG9jLnhtbFBLBQYAAAAABgAG&#10;AFkBAAD1BQAAAAA=&#10;">
                <v:fill on="f" focussize="0,0"/>
                <v:stroke weight="1.5pt" color="#92D050 [3204]" joinstyle="round"/>
                <v:imagedata o:title=""/>
                <o:lock v:ext="edit" aspectratio="f"/>
              </v:rect>
            </w:pict>
          </mc:Fallback>
        </mc:AlternateContent>
      </w:r>
      <w:r>
        <w:rPr>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6931660</wp:posOffset>
                </wp:positionH>
                <wp:positionV relativeFrom="paragraph">
                  <wp:posOffset>2846070</wp:posOffset>
                </wp:positionV>
                <wp:extent cx="1536065" cy="1649730"/>
                <wp:effectExtent l="4445" t="4445" r="21590" b="22225"/>
                <wp:wrapNone/>
                <wp:docPr id="7" name="文本框 7"/>
                <wp:cNvGraphicFramePr/>
                <a:graphic xmlns:a="http://schemas.openxmlformats.org/drawingml/2006/main">
                  <a:graphicData uri="http://schemas.microsoft.com/office/word/2010/wordprocessingShape">
                    <wps:wsp>
                      <wps:cNvSpPr txBox="1"/>
                      <wps:spPr>
                        <a:xfrm>
                          <a:off x="0" y="0"/>
                          <a:ext cx="1536065" cy="1649730"/>
                        </a:xfrm>
                        <a:prstGeom prst="rect">
                          <a:avLst/>
                        </a:prstGeom>
                        <a:solidFill>
                          <a:srgbClr val="FFFFFF"/>
                        </a:solidFill>
                        <a:ln w="9525" cap="flat" cmpd="sng">
                          <a:solidFill>
                            <a:srgbClr val="0070C0"/>
                          </a:solidFill>
                          <a:prstDash val="solid"/>
                          <a:miter/>
                          <a:headEnd type="none" w="med" len="med"/>
                          <a:tailEnd type="none" w="med" len="med"/>
                        </a:ln>
                      </wps:spPr>
                      <wps:txbx>
                        <w:txbxContent>
                          <w:p w14:paraId="7E96406D">
                            <w:pPr>
                              <w:jc w:val="center"/>
                            </w:pPr>
                            <w:r>
                              <w:rPr>
                                <w:rFonts w:hint="eastAsia"/>
                              </w:rPr>
                              <w:t>图  例</w:t>
                            </w:r>
                          </w:p>
                          <w:p w14:paraId="1B4E0C89">
                            <w:pPr>
                              <w:keepNext w:val="0"/>
                              <w:keepLines w:val="0"/>
                              <w:pageBreakBefore w:val="0"/>
                              <w:kinsoku/>
                              <w:wordWrap/>
                              <w:overflowPunct/>
                              <w:topLinePunct w:val="0"/>
                              <w:bidi w:val="0"/>
                              <w:adjustRightInd/>
                              <w:snapToGrid/>
                              <w:spacing w:line="240" w:lineRule="auto"/>
                              <w:ind w:right="0"/>
                              <w:textAlignment w:val="auto"/>
                              <w:rPr>
                                <w:rFonts w:hint="default" w:eastAsia="宋体"/>
                                <w:lang w:val="en-US" w:eastAsia="zh-CN"/>
                              </w:rPr>
                            </w:pPr>
                            <w:r>
                              <w:rPr>
                                <w:rFonts w:hint="eastAsia"/>
                                <w:b/>
                                <w:bCs/>
                                <w:color w:val="FF0000"/>
                              </w:rPr>
                              <w:sym w:font="Wingdings 2" w:char="00A3"/>
                            </w:r>
                            <w:r>
                              <w:rPr>
                                <w:rFonts w:hint="eastAsia"/>
                                <w:b/>
                                <w:bCs/>
                                <w:color w:val="FF0000"/>
                                <w:lang w:val="en-US" w:eastAsia="zh-CN"/>
                              </w:rPr>
                              <w:t xml:space="preserve"> </w:t>
                            </w:r>
                            <w:r>
                              <w:rPr>
                                <w:rFonts w:hint="eastAsia"/>
                              </w:rPr>
                              <w:t>项目位置</w:t>
                            </w:r>
                          </w:p>
                          <w:p w14:paraId="10C7F466">
                            <w:pPr>
                              <w:keepNext w:val="0"/>
                              <w:keepLines w:val="0"/>
                              <w:pageBreakBefore w:val="0"/>
                              <w:kinsoku/>
                              <w:wordWrap/>
                              <w:overflowPunct/>
                              <w:topLinePunct w:val="0"/>
                              <w:bidi w:val="0"/>
                              <w:adjustRightInd/>
                              <w:snapToGrid/>
                              <w:spacing w:line="240" w:lineRule="auto"/>
                              <w:ind w:right="0"/>
                              <w:textAlignment w:val="auto"/>
                            </w:pPr>
                            <w:r>
                              <w:rPr>
                                <w:rFonts w:hint="eastAsia"/>
                                <w:b/>
                                <w:bCs/>
                                <w:color w:val="0070C0"/>
                              </w:rPr>
                              <w:sym w:font="Wingdings 2" w:char="00A3"/>
                            </w:r>
                            <w:r>
                              <w:rPr>
                                <w:rFonts w:hint="eastAsia"/>
                                <w:b/>
                                <w:bCs/>
                                <w:color w:val="0070C0"/>
                                <w:lang w:val="en-US" w:eastAsia="zh-CN"/>
                              </w:rPr>
                              <w:t xml:space="preserve"> </w:t>
                            </w:r>
                            <w:r>
                              <w:rPr>
                                <w:rFonts w:hint="eastAsia"/>
                              </w:rPr>
                              <w:t>声环境保护范围</w:t>
                            </w:r>
                          </w:p>
                          <w:p w14:paraId="62590889">
                            <w:pPr>
                              <w:keepNext w:val="0"/>
                              <w:keepLines w:val="0"/>
                              <w:pageBreakBefore w:val="0"/>
                              <w:kinsoku/>
                              <w:wordWrap/>
                              <w:overflowPunct/>
                              <w:topLinePunct w:val="0"/>
                              <w:bidi w:val="0"/>
                              <w:adjustRightInd/>
                              <w:snapToGrid/>
                              <w:spacing w:line="240" w:lineRule="auto"/>
                              <w:ind w:right="0" w:firstLine="210" w:firstLineChars="100"/>
                              <w:textAlignment w:val="auto"/>
                              <w:rPr>
                                <w:rFonts w:hint="eastAsia"/>
                              </w:rPr>
                            </w:pPr>
                            <w:r>
                              <w:rPr>
                                <w:rFonts w:hint="eastAsia"/>
                              </w:rPr>
                              <w:t>大气环境保护范围</w:t>
                            </w:r>
                          </w:p>
                          <w:p w14:paraId="0F2B6D30">
                            <w:pPr>
                              <w:keepNext w:val="0"/>
                              <w:keepLines w:val="0"/>
                              <w:pageBreakBefore w:val="0"/>
                              <w:kinsoku/>
                              <w:wordWrap/>
                              <w:overflowPunct/>
                              <w:topLinePunct w:val="0"/>
                              <w:bidi w:val="0"/>
                              <w:adjustRightInd/>
                              <w:snapToGrid/>
                              <w:spacing w:line="240" w:lineRule="auto"/>
                              <w:ind w:right="0" w:firstLine="210" w:firstLineChars="100"/>
                              <w:textAlignment w:val="auto"/>
                              <w:rPr>
                                <w:rFonts w:hint="eastAsia"/>
                                <w:lang w:val="en-US" w:eastAsia="zh-CN"/>
                              </w:rPr>
                            </w:pPr>
                            <w:r>
                              <w:rPr>
                                <w:rFonts w:hint="eastAsia"/>
                                <w:lang w:val="en-US" w:eastAsia="zh-CN"/>
                              </w:rPr>
                              <w:t>环境保护目标</w:t>
                            </w:r>
                          </w:p>
                          <w:p w14:paraId="35B87140">
                            <w:pPr>
                              <w:pStyle w:val="8"/>
                              <w:keepNext w:val="0"/>
                              <w:keepLines w:val="0"/>
                              <w:pageBreakBefore w:val="0"/>
                              <w:widowControl/>
                              <w:kinsoku/>
                              <w:wordWrap/>
                              <w:overflowPunct/>
                              <w:topLinePunct w:val="0"/>
                              <w:autoSpaceDE/>
                              <w:autoSpaceDN/>
                              <w:bidi w:val="0"/>
                              <w:adjustRightInd/>
                              <w:snapToGrid/>
                              <w:spacing w:after="0"/>
                              <w:ind w:left="0" w:leftChars="0" w:firstLine="630" w:firstLineChars="300"/>
                              <w:textAlignment w:val="auto"/>
                              <w:rPr>
                                <w:rFonts w:hint="eastAsia"/>
                                <w:lang w:val="en-US" w:eastAsia="zh-CN"/>
                              </w:rPr>
                            </w:pPr>
                            <w:r>
                              <w:rPr>
                                <w:rFonts w:hint="eastAsia"/>
                                <w:lang w:val="en-US" w:eastAsia="zh-CN"/>
                              </w:rPr>
                              <w:t>比例尺</w:t>
                            </w:r>
                          </w:p>
                          <w:p w14:paraId="02985E8A">
                            <w:pPr>
                              <w:keepNext w:val="0"/>
                              <w:keepLines w:val="0"/>
                              <w:pageBreakBefore w:val="0"/>
                              <w:widowControl/>
                              <w:kinsoku/>
                              <w:wordWrap/>
                              <w:overflowPunct/>
                              <w:topLinePunct w:val="0"/>
                              <w:autoSpaceDE/>
                              <w:autoSpaceDN/>
                              <w:bidi w:val="0"/>
                              <w:adjustRightInd/>
                              <w:snapToGrid/>
                              <w:jc w:val="center"/>
                              <w:textAlignment w:val="auto"/>
                              <w:rPr>
                                <w:rFonts w:hint="default"/>
                                <w:lang w:val="en-US" w:eastAsia="zh-CN"/>
                              </w:rPr>
                            </w:pPr>
                            <w:r>
                              <w:rPr>
                                <w:rFonts w:hint="default"/>
                                <w:lang w:val="en-US" w:eastAsia="zh-CN"/>
                              </w:rPr>
                              <w:drawing>
                                <wp:inline distT="0" distB="0" distL="114300" distR="114300">
                                  <wp:extent cx="1113790" cy="229870"/>
                                  <wp:effectExtent l="0" t="0" r="10160" b="17780"/>
                                  <wp:docPr id="49" name="图片 49" descr="15120b008fc968446a7afc1988c215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15120b008fc968446a7afc1988c2154c"/>
                                          <pic:cNvPicPr>
                                            <a:picLocks noChangeAspect="1"/>
                                          </pic:cNvPicPr>
                                        </pic:nvPicPr>
                                        <pic:blipFill>
                                          <a:blip r:embed="rId81"/>
                                          <a:stretch>
                                            <a:fillRect/>
                                          </a:stretch>
                                        </pic:blipFill>
                                        <pic:spPr>
                                          <a:xfrm>
                                            <a:off x="0" y="0"/>
                                            <a:ext cx="1113790" cy="229870"/>
                                          </a:xfrm>
                                          <a:prstGeom prst="rect">
                                            <a:avLst/>
                                          </a:prstGeom>
                                        </pic:spPr>
                                      </pic:pic>
                                    </a:graphicData>
                                  </a:graphic>
                                </wp:inline>
                              </w:drawing>
                            </w:r>
                          </w:p>
                        </w:txbxContent>
                      </wps:txbx>
                      <wps:bodyPr upright="1"/>
                    </wps:wsp>
                  </a:graphicData>
                </a:graphic>
              </wp:anchor>
            </w:drawing>
          </mc:Choice>
          <mc:Fallback>
            <w:pict>
              <v:shape id="_x0000_s1026" o:spid="_x0000_s1026" o:spt="202" type="#_x0000_t202" style="position:absolute;left:0pt;margin-left:545.8pt;margin-top:224.1pt;height:129.9pt;width:120.95pt;z-index:251662336;mso-width-relative:page;mso-height-relative:page;" fillcolor="#FFFFFF" filled="t" stroked="t" coordsize="21600,21600" o:gfxdata="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5YFf2wAAAA0BAAAPAAAA&#10;AAAAAAEAIAAAACIAAABkcnMvZG93bnJldi54bWxQSwECFAAUAAAACACHTuJAdIcT1RICAAA3BAAA&#10;DgAAAAAAAAABACAAAAAqAQAAZHJzL2Uyb0RvYy54bWxQSwUGAAAAAAYABgBZAQAArgUAAAAA&#10;">
                <v:fill on="t" focussize="0,0"/>
                <v:stroke color="#0070C0" joinstyle="miter"/>
                <v:imagedata o:title=""/>
                <o:lock v:ext="edit" aspectratio="f"/>
                <v:textbox>
                  <w:txbxContent>
                    <w:p w14:paraId="7E96406D">
                      <w:pPr>
                        <w:jc w:val="center"/>
                      </w:pPr>
                      <w:r>
                        <w:rPr>
                          <w:rFonts w:hint="eastAsia"/>
                        </w:rPr>
                        <w:t>图  例</w:t>
                      </w:r>
                    </w:p>
                    <w:p w14:paraId="1B4E0C89">
                      <w:pPr>
                        <w:keepNext w:val="0"/>
                        <w:keepLines w:val="0"/>
                        <w:pageBreakBefore w:val="0"/>
                        <w:kinsoku/>
                        <w:wordWrap/>
                        <w:overflowPunct/>
                        <w:topLinePunct w:val="0"/>
                        <w:bidi w:val="0"/>
                        <w:adjustRightInd/>
                        <w:snapToGrid/>
                        <w:spacing w:line="240" w:lineRule="auto"/>
                        <w:ind w:right="0"/>
                        <w:textAlignment w:val="auto"/>
                        <w:rPr>
                          <w:rFonts w:hint="default" w:eastAsia="宋体"/>
                          <w:lang w:val="en-US" w:eastAsia="zh-CN"/>
                        </w:rPr>
                      </w:pPr>
                      <w:r>
                        <w:rPr>
                          <w:rFonts w:hint="eastAsia"/>
                          <w:b/>
                          <w:bCs/>
                          <w:color w:val="FF0000"/>
                        </w:rPr>
                        <w:sym w:font="Wingdings 2" w:char="00A3"/>
                      </w:r>
                      <w:r>
                        <w:rPr>
                          <w:rFonts w:hint="eastAsia"/>
                          <w:b/>
                          <w:bCs/>
                          <w:color w:val="FF0000"/>
                          <w:lang w:val="en-US" w:eastAsia="zh-CN"/>
                        </w:rPr>
                        <w:t xml:space="preserve"> </w:t>
                      </w:r>
                      <w:r>
                        <w:rPr>
                          <w:rFonts w:hint="eastAsia"/>
                        </w:rPr>
                        <w:t>项目位置</w:t>
                      </w:r>
                    </w:p>
                    <w:p w14:paraId="10C7F466">
                      <w:pPr>
                        <w:keepNext w:val="0"/>
                        <w:keepLines w:val="0"/>
                        <w:pageBreakBefore w:val="0"/>
                        <w:kinsoku/>
                        <w:wordWrap/>
                        <w:overflowPunct/>
                        <w:topLinePunct w:val="0"/>
                        <w:bidi w:val="0"/>
                        <w:adjustRightInd/>
                        <w:snapToGrid/>
                        <w:spacing w:line="240" w:lineRule="auto"/>
                        <w:ind w:right="0"/>
                        <w:textAlignment w:val="auto"/>
                      </w:pPr>
                      <w:r>
                        <w:rPr>
                          <w:rFonts w:hint="eastAsia"/>
                          <w:b/>
                          <w:bCs/>
                          <w:color w:val="0070C0"/>
                        </w:rPr>
                        <w:sym w:font="Wingdings 2" w:char="00A3"/>
                      </w:r>
                      <w:r>
                        <w:rPr>
                          <w:rFonts w:hint="eastAsia"/>
                          <w:b/>
                          <w:bCs/>
                          <w:color w:val="0070C0"/>
                          <w:lang w:val="en-US" w:eastAsia="zh-CN"/>
                        </w:rPr>
                        <w:t xml:space="preserve"> </w:t>
                      </w:r>
                      <w:r>
                        <w:rPr>
                          <w:rFonts w:hint="eastAsia"/>
                        </w:rPr>
                        <w:t>声环境保护范围</w:t>
                      </w:r>
                    </w:p>
                    <w:p w14:paraId="62590889">
                      <w:pPr>
                        <w:keepNext w:val="0"/>
                        <w:keepLines w:val="0"/>
                        <w:pageBreakBefore w:val="0"/>
                        <w:kinsoku/>
                        <w:wordWrap/>
                        <w:overflowPunct/>
                        <w:topLinePunct w:val="0"/>
                        <w:bidi w:val="0"/>
                        <w:adjustRightInd/>
                        <w:snapToGrid/>
                        <w:spacing w:line="240" w:lineRule="auto"/>
                        <w:ind w:right="0" w:firstLine="210" w:firstLineChars="100"/>
                        <w:textAlignment w:val="auto"/>
                        <w:rPr>
                          <w:rFonts w:hint="eastAsia"/>
                        </w:rPr>
                      </w:pPr>
                      <w:r>
                        <w:rPr>
                          <w:rFonts w:hint="eastAsia"/>
                        </w:rPr>
                        <w:t>大气环境保护范围</w:t>
                      </w:r>
                    </w:p>
                    <w:p w14:paraId="0F2B6D30">
                      <w:pPr>
                        <w:keepNext w:val="0"/>
                        <w:keepLines w:val="0"/>
                        <w:pageBreakBefore w:val="0"/>
                        <w:kinsoku/>
                        <w:wordWrap/>
                        <w:overflowPunct/>
                        <w:topLinePunct w:val="0"/>
                        <w:bidi w:val="0"/>
                        <w:adjustRightInd/>
                        <w:snapToGrid/>
                        <w:spacing w:line="240" w:lineRule="auto"/>
                        <w:ind w:right="0" w:firstLine="210" w:firstLineChars="100"/>
                        <w:textAlignment w:val="auto"/>
                        <w:rPr>
                          <w:rFonts w:hint="eastAsia"/>
                          <w:lang w:val="en-US" w:eastAsia="zh-CN"/>
                        </w:rPr>
                      </w:pPr>
                      <w:r>
                        <w:rPr>
                          <w:rFonts w:hint="eastAsia"/>
                          <w:lang w:val="en-US" w:eastAsia="zh-CN"/>
                        </w:rPr>
                        <w:t>环境保护目标</w:t>
                      </w:r>
                    </w:p>
                    <w:p w14:paraId="35B87140">
                      <w:pPr>
                        <w:pStyle w:val="8"/>
                        <w:keepNext w:val="0"/>
                        <w:keepLines w:val="0"/>
                        <w:pageBreakBefore w:val="0"/>
                        <w:widowControl/>
                        <w:kinsoku/>
                        <w:wordWrap/>
                        <w:overflowPunct/>
                        <w:topLinePunct w:val="0"/>
                        <w:autoSpaceDE/>
                        <w:autoSpaceDN/>
                        <w:bidi w:val="0"/>
                        <w:adjustRightInd/>
                        <w:snapToGrid/>
                        <w:spacing w:after="0"/>
                        <w:ind w:left="0" w:leftChars="0" w:firstLine="630" w:firstLineChars="300"/>
                        <w:textAlignment w:val="auto"/>
                        <w:rPr>
                          <w:rFonts w:hint="eastAsia"/>
                          <w:lang w:val="en-US" w:eastAsia="zh-CN"/>
                        </w:rPr>
                      </w:pPr>
                      <w:r>
                        <w:rPr>
                          <w:rFonts w:hint="eastAsia"/>
                          <w:lang w:val="en-US" w:eastAsia="zh-CN"/>
                        </w:rPr>
                        <w:t>比例尺</w:t>
                      </w:r>
                    </w:p>
                    <w:p w14:paraId="02985E8A">
                      <w:pPr>
                        <w:keepNext w:val="0"/>
                        <w:keepLines w:val="0"/>
                        <w:pageBreakBefore w:val="0"/>
                        <w:widowControl/>
                        <w:kinsoku/>
                        <w:wordWrap/>
                        <w:overflowPunct/>
                        <w:topLinePunct w:val="0"/>
                        <w:autoSpaceDE/>
                        <w:autoSpaceDN/>
                        <w:bidi w:val="0"/>
                        <w:adjustRightInd/>
                        <w:snapToGrid/>
                        <w:jc w:val="center"/>
                        <w:textAlignment w:val="auto"/>
                        <w:rPr>
                          <w:rFonts w:hint="default"/>
                          <w:lang w:val="en-US" w:eastAsia="zh-CN"/>
                        </w:rPr>
                      </w:pPr>
                      <w:r>
                        <w:rPr>
                          <w:rFonts w:hint="default"/>
                          <w:lang w:val="en-US" w:eastAsia="zh-CN"/>
                        </w:rPr>
                        <w:drawing>
                          <wp:inline distT="0" distB="0" distL="114300" distR="114300">
                            <wp:extent cx="1113790" cy="229870"/>
                            <wp:effectExtent l="0" t="0" r="10160" b="17780"/>
                            <wp:docPr id="49" name="图片 49" descr="15120b008fc968446a7afc1988c215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15120b008fc968446a7afc1988c2154c"/>
                                    <pic:cNvPicPr>
                                      <a:picLocks noChangeAspect="1"/>
                                    </pic:cNvPicPr>
                                  </pic:nvPicPr>
                                  <pic:blipFill>
                                    <a:blip r:embed="rId81"/>
                                    <a:stretch>
                                      <a:fillRect/>
                                    </a:stretch>
                                  </pic:blipFill>
                                  <pic:spPr>
                                    <a:xfrm>
                                      <a:off x="0" y="0"/>
                                      <a:ext cx="1113790" cy="229870"/>
                                    </a:xfrm>
                                    <a:prstGeom prst="rect">
                                      <a:avLst/>
                                    </a:prstGeom>
                                  </pic:spPr>
                                </pic:pic>
                              </a:graphicData>
                            </a:graphic>
                          </wp:inline>
                        </w:drawing>
                      </w:r>
                    </w:p>
                  </w:txbxContent>
                </v:textbox>
              </v:shape>
            </w:pict>
          </mc:Fallback>
        </mc:AlternateContent>
      </w:r>
      <w:r>
        <w:rPr>
          <w:color w:val="auto"/>
          <w:highlight w:val="none"/>
        </w:rPr>
        <w:drawing>
          <wp:anchor distT="0" distB="0" distL="114300" distR="114300" simplePos="0" relativeHeight="251664384" behindDoc="0" locked="0" layoutInCell="1" allowOverlap="1">
            <wp:simplePos x="0" y="0"/>
            <wp:positionH relativeFrom="column">
              <wp:posOffset>7640955</wp:posOffset>
            </wp:positionH>
            <wp:positionV relativeFrom="paragraph">
              <wp:posOffset>104775</wp:posOffset>
            </wp:positionV>
            <wp:extent cx="830580" cy="883285"/>
            <wp:effectExtent l="0" t="0" r="7620" b="12065"/>
            <wp:wrapNone/>
            <wp:docPr id="9" name="图片 222" descr="C:/Users/admin/Desktop/鸡西风玫瑰.png鸡西风玫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22" descr="C:/Users/admin/Desktop/鸡西风玫瑰.png鸡西风玫瑰"/>
                    <pic:cNvPicPr>
                      <a:picLocks noChangeAspect="1"/>
                    </pic:cNvPicPr>
                  </pic:nvPicPr>
                  <pic:blipFill>
                    <a:blip r:embed="rId73"/>
                    <a:srcRect l="4170" r="4170"/>
                    <a:stretch>
                      <a:fillRect/>
                    </a:stretch>
                  </pic:blipFill>
                  <pic:spPr>
                    <a:xfrm>
                      <a:off x="0" y="0"/>
                      <a:ext cx="830580" cy="883285"/>
                    </a:xfrm>
                    <a:prstGeom prst="rect">
                      <a:avLst/>
                    </a:prstGeom>
                    <a:noFill/>
                    <a:ln>
                      <a:noFill/>
                    </a:ln>
                  </pic:spPr>
                </pic:pic>
              </a:graphicData>
            </a:graphic>
          </wp:anchor>
        </w:drawing>
      </w:r>
      <w:r>
        <w:rPr>
          <w:rFonts w:hint="eastAsia" w:eastAsia="宋体"/>
          <w:color w:val="auto"/>
          <w:highlight w:val="none"/>
          <w:lang w:eastAsia="zh-CN"/>
        </w:rPr>
        <w:drawing>
          <wp:inline distT="0" distB="0" distL="114300" distR="114300">
            <wp:extent cx="8480425" cy="4407535"/>
            <wp:effectExtent l="0" t="0" r="15875" b="12065"/>
            <wp:docPr id="65" name="图片 65" descr="环境保护目标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环境保护目标图"/>
                    <pic:cNvPicPr>
                      <a:picLocks noChangeAspect="1"/>
                    </pic:cNvPicPr>
                  </pic:nvPicPr>
                  <pic:blipFill>
                    <a:blip r:embed="rId82"/>
                    <a:stretch>
                      <a:fillRect/>
                    </a:stretch>
                  </pic:blipFill>
                  <pic:spPr>
                    <a:xfrm>
                      <a:off x="0" y="0"/>
                      <a:ext cx="8480425" cy="4407535"/>
                    </a:xfrm>
                    <a:prstGeom prst="rect">
                      <a:avLst/>
                    </a:prstGeom>
                  </pic:spPr>
                </pic:pic>
              </a:graphicData>
            </a:graphic>
          </wp:inline>
        </w:drawing>
      </w:r>
    </w:p>
    <w:p w14:paraId="1B72C42F">
      <w:pPr>
        <w:pStyle w:val="2"/>
        <w:keepNext w:val="0"/>
        <w:keepLines w:val="0"/>
        <w:pageBreakBefore w:val="0"/>
        <w:widowControl/>
        <w:kinsoku/>
        <w:wordWrap/>
        <w:overflowPunct/>
        <w:topLinePunct w:val="0"/>
        <w:autoSpaceDE/>
        <w:autoSpaceDN/>
        <w:bidi w:val="0"/>
        <w:adjustRightInd/>
        <w:snapToGrid/>
        <w:spacing w:before="0" w:after="0" w:line="260" w:lineRule="auto"/>
        <w:ind w:left="0" w:firstLine="0"/>
        <w:jc w:val="center"/>
        <w:textAlignment w:val="auto"/>
        <w:rPr>
          <w:rFonts w:hint="eastAsia" w:ascii="宋体" w:hAnsi="宋体" w:eastAsia="宋体" w:cs="宋体"/>
          <w:b/>
          <w:bCs/>
          <w:color w:val="auto"/>
          <w:sz w:val="21"/>
          <w:szCs w:val="21"/>
          <w:highlight w:val="none"/>
        </w:rPr>
      </w:pPr>
      <w:bookmarkStart w:id="73" w:name="_Toc30150"/>
      <w:r>
        <w:rPr>
          <w:rFonts w:hint="default" w:ascii="Times New Roman" w:hAnsi="Times New Roman" w:eastAsia="宋体" w:cs="Times New Roman"/>
          <w:b/>
          <w:bCs/>
          <w:color w:val="auto"/>
          <w:kern w:val="0"/>
          <w:sz w:val="21"/>
          <w:szCs w:val="21"/>
          <w:highlight w:val="none"/>
        </w:rPr>
        <w:t>附图</w:t>
      </w:r>
      <w:r>
        <w:rPr>
          <w:rFonts w:hint="eastAsia" w:eastAsia="宋体" w:cs="Times New Roman"/>
          <w:b/>
          <w:bCs/>
          <w:color w:val="auto"/>
          <w:kern w:val="0"/>
          <w:sz w:val="21"/>
          <w:szCs w:val="21"/>
          <w:highlight w:val="none"/>
          <w:lang w:val="en-US" w:eastAsia="zh-CN"/>
        </w:rPr>
        <w:t>4</w:t>
      </w:r>
      <w:r>
        <w:rPr>
          <w:rFonts w:hint="eastAsia" w:ascii="宋体" w:hAnsi="宋体" w:eastAsia="宋体" w:cs="宋体"/>
          <w:b/>
          <w:bCs/>
          <w:color w:val="auto"/>
          <w:kern w:val="0"/>
          <w:sz w:val="21"/>
          <w:szCs w:val="21"/>
          <w:highlight w:val="none"/>
        </w:rPr>
        <w:t>周围环境保护目标分布图</w:t>
      </w:r>
    </w:p>
    <w:p w14:paraId="6F5BE37E">
      <w:pPr>
        <w:rPr>
          <w:rFonts w:hint="default"/>
          <w:color w:val="auto"/>
          <w:highlight w:val="none"/>
          <w:lang w:eastAsia="zh-CN"/>
        </w:rPr>
      </w:pPr>
      <w:r>
        <w:rPr>
          <w:rFonts w:hint="eastAsia" w:ascii="宋体" w:hAnsi="宋体" w:eastAsia="宋体" w:cs="宋体"/>
          <w:b/>
          <w:bCs/>
          <w:color w:val="auto"/>
          <w:sz w:val="21"/>
          <w:szCs w:val="21"/>
          <w:highlight w:val="none"/>
        </w:rPr>
        <w:br w:type="page"/>
      </w:r>
      <w:bookmarkEnd w:id="73"/>
    </w:p>
    <w:p w14:paraId="45A90227">
      <w:pPr>
        <w:bidi w:val="0"/>
        <w:jc w:val="center"/>
        <w:rPr>
          <w:rFonts w:hint="eastAsia" w:eastAsia="黑体"/>
          <w:color w:val="auto"/>
          <w:sz w:val="21"/>
          <w:szCs w:val="21"/>
          <w:highlight w:val="none"/>
          <w:lang w:eastAsia="zh-CN"/>
        </w:rPr>
      </w:pPr>
      <w:r>
        <w:rPr>
          <w:rFonts w:hint="eastAsia" w:eastAsia="黑体"/>
          <w:color w:val="auto"/>
          <w:sz w:val="21"/>
          <w:szCs w:val="21"/>
          <w:highlight w:val="none"/>
          <w:lang w:eastAsia="zh-CN"/>
        </w:rPr>
        <w:object>
          <v:shape id="_x0000_i1029" o:spt="75" type="#_x0000_t75" style="height:303pt;width:578.25pt;" o:ole="t" filled="f" o:preferrelative="t" stroked="f" coordsize="21600,21600">
            <v:path/>
            <v:fill on="f" focussize="0,0"/>
            <v:stroke on="f"/>
            <v:imagedata r:id="rId84" o:title=""/>
            <o:lock v:ext="edit" aspectratio="f"/>
            <w10:wrap type="none"/>
            <w10:anchorlock/>
          </v:shape>
          <o:OLEObject Type="Embed" ProgID="Visio.Drawing.11" ShapeID="_x0000_i1029" DrawAspect="Content" ObjectID="_1468075729" r:id="rId83">
            <o:LockedField>false</o:LockedField>
          </o:OLEObject>
        </w:object>
      </w:r>
    </w:p>
    <w:p w14:paraId="237E926E">
      <w:pPr>
        <w:pStyle w:val="2"/>
        <w:keepNext w:val="0"/>
        <w:keepLines w:val="0"/>
        <w:pageBreakBefore w:val="0"/>
        <w:widowControl/>
        <w:kinsoku/>
        <w:wordWrap/>
        <w:overflowPunct/>
        <w:topLinePunct w:val="0"/>
        <w:autoSpaceDE/>
        <w:autoSpaceDN/>
        <w:bidi w:val="0"/>
        <w:adjustRightInd/>
        <w:snapToGrid/>
        <w:spacing w:before="0" w:after="0" w:line="260" w:lineRule="auto"/>
        <w:ind w:left="0" w:firstLine="0"/>
        <w:jc w:val="center"/>
        <w:textAlignment w:val="auto"/>
        <w:rPr>
          <w:rFonts w:hint="default"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附图</w:t>
      </w:r>
      <w:r>
        <w:rPr>
          <w:rFonts w:hint="eastAsia" w:eastAsia="宋体" w:cs="Times New Roman"/>
          <w:color w:val="auto"/>
          <w:sz w:val="21"/>
          <w:szCs w:val="21"/>
          <w:highlight w:val="none"/>
          <w:lang w:val="en-US" w:eastAsia="zh-CN"/>
        </w:rPr>
        <w:t>5入河排污口位置、排污管线及排水路线图</w:t>
      </w:r>
    </w:p>
    <w:p w14:paraId="4A439E38">
      <w:pPr>
        <w:rPr>
          <w:rFonts w:hint="eastAsia"/>
          <w:color w:val="auto"/>
          <w:highlight w:val="none"/>
          <w:lang w:val="en-US" w:eastAsia="zh-CN"/>
        </w:rPr>
      </w:pPr>
      <w:r>
        <w:rPr>
          <w:rFonts w:hint="eastAsia" w:eastAsia="宋体" w:cs="Times New Roman"/>
          <w:color w:val="auto"/>
          <w:sz w:val="21"/>
          <w:szCs w:val="21"/>
          <w:highlight w:val="none"/>
          <w:lang w:val="en-US" w:eastAsia="zh-CN"/>
        </w:rPr>
        <w:br w:type="page"/>
      </w:r>
    </w:p>
    <w:p w14:paraId="3BE81074">
      <w:pPr>
        <w:jc w:val="center"/>
        <w:rPr>
          <w:rFonts w:hint="eastAsia" w:eastAsia="宋体"/>
          <w:color w:val="auto"/>
          <w:highlight w:val="none"/>
          <w:lang w:eastAsia="zh-CN"/>
        </w:rPr>
      </w:pPr>
      <w:bookmarkStart w:id="74" w:name="_Toc29471"/>
      <w:r>
        <w:rPr>
          <w:rFonts w:hint="eastAsia" w:eastAsia="宋体"/>
          <w:color w:val="auto"/>
          <w:highlight w:val="none"/>
          <w:lang w:eastAsia="zh-CN"/>
        </w:rPr>
        <w:object>
          <v:shape id="_x0000_i1030" o:spt="75" type="#_x0000_t75" style="height:290.25pt;width:525.75pt;" o:ole="t" filled="f" o:preferrelative="t" stroked="f" coordsize="21600,21600">
            <v:path/>
            <v:fill on="f" focussize="0,0"/>
            <v:stroke on="f"/>
            <v:imagedata r:id="rId86" o:title=""/>
            <o:lock v:ext="edit" aspectratio="f"/>
            <w10:wrap type="none"/>
            <w10:anchorlock/>
          </v:shape>
          <o:OLEObject Type="Embed" ProgID="Visio.Drawing.11" ShapeID="_x0000_i1030" DrawAspect="Content" ObjectID="_1468075730" r:id="rId85">
            <o:LockedField>false</o:LockedField>
          </o:OLEObject>
        </w:object>
      </w:r>
    </w:p>
    <w:p w14:paraId="3C6E0EF4">
      <w:pPr>
        <w:pStyle w:val="2"/>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textAlignment w:val="auto"/>
        <w:rPr>
          <w:color w:val="auto"/>
          <w:sz w:val="21"/>
          <w:szCs w:val="21"/>
          <w:highlight w:val="none"/>
        </w:rPr>
      </w:pPr>
      <w:r>
        <w:rPr>
          <w:rFonts w:hint="default" w:ascii="Times New Roman" w:hAnsi="Times New Roman" w:eastAsia="宋体" w:cs="Times New Roman"/>
          <w:color w:val="auto"/>
          <w:sz w:val="21"/>
          <w:szCs w:val="21"/>
          <w:highlight w:val="none"/>
        </w:rPr>
        <w:t>附图</w:t>
      </w:r>
      <w:r>
        <w:rPr>
          <w:rFonts w:hint="eastAsia" w:eastAsia="宋体" w:cs="Times New Roman"/>
          <w:color w:val="auto"/>
          <w:sz w:val="21"/>
          <w:szCs w:val="21"/>
          <w:highlight w:val="none"/>
          <w:lang w:val="en-US" w:eastAsia="zh-CN"/>
        </w:rPr>
        <w:t xml:space="preserve">6 </w:t>
      </w:r>
      <w:bookmarkEnd w:id="74"/>
      <w:r>
        <w:rPr>
          <w:rFonts w:hint="eastAsia" w:eastAsia="宋体" w:cs="Times New Roman"/>
          <w:color w:val="auto"/>
          <w:sz w:val="21"/>
          <w:szCs w:val="21"/>
          <w:highlight w:val="none"/>
          <w:lang w:val="en-US" w:eastAsia="zh-CN"/>
        </w:rPr>
        <w:t>厂区平面布置</w:t>
      </w:r>
      <w:r>
        <w:rPr>
          <w:rFonts w:hint="eastAsia" w:eastAsia="宋体" w:cs="Times New Roman"/>
          <w:color w:val="auto"/>
          <w:sz w:val="21"/>
          <w:szCs w:val="21"/>
          <w:highlight w:val="none"/>
          <w:lang w:eastAsia="zh-CN"/>
        </w:rPr>
        <w:t>图</w:t>
      </w:r>
    </w:p>
    <w:bookmarkEnd w:id="75"/>
    <w:sectPr>
      <w:footerReference r:id="rId11" w:type="default"/>
      <w:pgSz w:w="16781" w:h="11849" w:orient="landscape"/>
      <w:pgMar w:top="1531" w:right="1701" w:bottom="1531" w:left="1701" w:header="851" w:footer="1077" w:gutter="0"/>
      <w:pgBorders>
        <w:top w:val="none" w:sz="0" w:space="0"/>
        <w:left w:val="none" w:sz="0" w:space="0"/>
        <w:bottom w:val="none" w:sz="0" w:space="0"/>
        <w:right w:val="none" w:sz="0" w:space="0"/>
      </w:pgBorders>
      <w:pgNumType w:fmt="decimal"/>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0C9B7FB-B700-49AD-947D-8AB97F534E5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79C936A-3B2A-446E-AE3A-4282F927D8F0}"/>
  </w:font>
  <w:font w:name="仿宋_GB2312">
    <w:panose1 w:val="02010609030101010101"/>
    <w:charset w:val="86"/>
    <w:family w:val="modern"/>
    <w:pitch w:val="default"/>
    <w:sig w:usb0="00000001" w:usb1="080E0000" w:usb2="00000000" w:usb3="00000000" w:csb0="00040000" w:csb1="00000000"/>
    <w:embedRegular r:id="rId3" w:fontKey="{5BCF1783-20E4-4339-A6AF-F26B3DE59A8B}"/>
  </w:font>
  <w:font w:name="华文行楷">
    <w:panose1 w:val="02010800040101010101"/>
    <w:charset w:val="86"/>
    <w:family w:val="auto"/>
    <w:pitch w:val="default"/>
    <w:sig w:usb0="00000001" w:usb1="080F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new times roma">
    <w:altName w:val="Times New Roman"/>
    <w:panose1 w:val="00000000000000000000"/>
    <w:charset w:val="00"/>
    <w:family w:val="auto"/>
    <w:pitch w:val="default"/>
    <w:sig w:usb0="00000000" w:usb1="00000000" w:usb2="00000000" w:usb3="00000000" w:csb0="00040001" w:csb1="00000000"/>
  </w:font>
  <w:font w:name="DF Kai Shu">
    <w:altName w:val="宋体"/>
    <w:panose1 w:val="00000000000000000000"/>
    <w:charset w:val="86"/>
    <w:family w:val="script"/>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embedRegular r:id="rId4" w:fontKey="{04C101B9-B87B-489F-B963-E04F597A2359}"/>
  </w:font>
  <w:font w:name="Helvetica">
    <w:altName w:val="Arial"/>
    <w:panose1 w:val="00000000000000000000"/>
    <w:charset w:val="00"/>
    <w:family w:val="auto"/>
    <w:pitch w:val="default"/>
    <w:sig w:usb0="00000000" w:usb1="00000000" w:usb2="00000000" w:usb3="00000000" w:csb0="00000000" w:csb1="00000000"/>
    <w:embedRegular r:id="rId5" w:fontKey="{3A75FB02-644C-4741-A3B3-7706A4843630}"/>
  </w:font>
  <w:font w:name="Segoe UI">
    <w:panose1 w:val="020B0502040204020203"/>
    <w:charset w:val="00"/>
    <w:family w:val="auto"/>
    <w:pitch w:val="default"/>
    <w:sig w:usb0="E4002EFF" w:usb1="C000E47F" w:usb2="00000009" w:usb3="00000000" w:csb0="200001FF" w:csb1="00000000"/>
    <w:embedRegular r:id="rId6" w:fontKey="{DC2A8005-47CF-42BD-9EB0-CED23A584441}"/>
  </w:font>
  <w:font w:name="Cambria Math">
    <w:panose1 w:val="02040503050406030204"/>
    <w:charset w:val="00"/>
    <w:family w:val="auto"/>
    <w:pitch w:val="default"/>
    <w:sig w:usb0="E00006FF" w:usb1="420024FF" w:usb2="02000000" w:usb3="00000000" w:csb0="2000019F" w:csb1="00000000"/>
    <w:embedRegular r:id="rId7" w:fontKey="{69E80AE8-060A-4980-B0DC-713D4F4DE3D5}"/>
  </w:font>
  <w:font w:name="等线">
    <w:panose1 w:val="02010600030101010101"/>
    <w:charset w:val="86"/>
    <w:family w:val="auto"/>
    <w:pitch w:val="default"/>
    <w:sig w:usb0="A00002BF" w:usb1="38CF7CFA" w:usb2="00000016" w:usb3="00000000" w:csb0="0004000F" w:csb1="00000000"/>
    <w:embedRegular r:id="rId8" w:fontKey="{37521A2C-7197-4C1D-8F9D-7AB467932EC9}"/>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5AEF1">
    <w:pPr>
      <w:pStyle w:val="19"/>
      <w:tabs>
        <w:tab w:val="center" w:pos="4121"/>
        <w:tab w:val="clear" w:pos="4153"/>
      </w:tabs>
      <w:ind w:right="360" w:firstLine="360"/>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EC021">
    <w:pPr>
      <w:pStyle w:val="19"/>
      <w:tabs>
        <w:tab w:val="center" w:pos="4121"/>
        <w:tab w:val="clear" w:pos="4153"/>
      </w:tabs>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C47F3F">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33C47F3F">
                    <w:pPr>
                      <w:pStyle w:val="19"/>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8ACAD">
    <w:pPr>
      <w:pStyle w:val="19"/>
      <w:tabs>
        <w:tab w:val="center" w:pos="4121"/>
        <w:tab w:val="clear" w:pos="4153"/>
      </w:tabs>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30BCB0">
                          <w:pPr>
                            <w:pStyle w:val="19"/>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3130BCB0">
                    <w:pPr>
                      <w:pStyle w:val="19"/>
                    </w:pPr>
                    <w:r>
                      <w:fldChar w:fldCharType="begin"/>
                    </w:r>
                    <w:r>
                      <w:instrText xml:space="preserve"> PAGE  \* MERGEFORMAT </w:instrText>
                    </w:r>
                    <w:r>
                      <w:fldChar w:fldCharType="separate"/>
                    </w:r>
                    <w:r>
                      <w:t>28</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9C4C5">
    <w:pPr>
      <w:spacing w:line="173" w:lineRule="auto"/>
      <w:ind w:left="4490"/>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8C0654">
                          <w:pPr>
                            <w:pStyle w:val="19"/>
                          </w:pPr>
                          <w:r>
                            <w:fldChar w:fldCharType="begin"/>
                          </w:r>
                          <w:r>
                            <w:instrText xml:space="preserve"> PAGE  \* MERGEFORMAT </w:instrText>
                          </w:r>
                          <w:r>
                            <w:fldChar w:fldCharType="separate"/>
                          </w:r>
                          <w:r>
                            <w:t>- 82 -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hLPQ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bhLPQzAgAAYwQAAA4AAAAAAAAAAQAgAAAAHwEAAGRycy9lMm9Eb2MueG1sUEsF&#10;BgAAAAAGAAYAWQEAAMQFAAAAAA==&#10;">
              <v:fill on="f" focussize="0,0"/>
              <v:stroke on="f" weight="0.5pt"/>
              <v:imagedata o:title=""/>
              <o:lock v:ext="edit" aspectratio="f"/>
              <v:textbox inset="0mm,0mm,0mm,0mm" style="mso-fit-shape-to-text:t;">
                <w:txbxContent>
                  <w:p w14:paraId="7A8C0654">
                    <w:pPr>
                      <w:pStyle w:val="19"/>
                    </w:pPr>
                    <w:r>
                      <w:fldChar w:fldCharType="begin"/>
                    </w:r>
                    <w:r>
                      <w:instrText xml:space="preserve"> PAGE  \* MERGEFORMAT </w:instrText>
                    </w:r>
                    <w:r>
                      <w:fldChar w:fldCharType="separate"/>
                    </w:r>
                    <w:r>
                      <w:t>- 82 -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12388">
    <w:pPr>
      <w:pStyle w:val="19"/>
      <w:rPr>
        <w:rFonts w:hint="default"/>
        <w:lang w:val="en-US" w:eastAsia="zh-CN"/>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1A2BAF">
                          <w:pPr>
                            <w:pStyle w:val="19"/>
                          </w:pPr>
                          <w:r>
                            <w:fldChar w:fldCharType="begin"/>
                          </w:r>
                          <w:r>
                            <w:instrText xml:space="preserve"> PAGE  \* MERGEFORMAT </w:instrText>
                          </w:r>
                          <w:r>
                            <w:fldChar w:fldCharType="separate"/>
                          </w:r>
                          <w:r>
                            <w:t>- 87 -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82AzAgAAYwQAAA4AAABkcnMvZTJvRG9jLnhtbK1UzY7TMBC+I/EO&#10;lu80aRGrUj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82AzAgAAYwQAAA4AAAAAAAAAAQAgAAAAHwEAAGRycy9lMm9Eb2MueG1sUEsF&#10;BgAAAAAGAAYAWQEAAMQFAAAAAA==&#10;">
              <v:fill on="f" focussize="0,0"/>
              <v:stroke on="f" weight="0.5pt"/>
              <v:imagedata o:title=""/>
              <o:lock v:ext="edit" aspectratio="f"/>
              <v:textbox inset="0mm,0mm,0mm,0mm" style="mso-fit-shape-to-text:t;">
                <w:txbxContent>
                  <w:p w14:paraId="181A2BAF">
                    <w:pPr>
                      <w:pStyle w:val="19"/>
                    </w:pPr>
                    <w:r>
                      <w:fldChar w:fldCharType="begin"/>
                    </w:r>
                    <w:r>
                      <w:instrText xml:space="preserve"> PAGE  \* MERGEFORMAT </w:instrText>
                    </w:r>
                    <w:r>
                      <w:fldChar w:fldCharType="separate"/>
                    </w:r>
                    <w:r>
                      <w:t>- 87 -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ED3DD">
    <w:pPr>
      <w:spacing w:line="176" w:lineRule="auto"/>
      <w:ind w:left="691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721717">
                          <w:pPr>
                            <w:pStyle w:val="19"/>
                          </w:pPr>
                          <w:r>
                            <w:fldChar w:fldCharType="begin"/>
                          </w:r>
                          <w:r>
                            <w:instrText xml:space="preserve"> PAGE  \* MERGEFORMAT </w:instrText>
                          </w:r>
                          <w:r>
                            <w:fldChar w:fldCharType="separate"/>
                          </w:r>
                          <w:r>
                            <w:t>- 101 -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Oos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OoszAgAAYwQAAA4AAAAAAAAAAQAgAAAAHwEAAGRycy9lMm9Eb2MueG1sUEsF&#10;BgAAAAAGAAYAWQEAAMQFAAAAAA==&#10;">
              <v:fill on="f" focussize="0,0"/>
              <v:stroke on="f" weight="0.5pt"/>
              <v:imagedata o:title=""/>
              <o:lock v:ext="edit" aspectratio="f"/>
              <v:textbox inset="0mm,0mm,0mm,0mm" style="mso-fit-shape-to-text:t;">
                <w:txbxContent>
                  <w:p w14:paraId="4E721717">
                    <w:pPr>
                      <w:pStyle w:val="19"/>
                    </w:pPr>
                    <w:r>
                      <w:fldChar w:fldCharType="begin"/>
                    </w:r>
                    <w:r>
                      <w:instrText xml:space="preserve"> PAGE  \* MERGEFORMAT </w:instrText>
                    </w:r>
                    <w:r>
                      <w:fldChar w:fldCharType="separate"/>
                    </w:r>
                    <w:r>
                      <w:t>- 101 -</w:t>
                    </w:r>
                    <w:r>
                      <w:fldChar w:fldCharType="end"/>
                    </w:r>
                  </w:p>
                </w:txbxContent>
              </v:textbox>
            </v:shape>
          </w:pict>
        </mc:Fallback>
      </mc:AlternateContent>
    </w: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098E99">
                          <w:pPr>
                            <w:pStyle w:val="19"/>
                            <w:rPr>
                              <w:rFonts w:hint="default" w:ascii="Times New Roman" w:hAnsi="Times New Roman" w:eastAsia="宋体" w:cs="Times New Roman"/>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20098E99">
                    <w:pPr>
                      <w:pStyle w:val="19"/>
                      <w:rPr>
                        <w:rFonts w:hint="default" w:ascii="Times New Roman" w:hAnsi="Times New Roman" w:eastAsia="宋体" w:cs="Times New Roman"/>
                        <w:lang w:val="en-US" w:eastAsia="zh-CN"/>
                      </w:rPr>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8127C">
    <w:pPr>
      <w:pStyle w:val="19"/>
      <w:tabs>
        <w:tab w:val="center" w:pos="4121"/>
        <w:tab w:val="clear" w:pos="4153"/>
        <w:tab w:val="clear" w:pos="8306"/>
      </w:tabs>
      <w:ind w:right="360" w:firstLine="360"/>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AD8F01">
                          <w:pPr>
                            <w:pStyle w:val="19"/>
                          </w:pPr>
                          <w:r>
                            <w:fldChar w:fldCharType="begin"/>
                          </w:r>
                          <w:r>
                            <w:instrText xml:space="preserve"> PAGE  \* MERGEFORMAT </w:instrText>
                          </w:r>
                          <w:r>
                            <w:fldChar w:fldCharType="separate"/>
                          </w:r>
                          <w:r>
                            <w:t>- 120 -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7rWQ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7rWQzAgAAYwQAAA4AAAAAAAAAAQAgAAAAHwEAAGRycy9lMm9Eb2MueG1sUEsF&#10;BgAAAAAGAAYAWQEAAMQFAAAAAA==&#10;">
              <v:fill on="f" focussize="0,0"/>
              <v:stroke on="f" weight="0.5pt"/>
              <v:imagedata o:title=""/>
              <o:lock v:ext="edit" aspectratio="f"/>
              <v:textbox inset="0mm,0mm,0mm,0mm" style="mso-fit-shape-to-text:t;">
                <w:txbxContent>
                  <w:p w14:paraId="6BAD8F01">
                    <w:pPr>
                      <w:pStyle w:val="19"/>
                    </w:pPr>
                    <w:r>
                      <w:fldChar w:fldCharType="begin"/>
                    </w:r>
                    <w:r>
                      <w:instrText xml:space="preserve"> PAGE  \* MERGEFORMAT </w:instrText>
                    </w:r>
                    <w:r>
                      <w:fldChar w:fldCharType="separate"/>
                    </w:r>
                    <w:r>
                      <w:t>- 120 -</w:t>
                    </w:r>
                    <w:r>
                      <w:fldChar w:fldCharType="end"/>
                    </w:r>
                  </w:p>
                </w:txbxContent>
              </v:textbox>
            </v:shape>
          </w:pict>
        </mc:Fallback>
      </mc:AlternateContent>
    </w:r>
    <w:r>
      <w:rPr>
        <w:sz w:val="18"/>
      </w:rPr>
      <mc:AlternateContent>
        <mc:Choice Requires="wps">
          <w:drawing>
            <wp:inline distT="0" distB="0" distL="114300" distR="114300">
              <wp:extent cx="1828800" cy="1828800"/>
              <wp:effectExtent l="0" t="0" r="0" b="0"/>
              <wp:docPr id="90" name="文本框 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99E66F">
                          <w:pPr>
                            <w:pStyle w:val="1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inline>
          </w:drawing>
        </mc:Choice>
        <mc:Fallback>
          <w:pict>
            <v:shape id="_x0000_s1026" o:spid="_x0000_s1026" o:spt="202" type="#_x0000_t202" style="height:144pt;width:144pt;mso-wrap-style:non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FZI8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FZI8zAgAAYwQAAA4AAAAAAAAAAQAgAAAAHwEAAGRycy9lMm9Eb2MueG1sUEsF&#10;BgAAAAAGAAYAWQEAAMQFAAAAAA==&#10;">
              <v:fill on="f" focussize="0,0"/>
              <v:stroke on="f" weight="0.5pt"/>
              <v:imagedata o:title=""/>
              <o:lock v:ext="edit" aspectratio="f"/>
              <v:textbox inset="0mm,0mm,0mm,0mm" style="mso-fit-shape-to-text:t;">
                <w:txbxContent>
                  <w:p w14:paraId="4C99E66F">
                    <w:pPr>
                      <w:pStyle w:val="19"/>
                    </w:pPr>
                  </w:p>
                </w:txbxContent>
              </v:textbox>
              <w10:wrap type="none"/>
              <w10:anchorlock/>
            </v:shape>
          </w:pict>
        </mc:Fallback>
      </mc:AlternateContent>
    </w:r>
    <w:r>
      <w:rPr>
        <w:rFonts w:hint="eastAsia"/>
      </w:rPr>
      <w:tab/>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A4831">
    <w:pPr>
      <w:pStyle w:val="13"/>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F8300">
    <w:pPr>
      <w:pStyle w:val="1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C3F996"/>
    <w:multiLevelType w:val="singleLevel"/>
    <w:tmpl w:val="8FC3F996"/>
    <w:lvl w:ilvl="0" w:tentative="0">
      <w:start w:val="1"/>
      <w:numFmt w:val="chineseCounting"/>
      <w:suff w:val="nothing"/>
      <w:lvlText w:val="%1、"/>
      <w:lvlJc w:val="left"/>
      <w:pPr>
        <w:ind w:left="0"/>
      </w:pPr>
      <w:rPr>
        <w:rFonts w:hint="eastAsia"/>
      </w:rPr>
    </w:lvl>
  </w:abstractNum>
  <w:abstractNum w:abstractNumId="1">
    <w:nsid w:val="A2F8ED4F"/>
    <w:multiLevelType w:val="singleLevel"/>
    <w:tmpl w:val="A2F8ED4F"/>
    <w:lvl w:ilvl="0" w:tentative="0">
      <w:start w:val="2"/>
      <w:numFmt w:val="decimal"/>
      <w:pStyle w:val="139"/>
      <w:suff w:val="nothing"/>
      <w:lvlText w:val="（%1）"/>
      <w:lvlJc w:val="left"/>
    </w:lvl>
  </w:abstractNum>
  <w:abstractNum w:abstractNumId="2">
    <w:nsid w:val="D53E88B3"/>
    <w:multiLevelType w:val="singleLevel"/>
    <w:tmpl w:val="D53E88B3"/>
    <w:lvl w:ilvl="0" w:tentative="0">
      <w:start w:val="1"/>
      <w:numFmt w:val="decimal"/>
      <w:suff w:val="nothing"/>
      <w:lvlText w:val="%1、"/>
      <w:lvlJc w:val="left"/>
    </w:lvl>
  </w:abstractNum>
  <w:abstractNum w:abstractNumId="3">
    <w:nsid w:val="FCB83B43"/>
    <w:multiLevelType w:val="singleLevel"/>
    <w:tmpl w:val="FCB83B43"/>
    <w:lvl w:ilvl="0" w:tentative="0">
      <w:start w:val="9"/>
      <w:numFmt w:val="decimal"/>
      <w:suff w:val="nothing"/>
      <w:lvlText w:val="%1、"/>
      <w:lvlJc w:val="left"/>
    </w:lvl>
  </w:abstractNum>
  <w:abstractNum w:abstractNumId="4">
    <w:nsid w:val="14861248"/>
    <w:multiLevelType w:val="multilevel"/>
    <w:tmpl w:val="14861248"/>
    <w:lvl w:ilvl="0" w:tentative="0">
      <w:start w:val="1"/>
      <w:numFmt w:val="decimal"/>
      <w:lvlText w:val="%1"/>
      <w:lvlJc w:val="left"/>
      <w:pPr>
        <w:ind w:left="432" w:hanging="432"/>
      </w:pPr>
      <w:rPr>
        <w:rFonts w:hint="eastAsia"/>
      </w:rPr>
    </w:lvl>
    <w:lvl w:ilvl="1" w:tentative="0">
      <w:start w:val="1"/>
      <w:numFmt w:val="decimal"/>
      <w:lvlText w:val="%1.%2"/>
      <w:lvlJc w:val="left"/>
      <w:pPr>
        <w:ind w:left="576" w:hanging="576"/>
      </w:pPr>
      <w:rPr>
        <w:rFonts w:hint="eastAsia"/>
      </w:rPr>
    </w:lvl>
    <w:lvl w:ilvl="2" w:tentative="0">
      <w:start w:val="1"/>
      <w:numFmt w:val="decimal"/>
      <w:pStyle w:val="5"/>
      <w:suff w:val="nothing"/>
      <w:lvlText w:val="%1.%2.%3"/>
      <w:lvlJc w:val="left"/>
      <w:pPr>
        <w:ind w:left="3261" w:hanging="851"/>
      </w:pPr>
    </w:lvl>
    <w:lvl w:ilvl="3" w:tentative="0">
      <w:start w:val="1"/>
      <w:numFmt w:val="decimal"/>
      <w:pStyle w:val="6"/>
      <w:suff w:val="nothing"/>
      <w:lvlText w:val="%1.%2.%3.%4"/>
      <w:lvlJc w:val="left"/>
      <w:pPr>
        <w:ind w:left="3415" w:hanging="864"/>
      </w:p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5">
    <w:nsid w:val="26AD8FC5"/>
    <w:multiLevelType w:val="singleLevel"/>
    <w:tmpl w:val="26AD8FC5"/>
    <w:lvl w:ilvl="0" w:tentative="0">
      <w:start w:val="5"/>
      <w:numFmt w:val="decimal"/>
      <w:suff w:val="nothing"/>
      <w:lvlText w:val="（%1）"/>
      <w:lvlJc w:val="left"/>
    </w:lvl>
  </w:abstractNum>
  <w:abstractNum w:abstractNumId="6">
    <w:nsid w:val="45BBED41"/>
    <w:multiLevelType w:val="singleLevel"/>
    <w:tmpl w:val="45BBED41"/>
    <w:lvl w:ilvl="0" w:tentative="0">
      <w:start w:val="1"/>
      <w:numFmt w:val="decimal"/>
      <w:suff w:val="nothing"/>
      <w:lvlText w:val="%1、"/>
      <w:lvlJc w:val="left"/>
    </w:lvl>
  </w:abstractNum>
  <w:abstractNum w:abstractNumId="7">
    <w:nsid w:val="5E011D25"/>
    <w:multiLevelType w:val="singleLevel"/>
    <w:tmpl w:val="5E011D25"/>
    <w:lvl w:ilvl="0" w:tentative="0">
      <w:start w:val="2"/>
      <w:numFmt w:val="decimal"/>
      <w:suff w:val="nothing"/>
      <w:lvlText w:val="%1、"/>
      <w:lvlJc w:val="left"/>
    </w:lvl>
  </w:abstractNum>
  <w:num w:numId="1">
    <w:abstractNumId w:val="4"/>
  </w:num>
  <w:num w:numId="2">
    <w:abstractNumId w:val="1"/>
  </w:num>
  <w:num w:numId="3">
    <w:abstractNumId w:val="3"/>
  </w:num>
  <w:num w:numId="4">
    <w:abstractNumId w:val="0"/>
  </w:num>
  <w:num w:numId="5">
    <w:abstractNumId w:val="2"/>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HorizontalSpacing w:val="210"/>
  <w:drawingGridVerticalSpacing w:val="158"/>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0YzJkODU4ZmQ0ZTBhYWQ4M2NkMGZlYWYzY2FkYmUifQ=="/>
  </w:docVars>
  <w:rsids>
    <w:rsidRoot w:val="00172A27"/>
    <w:rsid w:val="00001CED"/>
    <w:rsid w:val="00001E67"/>
    <w:rsid w:val="00003CD8"/>
    <w:rsid w:val="00014965"/>
    <w:rsid w:val="0001523A"/>
    <w:rsid w:val="00016ECB"/>
    <w:rsid w:val="000269F6"/>
    <w:rsid w:val="00031939"/>
    <w:rsid w:val="00032D25"/>
    <w:rsid w:val="0005219D"/>
    <w:rsid w:val="00052A18"/>
    <w:rsid w:val="0005568F"/>
    <w:rsid w:val="0006153D"/>
    <w:rsid w:val="00061B1F"/>
    <w:rsid w:val="00062D86"/>
    <w:rsid w:val="000664DB"/>
    <w:rsid w:val="00066EBC"/>
    <w:rsid w:val="000701C4"/>
    <w:rsid w:val="0007127D"/>
    <w:rsid w:val="00071AE5"/>
    <w:rsid w:val="00074783"/>
    <w:rsid w:val="000763E4"/>
    <w:rsid w:val="00076D34"/>
    <w:rsid w:val="000801E0"/>
    <w:rsid w:val="00082A29"/>
    <w:rsid w:val="0008331D"/>
    <w:rsid w:val="00083C18"/>
    <w:rsid w:val="00092899"/>
    <w:rsid w:val="000A002F"/>
    <w:rsid w:val="000A178E"/>
    <w:rsid w:val="000A5502"/>
    <w:rsid w:val="000A557E"/>
    <w:rsid w:val="000B058F"/>
    <w:rsid w:val="000B6281"/>
    <w:rsid w:val="000B693F"/>
    <w:rsid w:val="000C09AC"/>
    <w:rsid w:val="000C0A63"/>
    <w:rsid w:val="000C1FF9"/>
    <w:rsid w:val="000C437E"/>
    <w:rsid w:val="000C4F74"/>
    <w:rsid w:val="000E5F16"/>
    <w:rsid w:val="000F4452"/>
    <w:rsid w:val="000F6DA1"/>
    <w:rsid w:val="000F6F68"/>
    <w:rsid w:val="000F701B"/>
    <w:rsid w:val="00101AE9"/>
    <w:rsid w:val="00103897"/>
    <w:rsid w:val="001056A0"/>
    <w:rsid w:val="00115279"/>
    <w:rsid w:val="00117459"/>
    <w:rsid w:val="0011749A"/>
    <w:rsid w:val="00126AAA"/>
    <w:rsid w:val="00127A68"/>
    <w:rsid w:val="00140B13"/>
    <w:rsid w:val="00141B68"/>
    <w:rsid w:val="001466DA"/>
    <w:rsid w:val="00154DE1"/>
    <w:rsid w:val="00155B40"/>
    <w:rsid w:val="00157435"/>
    <w:rsid w:val="00163EEA"/>
    <w:rsid w:val="00167A07"/>
    <w:rsid w:val="0017046A"/>
    <w:rsid w:val="001704A3"/>
    <w:rsid w:val="00172E78"/>
    <w:rsid w:val="0017504D"/>
    <w:rsid w:val="00177422"/>
    <w:rsid w:val="00184F10"/>
    <w:rsid w:val="00185546"/>
    <w:rsid w:val="0019146B"/>
    <w:rsid w:val="00193414"/>
    <w:rsid w:val="00194398"/>
    <w:rsid w:val="001A3A69"/>
    <w:rsid w:val="001A4716"/>
    <w:rsid w:val="001A64C4"/>
    <w:rsid w:val="001A7D2A"/>
    <w:rsid w:val="001B574C"/>
    <w:rsid w:val="001C0AF9"/>
    <w:rsid w:val="001C155A"/>
    <w:rsid w:val="001C48C0"/>
    <w:rsid w:val="001D1BE5"/>
    <w:rsid w:val="001D6726"/>
    <w:rsid w:val="001E600B"/>
    <w:rsid w:val="001F18D0"/>
    <w:rsid w:val="001F3347"/>
    <w:rsid w:val="001F4440"/>
    <w:rsid w:val="001F69E4"/>
    <w:rsid w:val="00206A65"/>
    <w:rsid w:val="00210D6B"/>
    <w:rsid w:val="00212D31"/>
    <w:rsid w:val="002130C7"/>
    <w:rsid w:val="00217428"/>
    <w:rsid w:val="002218A8"/>
    <w:rsid w:val="0022306D"/>
    <w:rsid w:val="00226574"/>
    <w:rsid w:val="002278EC"/>
    <w:rsid w:val="002357C7"/>
    <w:rsid w:val="002367C4"/>
    <w:rsid w:val="00244B1B"/>
    <w:rsid w:val="0025679E"/>
    <w:rsid w:val="00260C68"/>
    <w:rsid w:val="00261D2B"/>
    <w:rsid w:val="002648B0"/>
    <w:rsid w:val="00275271"/>
    <w:rsid w:val="0027535E"/>
    <w:rsid w:val="0027562F"/>
    <w:rsid w:val="00275AA6"/>
    <w:rsid w:val="002807D5"/>
    <w:rsid w:val="00282CCD"/>
    <w:rsid w:val="002A168C"/>
    <w:rsid w:val="002A2C48"/>
    <w:rsid w:val="002A3EED"/>
    <w:rsid w:val="002A4A39"/>
    <w:rsid w:val="002A5A17"/>
    <w:rsid w:val="002A6425"/>
    <w:rsid w:val="002B49E2"/>
    <w:rsid w:val="002B6923"/>
    <w:rsid w:val="002B7B00"/>
    <w:rsid w:val="002B7C44"/>
    <w:rsid w:val="002C1388"/>
    <w:rsid w:val="002C3C6A"/>
    <w:rsid w:val="002D42DB"/>
    <w:rsid w:val="002E1F3A"/>
    <w:rsid w:val="002E28C7"/>
    <w:rsid w:val="002E298A"/>
    <w:rsid w:val="002E6413"/>
    <w:rsid w:val="002F02A4"/>
    <w:rsid w:val="002F272B"/>
    <w:rsid w:val="002F7C6D"/>
    <w:rsid w:val="003027E4"/>
    <w:rsid w:val="0030332C"/>
    <w:rsid w:val="00312296"/>
    <w:rsid w:val="0031340E"/>
    <w:rsid w:val="00316464"/>
    <w:rsid w:val="0032073A"/>
    <w:rsid w:val="00321D8E"/>
    <w:rsid w:val="00334996"/>
    <w:rsid w:val="00335D51"/>
    <w:rsid w:val="00336969"/>
    <w:rsid w:val="00336C52"/>
    <w:rsid w:val="00341450"/>
    <w:rsid w:val="00341B3E"/>
    <w:rsid w:val="00341B42"/>
    <w:rsid w:val="00345154"/>
    <w:rsid w:val="0034560E"/>
    <w:rsid w:val="00350523"/>
    <w:rsid w:val="00352975"/>
    <w:rsid w:val="00356868"/>
    <w:rsid w:val="0036485B"/>
    <w:rsid w:val="00373B0D"/>
    <w:rsid w:val="00376988"/>
    <w:rsid w:val="00381A72"/>
    <w:rsid w:val="003A1948"/>
    <w:rsid w:val="003B152A"/>
    <w:rsid w:val="003B545B"/>
    <w:rsid w:val="003D3EE9"/>
    <w:rsid w:val="003D6656"/>
    <w:rsid w:val="003E7681"/>
    <w:rsid w:val="003F0809"/>
    <w:rsid w:val="003F611C"/>
    <w:rsid w:val="003F6A92"/>
    <w:rsid w:val="003F755C"/>
    <w:rsid w:val="004001F5"/>
    <w:rsid w:val="00406F01"/>
    <w:rsid w:val="00411B36"/>
    <w:rsid w:val="00411CA3"/>
    <w:rsid w:val="004121D7"/>
    <w:rsid w:val="00416146"/>
    <w:rsid w:val="00416D50"/>
    <w:rsid w:val="00417772"/>
    <w:rsid w:val="00420E6A"/>
    <w:rsid w:val="00430200"/>
    <w:rsid w:val="00433CA9"/>
    <w:rsid w:val="0043521D"/>
    <w:rsid w:val="00442024"/>
    <w:rsid w:val="0044254C"/>
    <w:rsid w:val="00443F6A"/>
    <w:rsid w:val="00450A17"/>
    <w:rsid w:val="00466321"/>
    <w:rsid w:val="004672AF"/>
    <w:rsid w:val="004727B0"/>
    <w:rsid w:val="00480247"/>
    <w:rsid w:val="0048081D"/>
    <w:rsid w:val="0048117E"/>
    <w:rsid w:val="004855F6"/>
    <w:rsid w:val="00486F0C"/>
    <w:rsid w:val="00494670"/>
    <w:rsid w:val="004A0EB4"/>
    <w:rsid w:val="004A3823"/>
    <w:rsid w:val="004A59BB"/>
    <w:rsid w:val="004B2005"/>
    <w:rsid w:val="004B43A3"/>
    <w:rsid w:val="004B4C49"/>
    <w:rsid w:val="004B58A5"/>
    <w:rsid w:val="004B63D9"/>
    <w:rsid w:val="004C0882"/>
    <w:rsid w:val="004C55BE"/>
    <w:rsid w:val="004E0863"/>
    <w:rsid w:val="004E43BF"/>
    <w:rsid w:val="004E5B30"/>
    <w:rsid w:val="004E7D88"/>
    <w:rsid w:val="004F0779"/>
    <w:rsid w:val="004F1230"/>
    <w:rsid w:val="004F173F"/>
    <w:rsid w:val="004F177C"/>
    <w:rsid w:val="004F2DCE"/>
    <w:rsid w:val="004F51E5"/>
    <w:rsid w:val="005039CB"/>
    <w:rsid w:val="0050558F"/>
    <w:rsid w:val="005057E0"/>
    <w:rsid w:val="00506286"/>
    <w:rsid w:val="0050638A"/>
    <w:rsid w:val="00510813"/>
    <w:rsid w:val="00511DE0"/>
    <w:rsid w:val="00517F02"/>
    <w:rsid w:val="00524547"/>
    <w:rsid w:val="005258A2"/>
    <w:rsid w:val="00530F7C"/>
    <w:rsid w:val="00534567"/>
    <w:rsid w:val="00534F43"/>
    <w:rsid w:val="00535A84"/>
    <w:rsid w:val="00536889"/>
    <w:rsid w:val="00542E07"/>
    <w:rsid w:val="00554A7B"/>
    <w:rsid w:val="0055572C"/>
    <w:rsid w:val="0056064F"/>
    <w:rsid w:val="00561B84"/>
    <w:rsid w:val="00563274"/>
    <w:rsid w:val="00571D98"/>
    <w:rsid w:val="005720AE"/>
    <w:rsid w:val="0058030D"/>
    <w:rsid w:val="00582045"/>
    <w:rsid w:val="00590AE3"/>
    <w:rsid w:val="005918F1"/>
    <w:rsid w:val="005A06B7"/>
    <w:rsid w:val="005A1759"/>
    <w:rsid w:val="005D0369"/>
    <w:rsid w:val="005D4603"/>
    <w:rsid w:val="005D53FE"/>
    <w:rsid w:val="005D7A0F"/>
    <w:rsid w:val="005E0438"/>
    <w:rsid w:val="005E1791"/>
    <w:rsid w:val="005E2CE6"/>
    <w:rsid w:val="005E6324"/>
    <w:rsid w:val="005F228B"/>
    <w:rsid w:val="005F29CD"/>
    <w:rsid w:val="005F4DFB"/>
    <w:rsid w:val="005F6CC0"/>
    <w:rsid w:val="00603E5B"/>
    <w:rsid w:val="00604BC8"/>
    <w:rsid w:val="00615B4C"/>
    <w:rsid w:val="00615B5D"/>
    <w:rsid w:val="0062146F"/>
    <w:rsid w:val="00621C19"/>
    <w:rsid w:val="006271BA"/>
    <w:rsid w:val="006343AF"/>
    <w:rsid w:val="0063634A"/>
    <w:rsid w:val="0064250D"/>
    <w:rsid w:val="006535EB"/>
    <w:rsid w:val="00663016"/>
    <w:rsid w:val="00674605"/>
    <w:rsid w:val="006748B8"/>
    <w:rsid w:val="0068535B"/>
    <w:rsid w:val="0068736E"/>
    <w:rsid w:val="0069290A"/>
    <w:rsid w:val="00694990"/>
    <w:rsid w:val="00697032"/>
    <w:rsid w:val="006975AC"/>
    <w:rsid w:val="006A15FB"/>
    <w:rsid w:val="006A72BF"/>
    <w:rsid w:val="006B332A"/>
    <w:rsid w:val="006B33BD"/>
    <w:rsid w:val="006C3F75"/>
    <w:rsid w:val="006D170E"/>
    <w:rsid w:val="006E06AF"/>
    <w:rsid w:val="006F1789"/>
    <w:rsid w:val="00700290"/>
    <w:rsid w:val="007007DA"/>
    <w:rsid w:val="00702588"/>
    <w:rsid w:val="00706C5D"/>
    <w:rsid w:val="007118E6"/>
    <w:rsid w:val="007225C9"/>
    <w:rsid w:val="00726300"/>
    <w:rsid w:val="00733E26"/>
    <w:rsid w:val="00735CD7"/>
    <w:rsid w:val="00754034"/>
    <w:rsid w:val="00754BF1"/>
    <w:rsid w:val="00755A30"/>
    <w:rsid w:val="00755E1C"/>
    <w:rsid w:val="00756556"/>
    <w:rsid w:val="0076132B"/>
    <w:rsid w:val="007623AE"/>
    <w:rsid w:val="00770B19"/>
    <w:rsid w:val="00774FA0"/>
    <w:rsid w:val="00776620"/>
    <w:rsid w:val="00777B6D"/>
    <w:rsid w:val="00784855"/>
    <w:rsid w:val="00784F39"/>
    <w:rsid w:val="0078545C"/>
    <w:rsid w:val="007906C4"/>
    <w:rsid w:val="007940EA"/>
    <w:rsid w:val="007967E8"/>
    <w:rsid w:val="007A63F2"/>
    <w:rsid w:val="007B68DE"/>
    <w:rsid w:val="007C1857"/>
    <w:rsid w:val="007C514F"/>
    <w:rsid w:val="007D0F95"/>
    <w:rsid w:val="007D7ECB"/>
    <w:rsid w:val="007E25A1"/>
    <w:rsid w:val="007E4BD2"/>
    <w:rsid w:val="007E7145"/>
    <w:rsid w:val="007F3916"/>
    <w:rsid w:val="00801179"/>
    <w:rsid w:val="00802479"/>
    <w:rsid w:val="00805372"/>
    <w:rsid w:val="00805B7B"/>
    <w:rsid w:val="0081293E"/>
    <w:rsid w:val="00814795"/>
    <w:rsid w:val="00814FFB"/>
    <w:rsid w:val="00820568"/>
    <w:rsid w:val="00831A80"/>
    <w:rsid w:val="008332C8"/>
    <w:rsid w:val="00833743"/>
    <w:rsid w:val="008340A4"/>
    <w:rsid w:val="00836799"/>
    <w:rsid w:val="00837028"/>
    <w:rsid w:val="00837131"/>
    <w:rsid w:val="0084150F"/>
    <w:rsid w:val="00843E1B"/>
    <w:rsid w:val="00845F57"/>
    <w:rsid w:val="00847DE1"/>
    <w:rsid w:val="008521E0"/>
    <w:rsid w:val="008525B0"/>
    <w:rsid w:val="00852A28"/>
    <w:rsid w:val="00867CBC"/>
    <w:rsid w:val="00876C30"/>
    <w:rsid w:val="00877017"/>
    <w:rsid w:val="008773C0"/>
    <w:rsid w:val="00880364"/>
    <w:rsid w:val="00886C4C"/>
    <w:rsid w:val="0088711C"/>
    <w:rsid w:val="00892ECF"/>
    <w:rsid w:val="00892F06"/>
    <w:rsid w:val="00894285"/>
    <w:rsid w:val="008953F8"/>
    <w:rsid w:val="008A40AE"/>
    <w:rsid w:val="008A4E19"/>
    <w:rsid w:val="008A67C5"/>
    <w:rsid w:val="008B1170"/>
    <w:rsid w:val="008B22E1"/>
    <w:rsid w:val="008B3C78"/>
    <w:rsid w:val="008B4AE9"/>
    <w:rsid w:val="008C30AD"/>
    <w:rsid w:val="008C6C96"/>
    <w:rsid w:val="008D068E"/>
    <w:rsid w:val="008D0F7A"/>
    <w:rsid w:val="008D313A"/>
    <w:rsid w:val="008D63BE"/>
    <w:rsid w:val="008E0CFF"/>
    <w:rsid w:val="008E5D6B"/>
    <w:rsid w:val="008E689B"/>
    <w:rsid w:val="008E76F0"/>
    <w:rsid w:val="008F15FE"/>
    <w:rsid w:val="008F2A94"/>
    <w:rsid w:val="008F5187"/>
    <w:rsid w:val="008F6EB2"/>
    <w:rsid w:val="008F709C"/>
    <w:rsid w:val="00900FC3"/>
    <w:rsid w:val="00902C2A"/>
    <w:rsid w:val="0090312B"/>
    <w:rsid w:val="00904961"/>
    <w:rsid w:val="0091736D"/>
    <w:rsid w:val="00920750"/>
    <w:rsid w:val="009269A2"/>
    <w:rsid w:val="00931001"/>
    <w:rsid w:val="00931863"/>
    <w:rsid w:val="00933524"/>
    <w:rsid w:val="0094251D"/>
    <w:rsid w:val="0094278D"/>
    <w:rsid w:val="009444C8"/>
    <w:rsid w:val="00950240"/>
    <w:rsid w:val="0095308A"/>
    <w:rsid w:val="00955AEE"/>
    <w:rsid w:val="00956F14"/>
    <w:rsid w:val="009620FD"/>
    <w:rsid w:val="0096247A"/>
    <w:rsid w:val="00965F4B"/>
    <w:rsid w:val="00970F8A"/>
    <w:rsid w:val="00971FB5"/>
    <w:rsid w:val="00972D2A"/>
    <w:rsid w:val="00975CC5"/>
    <w:rsid w:val="00976328"/>
    <w:rsid w:val="00976B4E"/>
    <w:rsid w:val="00984458"/>
    <w:rsid w:val="00985283"/>
    <w:rsid w:val="00987322"/>
    <w:rsid w:val="009A0F3B"/>
    <w:rsid w:val="009A13B3"/>
    <w:rsid w:val="009A72C7"/>
    <w:rsid w:val="009B0897"/>
    <w:rsid w:val="009D0852"/>
    <w:rsid w:val="009D1FBF"/>
    <w:rsid w:val="009D3880"/>
    <w:rsid w:val="009E399C"/>
    <w:rsid w:val="009E43C1"/>
    <w:rsid w:val="009E7E95"/>
    <w:rsid w:val="009F116F"/>
    <w:rsid w:val="009F329E"/>
    <w:rsid w:val="009F5089"/>
    <w:rsid w:val="009F7ED3"/>
    <w:rsid w:val="00A03607"/>
    <w:rsid w:val="00A047FF"/>
    <w:rsid w:val="00A04FEF"/>
    <w:rsid w:val="00A122CD"/>
    <w:rsid w:val="00A12A32"/>
    <w:rsid w:val="00A14248"/>
    <w:rsid w:val="00A14947"/>
    <w:rsid w:val="00A1745D"/>
    <w:rsid w:val="00A23DC5"/>
    <w:rsid w:val="00A34028"/>
    <w:rsid w:val="00A35568"/>
    <w:rsid w:val="00A37056"/>
    <w:rsid w:val="00A40483"/>
    <w:rsid w:val="00A4358F"/>
    <w:rsid w:val="00A46F67"/>
    <w:rsid w:val="00A54AA1"/>
    <w:rsid w:val="00A568FF"/>
    <w:rsid w:val="00A61496"/>
    <w:rsid w:val="00A61833"/>
    <w:rsid w:val="00A624C6"/>
    <w:rsid w:val="00A63CEC"/>
    <w:rsid w:val="00A7031E"/>
    <w:rsid w:val="00A728B1"/>
    <w:rsid w:val="00A763DE"/>
    <w:rsid w:val="00A803D6"/>
    <w:rsid w:val="00A81282"/>
    <w:rsid w:val="00A8713F"/>
    <w:rsid w:val="00A91167"/>
    <w:rsid w:val="00A9171C"/>
    <w:rsid w:val="00A92FFD"/>
    <w:rsid w:val="00A95975"/>
    <w:rsid w:val="00A9708D"/>
    <w:rsid w:val="00AA2C17"/>
    <w:rsid w:val="00AA3CEC"/>
    <w:rsid w:val="00AA4172"/>
    <w:rsid w:val="00AB1914"/>
    <w:rsid w:val="00AB328E"/>
    <w:rsid w:val="00AB5330"/>
    <w:rsid w:val="00AB7747"/>
    <w:rsid w:val="00AC2532"/>
    <w:rsid w:val="00AD1507"/>
    <w:rsid w:val="00AD5A70"/>
    <w:rsid w:val="00AD738B"/>
    <w:rsid w:val="00AE1BF4"/>
    <w:rsid w:val="00AE4E5E"/>
    <w:rsid w:val="00AE5D97"/>
    <w:rsid w:val="00AE6794"/>
    <w:rsid w:val="00B01110"/>
    <w:rsid w:val="00B02262"/>
    <w:rsid w:val="00B03CEC"/>
    <w:rsid w:val="00B1209F"/>
    <w:rsid w:val="00B12AD0"/>
    <w:rsid w:val="00B21118"/>
    <w:rsid w:val="00B24F30"/>
    <w:rsid w:val="00B31ABF"/>
    <w:rsid w:val="00B335AE"/>
    <w:rsid w:val="00B37CE1"/>
    <w:rsid w:val="00B40ACF"/>
    <w:rsid w:val="00B46BAA"/>
    <w:rsid w:val="00B503C6"/>
    <w:rsid w:val="00B50B5F"/>
    <w:rsid w:val="00B54128"/>
    <w:rsid w:val="00B55826"/>
    <w:rsid w:val="00B579B9"/>
    <w:rsid w:val="00B60426"/>
    <w:rsid w:val="00B622DD"/>
    <w:rsid w:val="00B63522"/>
    <w:rsid w:val="00B76409"/>
    <w:rsid w:val="00B76F1D"/>
    <w:rsid w:val="00B80488"/>
    <w:rsid w:val="00B92A19"/>
    <w:rsid w:val="00B93F2F"/>
    <w:rsid w:val="00B9544C"/>
    <w:rsid w:val="00BA29E9"/>
    <w:rsid w:val="00BB244E"/>
    <w:rsid w:val="00BB3618"/>
    <w:rsid w:val="00BC0C9E"/>
    <w:rsid w:val="00BC32DC"/>
    <w:rsid w:val="00BD1B51"/>
    <w:rsid w:val="00BD47F6"/>
    <w:rsid w:val="00BE312D"/>
    <w:rsid w:val="00BE3FCA"/>
    <w:rsid w:val="00BF720C"/>
    <w:rsid w:val="00C05719"/>
    <w:rsid w:val="00C10578"/>
    <w:rsid w:val="00C17D62"/>
    <w:rsid w:val="00C21FDC"/>
    <w:rsid w:val="00C2410B"/>
    <w:rsid w:val="00C24EE7"/>
    <w:rsid w:val="00C2596A"/>
    <w:rsid w:val="00C271BE"/>
    <w:rsid w:val="00C27425"/>
    <w:rsid w:val="00C30909"/>
    <w:rsid w:val="00C328FE"/>
    <w:rsid w:val="00C33A05"/>
    <w:rsid w:val="00C42500"/>
    <w:rsid w:val="00C4409D"/>
    <w:rsid w:val="00C455BE"/>
    <w:rsid w:val="00C51E5F"/>
    <w:rsid w:val="00C61E4B"/>
    <w:rsid w:val="00C62E3A"/>
    <w:rsid w:val="00C64503"/>
    <w:rsid w:val="00C64A1F"/>
    <w:rsid w:val="00C64BFF"/>
    <w:rsid w:val="00C6664C"/>
    <w:rsid w:val="00C763C9"/>
    <w:rsid w:val="00C80057"/>
    <w:rsid w:val="00C82C79"/>
    <w:rsid w:val="00C84753"/>
    <w:rsid w:val="00C85F20"/>
    <w:rsid w:val="00C91611"/>
    <w:rsid w:val="00CA3585"/>
    <w:rsid w:val="00CA3D5A"/>
    <w:rsid w:val="00CA4C7C"/>
    <w:rsid w:val="00CB0183"/>
    <w:rsid w:val="00CB1EA3"/>
    <w:rsid w:val="00CB51BD"/>
    <w:rsid w:val="00CB552C"/>
    <w:rsid w:val="00CB6A9E"/>
    <w:rsid w:val="00CC6181"/>
    <w:rsid w:val="00CD1788"/>
    <w:rsid w:val="00CD2BCD"/>
    <w:rsid w:val="00CD36AA"/>
    <w:rsid w:val="00CD3791"/>
    <w:rsid w:val="00CD65B0"/>
    <w:rsid w:val="00CE02CD"/>
    <w:rsid w:val="00CE10E9"/>
    <w:rsid w:val="00CF535D"/>
    <w:rsid w:val="00CF5500"/>
    <w:rsid w:val="00D0072E"/>
    <w:rsid w:val="00D12B9C"/>
    <w:rsid w:val="00D15727"/>
    <w:rsid w:val="00D16332"/>
    <w:rsid w:val="00D24972"/>
    <w:rsid w:val="00D2515E"/>
    <w:rsid w:val="00D308ED"/>
    <w:rsid w:val="00D40D69"/>
    <w:rsid w:val="00D51461"/>
    <w:rsid w:val="00D56178"/>
    <w:rsid w:val="00D56CF0"/>
    <w:rsid w:val="00D56F5C"/>
    <w:rsid w:val="00D704B1"/>
    <w:rsid w:val="00D70B63"/>
    <w:rsid w:val="00D72B92"/>
    <w:rsid w:val="00D72ED4"/>
    <w:rsid w:val="00D73F61"/>
    <w:rsid w:val="00D754C0"/>
    <w:rsid w:val="00D776A2"/>
    <w:rsid w:val="00D801C4"/>
    <w:rsid w:val="00D90836"/>
    <w:rsid w:val="00D95896"/>
    <w:rsid w:val="00D95CC6"/>
    <w:rsid w:val="00DA2DA3"/>
    <w:rsid w:val="00DA6615"/>
    <w:rsid w:val="00DA76AE"/>
    <w:rsid w:val="00DB181E"/>
    <w:rsid w:val="00DB1C7A"/>
    <w:rsid w:val="00DB2983"/>
    <w:rsid w:val="00DB343D"/>
    <w:rsid w:val="00DB5579"/>
    <w:rsid w:val="00DB5CFE"/>
    <w:rsid w:val="00DC72A6"/>
    <w:rsid w:val="00DD2113"/>
    <w:rsid w:val="00DD265E"/>
    <w:rsid w:val="00DF1930"/>
    <w:rsid w:val="00DF514A"/>
    <w:rsid w:val="00E0358D"/>
    <w:rsid w:val="00E06327"/>
    <w:rsid w:val="00E0770D"/>
    <w:rsid w:val="00E2064B"/>
    <w:rsid w:val="00E25239"/>
    <w:rsid w:val="00E265B1"/>
    <w:rsid w:val="00E275B0"/>
    <w:rsid w:val="00E30FAC"/>
    <w:rsid w:val="00E412D0"/>
    <w:rsid w:val="00E47CDB"/>
    <w:rsid w:val="00E54D24"/>
    <w:rsid w:val="00E566BC"/>
    <w:rsid w:val="00E60982"/>
    <w:rsid w:val="00E60C8D"/>
    <w:rsid w:val="00E6162F"/>
    <w:rsid w:val="00E6311B"/>
    <w:rsid w:val="00E65D97"/>
    <w:rsid w:val="00E67EFD"/>
    <w:rsid w:val="00E702DC"/>
    <w:rsid w:val="00E71FFB"/>
    <w:rsid w:val="00E76D1D"/>
    <w:rsid w:val="00E806F8"/>
    <w:rsid w:val="00E865C2"/>
    <w:rsid w:val="00E87752"/>
    <w:rsid w:val="00E8793B"/>
    <w:rsid w:val="00E90F81"/>
    <w:rsid w:val="00E91A6D"/>
    <w:rsid w:val="00E9242D"/>
    <w:rsid w:val="00EA6F52"/>
    <w:rsid w:val="00EB041C"/>
    <w:rsid w:val="00EB7E60"/>
    <w:rsid w:val="00EC5874"/>
    <w:rsid w:val="00ED192D"/>
    <w:rsid w:val="00ED30B4"/>
    <w:rsid w:val="00ED31F5"/>
    <w:rsid w:val="00EF2759"/>
    <w:rsid w:val="00EF45EB"/>
    <w:rsid w:val="00EF5099"/>
    <w:rsid w:val="00EF5E33"/>
    <w:rsid w:val="00F00075"/>
    <w:rsid w:val="00F07822"/>
    <w:rsid w:val="00F15C95"/>
    <w:rsid w:val="00F22985"/>
    <w:rsid w:val="00F241AB"/>
    <w:rsid w:val="00F31382"/>
    <w:rsid w:val="00F35829"/>
    <w:rsid w:val="00F42868"/>
    <w:rsid w:val="00F465A7"/>
    <w:rsid w:val="00F50B7C"/>
    <w:rsid w:val="00F5202D"/>
    <w:rsid w:val="00F52A8D"/>
    <w:rsid w:val="00F52CF6"/>
    <w:rsid w:val="00F54496"/>
    <w:rsid w:val="00F61097"/>
    <w:rsid w:val="00F74345"/>
    <w:rsid w:val="00F74441"/>
    <w:rsid w:val="00F77F30"/>
    <w:rsid w:val="00F82589"/>
    <w:rsid w:val="00F82B19"/>
    <w:rsid w:val="00F83396"/>
    <w:rsid w:val="00F90AA7"/>
    <w:rsid w:val="00F9212D"/>
    <w:rsid w:val="00FA00A3"/>
    <w:rsid w:val="00FA301A"/>
    <w:rsid w:val="00FA406A"/>
    <w:rsid w:val="00FA5CB6"/>
    <w:rsid w:val="00FC66AC"/>
    <w:rsid w:val="00FD18F4"/>
    <w:rsid w:val="00FD74B4"/>
    <w:rsid w:val="00FF6FCE"/>
    <w:rsid w:val="00FF7518"/>
    <w:rsid w:val="00FF7FD8"/>
    <w:rsid w:val="01010593"/>
    <w:rsid w:val="01017684"/>
    <w:rsid w:val="010A6538"/>
    <w:rsid w:val="010C0502"/>
    <w:rsid w:val="010D6029"/>
    <w:rsid w:val="010F3B4F"/>
    <w:rsid w:val="01115E6A"/>
    <w:rsid w:val="01177506"/>
    <w:rsid w:val="01182BDD"/>
    <w:rsid w:val="01192C1F"/>
    <w:rsid w:val="011A395F"/>
    <w:rsid w:val="011B6997"/>
    <w:rsid w:val="011C62C9"/>
    <w:rsid w:val="01211AD4"/>
    <w:rsid w:val="01213882"/>
    <w:rsid w:val="0123584C"/>
    <w:rsid w:val="01254A1C"/>
    <w:rsid w:val="012670EA"/>
    <w:rsid w:val="012D0479"/>
    <w:rsid w:val="012F41F1"/>
    <w:rsid w:val="01323CE1"/>
    <w:rsid w:val="0133515E"/>
    <w:rsid w:val="0136557F"/>
    <w:rsid w:val="01395070"/>
    <w:rsid w:val="014063FE"/>
    <w:rsid w:val="01415CD2"/>
    <w:rsid w:val="01453E77"/>
    <w:rsid w:val="014B08FF"/>
    <w:rsid w:val="014B4F11"/>
    <w:rsid w:val="014C4DA3"/>
    <w:rsid w:val="014F03EF"/>
    <w:rsid w:val="014F4893"/>
    <w:rsid w:val="0151367A"/>
    <w:rsid w:val="01527EDF"/>
    <w:rsid w:val="01541EA9"/>
    <w:rsid w:val="015500B5"/>
    <w:rsid w:val="015643C3"/>
    <w:rsid w:val="01575D64"/>
    <w:rsid w:val="015E4AC8"/>
    <w:rsid w:val="015E6884"/>
    <w:rsid w:val="01626374"/>
    <w:rsid w:val="01697764"/>
    <w:rsid w:val="016A347B"/>
    <w:rsid w:val="016D6AC7"/>
    <w:rsid w:val="01710365"/>
    <w:rsid w:val="0173585E"/>
    <w:rsid w:val="017B7436"/>
    <w:rsid w:val="017C6910"/>
    <w:rsid w:val="01804A4C"/>
    <w:rsid w:val="018362EB"/>
    <w:rsid w:val="018514CE"/>
    <w:rsid w:val="01853E11"/>
    <w:rsid w:val="01854C0C"/>
    <w:rsid w:val="018B32D0"/>
    <w:rsid w:val="018C1643"/>
    <w:rsid w:val="018C519F"/>
    <w:rsid w:val="01910A08"/>
    <w:rsid w:val="019329D2"/>
    <w:rsid w:val="019422A6"/>
    <w:rsid w:val="0194674A"/>
    <w:rsid w:val="0196601E"/>
    <w:rsid w:val="01981D96"/>
    <w:rsid w:val="019D55FE"/>
    <w:rsid w:val="019D759C"/>
    <w:rsid w:val="019F1F35"/>
    <w:rsid w:val="01A22B7C"/>
    <w:rsid w:val="01A3073B"/>
    <w:rsid w:val="01A717A9"/>
    <w:rsid w:val="01AD5116"/>
    <w:rsid w:val="01B110AA"/>
    <w:rsid w:val="01B14C06"/>
    <w:rsid w:val="01B3097E"/>
    <w:rsid w:val="01B6221C"/>
    <w:rsid w:val="01BA61B0"/>
    <w:rsid w:val="01BB1483"/>
    <w:rsid w:val="01BF5575"/>
    <w:rsid w:val="01C0309B"/>
    <w:rsid w:val="01C0753F"/>
    <w:rsid w:val="01C2082B"/>
    <w:rsid w:val="01C40DDD"/>
    <w:rsid w:val="01C44B91"/>
    <w:rsid w:val="01C81F50"/>
    <w:rsid w:val="01C963F3"/>
    <w:rsid w:val="01CA5CC8"/>
    <w:rsid w:val="01CC7C92"/>
    <w:rsid w:val="01CD7566"/>
    <w:rsid w:val="01D30B9A"/>
    <w:rsid w:val="01D31020"/>
    <w:rsid w:val="01D46B46"/>
    <w:rsid w:val="01D6466C"/>
    <w:rsid w:val="01D80157"/>
    <w:rsid w:val="01D83F58"/>
    <w:rsid w:val="01D86637"/>
    <w:rsid w:val="01D9415D"/>
    <w:rsid w:val="01DC03ED"/>
    <w:rsid w:val="01DF5C17"/>
    <w:rsid w:val="01E1319E"/>
    <w:rsid w:val="01E62463"/>
    <w:rsid w:val="01E725AE"/>
    <w:rsid w:val="01E764AF"/>
    <w:rsid w:val="01E925F2"/>
    <w:rsid w:val="01E9759B"/>
    <w:rsid w:val="01EA0118"/>
    <w:rsid w:val="01EC0334"/>
    <w:rsid w:val="01ED7C29"/>
    <w:rsid w:val="01EF3980"/>
    <w:rsid w:val="01EF572E"/>
    <w:rsid w:val="01F034CB"/>
    <w:rsid w:val="01F41614"/>
    <w:rsid w:val="01F42D45"/>
    <w:rsid w:val="01F65D1B"/>
    <w:rsid w:val="01FE02A2"/>
    <w:rsid w:val="01FF3BC3"/>
    <w:rsid w:val="02013704"/>
    <w:rsid w:val="02016455"/>
    <w:rsid w:val="020617E0"/>
    <w:rsid w:val="02070CCA"/>
    <w:rsid w:val="02077A8A"/>
    <w:rsid w:val="02080F1A"/>
    <w:rsid w:val="020A00DC"/>
    <w:rsid w:val="020C008E"/>
    <w:rsid w:val="020C4532"/>
    <w:rsid w:val="020D07B6"/>
    <w:rsid w:val="020D4CA4"/>
    <w:rsid w:val="020E02AA"/>
    <w:rsid w:val="020E2058"/>
    <w:rsid w:val="020F7B7E"/>
    <w:rsid w:val="02117D9A"/>
    <w:rsid w:val="0213766F"/>
    <w:rsid w:val="02145195"/>
    <w:rsid w:val="021740F7"/>
    <w:rsid w:val="02181B4B"/>
    <w:rsid w:val="02186A33"/>
    <w:rsid w:val="021E7DCE"/>
    <w:rsid w:val="0224187C"/>
    <w:rsid w:val="02291B07"/>
    <w:rsid w:val="022C24DE"/>
    <w:rsid w:val="022E26FA"/>
    <w:rsid w:val="023A2E4D"/>
    <w:rsid w:val="023B0973"/>
    <w:rsid w:val="02441F1E"/>
    <w:rsid w:val="024B6E08"/>
    <w:rsid w:val="025657AD"/>
    <w:rsid w:val="02587777"/>
    <w:rsid w:val="02595DB9"/>
    <w:rsid w:val="025C1016"/>
    <w:rsid w:val="025C7CCF"/>
    <w:rsid w:val="02647ECA"/>
    <w:rsid w:val="02664063"/>
    <w:rsid w:val="02693733"/>
    <w:rsid w:val="026C4FD1"/>
    <w:rsid w:val="026D239C"/>
    <w:rsid w:val="026D3223"/>
    <w:rsid w:val="026E2029"/>
    <w:rsid w:val="027125E7"/>
    <w:rsid w:val="027350B3"/>
    <w:rsid w:val="02756840"/>
    <w:rsid w:val="02783976"/>
    <w:rsid w:val="027A5940"/>
    <w:rsid w:val="027B124C"/>
    <w:rsid w:val="027C5214"/>
    <w:rsid w:val="027F2F56"/>
    <w:rsid w:val="0281244D"/>
    <w:rsid w:val="0281282A"/>
    <w:rsid w:val="02816E42"/>
    <w:rsid w:val="02820350"/>
    <w:rsid w:val="02873BB9"/>
    <w:rsid w:val="028753AF"/>
    <w:rsid w:val="02892562"/>
    <w:rsid w:val="028B18FB"/>
    <w:rsid w:val="028B36A9"/>
    <w:rsid w:val="028E13EB"/>
    <w:rsid w:val="0295277A"/>
    <w:rsid w:val="029A7D90"/>
    <w:rsid w:val="029E162E"/>
    <w:rsid w:val="029E2280"/>
    <w:rsid w:val="02A14633"/>
    <w:rsid w:val="02A40196"/>
    <w:rsid w:val="02A732C3"/>
    <w:rsid w:val="02A97FD3"/>
    <w:rsid w:val="02AB3D4B"/>
    <w:rsid w:val="02B50726"/>
    <w:rsid w:val="02B6369A"/>
    <w:rsid w:val="02B80216"/>
    <w:rsid w:val="02BD75DA"/>
    <w:rsid w:val="02BE582C"/>
    <w:rsid w:val="02C60B85"/>
    <w:rsid w:val="02C848FD"/>
    <w:rsid w:val="02C92423"/>
    <w:rsid w:val="02C941D1"/>
    <w:rsid w:val="02CD31FE"/>
    <w:rsid w:val="02CD5A6F"/>
    <w:rsid w:val="02CE4CF7"/>
    <w:rsid w:val="02D108F4"/>
    <w:rsid w:val="02D212D8"/>
    <w:rsid w:val="02D373D9"/>
    <w:rsid w:val="02D75142"/>
    <w:rsid w:val="02D908B8"/>
    <w:rsid w:val="02DC2156"/>
    <w:rsid w:val="02DF5607"/>
    <w:rsid w:val="02E20138"/>
    <w:rsid w:val="02E2723F"/>
    <w:rsid w:val="02E32D09"/>
    <w:rsid w:val="02E42DB9"/>
    <w:rsid w:val="02E6168A"/>
    <w:rsid w:val="02E62FD5"/>
    <w:rsid w:val="02E7408E"/>
    <w:rsid w:val="02EF1E8A"/>
    <w:rsid w:val="02F02BFE"/>
    <w:rsid w:val="02F05C02"/>
    <w:rsid w:val="02F322DF"/>
    <w:rsid w:val="02F32E16"/>
    <w:rsid w:val="02F54FC6"/>
    <w:rsid w:val="02F76F90"/>
    <w:rsid w:val="02F95761"/>
    <w:rsid w:val="02FA25DD"/>
    <w:rsid w:val="02FA6EC4"/>
    <w:rsid w:val="02FD4D40"/>
    <w:rsid w:val="0301396B"/>
    <w:rsid w:val="03027722"/>
    <w:rsid w:val="03031491"/>
    <w:rsid w:val="03065425"/>
    <w:rsid w:val="030767A5"/>
    <w:rsid w:val="030A0A72"/>
    <w:rsid w:val="030A6CC4"/>
    <w:rsid w:val="030D0562"/>
    <w:rsid w:val="030D1D54"/>
    <w:rsid w:val="03103BAE"/>
    <w:rsid w:val="031A4A2D"/>
    <w:rsid w:val="031B2C7F"/>
    <w:rsid w:val="031C69F7"/>
    <w:rsid w:val="031E451D"/>
    <w:rsid w:val="03206072"/>
    <w:rsid w:val="03223A5F"/>
    <w:rsid w:val="03253AFD"/>
    <w:rsid w:val="032558AB"/>
    <w:rsid w:val="03265180"/>
    <w:rsid w:val="032B7DBE"/>
    <w:rsid w:val="032F5C6D"/>
    <w:rsid w:val="03367AB9"/>
    <w:rsid w:val="03380F32"/>
    <w:rsid w:val="03391357"/>
    <w:rsid w:val="033A0C2B"/>
    <w:rsid w:val="033A62E9"/>
    <w:rsid w:val="033C40A2"/>
    <w:rsid w:val="033E071B"/>
    <w:rsid w:val="033E4BBF"/>
    <w:rsid w:val="034321D6"/>
    <w:rsid w:val="03433852"/>
    <w:rsid w:val="03483348"/>
    <w:rsid w:val="034A70C0"/>
    <w:rsid w:val="034E72B8"/>
    <w:rsid w:val="034F0CA2"/>
    <w:rsid w:val="035148F2"/>
    <w:rsid w:val="03547F3F"/>
    <w:rsid w:val="03561F09"/>
    <w:rsid w:val="035717DD"/>
    <w:rsid w:val="035A307B"/>
    <w:rsid w:val="035C5045"/>
    <w:rsid w:val="035E0DBD"/>
    <w:rsid w:val="0361265C"/>
    <w:rsid w:val="036B6BBE"/>
    <w:rsid w:val="036B7087"/>
    <w:rsid w:val="036D1000"/>
    <w:rsid w:val="037212ED"/>
    <w:rsid w:val="0374413D"/>
    <w:rsid w:val="03744955"/>
    <w:rsid w:val="037474BD"/>
    <w:rsid w:val="037979A5"/>
    <w:rsid w:val="037E2237"/>
    <w:rsid w:val="0385634A"/>
    <w:rsid w:val="038C592B"/>
    <w:rsid w:val="038C5CCB"/>
    <w:rsid w:val="038F0F77"/>
    <w:rsid w:val="03927D69"/>
    <w:rsid w:val="039667A9"/>
    <w:rsid w:val="039B791C"/>
    <w:rsid w:val="039C407F"/>
    <w:rsid w:val="039C5442"/>
    <w:rsid w:val="039E2CB1"/>
    <w:rsid w:val="03A013D6"/>
    <w:rsid w:val="03A04F32"/>
    <w:rsid w:val="03A2514E"/>
    <w:rsid w:val="03A367D0"/>
    <w:rsid w:val="03A72764"/>
    <w:rsid w:val="03AC1B29"/>
    <w:rsid w:val="03B64756"/>
    <w:rsid w:val="03B7227C"/>
    <w:rsid w:val="03B91F1D"/>
    <w:rsid w:val="03B978B9"/>
    <w:rsid w:val="03BD7093"/>
    <w:rsid w:val="03BE76CA"/>
    <w:rsid w:val="03C2759E"/>
    <w:rsid w:val="03C42CC6"/>
    <w:rsid w:val="03C42E7B"/>
    <w:rsid w:val="03C9309C"/>
    <w:rsid w:val="03CA47A1"/>
    <w:rsid w:val="03CA6453"/>
    <w:rsid w:val="03CC265C"/>
    <w:rsid w:val="03D60954"/>
    <w:rsid w:val="03D63037"/>
    <w:rsid w:val="03D942D2"/>
    <w:rsid w:val="03DA2E79"/>
    <w:rsid w:val="03DB0660"/>
    <w:rsid w:val="03DD6186"/>
    <w:rsid w:val="03DE5A5A"/>
    <w:rsid w:val="03E017D2"/>
    <w:rsid w:val="03E219EE"/>
    <w:rsid w:val="03E312C3"/>
    <w:rsid w:val="03E54254"/>
    <w:rsid w:val="03E56DE9"/>
    <w:rsid w:val="03E72B61"/>
    <w:rsid w:val="03E77005"/>
    <w:rsid w:val="03E80687"/>
    <w:rsid w:val="03E94B2B"/>
    <w:rsid w:val="03EC63C9"/>
    <w:rsid w:val="03EE3926"/>
    <w:rsid w:val="03F139E0"/>
    <w:rsid w:val="03F37758"/>
    <w:rsid w:val="03F62DA4"/>
    <w:rsid w:val="03F67248"/>
    <w:rsid w:val="03FB03BA"/>
    <w:rsid w:val="04001FDF"/>
    <w:rsid w:val="040134DD"/>
    <w:rsid w:val="04082AD7"/>
    <w:rsid w:val="040D5F94"/>
    <w:rsid w:val="040E27E3"/>
    <w:rsid w:val="040E4592"/>
    <w:rsid w:val="040F43A0"/>
    <w:rsid w:val="041A1188"/>
    <w:rsid w:val="041D47D5"/>
    <w:rsid w:val="04216DD6"/>
    <w:rsid w:val="04223B99"/>
    <w:rsid w:val="042518DB"/>
    <w:rsid w:val="0428074B"/>
    <w:rsid w:val="042C4A18"/>
    <w:rsid w:val="042E253E"/>
    <w:rsid w:val="042F6053"/>
    <w:rsid w:val="043770CF"/>
    <w:rsid w:val="043A5387"/>
    <w:rsid w:val="043B510F"/>
    <w:rsid w:val="043D09D3"/>
    <w:rsid w:val="043D29C9"/>
    <w:rsid w:val="043F2FAD"/>
    <w:rsid w:val="0442722F"/>
    <w:rsid w:val="04447FB3"/>
    <w:rsid w:val="04461F7D"/>
    <w:rsid w:val="0449381C"/>
    <w:rsid w:val="044A0592"/>
    <w:rsid w:val="044A30F0"/>
    <w:rsid w:val="044B1342"/>
    <w:rsid w:val="044B1BF8"/>
    <w:rsid w:val="04511CDD"/>
    <w:rsid w:val="04553F6E"/>
    <w:rsid w:val="045B70AB"/>
    <w:rsid w:val="045F2DCA"/>
    <w:rsid w:val="045F6B9B"/>
    <w:rsid w:val="046507CE"/>
    <w:rsid w:val="04652D08"/>
    <w:rsid w:val="046B19E4"/>
    <w:rsid w:val="046B3792"/>
    <w:rsid w:val="046B3BE8"/>
    <w:rsid w:val="047343F5"/>
    <w:rsid w:val="04740E9E"/>
    <w:rsid w:val="047775AF"/>
    <w:rsid w:val="04777A0C"/>
    <w:rsid w:val="047C3421"/>
    <w:rsid w:val="047C599F"/>
    <w:rsid w:val="04812FB5"/>
    <w:rsid w:val="048760F2"/>
    <w:rsid w:val="048B5BE2"/>
    <w:rsid w:val="048C3B5C"/>
    <w:rsid w:val="048C6FBD"/>
    <w:rsid w:val="048D3235"/>
    <w:rsid w:val="048E122E"/>
    <w:rsid w:val="048E56D2"/>
    <w:rsid w:val="048E5FAA"/>
    <w:rsid w:val="04904FA7"/>
    <w:rsid w:val="04912D27"/>
    <w:rsid w:val="04932CE9"/>
    <w:rsid w:val="04974587"/>
    <w:rsid w:val="049752DD"/>
    <w:rsid w:val="049802FF"/>
    <w:rsid w:val="04983E5B"/>
    <w:rsid w:val="04984EBD"/>
    <w:rsid w:val="049868E8"/>
    <w:rsid w:val="0499741D"/>
    <w:rsid w:val="049D5915"/>
    <w:rsid w:val="04A9250C"/>
    <w:rsid w:val="04AE18D1"/>
    <w:rsid w:val="04B0389B"/>
    <w:rsid w:val="04B073F7"/>
    <w:rsid w:val="04B21DC8"/>
    <w:rsid w:val="04B327A2"/>
    <w:rsid w:val="04B36EE7"/>
    <w:rsid w:val="04B62533"/>
    <w:rsid w:val="04B70785"/>
    <w:rsid w:val="04B7715C"/>
    <w:rsid w:val="04BF1806"/>
    <w:rsid w:val="04BF763A"/>
    <w:rsid w:val="04C07235"/>
    <w:rsid w:val="04C335CE"/>
    <w:rsid w:val="04C873E4"/>
    <w:rsid w:val="04D31337"/>
    <w:rsid w:val="04D550AF"/>
    <w:rsid w:val="04D94B9F"/>
    <w:rsid w:val="04DA4474"/>
    <w:rsid w:val="04DC4690"/>
    <w:rsid w:val="04DE1209"/>
    <w:rsid w:val="04DE21B6"/>
    <w:rsid w:val="04DF250D"/>
    <w:rsid w:val="04E40EC1"/>
    <w:rsid w:val="04EB042F"/>
    <w:rsid w:val="04ED41A7"/>
    <w:rsid w:val="04EE7F1F"/>
    <w:rsid w:val="04F31768"/>
    <w:rsid w:val="04F75026"/>
    <w:rsid w:val="04FB2D39"/>
    <w:rsid w:val="05031C1C"/>
    <w:rsid w:val="05042D98"/>
    <w:rsid w:val="05045994"/>
    <w:rsid w:val="05047743"/>
    <w:rsid w:val="05076E6D"/>
    <w:rsid w:val="050E236F"/>
    <w:rsid w:val="051200B1"/>
    <w:rsid w:val="0517273C"/>
    <w:rsid w:val="051A51B8"/>
    <w:rsid w:val="051C2760"/>
    <w:rsid w:val="051C683A"/>
    <w:rsid w:val="051E7732"/>
    <w:rsid w:val="052027CE"/>
    <w:rsid w:val="0522391D"/>
    <w:rsid w:val="05235E1B"/>
    <w:rsid w:val="05243941"/>
    <w:rsid w:val="052B4CCF"/>
    <w:rsid w:val="052C0B14"/>
    <w:rsid w:val="052D1694"/>
    <w:rsid w:val="052E47BF"/>
    <w:rsid w:val="0530678A"/>
    <w:rsid w:val="05317944"/>
    <w:rsid w:val="05322502"/>
    <w:rsid w:val="05340028"/>
    <w:rsid w:val="05341DD6"/>
    <w:rsid w:val="053C0C8A"/>
    <w:rsid w:val="054022C8"/>
    <w:rsid w:val="05404C1F"/>
    <w:rsid w:val="05412FEB"/>
    <w:rsid w:val="05453FE3"/>
    <w:rsid w:val="0547556E"/>
    <w:rsid w:val="054F3EAE"/>
    <w:rsid w:val="054F58B7"/>
    <w:rsid w:val="05557F9E"/>
    <w:rsid w:val="05561E22"/>
    <w:rsid w:val="05575AC4"/>
    <w:rsid w:val="055E32F7"/>
    <w:rsid w:val="055E7FA4"/>
    <w:rsid w:val="05616943"/>
    <w:rsid w:val="05685F23"/>
    <w:rsid w:val="05696896"/>
    <w:rsid w:val="056B1570"/>
    <w:rsid w:val="056B77C2"/>
    <w:rsid w:val="056C5A14"/>
    <w:rsid w:val="056D353A"/>
    <w:rsid w:val="056D430E"/>
    <w:rsid w:val="056F72DE"/>
    <w:rsid w:val="05742AC8"/>
    <w:rsid w:val="057C377D"/>
    <w:rsid w:val="057C3D51"/>
    <w:rsid w:val="057F319B"/>
    <w:rsid w:val="05816FE5"/>
    <w:rsid w:val="05852BDA"/>
    <w:rsid w:val="058663AA"/>
    <w:rsid w:val="058873D6"/>
    <w:rsid w:val="058979DF"/>
    <w:rsid w:val="058A7C48"/>
    <w:rsid w:val="058D7959"/>
    <w:rsid w:val="05900FD6"/>
    <w:rsid w:val="05917228"/>
    <w:rsid w:val="05924D4E"/>
    <w:rsid w:val="05942874"/>
    <w:rsid w:val="05972365"/>
    <w:rsid w:val="05986704"/>
    <w:rsid w:val="059E36F3"/>
    <w:rsid w:val="059F30E6"/>
    <w:rsid w:val="05A50F26"/>
    <w:rsid w:val="05AB5C72"/>
    <w:rsid w:val="05AB7BBE"/>
    <w:rsid w:val="05AD75A3"/>
    <w:rsid w:val="05B13426"/>
    <w:rsid w:val="05B178CA"/>
    <w:rsid w:val="05B64EE1"/>
    <w:rsid w:val="05B66C8F"/>
    <w:rsid w:val="05B9052D"/>
    <w:rsid w:val="05BB4F26"/>
    <w:rsid w:val="05BB6053"/>
    <w:rsid w:val="05C313AC"/>
    <w:rsid w:val="05C56ED2"/>
    <w:rsid w:val="05C57BB2"/>
    <w:rsid w:val="05C80770"/>
    <w:rsid w:val="05CB200E"/>
    <w:rsid w:val="05CD6C44"/>
    <w:rsid w:val="05CF67D3"/>
    <w:rsid w:val="05CF7D50"/>
    <w:rsid w:val="05D215EF"/>
    <w:rsid w:val="05D90BCF"/>
    <w:rsid w:val="05D9472B"/>
    <w:rsid w:val="05E05ABA"/>
    <w:rsid w:val="05EE2510"/>
    <w:rsid w:val="05EE467B"/>
    <w:rsid w:val="05F15805"/>
    <w:rsid w:val="05F52F17"/>
    <w:rsid w:val="05F862B3"/>
    <w:rsid w:val="05F872A7"/>
    <w:rsid w:val="05F902FF"/>
    <w:rsid w:val="05FD48BE"/>
    <w:rsid w:val="0600615C"/>
    <w:rsid w:val="06020126"/>
    <w:rsid w:val="06026684"/>
    <w:rsid w:val="06055520"/>
    <w:rsid w:val="06057FE3"/>
    <w:rsid w:val="06127C3D"/>
    <w:rsid w:val="061439B5"/>
    <w:rsid w:val="0616597F"/>
    <w:rsid w:val="0616772D"/>
    <w:rsid w:val="0617049F"/>
    <w:rsid w:val="06174FC9"/>
    <w:rsid w:val="061A40F4"/>
    <w:rsid w:val="06222576"/>
    <w:rsid w:val="0624009C"/>
    <w:rsid w:val="062736E9"/>
    <w:rsid w:val="06287461"/>
    <w:rsid w:val="062A4F87"/>
    <w:rsid w:val="062C51A3"/>
    <w:rsid w:val="062E0F1B"/>
    <w:rsid w:val="062E4A77"/>
    <w:rsid w:val="062F6A41"/>
    <w:rsid w:val="06317000"/>
    <w:rsid w:val="063302DF"/>
    <w:rsid w:val="063400E4"/>
    <w:rsid w:val="06352F05"/>
    <w:rsid w:val="06367DD0"/>
    <w:rsid w:val="0637015B"/>
    <w:rsid w:val="06371045"/>
    <w:rsid w:val="06383B48"/>
    <w:rsid w:val="063B43C4"/>
    <w:rsid w:val="063C32BB"/>
    <w:rsid w:val="063E7D85"/>
    <w:rsid w:val="063F6C84"/>
    <w:rsid w:val="064047AA"/>
    <w:rsid w:val="064424ED"/>
    <w:rsid w:val="06475B39"/>
    <w:rsid w:val="064A73D7"/>
    <w:rsid w:val="064C13A1"/>
    <w:rsid w:val="06514C09"/>
    <w:rsid w:val="06523C1B"/>
    <w:rsid w:val="0659586C"/>
    <w:rsid w:val="065B7836"/>
    <w:rsid w:val="065D35AE"/>
    <w:rsid w:val="06604169"/>
    <w:rsid w:val="066413F4"/>
    <w:rsid w:val="0667442D"/>
    <w:rsid w:val="06692446"/>
    <w:rsid w:val="06693D01"/>
    <w:rsid w:val="066A1827"/>
    <w:rsid w:val="066C559F"/>
    <w:rsid w:val="06712BB6"/>
    <w:rsid w:val="06715702"/>
    <w:rsid w:val="06727999"/>
    <w:rsid w:val="06744454"/>
    <w:rsid w:val="067A7CBC"/>
    <w:rsid w:val="067C44CB"/>
    <w:rsid w:val="067F6A97"/>
    <w:rsid w:val="06823015"/>
    <w:rsid w:val="068B1EC9"/>
    <w:rsid w:val="068D62C8"/>
    <w:rsid w:val="06905732"/>
    <w:rsid w:val="069114AA"/>
    <w:rsid w:val="06930D7E"/>
    <w:rsid w:val="06954AF6"/>
    <w:rsid w:val="069C0B90"/>
    <w:rsid w:val="069E1EDD"/>
    <w:rsid w:val="06A21E31"/>
    <w:rsid w:val="06A25465"/>
    <w:rsid w:val="06A27213"/>
    <w:rsid w:val="06A42F8B"/>
    <w:rsid w:val="06A50AB1"/>
    <w:rsid w:val="06AB431A"/>
    <w:rsid w:val="06AB71F5"/>
    <w:rsid w:val="06B07B82"/>
    <w:rsid w:val="06B55198"/>
    <w:rsid w:val="06BC02D5"/>
    <w:rsid w:val="06BD404D"/>
    <w:rsid w:val="06BE35C9"/>
    <w:rsid w:val="06BF1B73"/>
    <w:rsid w:val="06C07699"/>
    <w:rsid w:val="06C12665"/>
    <w:rsid w:val="06C13B3D"/>
    <w:rsid w:val="06C47189"/>
    <w:rsid w:val="06C6670B"/>
    <w:rsid w:val="06C8539C"/>
    <w:rsid w:val="06C9323D"/>
    <w:rsid w:val="06C979F7"/>
    <w:rsid w:val="06CB64FF"/>
    <w:rsid w:val="06CD24E2"/>
    <w:rsid w:val="06D179D1"/>
    <w:rsid w:val="06D33870"/>
    <w:rsid w:val="06D5093D"/>
    <w:rsid w:val="06D870D9"/>
    <w:rsid w:val="06DC0977"/>
    <w:rsid w:val="06DD46A0"/>
    <w:rsid w:val="06DD649D"/>
    <w:rsid w:val="06DE46EF"/>
    <w:rsid w:val="06E25862"/>
    <w:rsid w:val="06E57385"/>
    <w:rsid w:val="06E8731C"/>
    <w:rsid w:val="06EC048E"/>
    <w:rsid w:val="06EC66E0"/>
    <w:rsid w:val="06F21D26"/>
    <w:rsid w:val="06F35CC1"/>
    <w:rsid w:val="06F37A6F"/>
    <w:rsid w:val="06F757B1"/>
    <w:rsid w:val="06F832D7"/>
    <w:rsid w:val="06F92896"/>
    <w:rsid w:val="06FC6923"/>
    <w:rsid w:val="06FE6B3F"/>
    <w:rsid w:val="0701218C"/>
    <w:rsid w:val="070875E0"/>
    <w:rsid w:val="070B300A"/>
    <w:rsid w:val="070D0B30"/>
    <w:rsid w:val="070F2026"/>
    <w:rsid w:val="07100621"/>
    <w:rsid w:val="07124399"/>
    <w:rsid w:val="071355FF"/>
    <w:rsid w:val="07153E89"/>
    <w:rsid w:val="07177C01"/>
    <w:rsid w:val="071D659A"/>
    <w:rsid w:val="071E2D3E"/>
    <w:rsid w:val="0721282E"/>
    <w:rsid w:val="072145DC"/>
    <w:rsid w:val="07245E7A"/>
    <w:rsid w:val="07261BF2"/>
    <w:rsid w:val="07293586"/>
    <w:rsid w:val="07295285"/>
    <w:rsid w:val="072D0157"/>
    <w:rsid w:val="072D11D3"/>
    <w:rsid w:val="072D2F81"/>
    <w:rsid w:val="072D508B"/>
    <w:rsid w:val="072F22BE"/>
    <w:rsid w:val="072F4F4B"/>
    <w:rsid w:val="07322345"/>
    <w:rsid w:val="073267E9"/>
    <w:rsid w:val="073562D9"/>
    <w:rsid w:val="0737479E"/>
    <w:rsid w:val="07375BAD"/>
    <w:rsid w:val="073A569E"/>
    <w:rsid w:val="073B6467"/>
    <w:rsid w:val="073C31C4"/>
    <w:rsid w:val="073E518E"/>
    <w:rsid w:val="073F4A62"/>
    <w:rsid w:val="07464042"/>
    <w:rsid w:val="07483BF5"/>
    <w:rsid w:val="074958E1"/>
    <w:rsid w:val="074B1659"/>
    <w:rsid w:val="074C0E53"/>
    <w:rsid w:val="074D717F"/>
    <w:rsid w:val="074E2EF7"/>
    <w:rsid w:val="074F739B"/>
    <w:rsid w:val="075200E8"/>
    <w:rsid w:val="07526D7F"/>
    <w:rsid w:val="07585B24"/>
    <w:rsid w:val="07591FC8"/>
    <w:rsid w:val="075A189C"/>
    <w:rsid w:val="075A7AEE"/>
    <w:rsid w:val="075B48E7"/>
    <w:rsid w:val="075C3866"/>
    <w:rsid w:val="07630750"/>
    <w:rsid w:val="076540F2"/>
    <w:rsid w:val="076562D9"/>
    <w:rsid w:val="07666493"/>
    <w:rsid w:val="07675A5B"/>
    <w:rsid w:val="076E5B8C"/>
    <w:rsid w:val="076F6FBB"/>
    <w:rsid w:val="07707311"/>
    <w:rsid w:val="0774295E"/>
    <w:rsid w:val="07753BD7"/>
    <w:rsid w:val="077566D6"/>
    <w:rsid w:val="077639A5"/>
    <w:rsid w:val="07770C56"/>
    <w:rsid w:val="07797F74"/>
    <w:rsid w:val="077C1812"/>
    <w:rsid w:val="077F1302"/>
    <w:rsid w:val="07812C00"/>
    <w:rsid w:val="07854B6B"/>
    <w:rsid w:val="078608E3"/>
    <w:rsid w:val="07921036"/>
    <w:rsid w:val="07943F08"/>
    <w:rsid w:val="07944DAE"/>
    <w:rsid w:val="0794648D"/>
    <w:rsid w:val="079833F9"/>
    <w:rsid w:val="079923C4"/>
    <w:rsid w:val="079B25E0"/>
    <w:rsid w:val="079F3753"/>
    <w:rsid w:val="07A23A55"/>
    <w:rsid w:val="07A31495"/>
    <w:rsid w:val="07A611BD"/>
    <w:rsid w:val="07A64AE1"/>
    <w:rsid w:val="07A66D5A"/>
    <w:rsid w:val="07A73637"/>
    <w:rsid w:val="07A84FDE"/>
    <w:rsid w:val="07AA0EFE"/>
    <w:rsid w:val="07AC5A1F"/>
    <w:rsid w:val="07AE0C35"/>
    <w:rsid w:val="07AF4ECA"/>
    <w:rsid w:val="07B0158F"/>
    <w:rsid w:val="07B01DD8"/>
    <w:rsid w:val="07B216D8"/>
    <w:rsid w:val="07B54013"/>
    <w:rsid w:val="07B747B2"/>
    <w:rsid w:val="07B96BED"/>
    <w:rsid w:val="07BC4304"/>
    <w:rsid w:val="07C05BA3"/>
    <w:rsid w:val="07C20E4A"/>
    <w:rsid w:val="07C5140B"/>
    <w:rsid w:val="07CD6512"/>
    <w:rsid w:val="07CF228A"/>
    <w:rsid w:val="07D26499"/>
    <w:rsid w:val="07D96C64"/>
    <w:rsid w:val="07DD10FF"/>
    <w:rsid w:val="07DF4305"/>
    <w:rsid w:val="07E06245"/>
    <w:rsid w:val="07E55609"/>
    <w:rsid w:val="07E8334B"/>
    <w:rsid w:val="07ED2710"/>
    <w:rsid w:val="07F12200"/>
    <w:rsid w:val="07F12B74"/>
    <w:rsid w:val="07F13FAE"/>
    <w:rsid w:val="07F27D26"/>
    <w:rsid w:val="07F576C7"/>
    <w:rsid w:val="07F92E63"/>
    <w:rsid w:val="08011B21"/>
    <w:rsid w:val="08033CE1"/>
    <w:rsid w:val="08044DF2"/>
    <w:rsid w:val="0808622A"/>
    <w:rsid w:val="080C78F3"/>
    <w:rsid w:val="080F08D8"/>
    <w:rsid w:val="08111A6D"/>
    <w:rsid w:val="08114650"/>
    <w:rsid w:val="08122176"/>
    <w:rsid w:val="08123F24"/>
    <w:rsid w:val="08161C67"/>
    <w:rsid w:val="08193505"/>
    <w:rsid w:val="08193855"/>
    <w:rsid w:val="081C4DA3"/>
    <w:rsid w:val="081D4626"/>
    <w:rsid w:val="081E4FBF"/>
    <w:rsid w:val="08206641"/>
    <w:rsid w:val="08226344"/>
    <w:rsid w:val="08255A35"/>
    <w:rsid w:val="08262F95"/>
    <w:rsid w:val="08283748"/>
    <w:rsid w:val="0828574C"/>
    <w:rsid w:val="082C023D"/>
    <w:rsid w:val="082F2355"/>
    <w:rsid w:val="0831084F"/>
    <w:rsid w:val="08316AA1"/>
    <w:rsid w:val="083818D9"/>
    <w:rsid w:val="08404F36"/>
    <w:rsid w:val="084661C6"/>
    <w:rsid w:val="0849203C"/>
    <w:rsid w:val="084A5DB4"/>
    <w:rsid w:val="084D609E"/>
    <w:rsid w:val="084F4E8A"/>
    <w:rsid w:val="08512C9F"/>
    <w:rsid w:val="08517143"/>
    <w:rsid w:val="08517AB0"/>
    <w:rsid w:val="0854453D"/>
    <w:rsid w:val="08564759"/>
    <w:rsid w:val="085831B1"/>
    <w:rsid w:val="08597DA5"/>
    <w:rsid w:val="085E7023"/>
    <w:rsid w:val="08624EAC"/>
    <w:rsid w:val="086329D2"/>
    <w:rsid w:val="08634780"/>
    <w:rsid w:val="08640C24"/>
    <w:rsid w:val="0865499C"/>
    <w:rsid w:val="08694136"/>
    <w:rsid w:val="086A19A6"/>
    <w:rsid w:val="086A1FB2"/>
    <w:rsid w:val="086C5D2B"/>
    <w:rsid w:val="086C7AD9"/>
    <w:rsid w:val="086D316B"/>
    <w:rsid w:val="086E3851"/>
    <w:rsid w:val="086F380C"/>
    <w:rsid w:val="087109F5"/>
    <w:rsid w:val="08730E67"/>
    <w:rsid w:val="087921F6"/>
    <w:rsid w:val="087A4C54"/>
    <w:rsid w:val="087B5F6E"/>
    <w:rsid w:val="088210AA"/>
    <w:rsid w:val="0882554E"/>
    <w:rsid w:val="08850A8D"/>
    <w:rsid w:val="08862D93"/>
    <w:rsid w:val="0887371F"/>
    <w:rsid w:val="08874912"/>
    <w:rsid w:val="0889068B"/>
    <w:rsid w:val="08894C98"/>
    <w:rsid w:val="08896684"/>
    <w:rsid w:val="088C017B"/>
    <w:rsid w:val="088E5CA1"/>
    <w:rsid w:val="08931509"/>
    <w:rsid w:val="089332B7"/>
    <w:rsid w:val="0898267C"/>
    <w:rsid w:val="089D4136"/>
    <w:rsid w:val="089F1C5C"/>
    <w:rsid w:val="08A13C26"/>
    <w:rsid w:val="08A454C4"/>
    <w:rsid w:val="08A52FEB"/>
    <w:rsid w:val="08A76219"/>
    <w:rsid w:val="08A77F04"/>
    <w:rsid w:val="08AC299F"/>
    <w:rsid w:val="08AE5BBA"/>
    <w:rsid w:val="08AF0E7E"/>
    <w:rsid w:val="08B03E69"/>
    <w:rsid w:val="08B2267B"/>
    <w:rsid w:val="08B51480"/>
    <w:rsid w:val="08B519F0"/>
    <w:rsid w:val="08B576D2"/>
    <w:rsid w:val="08B651F8"/>
    <w:rsid w:val="08B82D1E"/>
    <w:rsid w:val="08BA4CE8"/>
    <w:rsid w:val="08BD0334"/>
    <w:rsid w:val="08C05347"/>
    <w:rsid w:val="08C50B9C"/>
    <w:rsid w:val="08CE42EF"/>
    <w:rsid w:val="08D35DAA"/>
    <w:rsid w:val="08D538D0"/>
    <w:rsid w:val="08D631A4"/>
    <w:rsid w:val="08DF4269"/>
    <w:rsid w:val="08E104C7"/>
    <w:rsid w:val="08E25FED"/>
    <w:rsid w:val="08E92932"/>
    <w:rsid w:val="08E9737B"/>
    <w:rsid w:val="08ED03E2"/>
    <w:rsid w:val="08F024B8"/>
    <w:rsid w:val="08F13AAD"/>
    <w:rsid w:val="08F53CDB"/>
    <w:rsid w:val="08FB7730"/>
    <w:rsid w:val="08FC59FB"/>
    <w:rsid w:val="08FD6983"/>
    <w:rsid w:val="08FF26FB"/>
    <w:rsid w:val="090221EB"/>
    <w:rsid w:val="09045F63"/>
    <w:rsid w:val="09077801"/>
    <w:rsid w:val="090E70C3"/>
    <w:rsid w:val="091020CD"/>
    <w:rsid w:val="0913264A"/>
    <w:rsid w:val="09153639"/>
    <w:rsid w:val="09153C1F"/>
    <w:rsid w:val="09197523"/>
    <w:rsid w:val="091C2D7B"/>
    <w:rsid w:val="092217DD"/>
    <w:rsid w:val="09240154"/>
    <w:rsid w:val="092403B3"/>
    <w:rsid w:val="09265BCD"/>
    <w:rsid w:val="092B34F0"/>
    <w:rsid w:val="092B7C9F"/>
    <w:rsid w:val="092C7268"/>
    <w:rsid w:val="092E1232"/>
    <w:rsid w:val="092F0F6D"/>
    <w:rsid w:val="09300B06"/>
    <w:rsid w:val="0935611C"/>
    <w:rsid w:val="093700E7"/>
    <w:rsid w:val="09371E95"/>
    <w:rsid w:val="093733C9"/>
    <w:rsid w:val="093A7294"/>
    <w:rsid w:val="09401129"/>
    <w:rsid w:val="09431EAE"/>
    <w:rsid w:val="09497E1A"/>
    <w:rsid w:val="094B1DE4"/>
    <w:rsid w:val="094C3466"/>
    <w:rsid w:val="094E5847"/>
    <w:rsid w:val="094F37B7"/>
    <w:rsid w:val="09510A7C"/>
    <w:rsid w:val="09526CCE"/>
    <w:rsid w:val="095742E5"/>
    <w:rsid w:val="096133B5"/>
    <w:rsid w:val="0969226A"/>
    <w:rsid w:val="09694018"/>
    <w:rsid w:val="096D3B08"/>
    <w:rsid w:val="09714C67"/>
    <w:rsid w:val="09722ECD"/>
    <w:rsid w:val="09732DA3"/>
    <w:rsid w:val="09741A2E"/>
    <w:rsid w:val="097906FF"/>
    <w:rsid w:val="097A6225"/>
    <w:rsid w:val="097A7FD3"/>
    <w:rsid w:val="097C1F9D"/>
    <w:rsid w:val="09803C72"/>
    <w:rsid w:val="098350DA"/>
    <w:rsid w:val="0984611E"/>
    <w:rsid w:val="098470A4"/>
    <w:rsid w:val="09886B94"/>
    <w:rsid w:val="098B0432"/>
    <w:rsid w:val="098C5B93"/>
    <w:rsid w:val="098E3A7F"/>
    <w:rsid w:val="098F7F23"/>
    <w:rsid w:val="09926E4D"/>
    <w:rsid w:val="099346C1"/>
    <w:rsid w:val="099472E7"/>
    <w:rsid w:val="099A2423"/>
    <w:rsid w:val="099B0FE2"/>
    <w:rsid w:val="099E0166"/>
    <w:rsid w:val="099F1469"/>
    <w:rsid w:val="099F7A3A"/>
    <w:rsid w:val="09A137B2"/>
    <w:rsid w:val="09A17C56"/>
    <w:rsid w:val="09A339CE"/>
    <w:rsid w:val="09A35B15"/>
    <w:rsid w:val="09A3752A"/>
    <w:rsid w:val="09A66753"/>
    <w:rsid w:val="09AA1703"/>
    <w:rsid w:val="09AD2157"/>
    <w:rsid w:val="09AD65FB"/>
    <w:rsid w:val="09B47989"/>
    <w:rsid w:val="09B8400A"/>
    <w:rsid w:val="09B96D4E"/>
    <w:rsid w:val="09BB6819"/>
    <w:rsid w:val="09BB68FD"/>
    <w:rsid w:val="09BE1A52"/>
    <w:rsid w:val="09BF2D55"/>
    <w:rsid w:val="09C0632E"/>
    <w:rsid w:val="09C120A6"/>
    <w:rsid w:val="09C13E54"/>
    <w:rsid w:val="09C22B91"/>
    <w:rsid w:val="09C33728"/>
    <w:rsid w:val="09C35E1E"/>
    <w:rsid w:val="09C53944"/>
    <w:rsid w:val="09C676BC"/>
    <w:rsid w:val="09C83435"/>
    <w:rsid w:val="09CA2D09"/>
    <w:rsid w:val="09CD0A4B"/>
    <w:rsid w:val="09D121EF"/>
    <w:rsid w:val="09D85D39"/>
    <w:rsid w:val="09D973F0"/>
    <w:rsid w:val="09DE2882"/>
    <w:rsid w:val="09DF68E3"/>
    <w:rsid w:val="09E35B78"/>
    <w:rsid w:val="09E60BF4"/>
    <w:rsid w:val="09E75B73"/>
    <w:rsid w:val="09EB0ED1"/>
    <w:rsid w:val="09EB65C7"/>
    <w:rsid w:val="09EF09C1"/>
    <w:rsid w:val="09F45FD8"/>
    <w:rsid w:val="09F77876"/>
    <w:rsid w:val="09F9091A"/>
    <w:rsid w:val="09FC4E8C"/>
    <w:rsid w:val="09FF584F"/>
    <w:rsid w:val="0A00497C"/>
    <w:rsid w:val="0A020553"/>
    <w:rsid w:val="0A026946"/>
    <w:rsid w:val="0A033827"/>
    <w:rsid w:val="0A03621B"/>
    <w:rsid w:val="0A037FC9"/>
    <w:rsid w:val="0A051F93"/>
    <w:rsid w:val="0A075F99"/>
    <w:rsid w:val="0A083831"/>
    <w:rsid w:val="0A0A75A9"/>
    <w:rsid w:val="0A0B50CF"/>
    <w:rsid w:val="0A110938"/>
    <w:rsid w:val="0A173441"/>
    <w:rsid w:val="0A173A74"/>
    <w:rsid w:val="0A1755E4"/>
    <w:rsid w:val="0A1C108A"/>
    <w:rsid w:val="0A1E3055"/>
    <w:rsid w:val="0A2166A1"/>
    <w:rsid w:val="0A2B4743"/>
    <w:rsid w:val="0A2F7010"/>
    <w:rsid w:val="0A3208AE"/>
    <w:rsid w:val="0A342878"/>
    <w:rsid w:val="0A36214C"/>
    <w:rsid w:val="0A36582B"/>
    <w:rsid w:val="0A3665F0"/>
    <w:rsid w:val="0A392EC5"/>
    <w:rsid w:val="0A3D5178"/>
    <w:rsid w:val="0A3E1D30"/>
    <w:rsid w:val="0A406E9B"/>
    <w:rsid w:val="0A430D0D"/>
    <w:rsid w:val="0A456833"/>
    <w:rsid w:val="0A4707FD"/>
    <w:rsid w:val="0A4A3E4A"/>
    <w:rsid w:val="0A4A6D32"/>
    <w:rsid w:val="0A4D1921"/>
    <w:rsid w:val="0A4F76B2"/>
    <w:rsid w:val="0A51342A"/>
    <w:rsid w:val="0A540824"/>
    <w:rsid w:val="0A56459C"/>
    <w:rsid w:val="0A574920"/>
    <w:rsid w:val="0A595E3B"/>
    <w:rsid w:val="0A624FB9"/>
    <w:rsid w:val="0A6605F5"/>
    <w:rsid w:val="0A6767AA"/>
    <w:rsid w:val="0A682522"/>
    <w:rsid w:val="0A6C2012"/>
    <w:rsid w:val="0A6D18E6"/>
    <w:rsid w:val="0A6D4FCE"/>
    <w:rsid w:val="0A6D7B38"/>
    <w:rsid w:val="0A717B4F"/>
    <w:rsid w:val="0A762E91"/>
    <w:rsid w:val="0A782765"/>
    <w:rsid w:val="0A7B71A7"/>
    <w:rsid w:val="0A7C2668"/>
    <w:rsid w:val="0A7D421F"/>
    <w:rsid w:val="0A7D5FCD"/>
    <w:rsid w:val="0A7D6345"/>
    <w:rsid w:val="0A8530D4"/>
    <w:rsid w:val="0A884A5E"/>
    <w:rsid w:val="0A886CD4"/>
    <w:rsid w:val="0A892BC4"/>
    <w:rsid w:val="0A8A2498"/>
    <w:rsid w:val="0A8E5544"/>
    <w:rsid w:val="0A8F3F52"/>
    <w:rsid w:val="0A8F5D00"/>
    <w:rsid w:val="0A96708F"/>
    <w:rsid w:val="0A981059"/>
    <w:rsid w:val="0A984BB5"/>
    <w:rsid w:val="0A9B6453"/>
    <w:rsid w:val="0A9D666F"/>
    <w:rsid w:val="0A9E7CF1"/>
    <w:rsid w:val="0AA27E70"/>
    <w:rsid w:val="0AA413E9"/>
    <w:rsid w:val="0AA51080"/>
    <w:rsid w:val="0AA6225D"/>
    <w:rsid w:val="0AA74DF8"/>
    <w:rsid w:val="0AAB0D8C"/>
    <w:rsid w:val="0AAE6186"/>
    <w:rsid w:val="0AB03E31"/>
    <w:rsid w:val="0ABD286D"/>
    <w:rsid w:val="0AC110ED"/>
    <w:rsid w:val="0AC27E84"/>
    <w:rsid w:val="0AC37758"/>
    <w:rsid w:val="0AC73197"/>
    <w:rsid w:val="0ACB1F00"/>
    <w:rsid w:val="0ACB4F8A"/>
    <w:rsid w:val="0ACE1FE7"/>
    <w:rsid w:val="0ACE4A7B"/>
    <w:rsid w:val="0AD054CA"/>
    <w:rsid w:val="0AD20866"/>
    <w:rsid w:val="0AD33E3F"/>
    <w:rsid w:val="0AD630BE"/>
    <w:rsid w:val="0ADD2F10"/>
    <w:rsid w:val="0ADE5D3C"/>
    <w:rsid w:val="0AE05E0C"/>
    <w:rsid w:val="0AE12DED"/>
    <w:rsid w:val="0AE147AE"/>
    <w:rsid w:val="0AE20526"/>
    <w:rsid w:val="0AE41BA8"/>
    <w:rsid w:val="0AE60D67"/>
    <w:rsid w:val="0AE61DC4"/>
    <w:rsid w:val="0AE71698"/>
    <w:rsid w:val="0AEB5587"/>
    <w:rsid w:val="0AEC6CAF"/>
    <w:rsid w:val="0AEF054D"/>
    <w:rsid w:val="0AF049F1"/>
    <w:rsid w:val="0AF40E28"/>
    <w:rsid w:val="0AF67B2D"/>
    <w:rsid w:val="0AF949F7"/>
    <w:rsid w:val="0AFA761E"/>
    <w:rsid w:val="0AFB5144"/>
    <w:rsid w:val="0AFD710E"/>
    <w:rsid w:val="0AFF2497"/>
    <w:rsid w:val="0B01749D"/>
    <w:rsid w:val="0B022976"/>
    <w:rsid w:val="0B04049C"/>
    <w:rsid w:val="0B065FC2"/>
    <w:rsid w:val="0B0B35D9"/>
    <w:rsid w:val="0B0C7351"/>
    <w:rsid w:val="0B13248D"/>
    <w:rsid w:val="0B1D330C"/>
    <w:rsid w:val="0B1D50BA"/>
    <w:rsid w:val="0B212DFC"/>
    <w:rsid w:val="0B237943"/>
    <w:rsid w:val="0B24469B"/>
    <w:rsid w:val="0B260413"/>
    <w:rsid w:val="0B270AEA"/>
    <w:rsid w:val="0B27418B"/>
    <w:rsid w:val="0B2E72C7"/>
    <w:rsid w:val="0B332B30"/>
    <w:rsid w:val="0B3348DE"/>
    <w:rsid w:val="0B36617C"/>
    <w:rsid w:val="0B3A2110"/>
    <w:rsid w:val="0B3D750A"/>
    <w:rsid w:val="0B424B21"/>
    <w:rsid w:val="0B446AEB"/>
    <w:rsid w:val="0B470389"/>
    <w:rsid w:val="0B4765DB"/>
    <w:rsid w:val="0B49165D"/>
    <w:rsid w:val="0B492353"/>
    <w:rsid w:val="0B494101"/>
    <w:rsid w:val="0B5331D2"/>
    <w:rsid w:val="0B536D2E"/>
    <w:rsid w:val="0B554854"/>
    <w:rsid w:val="0B5F1B77"/>
    <w:rsid w:val="0B646908"/>
    <w:rsid w:val="0B674587"/>
    <w:rsid w:val="0B6947A3"/>
    <w:rsid w:val="0B696551"/>
    <w:rsid w:val="0B6B22C9"/>
    <w:rsid w:val="0B6E34CF"/>
    <w:rsid w:val="0B6E3B68"/>
    <w:rsid w:val="0B6F49AF"/>
    <w:rsid w:val="0B705C98"/>
    <w:rsid w:val="0B723658"/>
    <w:rsid w:val="0B745622"/>
    <w:rsid w:val="0B7A4555"/>
    <w:rsid w:val="0B7D02EE"/>
    <w:rsid w:val="0B8415DD"/>
    <w:rsid w:val="0B84410E"/>
    <w:rsid w:val="0B870F82"/>
    <w:rsid w:val="0B882E7B"/>
    <w:rsid w:val="0B892115"/>
    <w:rsid w:val="0B8D6901"/>
    <w:rsid w:val="0B907F82"/>
    <w:rsid w:val="0B9226B9"/>
    <w:rsid w:val="0B927856"/>
    <w:rsid w:val="0B931032"/>
    <w:rsid w:val="0B971310"/>
    <w:rsid w:val="0B9730BE"/>
    <w:rsid w:val="0B974E6D"/>
    <w:rsid w:val="0B9A42FC"/>
    <w:rsid w:val="0B9A495D"/>
    <w:rsid w:val="0B9E269F"/>
    <w:rsid w:val="0B9F26A8"/>
    <w:rsid w:val="0B9F6417"/>
    <w:rsid w:val="0BA43585"/>
    <w:rsid w:val="0BA47589"/>
    <w:rsid w:val="0BA74B97"/>
    <w:rsid w:val="0BAB0918"/>
    <w:rsid w:val="0BAB6B6A"/>
    <w:rsid w:val="0BAF6137"/>
    <w:rsid w:val="0BAF70CA"/>
    <w:rsid w:val="0BB21CA6"/>
    <w:rsid w:val="0BB53545"/>
    <w:rsid w:val="0BB94E6C"/>
    <w:rsid w:val="0BC20266"/>
    <w:rsid w:val="0BC55E7E"/>
    <w:rsid w:val="0BCF5714"/>
    <w:rsid w:val="0BD0037E"/>
    <w:rsid w:val="0BD240F7"/>
    <w:rsid w:val="0BD27BF6"/>
    <w:rsid w:val="0BD31C1D"/>
    <w:rsid w:val="0BD3667B"/>
    <w:rsid w:val="0BD7170D"/>
    <w:rsid w:val="0BD7795F"/>
    <w:rsid w:val="0BD845F9"/>
    <w:rsid w:val="0BDA11FD"/>
    <w:rsid w:val="0BDC31C7"/>
    <w:rsid w:val="0BDE00E1"/>
    <w:rsid w:val="0BDE0CED"/>
    <w:rsid w:val="0BE1258C"/>
    <w:rsid w:val="0BE34556"/>
    <w:rsid w:val="0BE67BA2"/>
    <w:rsid w:val="0BE856C8"/>
    <w:rsid w:val="0BEF5C9E"/>
    <w:rsid w:val="0BF40511"/>
    <w:rsid w:val="0BF422BF"/>
    <w:rsid w:val="0BF57DE5"/>
    <w:rsid w:val="0BF901E0"/>
    <w:rsid w:val="0BF978D5"/>
    <w:rsid w:val="0BFA364D"/>
    <w:rsid w:val="0C000C64"/>
    <w:rsid w:val="0C0149DC"/>
    <w:rsid w:val="0C083FBC"/>
    <w:rsid w:val="0C0A1AE2"/>
    <w:rsid w:val="0C0D3381"/>
    <w:rsid w:val="0C106839"/>
    <w:rsid w:val="0C1464BD"/>
    <w:rsid w:val="0C1741FF"/>
    <w:rsid w:val="0C186B5B"/>
    <w:rsid w:val="0C1A7E06"/>
    <w:rsid w:val="0C1B3CF0"/>
    <w:rsid w:val="0C1C35C4"/>
    <w:rsid w:val="0C1E0947"/>
    <w:rsid w:val="0C1E558E"/>
    <w:rsid w:val="0C234952"/>
    <w:rsid w:val="0C2529C5"/>
    <w:rsid w:val="0C25691C"/>
    <w:rsid w:val="0C260CA9"/>
    <w:rsid w:val="0C264442"/>
    <w:rsid w:val="0C2A0A31"/>
    <w:rsid w:val="0C324046"/>
    <w:rsid w:val="0C357A56"/>
    <w:rsid w:val="0C360B29"/>
    <w:rsid w:val="0C3618C3"/>
    <w:rsid w:val="0C3721AC"/>
    <w:rsid w:val="0C3B7EEE"/>
    <w:rsid w:val="0C3C447E"/>
    <w:rsid w:val="0C436DA2"/>
    <w:rsid w:val="0C4A1EDF"/>
    <w:rsid w:val="0C4F3999"/>
    <w:rsid w:val="0C517711"/>
    <w:rsid w:val="0C523489"/>
    <w:rsid w:val="0C542D5E"/>
    <w:rsid w:val="0C54799F"/>
    <w:rsid w:val="0C590374"/>
    <w:rsid w:val="0C5E1E2E"/>
    <w:rsid w:val="0C637445"/>
    <w:rsid w:val="0C645AF4"/>
    <w:rsid w:val="0C665DD1"/>
    <w:rsid w:val="0C670CE3"/>
    <w:rsid w:val="0C6A07D3"/>
    <w:rsid w:val="0C6A432F"/>
    <w:rsid w:val="0C6D3E1F"/>
    <w:rsid w:val="0C6E02C3"/>
    <w:rsid w:val="0C6F1945"/>
    <w:rsid w:val="0C711B61"/>
    <w:rsid w:val="0C721436"/>
    <w:rsid w:val="0C727688"/>
    <w:rsid w:val="0C743400"/>
    <w:rsid w:val="0C781676"/>
    <w:rsid w:val="0C7D22B4"/>
    <w:rsid w:val="0C7E65A6"/>
    <w:rsid w:val="0C803B53"/>
    <w:rsid w:val="0C840865"/>
    <w:rsid w:val="0C8A2C23"/>
    <w:rsid w:val="0C8A49D1"/>
    <w:rsid w:val="0C8C24F7"/>
    <w:rsid w:val="0C8D28DB"/>
    <w:rsid w:val="0C8D626F"/>
    <w:rsid w:val="0C8F3D96"/>
    <w:rsid w:val="0C915D60"/>
    <w:rsid w:val="0C9615C8"/>
    <w:rsid w:val="0C9910B8"/>
    <w:rsid w:val="0C9E00D7"/>
    <w:rsid w:val="0C9E02D7"/>
    <w:rsid w:val="0C9E161F"/>
    <w:rsid w:val="0CA21D12"/>
    <w:rsid w:val="0CA35A93"/>
    <w:rsid w:val="0CA43CE5"/>
    <w:rsid w:val="0CA44632"/>
    <w:rsid w:val="0CA830A9"/>
    <w:rsid w:val="0CA84E57"/>
    <w:rsid w:val="0CAA6E21"/>
    <w:rsid w:val="0CAF0D06"/>
    <w:rsid w:val="0CAF268A"/>
    <w:rsid w:val="0CB11F59"/>
    <w:rsid w:val="0CB16C35"/>
    <w:rsid w:val="0CB33F28"/>
    <w:rsid w:val="0CB4672C"/>
    <w:rsid w:val="0CB67574"/>
    <w:rsid w:val="0CBB102F"/>
    <w:rsid w:val="0CBB4B8B"/>
    <w:rsid w:val="0CC31C91"/>
    <w:rsid w:val="0CCC6D98"/>
    <w:rsid w:val="0CD44389"/>
    <w:rsid w:val="0CD625E4"/>
    <w:rsid w:val="0CD93263"/>
    <w:rsid w:val="0CDA2FAD"/>
    <w:rsid w:val="0CDB1EA2"/>
    <w:rsid w:val="0CDD2D53"/>
    <w:rsid w:val="0CDD48B1"/>
    <w:rsid w:val="0CDE69C5"/>
    <w:rsid w:val="0CDF2C69"/>
    <w:rsid w:val="0CE642FD"/>
    <w:rsid w:val="0CE73BD2"/>
    <w:rsid w:val="0CEA5470"/>
    <w:rsid w:val="0CEB1914"/>
    <w:rsid w:val="0CEC2F96"/>
    <w:rsid w:val="0CEE55A2"/>
    <w:rsid w:val="0CEE6D0E"/>
    <w:rsid w:val="0CEF2A86"/>
    <w:rsid w:val="0CFB142B"/>
    <w:rsid w:val="0CFB58CF"/>
    <w:rsid w:val="0CFD33F5"/>
    <w:rsid w:val="0CFE20FE"/>
    <w:rsid w:val="0CFF716D"/>
    <w:rsid w:val="0D002EE5"/>
    <w:rsid w:val="0D02678E"/>
    <w:rsid w:val="0D026C5D"/>
    <w:rsid w:val="0D0504FC"/>
    <w:rsid w:val="0D081CA7"/>
    <w:rsid w:val="0D091D9A"/>
    <w:rsid w:val="0D0A78C0"/>
    <w:rsid w:val="0D0C188A"/>
    <w:rsid w:val="0D0C2411"/>
    <w:rsid w:val="0D0D0C68"/>
    <w:rsid w:val="0D0D3E42"/>
    <w:rsid w:val="0D0E73B0"/>
    <w:rsid w:val="0D0F4ED6"/>
    <w:rsid w:val="0D1150F2"/>
    <w:rsid w:val="0D1349C7"/>
    <w:rsid w:val="0D136775"/>
    <w:rsid w:val="0D1A101C"/>
    <w:rsid w:val="0D1C7D1F"/>
    <w:rsid w:val="0D1F336B"/>
    <w:rsid w:val="0D223D2F"/>
    <w:rsid w:val="0D2546FA"/>
    <w:rsid w:val="0D2766C4"/>
    <w:rsid w:val="0D293F6C"/>
    <w:rsid w:val="0D2A3ABE"/>
    <w:rsid w:val="0D2C3CDA"/>
    <w:rsid w:val="0D314E4D"/>
    <w:rsid w:val="0D336E17"/>
    <w:rsid w:val="0D34161D"/>
    <w:rsid w:val="0D352B8F"/>
    <w:rsid w:val="0D374B59"/>
    <w:rsid w:val="0D3859A2"/>
    <w:rsid w:val="0D3C254C"/>
    <w:rsid w:val="0D3D37F2"/>
    <w:rsid w:val="0D3F57BC"/>
    <w:rsid w:val="0D402C68"/>
    <w:rsid w:val="0D4076B0"/>
    <w:rsid w:val="0D411050"/>
    <w:rsid w:val="0D4252AC"/>
    <w:rsid w:val="0D44139E"/>
    <w:rsid w:val="0D4903E8"/>
    <w:rsid w:val="0D4A1E5A"/>
    <w:rsid w:val="0D4C1C87"/>
    <w:rsid w:val="0D547E2C"/>
    <w:rsid w:val="0D553231"/>
    <w:rsid w:val="0D554FDF"/>
    <w:rsid w:val="0D55637F"/>
    <w:rsid w:val="0D6214AA"/>
    <w:rsid w:val="0D646FD0"/>
    <w:rsid w:val="0D676AC1"/>
    <w:rsid w:val="0D693944"/>
    <w:rsid w:val="0D6E60A1"/>
    <w:rsid w:val="0D6E7E4F"/>
    <w:rsid w:val="0D7116ED"/>
    <w:rsid w:val="0D725B91"/>
    <w:rsid w:val="0D73168E"/>
    <w:rsid w:val="0D7336B7"/>
    <w:rsid w:val="0D735465"/>
    <w:rsid w:val="0D7C3B01"/>
    <w:rsid w:val="0D814026"/>
    <w:rsid w:val="0D8544BC"/>
    <w:rsid w:val="0D892919"/>
    <w:rsid w:val="0D892EDB"/>
    <w:rsid w:val="0D8A4FC9"/>
    <w:rsid w:val="0D927FE1"/>
    <w:rsid w:val="0D93340D"/>
    <w:rsid w:val="0D951880"/>
    <w:rsid w:val="0D961154"/>
    <w:rsid w:val="0D9773A6"/>
    <w:rsid w:val="0D98513A"/>
    <w:rsid w:val="0D9A50E8"/>
    <w:rsid w:val="0D9C49BC"/>
    <w:rsid w:val="0DA05C1B"/>
    <w:rsid w:val="0DA10224"/>
    <w:rsid w:val="0DAE2941"/>
    <w:rsid w:val="0DAE4FDC"/>
    <w:rsid w:val="0DAF383E"/>
    <w:rsid w:val="0DB42355"/>
    <w:rsid w:val="0DB51118"/>
    <w:rsid w:val="0DBA3094"/>
    <w:rsid w:val="0DBD4932"/>
    <w:rsid w:val="0DC108C7"/>
    <w:rsid w:val="0DC12675"/>
    <w:rsid w:val="0DC13B67"/>
    <w:rsid w:val="0DC14423"/>
    <w:rsid w:val="0DC45CC1"/>
    <w:rsid w:val="0DC53105"/>
    <w:rsid w:val="0DC87621"/>
    <w:rsid w:val="0DC932D7"/>
    <w:rsid w:val="0DC9777B"/>
    <w:rsid w:val="0DCB52A1"/>
    <w:rsid w:val="0DCD445C"/>
    <w:rsid w:val="0DD028B8"/>
    <w:rsid w:val="0DD03EED"/>
    <w:rsid w:val="0DD34156"/>
    <w:rsid w:val="0DD73C46"/>
    <w:rsid w:val="0DD90AD6"/>
    <w:rsid w:val="0DDC057E"/>
    <w:rsid w:val="0DDD273B"/>
    <w:rsid w:val="0DDE4FD5"/>
    <w:rsid w:val="0DE22CAF"/>
    <w:rsid w:val="0DEE2D3E"/>
    <w:rsid w:val="0DEF2DBD"/>
    <w:rsid w:val="0DF06AB6"/>
    <w:rsid w:val="0DF465A6"/>
    <w:rsid w:val="0DF50570"/>
    <w:rsid w:val="0DFC18FF"/>
    <w:rsid w:val="0DFC545B"/>
    <w:rsid w:val="0DFC5D03"/>
    <w:rsid w:val="0DFD060A"/>
    <w:rsid w:val="0DFD5C6B"/>
    <w:rsid w:val="0E097B78"/>
    <w:rsid w:val="0E0B5706"/>
    <w:rsid w:val="0E0D7668"/>
    <w:rsid w:val="0E0F1632"/>
    <w:rsid w:val="0E110D06"/>
    <w:rsid w:val="0E122ED0"/>
    <w:rsid w:val="0E1A3B33"/>
    <w:rsid w:val="0E1C0406"/>
    <w:rsid w:val="0E1C78AB"/>
    <w:rsid w:val="0E1E7AC7"/>
    <w:rsid w:val="0E214EC1"/>
    <w:rsid w:val="0E2844A2"/>
    <w:rsid w:val="0E2873B4"/>
    <w:rsid w:val="0E301273"/>
    <w:rsid w:val="0E303356"/>
    <w:rsid w:val="0E320723"/>
    <w:rsid w:val="0E364E11"/>
    <w:rsid w:val="0E3746E5"/>
    <w:rsid w:val="0E3A0F99"/>
    <w:rsid w:val="0E3A5F83"/>
    <w:rsid w:val="0E3A6219"/>
    <w:rsid w:val="0E3B2427"/>
    <w:rsid w:val="0E3E5A73"/>
    <w:rsid w:val="0E3F0DAA"/>
    <w:rsid w:val="0E4137B5"/>
    <w:rsid w:val="0E424B5A"/>
    <w:rsid w:val="0E4376A8"/>
    <w:rsid w:val="0E4532A6"/>
    <w:rsid w:val="0E460DCC"/>
    <w:rsid w:val="0E464928"/>
    <w:rsid w:val="0E46753C"/>
    <w:rsid w:val="0E4B734D"/>
    <w:rsid w:val="0E4F1A2E"/>
    <w:rsid w:val="0E527771"/>
    <w:rsid w:val="0E56100F"/>
    <w:rsid w:val="0E564460"/>
    <w:rsid w:val="0E574D87"/>
    <w:rsid w:val="0E5C05EF"/>
    <w:rsid w:val="0E5E67B9"/>
    <w:rsid w:val="0E602CB4"/>
    <w:rsid w:val="0E6574A4"/>
    <w:rsid w:val="0E680D42"/>
    <w:rsid w:val="0E6F3E7F"/>
    <w:rsid w:val="0E7019A5"/>
    <w:rsid w:val="0E715E49"/>
    <w:rsid w:val="0E72510F"/>
    <w:rsid w:val="0E72571D"/>
    <w:rsid w:val="0E790B75"/>
    <w:rsid w:val="0E7C659C"/>
    <w:rsid w:val="0E802CFD"/>
    <w:rsid w:val="0E821FED"/>
    <w:rsid w:val="0E8518F4"/>
    <w:rsid w:val="0E884F40"/>
    <w:rsid w:val="0E897BE7"/>
    <w:rsid w:val="0E8B1BAC"/>
    <w:rsid w:val="0E8D6396"/>
    <w:rsid w:val="0E8F4521"/>
    <w:rsid w:val="0E905A81"/>
    <w:rsid w:val="0E912047"/>
    <w:rsid w:val="0E927B6D"/>
    <w:rsid w:val="0E941B37"/>
    <w:rsid w:val="0E9438E5"/>
    <w:rsid w:val="0E9D17C6"/>
    <w:rsid w:val="0E9E29B6"/>
    <w:rsid w:val="0E9E4764"/>
    <w:rsid w:val="0EA004DC"/>
    <w:rsid w:val="0EA0672E"/>
    <w:rsid w:val="0EA37FCC"/>
    <w:rsid w:val="0EA87391"/>
    <w:rsid w:val="0EAD7B7A"/>
    <w:rsid w:val="0EB36461"/>
    <w:rsid w:val="0EB775D4"/>
    <w:rsid w:val="0EB9159E"/>
    <w:rsid w:val="0EC85224"/>
    <w:rsid w:val="0ECB1C73"/>
    <w:rsid w:val="0ECC12D1"/>
    <w:rsid w:val="0ED14B39"/>
    <w:rsid w:val="0ED308B1"/>
    <w:rsid w:val="0ED32557"/>
    <w:rsid w:val="0ED35FFD"/>
    <w:rsid w:val="0EDB7766"/>
    <w:rsid w:val="0EE303C9"/>
    <w:rsid w:val="0EE526EA"/>
    <w:rsid w:val="0EE7120F"/>
    <w:rsid w:val="0EE851DC"/>
    <w:rsid w:val="0EE859DF"/>
    <w:rsid w:val="0EF600FC"/>
    <w:rsid w:val="0EF80318"/>
    <w:rsid w:val="0EF80E8F"/>
    <w:rsid w:val="0EF83E74"/>
    <w:rsid w:val="0EFA6181"/>
    <w:rsid w:val="0EFC21E2"/>
    <w:rsid w:val="0F0008B2"/>
    <w:rsid w:val="0F0207CC"/>
    <w:rsid w:val="0F024CF3"/>
    <w:rsid w:val="0F046CBD"/>
    <w:rsid w:val="0F0547E3"/>
    <w:rsid w:val="0F07082D"/>
    <w:rsid w:val="0F0C3167"/>
    <w:rsid w:val="0F0C791F"/>
    <w:rsid w:val="0F0D1A26"/>
    <w:rsid w:val="0F0E5156"/>
    <w:rsid w:val="0F111837"/>
    <w:rsid w:val="0F13775A"/>
    <w:rsid w:val="0F1637A4"/>
    <w:rsid w:val="0F19203C"/>
    <w:rsid w:val="0F1A028E"/>
    <w:rsid w:val="0F1F58A5"/>
    <w:rsid w:val="0F205C7F"/>
    <w:rsid w:val="0F28448F"/>
    <w:rsid w:val="0F2904D1"/>
    <w:rsid w:val="0F2E09A0"/>
    <w:rsid w:val="0F2F1860"/>
    <w:rsid w:val="0F317386"/>
    <w:rsid w:val="0F346E76"/>
    <w:rsid w:val="0F3B1FB3"/>
    <w:rsid w:val="0F3C025F"/>
    <w:rsid w:val="0F3F1AA3"/>
    <w:rsid w:val="0F3F5FF6"/>
    <w:rsid w:val="0F3F7CF5"/>
    <w:rsid w:val="0F4061F8"/>
    <w:rsid w:val="0F4075C9"/>
    <w:rsid w:val="0F421593"/>
    <w:rsid w:val="0F4277E5"/>
    <w:rsid w:val="0F450C44"/>
    <w:rsid w:val="0F452E31"/>
    <w:rsid w:val="0F492922"/>
    <w:rsid w:val="0F4B48EC"/>
    <w:rsid w:val="0F4B669A"/>
    <w:rsid w:val="0F4C6A04"/>
    <w:rsid w:val="0F522A6F"/>
    <w:rsid w:val="0F5337A0"/>
    <w:rsid w:val="0F5544F1"/>
    <w:rsid w:val="0F580DB7"/>
    <w:rsid w:val="0F5C08A7"/>
    <w:rsid w:val="0F5F4446"/>
    <w:rsid w:val="0F6634D4"/>
    <w:rsid w:val="0F676B13"/>
    <w:rsid w:val="0F6A2898"/>
    <w:rsid w:val="0F6C03BE"/>
    <w:rsid w:val="0F6F3994"/>
    <w:rsid w:val="0F7200CA"/>
    <w:rsid w:val="0F721827"/>
    <w:rsid w:val="0F786D63"/>
    <w:rsid w:val="0F7C2CF7"/>
    <w:rsid w:val="0F7D25CB"/>
    <w:rsid w:val="0F81030D"/>
    <w:rsid w:val="0F847DFE"/>
    <w:rsid w:val="0F87169C"/>
    <w:rsid w:val="0F8B4CE8"/>
    <w:rsid w:val="0F9242C9"/>
    <w:rsid w:val="0F932BA2"/>
    <w:rsid w:val="0F957915"/>
    <w:rsid w:val="0F96368D"/>
    <w:rsid w:val="0F9928EF"/>
    <w:rsid w:val="0F9A050E"/>
    <w:rsid w:val="0F9A112B"/>
    <w:rsid w:val="0F9A317D"/>
    <w:rsid w:val="0F9F2542"/>
    <w:rsid w:val="0FA07BF0"/>
    <w:rsid w:val="0FA1275E"/>
    <w:rsid w:val="0FA45387"/>
    <w:rsid w:val="0FA60454"/>
    <w:rsid w:val="0FA933C0"/>
    <w:rsid w:val="0FAC77C9"/>
    <w:rsid w:val="0FAE09D7"/>
    <w:rsid w:val="0FAF4135"/>
    <w:rsid w:val="0FB01208"/>
    <w:rsid w:val="0FB35FED"/>
    <w:rsid w:val="0FB56209"/>
    <w:rsid w:val="0FB57FB7"/>
    <w:rsid w:val="0FBD6E6C"/>
    <w:rsid w:val="0FC54AD9"/>
    <w:rsid w:val="0FCD5301"/>
    <w:rsid w:val="0FCE72CB"/>
    <w:rsid w:val="0FD0094D"/>
    <w:rsid w:val="0FD04DF1"/>
    <w:rsid w:val="0FD22917"/>
    <w:rsid w:val="0FDA3DE2"/>
    <w:rsid w:val="0FDB00FD"/>
    <w:rsid w:val="0FDE2763"/>
    <w:rsid w:val="0FE12B5A"/>
    <w:rsid w:val="0FE268D2"/>
    <w:rsid w:val="0FE67D3D"/>
    <w:rsid w:val="0FE8038D"/>
    <w:rsid w:val="0FED7687"/>
    <w:rsid w:val="0FF1044E"/>
    <w:rsid w:val="0FF46D31"/>
    <w:rsid w:val="0FF52AA9"/>
    <w:rsid w:val="0FF7237E"/>
    <w:rsid w:val="10017FB3"/>
    <w:rsid w:val="10042CED"/>
    <w:rsid w:val="10062C91"/>
    <w:rsid w:val="100827DD"/>
    <w:rsid w:val="1008458B"/>
    <w:rsid w:val="10086339"/>
    <w:rsid w:val="100910F7"/>
    <w:rsid w:val="100920B1"/>
    <w:rsid w:val="100A06B6"/>
    <w:rsid w:val="100D1BA1"/>
    <w:rsid w:val="100E445D"/>
    <w:rsid w:val="100F3B6B"/>
    <w:rsid w:val="10101691"/>
    <w:rsid w:val="101051ED"/>
    <w:rsid w:val="10150A56"/>
    <w:rsid w:val="10172A20"/>
    <w:rsid w:val="10173FAB"/>
    <w:rsid w:val="101747CE"/>
    <w:rsid w:val="101A225D"/>
    <w:rsid w:val="101A606C"/>
    <w:rsid w:val="101D25EB"/>
    <w:rsid w:val="101D790A"/>
    <w:rsid w:val="10202516"/>
    <w:rsid w:val="10251AC8"/>
    <w:rsid w:val="1025513D"/>
    <w:rsid w:val="10294501"/>
    <w:rsid w:val="102B0279"/>
    <w:rsid w:val="102D5D9F"/>
    <w:rsid w:val="102E38C6"/>
    <w:rsid w:val="10305890"/>
    <w:rsid w:val="103274FC"/>
    <w:rsid w:val="103435D2"/>
    <w:rsid w:val="103449ED"/>
    <w:rsid w:val="10345380"/>
    <w:rsid w:val="1034712E"/>
    <w:rsid w:val="10360127"/>
    <w:rsid w:val="1037079D"/>
    <w:rsid w:val="10390BE8"/>
    <w:rsid w:val="103A226A"/>
    <w:rsid w:val="103A58B2"/>
    <w:rsid w:val="10430481"/>
    <w:rsid w:val="104355C3"/>
    <w:rsid w:val="104906FF"/>
    <w:rsid w:val="104B17E4"/>
    <w:rsid w:val="10507CE0"/>
    <w:rsid w:val="10525131"/>
    <w:rsid w:val="10532F3B"/>
    <w:rsid w:val="10564717"/>
    <w:rsid w:val="105968CE"/>
    <w:rsid w:val="105A46BB"/>
    <w:rsid w:val="10645539"/>
    <w:rsid w:val="1066305F"/>
    <w:rsid w:val="106B68C8"/>
    <w:rsid w:val="106D2F64"/>
    <w:rsid w:val="1070749E"/>
    <w:rsid w:val="10720430"/>
    <w:rsid w:val="1074577C"/>
    <w:rsid w:val="107460DE"/>
    <w:rsid w:val="10771710"/>
    <w:rsid w:val="10790FE5"/>
    <w:rsid w:val="107A713C"/>
    <w:rsid w:val="107B1C4A"/>
    <w:rsid w:val="107C6D27"/>
    <w:rsid w:val="107E29D7"/>
    <w:rsid w:val="107E2A9F"/>
    <w:rsid w:val="10811A50"/>
    <w:rsid w:val="10831E63"/>
    <w:rsid w:val="10856F1B"/>
    <w:rsid w:val="10864295"/>
    <w:rsid w:val="108B0D18"/>
    <w:rsid w:val="108F6861"/>
    <w:rsid w:val="108F6A88"/>
    <w:rsid w:val="10901D27"/>
    <w:rsid w:val="10944070"/>
    <w:rsid w:val="10965A6F"/>
    <w:rsid w:val="1097590F"/>
    <w:rsid w:val="10991559"/>
    <w:rsid w:val="109C5456"/>
    <w:rsid w:val="10A02A15"/>
    <w:rsid w:val="10A32505"/>
    <w:rsid w:val="10A5002C"/>
    <w:rsid w:val="10A832F4"/>
    <w:rsid w:val="10A83678"/>
    <w:rsid w:val="10AD1AC6"/>
    <w:rsid w:val="10AF1D60"/>
    <w:rsid w:val="10B05EDD"/>
    <w:rsid w:val="10B4201D"/>
    <w:rsid w:val="10B440D2"/>
    <w:rsid w:val="10B63710"/>
    <w:rsid w:val="10B65D95"/>
    <w:rsid w:val="10B93AD7"/>
    <w:rsid w:val="10BA1AAE"/>
    <w:rsid w:val="10BB33AB"/>
    <w:rsid w:val="10BC5375"/>
    <w:rsid w:val="10BD05B2"/>
    <w:rsid w:val="10BD736F"/>
    <w:rsid w:val="10BE733F"/>
    <w:rsid w:val="10C50985"/>
    <w:rsid w:val="10C77FA2"/>
    <w:rsid w:val="10CA5CE4"/>
    <w:rsid w:val="10CA7A92"/>
    <w:rsid w:val="10CD30DE"/>
    <w:rsid w:val="10CF355A"/>
    <w:rsid w:val="10D66437"/>
    <w:rsid w:val="10D7072D"/>
    <w:rsid w:val="10D8227B"/>
    <w:rsid w:val="10D95F27"/>
    <w:rsid w:val="10D97CD5"/>
    <w:rsid w:val="10E01064"/>
    <w:rsid w:val="10E072B6"/>
    <w:rsid w:val="10E36DA6"/>
    <w:rsid w:val="10E45ED0"/>
    <w:rsid w:val="10E675D1"/>
    <w:rsid w:val="10E70644"/>
    <w:rsid w:val="10EA1EE2"/>
    <w:rsid w:val="10EA24F1"/>
    <w:rsid w:val="10EA5A3E"/>
    <w:rsid w:val="10ED3781"/>
    <w:rsid w:val="10F1501F"/>
    <w:rsid w:val="10F44B0F"/>
    <w:rsid w:val="10F7015B"/>
    <w:rsid w:val="10F863AD"/>
    <w:rsid w:val="10F90377"/>
    <w:rsid w:val="10FA47CF"/>
    <w:rsid w:val="10FB33EF"/>
    <w:rsid w:val="10FB5E9E"/>
    <w:rsid w:val="10FC5772"/>
    <w:rsid w:val="10FE598E"/>
    <w:rsid w:val="10FF6CE8"/>
    <w:rsid w:val="11005262"/>
    <w:rsid w:val="11056D1C"/>
    <w:rsid w:val="110671EB"/>
    <w:rsid w:val="110C7E5C"/>
    <w:rsid w:val="110F1949"/>
    <w:rsid w:val="11143B39"/>
    <w:rsid w:val="111451B1"/>
    <w:rsid w:val="111C2F7A"/>
    <w:rsid w:val="11205904"/>
    <w:rsid w:val="1122342A"/>
    <w:rsid w:val="1125116C"/>
    <w:rsid w:val="112847B9"/>
    <w:rsid w:val="112B0DC3"/>
    <w:rsid w:val="112C24FB"/>
    <w:rsid w:val="112C6057"/>
    <w:rsid w:val="112E1DCF"/>
    <w:rsid w:val="112E7589"/>
    <w:rsid w:val="112F3D99"/>
    <w:rsid w:val="113013DE"/>
    <w:rsid w:val="113118BF"/>
    <w:rsid w:val="113D185A"/>
    <w:rsid w:val="11447845"/>
    <w:rsid w:val="11452008"/>
    <w:rsid w:val="11472E91"/>
    <w:rsid w:val="114803D5"/>
    <w:rsid w:val="114C494B"/>
    <w:rsid w:val="114E421F"/>
    <w:rsid w:val="11507CD0"/>
    <w:rsid w:val="11531CE4"/>
    <w:rsid w:val="11535CDA"/>
    <w:rsid w:val="11561326"/>
    <w:rsid w:val="11567578"/>
    <w:rsid w:val="115770D7"/>
    <w:rsid w:val="1157762A"/>
    <w:rsid w:val="115832F0"/>
    <w:rsid w:val="115929AD"/>
    <w:rsid w:val="115B4DE3"/>
    <w:rsid w:val="115E01DA"/>
    <w:rsid w:val="116021A5"/>
    <w:rsid w:val="11636203"/>
    <w:rsid w:val="116577BB"/>
    <w:rsid w:val="11660972"/>
    <w:rsid w:val="116A6B7F"/>
    <w:rsid w:val="116C0ACD"/>
    <w:rsid w:val="116E48C1"/>
    <w:rsid w:val="11716160"/>
    <w:rsid w:val="11717F0E"/>
    <w:rsid w:val="11717F10"/>
    <w:rsid w:val="117618C6"/>
    <w:rsid w:val="1178129C"/>
    <w:rsid w:val="1178430B"/>
    <w:rsid w:val="11785740"/>
    <w:rsid w:val="117A5014"/>
    <w:rsid w:val="117D68B3"/>
    <w:rsid w:val="117E185E"/>
    <w:rsid w:val="117F6ACF"/>
    <w:rsid w:val="11800151"/>
    <w:rsid w:val="11811732"/>
    <w:rsid w:val="11845E93"/>
    <w:rsid w:val="1185547F"/>
    <w:rsid w:val="118714DF"/>
    <w:rsid w:val="11874169"/>
    <w:rsid w:val="11877731"/>
    <w:rsid w:val="118C4D48"/>
    <w:rsid w:val="118E0AC0"/>
    <w:rsid w:val="118E6531"/>
    <w:rsid w:val="118F0A79"/>
    <w:rsid w:val="11902A8A"/>
    <w:rsid w:val="119360D6"/>
    <w:rsid w:val="119C5AA8"/>
    <w:rsid w:val="119F2CCD"/>
    <w:rsid w:val="11A05CA3"/>
    <w:rsid w:val="11A16A45"/>
    <w:rsid w:val="11AC0F46"/>
    <w:rsid w:val="11B04EDA"/>
    <w:rsid w:val="11B12A00"/>
    <w:rsid w:val="11B232FE"/>
    <w:rsid w:val="11BF6AA0"/>
    <w:rsid w:val="11C269BB"/>
    <w:rsid w:val="11C42733"/>
    <w:rsid w:val="11C52FC0"/>
    <w:rsid w:val="11C54C7E"/>
    <w:rsid w:val="11C73FD2"/>
    <w:rsid w:val="11C75D80"/>
    <w:rsid w:val="11CC15E8"/>
    <w:rsid w:val="11CE752D"/>
    <w:rsid w:val="11D02E86"/>
    <w:rsid w:val="11D0732A"/>
    <w:rsid w:val="11D07B78"/>
    <w:rsid w:val="11D16103"/>
    <w:rsid w:val="11E21E3A"/>
    <w:rsid w:val="11E42DD6"/>
    <w:rsid w:val="11E64458"/>
    <w:rsid w:val="11ED1C8A"/>
    <w:rsid w:val="11ED5CE9"/>
    <w:rsid w:val="11EE77B0"/>
    <w:rsid w:val="11F0177A"/>
    <w:rsid w:val="11F4424F"/>
    <w:rsid w:val="11F72B09"/>
    <w:rsid w:val="11F76665"/>
    <w:rsid w:val="11FC1ECD"/>
    <w:rsid w:val="11FF376C"/>
    <w:rsid w:val="12011A37"/>
    <w:rsid w:val="12042B30"/>
    <w:rsid w:val="12072620"/>
    <w:rsid w:val="12077AB4"/>
    <w:rsid w:val="120B0362"/>
    <w:rsid w:val="120B2C02"/>
    <w:rsid w:val="120D5E88"/>
    <w:rsid w:val="12102A91"/>
    <w:rsid w:val="121340A3"/>
    <w:rsid w:val="12152F8F"/>
    <w:rsid w:val="121865DB"/>
    <w:rsid w:val="121A67F7"/>
    <w:rsid w:val="121C431D"/>
    <w:rsid w:val="121E62E8"/>
    <w:rsid w:val="121F796A"/>
    <w:rsid w:val="12207CD8"/>
    <w:rsid w:val="122B06C2"/>
    <w:rsid w:val="122D01D0"/>
    <w:rsid w:val="122D7F4C"/>
    <w:rsid w:val="122E4051"/>
    <w:rsid w:val="122E5DFF"/>
    <w:rsid w:val="12327017"/>
    <w:rsid w:val="1232769D"/>
    <w:rsid w:val="12380A00"/>
    <w:rsid w:val="12380A2C"/>
    <w:rsid w:val="12382C34"/>
    <w:rsid w:val="12386C7D"/>
    <w:rsid w:val="12394ECF"/>
    <w:rsid w:val="123F1FF0"/>
    <w:rsid w:val="123F264B"/>
    <w:rsid w:val="1240313D"/>
    <w:rsid w:val="12435D4E"/>
    <w:rsid w:val="12445622"/>
    <w:rsid w:val="12477073"/>
    <w:rsid w:val="124B4C03"/>
    <w:rsid w:val="124D2729"/>
    <w:rsid w:val="12555A81"/>
    <w:rsid w:val="12575478"/>
    <w:rsid w:val="12577104"/>
    <w:rsid w:val="12597320"/>
    <w:rsid w:val="125A7AA6"/>
    <w:rsid w:val="125D0492"/>
    <w:rsid w:val="125D34BF"/>
    <w:rsid w:val="12617F82"/>
    <w:rsid w:val="12633CFA"/>
    <w:rsid w:val="12635AA8"/>
    <w:rsid w:val="12661A3D"/>
    <w:rsid w:val="12681311"/>
    <w:rsid w:val="126A321F"/>
    <w:rsid w:val="126D2DCB"/>
    <w:rsid w:val="126E269F"/>
    <w:rsid w:val="126F08F1"/>
    <w:rsid w:val="127203E1"/>
    <w:rsid w:val="12744159"/>
    <w:rsid w:val="12767ED2"/>
    <w:rsid w:val="12771554"/>
    <w:rsid w:val="12791770"/>
    <w:rsid w:val="127B49BD"/>
    <w:rsid w:val="127E3E8A"/>
    <w:rsid w:val="12802AFE"/>
    <w:rsid w:val="12810624"/>
    <w:rsid w:val="12844F29"/>
    <w:rsid w:val="12865C3B"/>
    <w:rsid w:val="128679E9"/>
    <w:rsid w:val="1289734F"/>
    <w:rsid w:val="128A572B"/>
    <w:rsid w:val="128B3251"/>
    <w:rsid w:val="128D0D77"/>
    <w:rsid w:val="128D521B"/>
    <w:rsid w:val="128F05CC"/>
    <w:rsid w:val="128F2D41"/>
    <w:rsid w:val="128F634E"/>
    <w:rsid w:val="12900868"/>
    <w:rsid w:val="12937695"/>
    <w:rsid w:val="12955E7E"/>
    <w:rsid w:val="12974ADF"/>
    <w:rsid w:val="129E4D32"/>
    <w:rsid w:val="129F0AAB"/>
    <w:rsid w:val="129F5B09"/>
    <w:rsid w:val="12A143E4"/>
    <w:rsid w:val="12A14823"/>
    <w:rsid w:val="12A604AE"/>
    <w:rsid w:val="12AB56A1"/>
    <w:rsid w:val="12AB744F"/>
    <w:rsid w:val="12B04A66"/>
    <w:rsid w:val="12B5308E"/>
    <w:rsid w:val="12B67DB7"/>
    <w:rsid w:val="12B96010"/>
    <w:rsid w:val="12BA4BDF"/>
    <w:rsid w:val="12BE3627"/>
    <w:rsid w:val="12C05E31"/>
    <w:rsid w:val="12C30C3D"/>
    <w:rsid w:val="12C30D5F"/>
    <w:rsid w:val="12C86F91"/>
    <w:rsid w:val="12CA3D79"/>
    <w:rsid w:val="12CB49B0"/>
    <w:rsid w:val="12D1335A"/>
    <w:rsid w:val="12D138EB"/>
    <w:rsid w:val="12D143CF"/>
    <w:rsid w:val="12D40754"/>
    <w:rsid w:val="12D44BF8"/>
    <w:rsid w:val="12DB7D35"/>
    <w:rsid w:val="12DC179C"/>
    <w:rsid w:val="12DD1CFF"/>
    <w:rsid w:val="12DE519C"/>
    <w:rsid w:val="12E110C3"/>
    <w:rsid w:val="12E144B4"/>
    <w:rsid w:val="12E267A6"/>
    <w:rsid w:val="12E7492B"/>
    <w:rsid w:val="12EA441C"/>
    <w:rsid w:val="12EA61CA"/>
    <w:rsid w:val="12EB3CF0"/>
    <w:rsid w:val="12EE06F0"/>
    <w:rsid w:val="12EF558E"/>
    <w:rsid w:val="12F17558"/>
    <w:rsid w:val="12F2507E"/>
    <w:rsid w:val="12F36DB2"/>
    <w:rsid w:val="12F63DBA"/>
    <w:rsid w:val="12F6691D"/>
    <w:rsid w:val="12FC5F68"/>
    <w:rsid w:val="130354DD"/>
    <w:rsid w:val="13040310"/>
    <w:rsid w:val="13061470"/>
    <w:rsid w:val="130628D8"/>
    <w:rsid w:val="13071CE4"/>
    <w:rsid w:val="13076D7C"/>
    <w:rsid w:val="13094A05"/>
    <w:rsid w:val="130A23C8"/>
    <w:rsid w:val="130C4392"/>
    <w:rsid w:val="130C5FE0"/>
    <w:rsid w:val="130D1EB8"/>
    <w:rsid w:val="130F79DE"/>
    <w:rsid w:val="131119A8"/>
    <w:rsid w:val="13113756"/>
    <w:rsid w:val="13141499"/>
    <w:rsid w:val="13144FF5"/>
    <w:rsid w:val="13171F28"/>
    <w:rsid w:val="13182D37"/>
    <w:rsid w:val="131836D1"/>
    <w:rsid w:val="1319260B"/>
    <w:rsid w:val="13194BDF"/>
    <w:rsid w:val="13196AAF"/>
    <w:rsid w:val="131C5101"/>
    <w:rsid w:val="131C5215"/>
    <w:rsid w:val="131E40C5"/>
    <w:rsid w:val="131E6CD1"/>
    <w:rsid w:val="13201BEB"/>
    <w:rsid w:val="13235F61"/>
    <w:rsid w:val="1324792E"/>
    <w:rsid w:val="13272F7A"/>
    <w:rsid w:val="132A4818"/>
    <w:rsid w:val="132F0080"/>
    <w:rsid w:val="132F1E2E"/>
    <w:rsid w:val="13313DF9"/>
    <w:rsid w:val="13373653"/>
    <w:rsid w:val="133B07D3"/>
    <w:rsid w:val="133D3E1D"/>
    <w:rsid w:val="133E6515"/>
    <w:rsid w:val="13405DEA"/>
    <w:rsid w:val="13460082"/>
    <w:rsid w:val="134641E4"/>
    <w:rsid w:val="13495C7E"/>
    <w:rsid w:val="13541895"/>
    <w:rsid w:val="13585D28"/>
    <w:rsid w:val="135F0966"/>
    <w:rsid w:val="13620456"/>
    <w:rsid w:val="13637D2A"/>
    <w:rsid w:val="13685340"/>
    <w:rsid w:val="136D537D"/>
    <w:rsid w:val="136F06A1"/>
    <w:rsid w:val="136F4921"/>
    <w:rsid w:val="13702B73"/>
    <w:rsid w:val="13710699"/>
    <w:rsid w:val="13721FAA"/>
    <w:rsid w:val="13722A67"/>
    <w:rsid w:val="13734411"/>
    <w:rsid w:val="137361BF"/>
    <w:rsid w:val="13743CE5"/>
    <w:rsid w:val="13743DC0"/>
    <w:rsid w:val="1377358E"/>
    <w:rsid w:val="137B0136"/>
    <w:rsid w:val="137B32C6"/>
    <w:rsid w:val="137B5074"/>
    <w:rsid w:val="137D34C8"/>
    <w:rsid w:val="138008DC"/>
    <w:rsid w:val="13830929"/>
    <w:rsid w:val="1384217A"/>
    <w:rsid w:val="13854144"/>
    <w:rsid w:val="13871C6A"/>
    <w:rsid w:val="138C102F"/>
    <w:rsid w:val="138C54D3"/>
    <w:rsid w:val="138C7281"/>
    <w:rsid w:val="139254CE"/>
    <w:rsid w:val="13936861"/>
    <w:rsid w:val="13951726"/>
    <w:rsid w:val="1397700B"/>
    <w:rsid w:val="13992F0A"/>
    <w:rsid w:val="139B5716"/>
    <w:rsid w:val="139D0151"/>
    <w:rsid w:val="139D148E"/>
    <w:rsid w:val="13A26AA4"/>
    <w:rsid w:val="13A4281C"/>
    <w:rsid w:val="13A75E69"/>
    <w:rsid w:val="13A97E33"/>
    <w:rsid w:val="13B14F39"/>
    <w:rsid w:val="13B660AC"/>
    <w:rsid w:val="13B7188E"/>
    <w:rsid w:val="13B81E24"/>
    <w:rsid w:val="13B96972"/>
    <w:rsid w:val="13BA0895"/>
    <w:rsid w:val="13BA3DEE"/>
    <w:rsid w:val="13BB7AE9"/>
    <w:rsid w:val="13BC2955"/>
    <w:rsid w:val="13BD38DE"/>
    <w:rsid w:val="13BF7656"/>
    <w:rsid w:val="13C06F2A"/>
    <w:rsid w:val="13C13857"/>
    <w:rsid w:val="13C1400A"/>
    <w:rsid w:val="13C277AD"/>
    <w:rsid w:val="13C30AFC"/>
    <w:rsid w:val="13C62793"/>
    <w:rsid w:val="13C702B9"/>
    <w:rsid w:val="13CD1DFA"/>
    <w:rsid w:val="13CE4568"/>
    <w:rsid w:val="13CE7DBD"/>
    <w:rsid w:val="13D36C5E"/>
    <w:rsid w:val="13D93620"/>
    <w:rsid w:val="13E175CD"/>
    <w:rsid w:val="13E250F3"/>
    <w:rsid w:val="13E40E6B"/>
    <w:rsid w:val="13E61511"/>
    <w:rsid w:val="13E72709"/>
    <w:rsid w:val="13E76BAD"/>
    <w:rsid w:val="13ED41C3"/>
    <w:rsid w:val="13F05A62"/>
    <w:rsid w:val="13FA243C"/>
    <w:rsid w:val="13FA68E0"/>
    <w:rsid w:val="14024910"/>
    <w:rsid w:val="14025795"/>
    <w:rsid w:val="14067033"/>
    <w:rsid w:val="140A273E"/>
    <w:rsid w:val="140C03C2"/>
    <w:rsid w:val="14117786"/>
    <w:rsid w:val="141259D8"/>
    <w:rsid w:val="14172FEE"/>
    <w:rsid w:val="14186D67"/>
    <w:rsid w:val="14197487"/>
    <w:rsid w:val="141E70C5"/>
    <w:rsid w:val="14213FC1"/>
    <w:rsid w:val="14215C1B"/>
    <w:rsid w:val="14221EEF"/>
    <w:rsid w:val="14261483"/>
    <w:rsid w:val="14270D58"/>
    <w:rsid w:val="142B4CEC"/>
    <w:rsid w:val="142D2812"/>
    <w:rsid w:val="142E5135"/>
    <w:rsid w:val="14301B0C"/>
    <w:rsid w:val="14327E28"/>
    <w:rsid w:val="143771ED"/>
    <w:rsid w:val="14396509"/>
    <w:rsid w:val="143D67CD"/>
    <w:rsid w:val="143E4A1F"/>
    <w:rsid w:val="143F0797"/>
    <w:rsid w:val="143F3336"/>
    <w:rsid w:val="144500FD"/>
    <w:rsid w:val="1447165C"/>
    <w:rsid w:val="1448144A"/>
    <w:rsid w:val="144A1F78"/>
    <w:rsid w:val="144B29A7"/>
    <w:rsid w:val="144C6C7C"/>
    <w:rsid w:val="145002AE"/>
    <w:rsid w:val="14501579"/>
    <w:rsid w:val="14515DD5"/>
    <w:rsid w:val="14535FF1"/>
    <w:rsid w:val="145558C5"/>
    <w:rsid w:val="14575AE1"/>
    <w:rsid w:val="145A6C1B"/>
    <w:rsid w:val="145C4EA5"/>
    <w:rsid w:val="145E6E6F"/>
    <w:rsid w:val="145F58EA"/>
    <w:rsid w:val="14611454"/>
    <w:rsid w:val="146124BC"/>
    <w:rsid w:val="14623356"/>
    <w:rsid w:val="14643D5A"/>
    <w:rsid w:val="14667A34"/>
    <w:rsid w:val="146B158C"/>
    <w:rsid w:val="146D0E60"/>
    <w:rsid w:val="146D2C0E"/>
    <w:rsid w:val="146E5017"/>
    <w:rsid w:val="146E5199"/>
    <w:rsid w:val="147026FF"/>
    <w:rsid w:val="14710F49"/>
    <w:rsid w:val="14720225"/>
    <w:rsid w:val="147246C9"/>
    <w:rsid w:val="14733F9D"/>
    <w:rsid w:val="14756348"/>
    <w:rsid w:val="147922AC"/>
    <w:rsid w:val="147C605C"/>
    <w:rsid w:val="147E16A4"/>
    <w:rsid w:val="14860174"/>
    <w:rsid w:val="14885C9A"/>
    <w:rsid w:val="14893AB6"/>
    <w:rsid w:val="148D32B1"/>
    <w:rsid w:val="148F0807"/>
    <w:rsid w:val="14902DA1"/>
    <w:rsid w:val="149503B7"/>
    <w:rsid w:val="149A54A8"/>
    <w:rsid w:val="149B393A"/>
    <w:rsid w:val="149C34F4"/>
    <w:rsid w:val="149F2FE4"/>
    <w:rsid w:val="14A01236"/>
    <w:rsid w:val="14A10B0A"/>
    <w:rsid w:val="14A16D5C"/>
    <w:rsid w:val="14A300D8"/>
    <w:rsid w:val="14A405FA"/>
    <w:rsid w:val="14A57E39"/>
    <w:rsid w:val="14A64372"/>
    <w:rsid w:val="14A66120"/>
    <w:rsid w:val="14A95C11"/>
    <w:rsid w:val="14A960ED"/>
    <w:rsid w:val="14AB3CAB"/>
    <w:rsid w:val="14AD5701"/>
    <w:rsid w:val="14B06F9F"/>
    <w:rsid w:val="14B20F69"/>
    <w:rsid w:val="14B4083D"/>
    <w:rsid w:val="14B91001"/>
    <w:rsid w:val="14B94B6E"/>
    <w:rsid w:val="14BA1BCC"/>
    <w:rsid w:val="14BA7E1E"/>
    <w:rsid w:val="14BF5434"/>
    <w:rsid w:val="14C03686"/>
    <w:rsid w:val="14C1721D"/>
    <w:rsid w:val="14C52A4A"/>
    <w:rsid w:val="14C60571"/>
    <w:rsid w:val="14C842E9"/>
    <w:rsid w:val="14C91E0F"/>
    <w:rsid w:val="14CB202B"/>
    <w:rsid w:val="14D05CA0"/>
    <w:rsid w:val="14D47131"/>
    <w:rsid w:val="14D709D0"/>
    <w:rsid w:val="14DC7D94"/>
    <w:rsid w:val="14E05AD6"/>
    <w:rsid w:val="14E12169"/>
    <w:rsid w:val="14E4180F"/>
    <w:rsid w:val="14E826F1"/>
    <w:rsid w:val="14EA2725"/>
    <w:rsid w:val="14EC447B"/>
    <w:rsid w:val="14F1476F"/>
    <w:rsid w:val="14F41582"/>
    <w:rsid w:val="15035321"/>
    <w:rsid w:val="15051099"/>
    <w:rsid w:val="15054F9B"/>
    <w:rsid w:val="1505553D"/>
    <w:rsid w:val="150C68CB"/>
    <w:rsid w:val="150D2643"/>
    <w:rsid w:val="150D619F"/>
    <w:rsid w:val="150F1F18"/>
    <w:rsid w:val="15114EE9"/>
    <w:rsid w:val="15165000"/>
    <w:rsid w:val="151B539B"/>
    <w:rsid w:val="151C63E2"/>
    <w:rsid w:val="151D5F96"/>
    <w:rsid w:val="151E03AD"/>
    <w:rsid w:val="15202377"/>
    <w:rsid w:val="15205ED3"/>
    <w:rsid w:val="1522179F"/>
    <w:rsid w:val="152359C3"/>
    <w:rsid w:val="1525173B"/>
    <w:rsid w:val="1526228F"/>
    <w:rsid w:val="15273705"/>
    <w:rsid w:val="15282FD9"/>
    <w:rsid w:val="15284D87"/>
    <w:rsid w:val="152D239E"/>
    <w:rsid w:val="15306131"/>
    <w:rsid w:val="15354544"/>
    <w:rsid w:val="153876C0"/>
    <w:rsid w:val="15393438"/>
    <w:rsid w:val="153B2D0D"/>
    <w:rsid w:val="153C6A85"/>
    <w:rsid w:val="153D4CD7"/>
    <w:rsid w:val="153D72A5"/>
    <w:rsid w:val="153E45AB"/>
    <w:rsid w:val="15437E13"/>
    <w:rsid w:val="15451DDD"/>
    <w:rsid w:val="15455939"/>
    <w:rsid w:val="15477903"/>
    <w:rsid w:val="154871D8"/>
    <w:rsid w:val="154A11A2"/>
    <w:rsid w:val="154C6CC8"/>
    <w:rsid w:val="154F0566"/>
    <w:rsid w:val="1551198D"/>
    <w:rsid w:val="15514605"/>
    <w:rsid w:val="15521101"/>
    <w:rsid w:val="15542020"/>
    <w:rsid w:val="15570834"/>
    <w:rsid w:val="155913E5"/>
    <w:rsid w:val="15595889"/>
    <w:rsid w:val="155C4C28"/>
    <w:rsid w:val="15634011"/>
    <w:rsid w:val="156408BB"/>
    <w:rsid w:val="15657D89"/>
    <w:rsid w:val="15671D54"/>
    <w:rsid w:val="1568787A"/>
    <w:rsid w:val="15744B16"/>
    <w:rsid w:val="15747FCD"/>
    <w:rsid w:val="157D4738"/>
    <w:rsid w:val="157D50D3"/>
    <w:rsid w:val="157E709D"/>
    <w:rsid w:val="157F1935"/>
    <w:rsid w:val="15842905"/>
    <w:rsid w:val="15877D00"/>
    <w:rsid w:val="15883A78"/>
    <w:rsid w:val="1589441B"/>
    <w:rsid w:val="15895853"/>
    <w:rsid w:val="15897F1C"/>
    <w:rsid w:val="158A3C94"/>
    <w:rsid w:val="158C165B"/>
    <w:rsid w:val="158C17BA"/>
    <w:rsid w:val="15910B7E"/>
    <w:rsid w:val="1594241D"/>
    <w:rsid w:val="159468C1"/>
    <w:rsid w:val="15962639"/>
    <w:rsid w:val="1597327F"/>
    <w:rsid w:val="159B37AB"/>
    <w:rsid w:val="15A22D8C"/>
    <w:rsid w:val="15A40BEE"/>
    <w:rsid w:val="15A46B04"/>
    <w:rsid w:val="15A5287C"/>
    <w:rsid w:val="15AC59B8"/>
    <w:rsid w:val="15AC7766"/>
    <w:rsid w:val="15AE34DE"/>
    <w:rsid w:val="15B605E5"/>
    <w:rsid w:val="15B64A89"/>
    <w:rsid w:val="15B66837"/>
    <w:rsid w:val="15BD4E12"/>
    <w:rsid w:val="15C01464"/>
    <w:rsid w:val="15C3425D"/>
    <w:rsid w:val="15C46ECC"/>
    <w:rsid w:val="15C72C7C"/>
    <w:rsid w:val="15C90318"/>
    <w:rsid w:val="15CA4090"/>
    <w:rsid w:val="15CB0007"/>
    <w:rsid w:val="15CB06E2"/>
    <w:rsid w:val="15CF16A7"/>
    <w:rsid w:val="15D76017"/>
    <w:rsid w:val="15DB629E"/>
    <w:rsid w:val="15E433A4"/>
    <w:rsid w:val="15E46F00"/>
    <w:rsid w:val="15E72E94"/>
    <w:rsid w:val="15EA64E1"/>
    <w:rsid w:val="15EB2077"/>
    <w:rsid w:val="15EE7D7F"/>
    <w:rsid w:val="15F1786F"/>
    <w:rsid w:val="15F31B10"/>
    <w:rsid w:val="15F66C34"/>
    <w:rsid w:val="15F80BFE"/>
    <w:rsid w:val="15FA2BC8"/>
    <w:rsid w:val="15FC6940"/>
    <w:rsid w:val="15FF1F8C"/>
    <w:rsid w:val="160550C9"/>
    <w:rsid w:val="16077A7C"/>
    <w:rsid w:val="16082FC8"/>
    <w:rsid w:val="160B0931"/>
    <w:rsid w:val="160B1CC9"/>
    <w:rsid w:val="160C6457"/>
    <w:rsid w:val="160E696E"/>
    <w:rsid w:val="160F33A3"/>
    <w:rsid w:val="16126189"/>
    <w:rsid w:val="16131283"/>
    <w:rsid w:val="16135A37"/>
    <w:rsid w:val="1615355E"/>
    <w:rsid w:val="16153D7A"/>
    <w:rsid w:val="16177015"/>
    <w:rsid w:val="161B48EC"/>
    <w:rsid w:val="161C0D90"/>
    <w:rsid w:val="161C2A95"/>
    <w:rsid w:val="161C2B3E"/>
    <w:rsid w:val="161F262E"/>
    <w:rsid w:val="162419F3"/>
    <w:rsid w:val="16257519"/>
    <w:rsid w:val="16287735"/>
    <w:rsid w:val="16290DB7"/>
    <w:rsid w:val="16294BEA"/>
    <w:rsid w:val="162C6AF9"/>
    <w:rsid w:val="162D2B22"/>
    <w:rsid w:val="162D4D4B"/>
    <w:rsid w:val="162E2871"/>
    <w:rsid w:val="16380A5A"/>
    <w:rsid w:val="1638549E"/>
    <w:rsid w:val="163B0AEA"/>
    <w:rsid w:val="163B6FFF"/>
    <w:rsid w:val="163F4A7E"/>
    <w:rsid w:val="16465E0D"/>
    <w:rsid w:val="164707FC"/>
    <w:rsid w:val="1649352F"/>
    <w:rsid w:val="164976AB"/>
    <w:rsid w:val="164D28A4"/>
    <w:rsid w:val="16500A3A"/>
    <w:rsid w:val="165266F1"/>
    <w:rsid w:val="165754AD"/>
    <w:rsid w:val="165B4EA8"/>
    <w:rsid w:val="165B65E9"/>
    <w:rsid w:val="165B7DDA"/>
    <w:rsid w:val="165C118C"/>
    <w:rsid w:val="165D2399"/>
    <w:rsid w:val="165F2A2B"/>
    <w:rsid w:val="16617428"/>
    <w:rsid w:val="16646293"/>
    <w:rsid w:val="166B5873"/>
    <w:rsid w:val="166B7621"/>
    <w:rsid w:val="166C5148"/>
    <w:rsid w:val="166D55CB"/>
    <w:rsid w:val="166E0EC0"/>
    <w:rsid w:val="167069E6"/>
    <w:rsid w:val="1671184E"/>
    <w:rsid w:val="16777D74"/>
    <w:rsid w:val="16781D3E"/>
    <w:rsid w:val="167A7865"/>
    <w:rsid w:val="167B7C4B"/>
    <w:rsid w:val="167C182F"/>
    <w:rsid w:val="167C44F8"/>
    <w:rsid w:val="167F4E7B"/>
    <w:rsid w:val="1680548D"/>
    <w:rsid w:val="16826719"/>
    <w:rsid w:val="16870D8E"/>
    <w:rsid w:val="16897AA8"/>
    <w:rsid w:val="168B7CC4"/>
    <w:rsid w:val="16921052"/>
    <w:rsid w:val="16932D6B"/>
    <w:rsid w:val="1694148D"/>
    <w:rsid w:val="1695469E"/>
    <w:rsid w:val="16976668"/>
    <w:rsid w:val="169A7F07"/>
    <w:rsid w:val="169C5A2D"/>
    <w:rsid w:val="169E17A5"/>
    <w:rsid w:val="169E79F7"/>
    <w:rsid w:val="169F551D"/>
    <w:rsid w:val="169F72CB"/>
    <w:rsid w:val="16A81790"/>
    <w:rsid w:val="16A91EF8"/>
    <w:rsid w:val="16AB2114"/>
    <w:rsid w:val="16AD19E8"/>
    <w:rsid w:val="16AE750E"/>
    <w:rsid w:val="16B014D8"/>
    <w:rsid w:val="16B207CA"/>
    <w:rsid w:val="16B26FFE"/>
    <w:rsid w:val="16B40FC8"/>
    <w:rsid w:val="16B9038D"/>
    <w:rsid w:val="16BA2357"/>
    <w:rsid w:val="16BB3C28"/>
    <w:rsid w:val="16BC1C2B"/>
    <w:rsid w:val="16BF1FDC"/>
    <w:rsid w:val="16C035CA"/>
    <w:rsid w:val="16C44AD8"/>
    <w:rsid w:val="16C4566D"/>
    <w:rsid w:val="16C874E6"/>
    <w:rsid w:val="16CB1E6E"/>
    <w:rsid w:val="16CB6312"/>
    <w:rsid w:val="16D72F09"/>
    <w:rsid w:val="16DC0C5E"/>
    <w:rsid w:val="16DC147A"/>
    <w:rsid w:val="16DC2528"/>
    <w:rsid w:val="16DE4297"/>
    <w:rsid w:val="16DE6045"/>
    <w:rsid w:val="16DF3B6C"/>
    <w:rsid w:val="16E3365C"/>
    <w:rsid w:val="16E57B39"/>
    <w:rsid w:val="16E80C72"/>
    <w:rsid w:val="16E82A20"/>
    <w:rsid w:val="16EB42BE"/>
    <w:rsid w:val="16F45869"/>
    <w:rsid w:val="16F47617"/>
    <w:rsid w:val="16F5513D"/>
    <w:rsid w:val="16F615E1"/>
    <w:rsid w:val="16FB4332"/>
    <w:rsid w:val="1703785A"/>
    <w:rsid w:val="170535D2"/>
    <w:rsid w:val="1706559C"/>
    <w:rsid w:val="17066928"/>
    <w:rsid w:val="170A5C5C"/>
    <w:rsid w:val="170D5358"/>
    <w:rsid w:val="17163A31"/>
    <w:rsid w:val="17171557"/>
    <w:rsid w:val="171B1048"/>
    <w:rsid w:val="171F21BA"/>
    <w:rsid w:val="172120C7"/>
    <w:rsid w:val="17215F32"/>
    <w:rsid w:val="17221F62"/>
    <w:rsid w:val="17285513"/>
    <w:rsid w:val="172A128B"/>
    <w:rsid w:val="172B5518"/>
    <w:rsid w:val="172F4478"/>
    <w:rsid w:val="17312D11"/>
    <w:rsid w:val="1732013F"/>
    <w:rsid w:val="17326391"/>
    <w:rsid w:val="17326502"/>
    <w:rsid w:val="173619DD"/>
    <w:rsid w:val="17371DE5"/>
    <w:rsid w:val="17375756"/>
    <w:rsid w:val="1738335E"/>
    <w:rsid w:val="173C34E8"/>
    <w:rsid w:val="1740285C"/>
    <w:rsid w:val="174560C4"/>
    <w:rsid w:val="17465999"/>
    <w:rsid w:val="17481711"/>
    <w:rsid w:val="174B2FAF"/>
    <w:rsid w:val="1750389F"/>
    <w:rsid w:val="17577BA6"/>
    <w:rsid w:val="1759391E"/>
    <w:rsid w:val="175A4608"/>
    <w:rsid w:val="176460A3"/>
    <w:rsid w:val="17666845"/>
    <w:rsid w:val="17680005"/>
    <w:rsid w:val="176A78D9"/>
    <w:rsid w:val="176C7FAF"/>
    <w:rsid w:val="176D1177"/>
    <w:rsid w:val="1770386E"/>
    <w:rsid w:val="177235B3"/>
    <w:rsid w:val="177249E0"/>
    <w:rsid w:val="17735226"/>
    <w:rsid w:val="17742506"/>
    <w:rsid w:val="17780248"/>
    <w:rsid w:val="177E3384"/>
    <w:rsid w:val="1782031A"/>
    <w:rsid w:val="17842AD0"/>
    <w:rsid w:val="178564C1"/>
    <w:rsid w:val="1787048B"/>
    <w:rsid w:val="178B7795"/>
    <w:rsid w:val="178D1819"/>
    <w:rsid w:val="17902473"/>
    <w:rsid w:val="17920BDE"/>
    <w:rsid w:val="179263D7"/>
    <w:rsid w:val="179606CE"/>
    <w:rsid w:val="17966F3F"/>
    <w:rsid w:val="17984446"/>
    <w:rsid w:val="179C49C1"/>
    <w:rsid w:val="179E3A27"/>
    <w:rsid w:val="179E7583"/>
    <w:rsid w:val="17A06CE7"/>
    <w:rsid w:val="17A50911"/>
    <w:rsid w:val="17A728DB"/>
    <w:rsid w:val="17A75F91"/>
    <w:rsid w:val="17AA4179"/>
    <w:rsid w:val="17AC7EF2"/>
    <w:rsid w:val="17AD77C6"/>
    <w:rsid w:val="17AF353E"/>
    <w:rsid w:val="17B631A7"/>
    <w:rsid w:val="17B648CC"/>
    <w:rsid w:val="17B80644"/>
    <w:rsid w:val="17B91CC2"/>
    <w:rsid w:val="17B91FA2"/>
    <w:rsid w:val="17BB3400"/>
    <w:rsid w:val="17BD3EAD"/>
    <w:rsid w:val="17CD0F85"/>
    <w:rsid w:val="17CE6D57"/>
    <w:rsid w:val="17CF1E32"/>
    <w:rsid w:val="17D15BAA"/>
    <w:rsid w:val="17D43BE0"/>
    <w:rsid w:val="17D54AC3"/>
    <w:rsid w:val="17D55D03"/>
    <w:rsid w:val="17DA4A5F"/>
    <w:rsid w:val="17DE55A1"/>
    <w:rsid w:val="17E21B65"/>
    <w:rsid w:val="17E56F60"/>
    <w:rsid w:val="17EE050A"/>
    <w:rsid w:val="17EF6030"/>
    <w:rsid w:val="17F12BE8"/>
    <w:rsid w:val="17F17FFA"/>
    <w:rsid w:val="17FD074D"/>
    <w:rsid w:val="17FD699F"/>
    <w:rsid w:val="17FF2717"/>
    <w:rsid w:val="18003041"/>
    <w:rsid w:val="18003D99"/>
    <w:rsid w:val="18041ADC"/>
    <w:rsid w:val="18055854"/>
    <w:rsid w:val="18094A7F"/>
    <w:rsid w:val="18095344"/>
    <w:rsid w:val="180A10F0"/>
    <w:rsid w:val="180A2E6A"/>
    <w:rsid w:val="180D7C95"/>
    <w:rsid w:val="180E4708"/>
    <w:rsid w:val="18100480"/>
    <w:rsid w:val="18147845"/>
    <w:rsid w:val="181A0A1C"/>
    <w:rsid w:val="181B72DB"/>
    <w:rsid w:val="181D0DEF"/>
    <w:rsid w:val="182201B4"/>
    <w:rsid w:val="182757CA"/>
    <w:rsid w:val="18277578"/>
    <w:rsid w:val="18295F5F"/>
    <w:rsid w:val="182C1032"/>
    <w:rsid w:val="182D744D"/>
    <w:rsid w:val="182E0907"/>
    <w:rsid w:val="183323C1"/>
    <w:rsid w:val="18351C95"/>
    <w:rsid w:val="1839783A"/>
    <w:rsid w:val="183A54FD"/>
    <w:rsid w:val="183A60CC"/>
    <w:rsid w:val="183D6D9C"/>
    <w:rsid w:val="183E57A4"/>
    <w:rsid w:val="1840063A"/>
    <w:rsid w:val="18516C98"/>
    <w:rsid w:val="1853036D"/>
    <w:rsid w:val="18550589"/>
    <w:rsid w:val="18552337"/>
    <w:rsid w:val="185B5474"/>
    <w:rsid w:val="185F4F64"/>
    <w:rsid w:val="185F6D12"/>
    <w:rsid w:val="18624A54"/>
    <w:rsid w:val="18626802"/>
    <w:rsid w:val="18680424"/>
    <w:rsid w:val="1869193F"/>
    <w:rsid w:val="18695DE3"/>
    <w:rsid w:val="186B56B7"/>
    <w:rsid w:val="186B68C6"/>
    <w:rsid w:val="186D0013"/>
    <w:rsid w:val="186D58D3"/>
    <w:rsid w:val="186E2BE4"/>
    <w:rsid w:val="186F23AF"/>
    <w:rsid w:val="18722EE9"/>
    <w:rsid w:val="18730A0F"/>
    <w:rsid w:val="187529D9"/>
    <w:rsid w:val="187A1D9E"/>
    <w:rsid w:val="187F1162"/>
    <w:rsid w:val="187F4C15"/>
    <w:rsid w:val="18826EA4"/>
    <w:rsid w:val="18833979"/>
    <w:rsid w:val="18866995"/>
    <w:rsid w:val="18891FE1"/>
    <w:rsid w:val="188B5D59"/>
    <w:rsid w:val="188C2E84"/>
    <w:rsid w:val="188D1AD1"/>
    <w:rsid w:val="189270E7"/>
    <w:rsid w:val="18980476"/>
    <w:rsid w:val="18982224"/>
    <w:rsid w:val="189A2440"/>
    <w:rsid w:val="189A5F9C"/>
    <w:rsid w:val="18A40BC9"/>
    <w:rsid w:val="18A41440"/>
    <w:rsid w:val="18A46E1B"/>
    <w:rsid w:val="18A94431"/>
    <w:rsid w:val="18AB63FB"/>
    <w:rsid w:val="18AF5EEB"/>
    <w:rsid w:val="18B118AD"/>
    <w:rsid w:val="18B21538"/>
    <w:rsid w:val="18B43502"/>
    <w:rsid w:val="18B90B18"/>
    <w:rsid w:val="18BA6619"/>
    <w:rsid w:val="18BC23B6"/>
    <w:rsid w:val="18BC3B0A"/>
    <w:rsid w:val="18BD040B"/>
    <w:rsid w:val="18BF12FA"/>
    <w:rsid w:val="18C13529"/>
    <w:rsid w:val="18C43019"/>
    <w:rsid w:val="18C474BD"/>
    <w:rsid w:val="18C63235"/>
    <w:rsid w:val="18C64FE3"/>
    <w:rsid w:val="18C9062F"/>
    <w:rsid w:val="18CD45C3"/>
    <w:rsid w:val="18CD6371"/>
    <w:rsid w:val="18CE20EA"/>
    <w:rsid w:val="18CE58F5"/>
    <w:rsid w:val="18CE5C46"/>
    <w:rsid w:val="18D07C10"/>
    <w:rsid w:val="18D3325C"/>
    <w:rsid w:val="18D55226"/>
    <w:rsid w:val="18D72D4C"/>
    <w:rsid w:val="18DC1ABD"/>
    <w:rsid w:val="18DD40DB"/>
    <w:rsid w:val="18E35B95"/>
    <w:rsid w:val="18E36CB5"/>
    <w:rsid w:val="18E67433"/>
    <w:rsid w:val="18E831AB"/>
    <w:rsid w:val="18EB67F8"/>
    <w:rsid w:val="18F179C4"/>
    <w:rsid w:val="18F2402A"/>
    <w:rsid w:val="18F733EE"/>
    <w:rsid w:val="18FC6C57"/>
    <w:rsid w:val="18FE07FD"/>
    <w:rsid w:val="18FE4BA5"/>
    <w:rsid w:val="190470B1"/>
    <w:rsid w:val="19081158"/>
    <w:rsid w:val="19094547"/>
    <w:rsid w:val="190A1374"/>
    <w:rsid w:val="190A51FF"/>
    <w:rsid w:val="19103908"/>
    <w:rsid w:val="1910625E"/>
    <w:rsid w:val="19130CA3"/>
    <w:rsid w:val="19145D4E"/>
    <w:rsid w:val="19185113"/>
    <w:rsid w:val="191D0133"/>
    <w:rsid w:val="191E76E8"/>
    <w:rsid w:val="191F46F3"/>
    <w:rsid w:val="192048F7"/>
    <w:rsid w:val="192166BD"/>
    <w:rsid w:val="192341E3"/>
    <w:rsid w:val="192D150C"/>
    <w:rsid w:val="192D79FD"/>
    <w:rsid w:val="192E125B"/>
    <w:rsid w:val="193208CA"/>
    <w:rsid w:val="19324427"/>
    <w:rsid w:val="193463F1"/>
    <w:rsid w:val="19371A3D"/>
    <w:rsid w:val="19397563"/>
    <w:rsid w:val="193B777F"/>
    <w:rsid w:val="193F08F1"/>
    <w:rsid w:val="194128BC"/>
    <w:rsid w:val="194346BA"/>
    <w:rsid w:val="19436634"/>
    <w:rsid w:val="19483990"/>
    <w:rsid w:val="194D300E"/>
    <w:rsid w:val="194F7E45"/>
    <w:rsid w:val="19502AFF"/>
    <w:rsid w:val="195048A6"/>
    <w:rsid w:val="19520625"/>
    <w:rsid w:val="195465C3"/>
    <w:rsid w:val="19550115"/>
    <w:rsid w:val="19570331"/>
    <w:rsid w:val="19572D68"/>
    <w:rsid w:val="195C1FE7"/>
    <w:rsid w:val="195C3D9D"/>
    <w:rsid w:val="195F2D42"/>
    <w:rsid w:val="19650358"/>
    <w:rsid w:val="196547FC"/>
    <w:rsid w:val="196565AA"/>
    <w:rsid w:val="1966166D"/>
    <w:rsid w:val="1968609A"/>
    <w:rsid w:val="196A0064"/>
    <w:rsid w:val="19720CC7"/>
    <w:rsid w:val="197267B0"/>
    <w:rsid w:val="1973708C"/>
    <w:rsid w:val="197762DD"/>
    <w:rsid w:val="19793E03"/>
    <w:rsid w:val="198A6011"/>
    <w:rsid w:val="198B3B37"/>
    <w:rsid w:val="198C7FDB"/>
    <w:rsid w:val="198D5B01"/>
    <w:rsid w:val="198F7643"/>
    <w:rsid w:val="1990114D"/>
    <w:rsid w:val="19904552"/>
    <w:rsid w:val="199109E2"/>
    <w:rsid w:val="19923117"/>
    <w:rsid w:val="19946E8F"/>
    <w:rsid w:val="1995404C"/>
    <w:rsid w:val="199D3F96"/>
    <w:rsid w:val="199E50E5"/>
    <w:rsid w:val="19A05834"/>
    <w:rsid w:val="19A31463"/>
    <w:rsid w:val="19A4550A"/>
    <w:rsid w:val="19A52E4A"/>
    <w:rsid w:val="19A55C3A"/>
    <w:rsid w:val="19A74E14"/>
    <w:rsid w:val="19A846E9"/>
    <w:rsid w:val="19AC5F87"/>
    <w:rsid w:val="19AF3CC9"/>
    <w:rsid w:val="19AF7825"/>
    <w:rsid w:val="19B10D96"/>
    <w:rsid w:val="19B337B9"/>
    <w:rsid w:val="19B65058"/>
    <w:rsid w:val="19B72B7E"/>
    <w:rsid w:val="19BB441C"/>
    <w:rsid w:val="19BD63E6"/>
    <w:rsid w:val="19BE3EA1"/>
    <w:rsid w:val="19BE5CBA"/>
    <w:rsid w:val="19BF78A1"/>
    <w:rsid w:val="19C07C84"/>
    <w:rsid w:val="19C72DC1"/>
    <w:rsid w:val="19CC03D7"/>
    <w:rsid w:val="19D13C3F"/>
    <w:rsid w:val="19D379B8"/>
    <w:rsid w:val="19D90D46"/>
    <w:rsid w:val="19D92807"/>
    <w:rsid w:val="19DA5D39"/>
    <w:rsid w:val="19DB2D10"/>
    <w:rsid w:val="19E00326"/>
    <w:rsid w:val="19E03E83"/>
    <w:rsid w:val="19E41BC5"/>
    <w:rsid w:val="19E96351"/>
    <w:rsid w:val="19EC7CCE"/>
    <w:rsid w:val="19EE2484"/>
    <w:rsid w:val="19EE2754"/>
    <w:rsid w:val="19EE3096"/>
    <w:rsid w:val="19F25F57"/>
    <w:rsid w:val="19F30585"/>
    <w:rsid w:val="19F33BB6"/>
    <w:rsid w:val="19F45B80"/>
    <w:rsid w:val="19FE07AD"/>
    <w:rsid w:val="19FF7152"/>
    <w:rsid w:val="1A027F67"/>
    <w:rsid w:val="1A057D8D"/>
    <w:rsid w:val="1A073B05"/>
    <w:rsid w:val="1A09138C"/>
    <w:rsid w:val="1A0A0EFF"/>
    <w:rsid w:val="1A0C2EC9"/>
    <w:rsid w:val="1A0F6516"/>
    <w:rsid w:val="1A163D48"/>
    <w:rsid w:val="1A1678A4"/>
    <w:rsid w:val="1A18361C"/>
    <w:rsid w:val="1A192202"/>
    <w:rsid w:val="1A1A55E6"/>
    <w:rsid w:val="1A1C66C0"/>
    <w:rsid w:val="1A1D6E85"/>
    <w:rsid w:val="1A1F0E4F"/>
    <w:rsid w:val="1A206BD1"/>
    <w:rsid w:val="1A23158A"/>
    <w:rsid w:val="1A27385F"/>
    <w:rsid w:val="1A2E4BEE"/>
    <w:rsid w:val="1A2E7564"/>
    <w:rsid w:val="1A345F7C"/>
    <w:rsid w:val="1A352420"/>
    <w:rsid w:val="1A35780A"/>
    <w:rsid w:val="1A3D3083"/>
    <w:rsid w:val="1A3F5F9B"/>
    <w:rsid w:val="1A4039ED"/>
    <w:rsid w:val="1A42393B"/>
    <w:rsid w:val="1A424DED"/>
    <w:rsid w:val="1A4268EB"/>
    <w:rsid w:val="1A4408B5"/>
    <w:rsid w:val="1A450189"/>
    <w:rsid w:val="1A46686A"/>
    <w:rsid w:val="1A475CB0"/>
    <w:rsid w:val="1A4A57A0"/>
    <w:rsid w:val="1A4B1C44"/>
    <w:rsid w:val="1A4E34E2"/>
    <w:rsid w:val="1A4E4600"/>
    <w:rsid w:val="1A526911"/>
    <w:rsid w:val="1A55661F"/>
    <w:rsid w:val="1A562397"/>
    <w:rsid w:val="1A58610F"/>
    <w:rsid w:val="1A591AF2"/>
    <w:rsid w:val="1A592FC2"/>
    <w:rsid w:val="1A5A4033"/>
    <w:rsid w:val="1A5C5053"/>
    <w:rsid w:val="1A5E6E65"/>
    <w:rsid w:val="1A5F749D"/>
    <w:rsid w:val="1A616756"/>
    <w:rsid w:val="1A644AB4"/>
    <w:rsid w:val="1A6745A4"/>
    <w:rsid w:val="1A6751A7"/>
    <w:rsid w:val="1A693E78"/>
    <w:rsid w:val="1A6A061D"/>
    <w:rsid w:val="1A6E5932"/>
    <w:rsid w:val="1A703458"/>
    <w:rsid w:val="1A7036F0"/>
    <w:rsid w:val="1A716259"/>
    <w:rsid w:val="1A74631B"/>
    <w:rsid w:val="1A7542CE"/>
    <w:rsid w:val="1A75606A"/>
    <w:rsid w:val="1A76380C"/>
    <w:rsid w:val="1A766595"/>
    <w:rsid w:val="1A7A7E33"/>
    <w:rsid w:val="1A7D2C10"/>
    <w:rsid w:val="1A7D5B75"/>
    <w:rsid w:val="1A7D7923"/>
    <w:rsid w:val="1A7E53C6"/>
    <w:rsid w:val="1A7F369B"/>
    <w:rsid w:val="1A7F4A0A"/>
    <w:rsid w:val="1A805E8F"/>
    <w:rsid w:val="1A81091F"/>
    <w:rsid w:val="1A82066E"/>
    <w:rsid w:val="1A824F3A"/>
    <w:rsid w:val="1A864A2A"/>
    <w:rsid w:val="1A8A7F67"/>
    <w:rsid w:val="1A8B0292"/>
    <w:rsid w:val="1A8E7D82"/>
    <w:rsid w:val="1A907657"/>
    <w:rsid w:val="1A924679"/>
    <w:rsid w:val="1A9475CB"/>
    <w:rsid w:val="1A9861F1"/>
    <w:rsid w:val="1A98650B"/>
    <w:rsid w:val="1A9A6727"/>
    <w:rsid w:val="1A9D4337"/>
    <w:rsid w:val="1AA80E44"/>
    <w:rsid w:val="1AAB244B"/>
    <w:rsid w:val="1AAE5D2F"/>
    <w:rsid w:val="1AB05F4B"/>
    <w:rsid w:val="1AB33345"/>
    <w:rsid w:val="1AB833B2"/>
    <w:rsid w:val="1AB86E8B"/>
    <w:rsid w:val="1AB94A4F"/>
    <w:rsid w:val="1ABA0B77"/>
    <w:rsid w:val="1ABD2416"/>
    <w:rsid w:val="1AC60017"/>
    <w:rsid w:val="1AC63078"/>
    <w:rsid w:val="1AC840ED"/>
    <w:rsid w:val="1ACD2659"/>
    <w:rsid w:val="1ACE4623"/>
    <w:rsid w:val="1AD11A1D"/>
    <w:rsid w:val="1AD31F78"/>
    <w:rsid w:val="1AD339E7"/>
    <w:rsid w:val="1AD43926"/>
    <w:rsid w:val="1AD66B48"/>
    <w:rsid w:val="1ADA2FC8"/>
    <w:rsid w:val="1ADB5522"/>
    <w:rsid w:val="1AE14356"/>
    <w:rsid w:val="1AE6196C"/>
    <w:rsid w:val="1AE856E5"/>
    <w:rsid w:val="1AEA1FD5"/>
    <w:rsid w:val="1AEB35C0"/>
    <w:rsid w:val="1AEC6857"/>
    <w:rsid w:val="1AEE7796"/>
    <w:rsid w:val="1AF000F5"/>
    <w:rsid w:val="1AF220BF"/>
    <w:rsid w:val="1AF851FC"/>
    <w:rsid w:val="1B0246D5"/>
    <w:rsid w:val="1B040045"/>
    <w:rsid w:val="1B046F80"/>
    <w:rsid w:val="1B053056"/>
    <w:rsid w:val="1B063DBD"/>
    <w:rsid w:val="1B065B6B"/>
    <w:rsid w:val="1B0818E3"/>
    <w:rsid w:val="1B162B57"/>
    <w:rsid w:val="1B1C1F38"/>
    <w:rsid w:val="1B1C713C"/>
    <w:rsid w:val="1B1E1106"/>
    <w:rsid w:val="1B1F6C2C"/>
    <w:rsid w:val="1B213D1F"/>
    <w:rsid w:val="1B293607"/>
    <w:rsid w:val="1B2D30F7"/>
    <w:rsid w:val="1B2E0C1E"/>
    <w:rsid w:val="1B2E2262"/>
    <w:rsid w:val="1B2F50C2"/>
    <w:rsid w:val="1B324BB2"/>
    <w:rsid w:val="1B3267B5"/>
    <w:rsid w:val="1B3501FE"/>
    <w:rsid w:val="1B3705F1"/>
    <w:rsid w:val="1B391A9C"/>
    <w:rsid w:val="1B3B1CB8"/>
    <w:rsid w:val="1B410951"/>
    <w:rsid w:val="1B4346C9"/>
    <w:rsid w:val="1B444488"/>
    <w:rsid w:val="1B4A1EFB"/>
    <w:rsid w:val="1B4A3CA9"/>
    <w:rsid w:val="1B4B17D0"/>
    <w:rsid w:val="1B4B5C73"/>
    <w:rsid w:val="1B4F12C0"/>
    <w:rsid w:val="1B540E52"/>
    <w:rsid w:val="1B551BB4"/>
    <w:rsid w:val="1B55264E"/>
    <w:rsid w:val="1B5763C6"/>
    <w:rsid w:val="1B590390"/>
    <w:rsid w:val="1B5C34B1"/>
    <w:rsid w:val="1B5E59A7"/>
    <w:rsid w:val="1B610FF3"/>
    <w:rsid w:val="1B617DDC"/>
    <w:rsid w:val="1B632FBD"/>
    <w:rsid w:val="1B650AE3"/>
    <w:rsid w:val="1B656D35"/>
    <w:rsid w:val="1B682381"/>
    <w:rsid w:val="1B684130"/>
    <w:rsid w:val="1B6B22AD"/>
    <w:rsid w:val="1B6E246A"/>
    <w:rsid w:val="1B753B95"/>
    <w:rsid w:val="1B75684C"/>
    <w:rsid w:val="1B760012"/>
    <w:rsid w:val="1B764745"/>
    <w:rsid w:val="1B7D7F39"/>
    <w:rsid w:val="1B811695"/>
    <w:rsid w:val="1B824DE1"/>
    <w:rsid w:val="1B8371BB"/>
    <w:rsid w:val="1B8A22F8"/>
    <w:rsid w:val="1B917546"/>
    <w:rsid w:val="1B944F25"/>
    <w:rsid w:val="1B974A15"/>
    <w:rsid w:val="1B9B4505"/>
    <w:rsid w:val="1B9C6022"/>
    <w:rsid w:val="1B9E2247"/>
    <w:rsid w:val="1B9E3C8A"/>
    <w:rsid w:val="1BA23AE5"/>
    <w:rsid w:val="1BA33762"/>
    <w:rsid w:val="1BA64C58"/>
    <w:rsid w:val="1BAD2BF6"/>
    <w:rsid w:val="1BAF1D5E"/>
    <w:rsid w:val="1BB2184F"/>
    <w:rsid w:val="1BB249FC"/>
    <w:rsid w:val="1BBC26CD"/>
    <w:rsid w:val="1BBE1FA1"/>
    <w:rsid w:val="1BBE4697"/>
    <w:rsid w:val="1BC25DC8"/>
    <w:rsid w:val="1BC3580A"/>
    <w:rsid w:val="1BC57450"/>
    <w:rsid w:val="1BC66BE3"/>
    <w:rsid w:val="1BC752FA"/>
    <w:rsid w:val="1BC81072"/>
    <w:rsid w:val="1BCD6688"/>
    <w:rsid w:val="1BCF3EC0"/>
    <w:rsid w:val="1BD05CC3"/>
    <w:rsid w:val="1BD143CB"/>
    <w:rsid w:val="1BD23C9F"/>
    <w:rsid w:val="1BD25A4D"/>
    <w:rsid w:val="1BD7143D"/>
    <w:rsid w:val="1BDD4B1E"/>
    <w:rsid w:val="1BDE43F2"/>
    <w:rsid w:val="1BE67209"/>
    <w:rsid w:val="1BEA548C"/>
    <w:rsid w:val="1BEC2FB3"/>
    <w:rsid w:val="1BEC4D61"/>
    <w:rsid w:val="1BF15AAB"/>
    <w:rsid w:val="1BF9747E"/>
    <w:rsid w:val="1BFB31F6"/>
    <w:rsid w:val="1BFD6F6E"/>
    <w:rsid w:val="1BFE4A94"/>
    <w:rsid w:val="1C062249"/>
    <w:rsid w:val="1C077A18"/>
    <w:rsid w:val="1C086791"/>
    <w:rsid w:val="1C113C73"/>
    <w:rsid w:val="1C187CE4"/>
    <w:rsid w:val="1C1918CE"/>
    <w:rsid w:val="1C1E0C92"/>
    <w:rsid w:val="1C1F6AB3"/>
    <w:rsid w:val="1C2344FA"/>
    <w:rsid w:val="1C297D63"/>
    <w:rsid w:val="1C2C1601"/>
    <w:rsid w:val="1C2C4884"/>
    <w:rsid w:val="1C2C7853"/>
    <w:rsid w:val="1C3053AC"/>
    <w:rsid w:val="1C362480"/>
    <w:rsid w:val="1C381D54"/>
    <w:rsid w:val="1C395ACC"/>
    <w:rsid w:val="1C3B7A96"/>
    <w:rsid w:val="1C3D380E"/>
    <w:rsid w:val="1C3D765C"/>
    <w:rsid w:val="1C3F4120"/>
    <w:rsid w:val="1C4032FE"/>
    <w:rsid w:val="1C404828"/>
    <w:rsid w:val="1C495A9D"/>
    <w:rsid w:val="1C4B67C1"/>
    <w:rsid w:val="1C4C57FF"/>
    <w:rsid w:val="1C4E0B38"/>
    <w:rsid w:val="1C5341C9"/>
    <w:rsid w:val="1C5446B4"/>
    <w:rsid w:val="1C5B5A42"/>
    <w:rsid w:val="1C5C1B50"/>
    <w:rsid w:val="1C5D5C5E"/>
    <w:rsid w:val="1C5D7A0C"/>
    <w:rsid w:val="1C5E4627"/>
    <w:rsid w:val="1C5E7925"/>
    <w:rsid w:val="1C6012AB"/>
    <w:rsid w:val="1C6A2129"/>
    <w:rsid w:val="1C6A3ED7"/>
    <w:rsid w:val="1C6B2ABE"/>
    <w:rsid w:val="1C6E1C1A"/>
    <w:rsid w:val="1C6E39C8"/>
    <w:rsid w:val="1C6E7E6B"/>
    <w:rsid w:val="1C7020CB"/>
    <w:rsid w:val="1C704EFA"/>
    <w:rsid w:val="1C712CA5"/>
    <w:rsid w:val="1C735482"/>
    <w:rsid w:val="1C744EE3"/>
    <w:rsid w:val="1C746B04"/>
    <w:rsid w:val="1C780121"/>
    <w:rsid w:val="1C782A98"/>
    <w:rsid w:val="1C784846"/>
    <w:rsid w:val="1C7865F4"/>
    <w:rsid w:val="1C7A05BE"/>
    <w:rsid w:val="1C7D3C0B"/>
    <w:rsid w:val="1C7E0123"/>
    <w:rsid w:val="1C7F3E27"/>
    <w:rsid w:val="1C80194D"/>
    <w:rsid w:val="1C821221"/>
    <w:rsid w:val="1C8256C5"/>
    <w:rsid w:val="1C827473"/>
    <w:rsid w:val="1C844F99"/>
    <w:rsid w:val="1C8608D3"/>
    <w:rsid w:val="1C8615F4"/>
    <w:rsid w:val="1C887FC8"/>
    <w:rsid w:val="1C8D6788"/>
    <w:rsid w:val="1C8E5E18"/>
    <w:rsid w:val="1C901B90"/>
    <w:rsid w:val="1C9553F8"/>
    <w:rsid w:val="1C97240B"/>
    <w:rsid w:val="1CA13D9D"/>
    <w:rsid w:val="1CA218C3"/>
    <w:rsid w:val="1CA55A16"/>
    <w:rsid w:val="1CA636C0"/>
    <w:rsid w:val="1CA76006"/>
    <w:rsid w:val="1CA94A00"/>
    <w:rsid w:val="1CAB4C1C"/>
    <w:rsid w:val="1CAC44F0"/>
    <w:rsid w:val="1CB02232"/>
    <w:rsid w:val="1CB05D8E"/>
    <w:rsid w:val="1CB117C2"/>
    <w:rsid w:val="1CB14A11"/>
    <w:rsid w:val="1CB735C0"/>
    <w:rsid w:val="1CBA6C0D"/>
    <w:rsid w:val="1CBD494F"/>
    <w:rsid w:val="1CBF06C7"/>
    <w:rsid w:val="1CC22144"/>
    <w:rsid w:val="1CC224AF"/>
    <w:rsid w:val="1CC25AC1"/>
    <w:rsid w:val="1CC47DA2"/>
    <w:rsid w:val="1CC614DF"/>
    <w:rsid w:val="1CC63804"/>
    <w:rsid w:val="1CC655B2"/>
    <w:rsid w:val="1CC950A2"/>
    <w:rsid w:val="1CCB706C"/>
    <w:rsid w:val="1CCE090A"/>
    <w:rsid w:val="1CCE26B8"/>
    <w:rsid w:val="1CCE7662"/>
    <w:rsid w:val="1CD06827"/>
    <w:rsid w:val="1CD11779"/>
    <w:rsid w:val="1CD27EF0"/>
    <w:rsid w:val="1CD35F20"/>
    <w:rsid w:val="1CD777BF"/>
    <w:rsid w:val="1CD83537"/>
    <w:rsid w:val="1CE1063D"/>
    <w:rsid w:val="1CE27F12"/>
    <w:rsid w:val="1CE56751"/>
    <w:rsid w:val="1CF163A7"/>
    <w:rsid w:val="1CF245F9"/>
    <w:rsid w:val="1CF7783C"/>
    <w:rsid w:val="1CF778A1"/>
    <w:rsid w:val="1CFA34AD"/>
    <w:rsid w:val="1CFC7225"/>
    <w:rsid w:val="1D0221D5"/>
    <w:rsid w:val="1D04432C"/>
    <w:rsid w:val="1D097B94"/>
    <w:rsid w:val="1D0A6937"/>
    <w:rsid w:val="1D0B1216"/>
    <w:rsid w:val="1D0B5412"/>
    <w:rsid w:val="1D0D1432"/>
    <w:rsid w:val="1D0D31E0"/>
    <w:rsid w:val="1D0D3C24"/>
    <w:rsid w:val="1D100F23"/>
    <w:rsid w:val="1D1162ED"/>
    <w:rsid w:val="1D120D0E"/>
    <w:rsid w:val="1D13631D"/>
    <w:rsid w:val="1D175E0D"/>
    <w:rsid w:val="1D181F30"/>
    <w:rsid w:val="1D1B4B41"/>
    <w:rsid w:val="1D1C3424"/>
    <w:rsid w:val="1D1E53EE"/>
    <w:rsid w:val="1D1E587E"/>
    <w:rsid w:val="1D200EA1"/>
    <w:rsid w:val="1D216C8C"/>
    <w:rsid w:val="1D247B2E"/>
    <w:rsid w:val="1D283A5F"/>
    <w:rsid w:val="1D28776C"/>
    <w:rsid w:val="1D2938BC"/>
    <w:rsid w:val="1D2B18B9"/>
    <w:rsid w:val="1D2B5F1E"/>
    <w:rsid w:val="1D2F75FB"/>
    <w:rsid w:val="1D343C6E"/>
    <w:rsid w:val="1D3502B9"/>
    <w:rsid w:val="1D374356"/>
    <w:rsid w:val="1D3764AF"/>
    <w:rsid w:val="1D3C5874"/>
    <w:rsid w:val="1D3F5364"/>
    <w:rsid w:val="1D4166B7"/>
    <w:rsid w:val="1D454590"/>
    <w:rsid w:val="1D4571D1"/>
    <w:rsid w:val="1D4604A0"/>
    <w:rsid w:val="1D484219"/>
    <w:rsid w:val="1D496BFF"/>
    <w:rsid w:val="1D4F1A4B"/>
    <w:rsid w:val="1D50131F"/>
    <w:rsid w:val="1D5602FC"/>
    <w:rsid w:val="1D57445C"/>
    <w:rsid w:val="1D5C7CC4"/>
    <w:rsid w:val="1D5F5A06"/>
    <w:rsid w:val="1D5F6196"/>
    <w:rsid w:val="1D61177E"/>
    <w:rsid w:val="1D6132A5"/>
    <w:rsid w:val="1D6372A4"/>
    <w:rsid w:val="1D646B79"/>
    <w:rsid w:val="1D686FF7"/>
    <w:rsid w:val="1D6A0633"/>
    <w:rsid w:val="1D701DA4"/>
    <w:rsid w:val="1D707B38"/>
    <w:rsid w:val="1D721295"/>
    <w:rsid w:val="1D756FD8"/>
    <w:rsid w:val="1D757536"/>
    <w:rsid w:val="1D7F1C04"/>
    <w:rsid w:val="1D813BCE"/>
    <w:rsid w:val="1D85546D"/>
    <w:rsid w:val="1D85652A"/>
    <w:rsid w:val="1D8611E5"/>
    <w:rsid w:val="1D864D41"/>
    <w:rsid w:val="1D8666D1"/>
    <w:rsid w:val="1D8A2A83"/>
    <w:rsid w:val="1D8E56D5"/>
    <w:rsid w:val="1D90796E"/>
    <w:rsid w:val="1D965C01"/>
    <w:rsid w:val="1D990760"/>
    <w:rsid w:val="1D992E1D"/>
    <w:rsid w:val="1D9B4C90"/>
    <w:rsid w:val="1D9E279F"/>
    <w:rsid w:val="1DA02130"/>
    <w:rsid w:val="1DA12F59"/>
    <w:rsid w:val="1DA17DCD"/>
    <w:rsid w:val="1DA457A0"/>
    <w:rsid w:val="1DA90758"/>
    <w:rsid w:val="1DB47B00"/>
    <w:rsid w:val="1DB541DC"/>
    <w:rsid w:val="1DB814F0"/>
    <w:rsid w:val="1DB93368"/>
    <w:rsid w:val="1DB96EC4"/>
    <w:rsid w:val="1DBE44DB"/>
    <w:rsid w:val="1DC064A5"/>
    <w:rsid w:val="1DC23269"/>
    <w:rsid w:val="1DC37D43"/>
    <w:rsid w:val="1DC51D0D"/>
    <w:rsid w:val="1DC6338F"/>
    <w:rsid w:val="1DC835AB"/>
    <w:rsid w:val="1DC92DDB"/>
    <w:rsid w:val="1DCA2E80"/>
    <w:rsid w:val="1DCA7323"/>
    <w:rsid w:val="1DCF66E8"/>
    <w:rsid w:val="1DD101CC"/>
    <w:rsid w:val="1DD2442A"/>
    <w:rsid w:val="1DD40345"/>
    <w:rsid w:val="1DD43CFE"/>
    <w:rsid w:val="1DD51824"/>
    <w:rsid w:val="1DD51975"/>
    <w:rsid w:val="1DD67A76"/>
    <w:rsid w:val="1DD71A40"/>
    <w:rsid w:val="1DD72298"/>
    <w:rsid w:val="1DD737EE"/>
    <w:rsid w:val="1DD7559C"/>
    <w:rsid w:val="1DD849C1"/>
    <w:rsid w:val="1DD85D04"/>
    <w:rsid w:val="1DDE2731"/>
    <w:rsid w:val="1DDF4DA5"/>
    <w:rsid w:val="1DE005BB"/>
    <w:rsid w:val="1DE1641B"/>
    <w:rsid w:val="1DE32193"/>
    <w:rsid w:val="1DE57CB9"/>
    <w:rsid w:val="1DE76E33"/>
    <w:rsid w:val="1DEA6122"/>
    <w:rsid w:val="1DEB0773"/>
    <w:rsid w:val="1DEB1048"/>
    <w:rsid w:val="1DEC729A"/>
    <w:rsid w:val="1DED3012"/>
    <w:rsid w:val="1DED6B6E"/>
    <w:rsid w:val="1DEE3DF0"/>
    <w:rsid w:val="1DF148B0"/>
    <w:rsid w:val="1DF20628"/>
    <w:rsid w:val="1DF3331F"/>
    <w:rsid w:val="1DF47922"/>
    <w:rsid w:val="1DF61EC7"/>
    <w:rsid w:val="1DF63C75"/>
    <w:rsid w:val="1DF93765"/>
    <w:rsid w:val="1DFB28D0"/>
    <w:rsid w:val="1DFC3255"/>
    <w:rsid w:val="1DFE001E"/>
    <w:rsid w:val="1DFE521F"/>
    <w:rsid w:val="1E01086B"/>
    <w:rsid w:val="1E022BB7"/>
    <w:rsid w:val="1E064511"/>
    <w:rsid w:val="1E0A7E55"/>
    <w:rsid w:val="1E0F0A85"/>
    <w:rsid w:val="1E0F2F88"/>
    <w:rsid w:val="1E1503D5"/>
    <w:rsid w:val="1E18340C"/>
    <w:rsid w:val="1E1B192D"/>
    <w:rsid w:val="1E1B36DB"/>
    <w:rsid w:val="1E1E31CB"/>
    <w:rsid w:val="1E214A6A"/>
    <w:rsid w:val="1E222CBC"/>
    <w:rsid w:val="1E2307E2"/>
    <w:rsid w:val="1E256308"/>
    <w:rsid w:val="1E276524"/>
    <w:rsid w:val="1E2817C0"/>
    <w:rsid w:val="1E28600C"/>
    <w:rsid w:val="1E2C43FB"/>
    <w:rsid w:val="1E326C77"/>
    <w:rsid w:val="1E3A3BD5"/>
    <w:rsid w:val="1E3D18A3"/>
    <w:rsid w:val="1E3D5D47"/>
    <w:rsid w:val="1E443648"/>
    <w:rsid w:val="1E4A0464"/>
    <w:rsid w:val="1E4A36CA"/>
    <w:rsid w:val="1E4C7D38"/>
    <w:rsid w:val="1E51534F"/>
    <w:rsid w:val="1E541A70"/>
    <w:rsid w:val="1E592455"/>
    <w:rsid w:val="1E5A7901"/>
    <w:rsid w:val="1E62755C"/>
    <w:rsid w:val="1E693DBB"/>
    <w:rsid w:val="1E6C3F37"/>
    <w:rsid w:val="1E6E627A"/>
    <w:rsid w:val="1E763007"/>
    <w:rsid w:val="1E780D78"/>
    <w:rsid w:val="1E7A43DA"/>
    <w:rsid w:val="1E7B6870"/>
    <w:rsid w:val="1E7D6144"/>
    <w:rsid w:val="1E7F5E3E"/>
    <w:rsid w:val="1E803E86"/>
    <w:rsid w:val="1E81486B"/>
    <w:rsid w:val="1E85003A"/>
    <w:rsid w:val="1E854FF8"/>
    <w:rsid w:val="1E875215"/>
    <w:rsid w:val="1E8A0861"/>
    <w:rsid w:val="1E8E20FF"/>
    <w:rsid w:val="1E967206"/>
    <w:rsid w:val="1E971AC3"/>
    <w:rsid w:val="1E9A4F48"/>
    <w:rsid w:val="1E9A6CF6"/>
    <w:rsid w:val="1E9E60BA"/>
    <w:rsid w:val="1E9F255E"/>
    <w:rsid w:val="1EA36355"/>
    <w:rsid w:val="1EA47B74"/>
    <w:rsid w:val="1EA94CD7"/>
    <w:rsid w:val="1EA9518B"/>
    <w:rsid w:val="1EAE7EC3"/>
    <w:rsid w:val="1EB06519"/>
    <w:rsid w:val="1EB277FE"/>
    <w:rsid w:val="1EB45462"/>
    <w:rsid w:val="1EB63404"/>
    <w:rsid w:val="1EBA2EF4"/>
    <w:rsid w:val="1EBA350E"/>
    <w:rsid w:val="1EC21DA9"/>
    <w:rsid w:val="1EC22CE6"/>
    <w:rsid w:val="1EC5276A"/>
    <w:rsid w:val="1EC671B0"/>
    <w:rsid w:val="1EC91389"/>
    <w:rsid w:val="1ECE699F"/>
    <w:rsid w:val="1ED02718"/>
    <w:rsid w:val="1ED04E2F"/>
    <w:rsid w:val="1ED41ADC"/>
    <w:rsid w:val="1ED55F80"/>
    <w:rsid w:val="1EDB1A02"/>
    <w:rsid w:val="1EDD3086"/>
    <w:rsid w:val="1EE461C3"/>
    <w:rsid w:val="1EE52A7C"/>
    <w:rsid w:val="1EE9589D"/>
    <w:rsid w:val="1EEB6A69"/>
    <w:rsid w:val="1EED151B"/>
    <w:rsid w:val="1EEE29E3"/>
    <w:rsid w:val="1EF1268E"/>
    <w:rsid w:val="1EF26B32"/>
    <w:rsid w:val="1EF36406"/>
    <w:rsid w:val="1EF85A23"/>
    <w:rsid w:val="1EFA027C"/>
    <w:rsid w:val="1EFA1543"/>
    <w:rsid w:val="1EFB52BB"/>
    <w:rsid w:val="1EFC175F"/>
    <w:rsid w:val="1EFF124F"/>
    <w:rsid w:val="1EFF360A"/>
    <w:rsid w:val="1EFF4DAB"/>
    <w:rsid w:val="1F007446"/>
    <w:rsid w:val="1F0215B9"/>
    <w:rsid w:val="1F074B01"/>
    <w:rsid w:val="1F0B19A2"/>
    <w:rsid w:val="1F0B3750"/>
    <w:rsid w:val="1F0D7EAC"/>
    <w:rsid w:val="1F0E3240"/>
    <w:rsid w:val="1F1023E2"/>
    <w:rsid w:val="1F122D30"/>
    <w:rsid w:val="1F15637C"/>
    <w:rsid w:val="1F185E6D"/>
    <w:rsid w:val="1F1C5A01"/>
    <w:rsid w:val="1F1F544D"/>
    <w:rsid w:val="1F25008A"/>
    <w:rsid w:val="1F2729AA"/>
    <w:rsid w:val="1F274302"/>
    <w:rsid w:val="1F29007A"/>
    <w:rsid w:val="1F291E28"/>
    <w:rsid w:val="1F2E3015"/>
    <w:rsid w:val="1F372797"/>
    <w:rsid w:val="1F38206B"/>
    <w:rsid w:val="1F3A2287"/>
    <w:rsid w:val="1F3C5FFF"/>
    <w:rsid w:val="1F413615"/>
    <w:rsid w:val="1F4206BA"/>
    <w:rsid w:val="1F446C62"/>
    <w:rsid w:val="1F477846"/>
    <w:rsid w:val="1F49071C"/>
    <w:rsid w:val="1F4B7FF0"/>
    <w:rsid w:val="1F4C3235"/>
    <w:rsid w:val="1F4D7B8E"/>
    <w:rsid w:val="1F4E188E"/>
    <w:rsid w:val="1F4E5D32"/>
    <w:rsid w:val="1F526B19"/>
    <w:rsid w:val="1F552C1D"/>
    <w:rsid w:val="1F587591"/>
    <w:rsid w:val="1F5B41C0"/>
    <w:rsid w:val="1F642E60"/>
    <w:rsid w:val="1F645556"/>
    <w:rsid w:val="1F647304"/>
    <w:rsid w:val="1F6718C9"/>
    <w:rsid w:val="1F680BA2"/>
    <w:rsid w:val="1F684FAA"/>
    <w:rsid w:val="1F6A2B6C"/>
    <w:rsid w:val="1F6B0692"/>
    <w:rsid w:val="1F6B1689"/>
    <w:rsid w:val="1F6B2440"/>
    <w:rsid w:val="1F6E69E8"/>
    <w:rsid w:val="1F7363E0"/>
    <w:rsid w:val="1F784B5D"/>
    <w:rsid w:val="1F7861BF"/>
    <w:rsid w:val="1F7E2174"/>
    <w:rsid w:val="1F8710F0"/>
    <w:rsid w:val="1F8A1EBA"/>
    <w:rsid w:val="1F90634B"/>
    <w:rsid w:val="1F947BE9"/>
    <w:rsid w:val="1F95398F"/>
    <w:rsid w:val="1F9D6372"/>
    <w:rsid w:val="1FA2402F"/>
    <w:rsid w:val="1FA3607E"/>
    <w:rsid w:val="1FA47700"/>
    <w:rsid w:val="1FA85442"/>
    <w:rsid w:val="1FA92F69"/>
    <w:rsid w:val="1FAD2A59"/>
    <w:rsid w:val="1FB42039"/>
    <w:rsid w:val="1FB45B95"/>
    <w:rsid w:val="1FBA6F24"/>
    <w:rsid w:val="1FBE6A14"/>
    <w:rsid w:val="1FBF2ACF"/>
    <w:rsid w:val="1FC075B8"/>
    <w:rsid w:val="1FC102B2"/>
    <w:rsid w:val="1FC41B50"/>
    <w:rsid w:val="1FC446C3"/>
    <w:rsid w:val="1FC85AE5"/>
    <w:rsid w:val="1FC87893"/>
    <w:rsid w:val="1FCD30FB"/>
    <w:rsid w:val="1FCF0C21"/>
    <w:rsid w:val="1FCF304C"/>
    <w:rsid w:val="1FD0285A"/>
    <w:rsid w:val="1FD04999"/>
    <w:rsid w:val="1FD41BC9"/>
    <w:rsid w:val="1FD44489"/>
    <w:rsid w:val="1FD55B8C"/>
    <w:rsid w:val="1FD61FB0"/>
    <w:rsid w:val="1FD75D28"/>
    <w:rsid w:val="1FD955FC"/>
    <w:rsid w:val="1FDA015E"/>
    <w:rsid w:val="1FDE70B6"/>
    <w:rsid w:val="1FDF5A2B"/>
    <w:rsid w:val="1FE10954"/>
    <w:rsid w:val="1FE25C23"/>
    <w:rsid w:val="1FE426A0"/>
    <w:rsid w:val="1FE67B91"/>
    <w:rsid w:val="1FE7539E"/>
    <w:rsid w:val="1FE805BF"/>
    <w:rsid w:val="1FF24910"/>
    <w:rsid w:val="1FF42436"/>
    <w:rsid w:val="1FF468DA"/>
    <w:rsid w:val="1FF71F26"/>
    <w:rsid w:val="1FF941E7"/>
    <w:rsid w:val="1FF97A4C"/>
    <w:rsid w:val="1FFC12EA"/>
    <w:rsid w:val="1FFF1F6B"/>
    <w:rsid w:val="200059F9"/>
    <w:rsid w:val="2000702C"/>
    <w:rsid w:val="20032679"/>
    <w:rsid w:val="2005311A"/>
    <w:rsid w:val="200F101E"/>
    <w:rsid w:val="20112FE8"/>
    <w:rsid w:val="20124FB2"/>
    <w:rsid w:val="20142AD8"/>
    <w:rsid w:val="20146634"/>
    <w:rsid w:val="201900EE"/>
    <w:rsid w:val="20191E9C"/>
    <w:rsid w:val="201C198C"/>
    <w:rsid w:val="201E5705"/>
    <w:rsid w:val="20210D51"/>
    <w:rsid w:val="20216FA3"/>
    <w:rsid w:val="20230F6D"/>
    <w:rsid w:val="202F346E"/>
    <w:rsid w:val="20344F28"/>
    <w:rsid w:val="20370574"/>
    <w:rsid w:val="20457135"/>
    <w:rsid w:val="20481C2A"/>
    <w:rsid w:val="204A2ABA"/>
    <w:rsid w:val="204A3E24"/>
    <w:rsid w:val="204A474C"/>
    <w:rsid w:val="204A64FA"/>
    <w:rsid w:val="204C4020"/>
    <w:rsid w:val="204D3B51"/>
    <w:rsid w:val="204F1D62"/>
    <w:rsid w:val="20515ADA"/>
    <w:rsid w:val="20517888"/>
    <w:rsid w:val="205630F0"/>
    <w:rsid w:val="2059673D"/>
    <w:rsid w:val="205C53A4"/>
    <w:rsid w:val="205C7FDB"/>
    <w:rsid w:val="205E3D53"/>
    <w:rsid w:val="206155F1"/>
    <w:rsid w:val="20623843"/>
    <w:rsid w:val="20631369"/>
    <w:rsid w:val="20642787"/>
    <w:rsid w:val="20672C08"/>
    <w:rsid w:val="206A26F8"/>
    <w:rsid w:val="206B2259"/>
    <w:rsid w:val="206F41B2"/>
    <w:rsid w:val="207215AC"/>
    <w:rsid w:val="20745325"/>
    <w:rsid w:val="20782F99"/>
    <w:rsid w:val="20790B8D"/>
    <w:rsid w:val="20796DDF"/>
    <w:rsid w:val="207B1DBD"/>
    <w:rsid w:val="207B2B57"/>
    <w:rsid w:val="207D46DD"/>
    <w:rsid w:val="207D4F96"/>
    <w:rsid w:val="2080016D"/>
    <w:rsid w:val="208211C5"/>
    <w:rsid w:val="20831A0C"/>
    <w:rsid w:val="208512E0"/>
    <w:rsid w:val="20860302"/>
    <w:rsid w:val="208D2370"/>
    <w:rsid w:val="208D2BA8"/>
    <w:rsid w:val="208E4638"/>
    <w:rsid w:val="20913FE3"/>
    <w:rsid w:val="2094622D"/>
    <w:rsid w:val="20963CB8"/>
    <w:rsid w:val="20967991"/>
    <w:rsid w:val="209727B1"/>
    <w:rsid w:val="20994D8B"/>
    <w:rsid w:val="209A56C0"/>
    <w:rsid w:val="209D060D"/>
    <w:rsid w:val="20A16773"/>
    <w:rsid w:val="20A7400A"/>
    <w:rsid w:val="20A747D4"/>
    <w:rsid w:val="20A92DD4"/>
    <w:rsid w:val="20AD0837"/>
    <w:rsid w:val="20B07FB6"/>
    <w:rsid w:val="20B10327"/>
    <w:rsid w:val="20B15C43"/>
    <w:rsid w:val="20B240CD"/>
    <w:rsid w:val="20B45646"/>
    <w:rsid w:val="20B61A5F"/>
    <w:rsid w:val="20BD6CCC"/>
    <w:rsid w:val="20BE2A44"/>
    <w:rsid w:val="20C0056A"/>
    <w:rsid w:val="20C01CFC"/>
    <w:rsid w:val="20C04A0E"/>
    <w:rsid w:val="20C15BAC"/>
    <w:rsid w:val="20C22534"/>
    <w:rsid w:val="20C33369"/>
    <w:rsid w:val="20C41A43"/>
    <w:rsid w:val="20C95670"/>
    <w:rsid w:val="20CA1394"/>
    <w:rsid w:val="20CA763A"/>
    <w:rsid w:val="20D364EF"/>
    <w:rsid w:val="20D52267"/>
    <w:rsid w:val="20DA7812"/>
    <w:rsid w:val="20DB53A4"/>
    <w:rsid w:val="20DD111C"/>
    <w:rsid w:val="20DD55C0"/>
    <w:rsid w:val="20E00C0C"/>
    <w:rsid w:val="20E029BA"/>
    <w:rsid w:val="20E34258"/>
    <w:rsid w:val="20E424AA"/>
    <w:rsid w:val="20EA55E7"/>
    <w:rsid w:val="20EE50D7"/>
    <w:rsid w:val="20EF0E4F"/>
    <w:rsid w:val="20EF2BFD"/>
    <w:rsid w:val="20F3403C"/>
    <w:rsid w:val="20F36B91"/>
    <w:rsid w:val="20F44810"/>
    <w:rsid w:val="20F546B7"/>
    <w:rsid w:val="20FA14E6"/>
    <w:rsid w:val="20FA198E"/>
    <w:rsid w:val="20FD17BE"/>
    <w:rsid w:val="20FD531A"/>
    <w:rsid w:val="21010555"/>
    <w:rsid w:val="21022930"/>
    <w:rsid w:val="21066E40"/>
    <w:rsid w:val="2107263D"/>
    <w:rsid w:val="210975CD"/>
    <w:rsid w:val="210A7A37"/>
    <w:rsid w:val="210E5779"/>
    <w:rsid w:val="210F504D"/>
    <w:rsid w:val="211014F1"/>
    <w:rsid w:val="21105108"/>
    <w:rsid w:val="21132D8F"/>
    <w:rsid w:val="21142811"/>
    <w:rsid w:val="211508B6"/>
    <w:rsid w:val="21151B03"/>
    <w:rsid w:val="21197C6C"/>
    <w:rsid w:val="211B1C44"/>
    <w:rsid w:val="212154AC"/>
    <w:rsid w:val="21224D81"/>
    <w:rsid w:val="21246D4B"/>
    <w:rsid w:val="212C3E51"/>
    <w:rsid w:val="21350F58"/>
    <w:rsid w:val="213905FB"/>
    <w:rsid w:val="213A544A"/>
    <w:rsid w:val="213B74B1"/>
    <w:rsid w:val="213C22E6"/>
    <w:rsid w:val="213D1BBA"/>
    <w:rsid w:val="214116AB"/>
    <w:rsid w:val="2144119B"/>
    <w:rsid w:val="21455F13"/>
    <w:rsid w:val="21464F13"/>
    <w:rsid w:val="21472A39"/>
    <w:rsid w:val="214E5B76"/>
    <w:rsid w:val="21507B40"/>
    <w:rsid w:val="21535882"/>
    <w:rsid w:val="21537DD8"/>
    <w:rsid w:val="21552546"/>
    <w:rsid w:val="215869F4"/>
    <w:rsid w:val="215950FE"/>
    <w:rsid w:val="215A2310"/>
    <w:rsid w:val="215C2F2C"/>
    <w:rsid w:val="215C64E4"/>
    <w:rsid w:val="215D225D"/>
    <w:rsid w:val="215D400B"/>
    <w:rsid w:val="215F5FD5"/>
    <w:rsid w:val="21611D4D"/>
    <w:rsid w:val="216474C2"/>
    <w:rsid w:val="216830DB"/>
    <w:rsid w:val="21696E53"/>
    <w:rsid w:val="216B6728"/>
    <w:rsid w:val="216B68BB"/>
    <w:rsid w:val="216C4D8D"/>
    <w:rsid w:val="21700D25"/>
    <w:rsid w:val="21725D08"/>
    <w:rsid w:val="2174620A"/>
    <w:rsid w:val="217750CC"/>
    <w:rsid w:val="217771F7"/>
    <w:rsid w:val="21787096"/>
    <w:rsid w:val="2186530F"/>
    <w:rsid w:val="21867A05"/>
    <w:rsid w:val="218B5160"/>
    <w:rsid w:val="218B6DCA"/>
    <w:rsid w:val="218E0668"/>
    <w:rsid w:val="21905581"/>
    <w:rsid w:val="219263AA"/>
    <w:rsid w:val="219536BB"/>
    <w:rsid w:val="219571ED"/>
    <w:rsid w:val="21957C48"/>
    <w:rsid w:val="219A3A21"/>
    <w:rsid w:val="219A525F"/>
    <w:rsid w:val="21A34113"/>
    <w:rsid w:val="21A460DD"/>
    <w:rsid w:val="21A86B50"/>
    <w:rsid w:val="21AE2AB8"/>
    <w:rsid w:val="21B10818"/>
    <w:rsid w:val="21B14C75"/>
    <w:rsid w:val="21B225A8"/>
    <w:rsid w:val="21B52099"/>
    <w:rsid w:val="21B601D6"/>
    <w:rsid w:val="21B77BBF"/>
    <w:rsid w:val="21B856E5"/>
    <w:rsid w:val="21C34E99"/>
    <w:rsid w:val="21C5052E"/>
    <w:rsid w:val="21C661A1"/>
    <w:rsid w:val="21CA5B44"/>
    <w:rsid w:val="21CF1302"/>
    <w:rsid w:val="21CF7768"/>
    <w:rsid w:val="21D175BF"/>
    <w:rsid w:val="21D3043D"/>
    <w:rsid w:val="21D342CD"/>
    <w:rsid w:val="21DC74DE"/>
    <w:rsid w:val="21DD6EFA"/>
    <w:rsid w:val="21DE318A"/>
    <w:rsid w:val="21DE339D"/>
    <w:rsid w:val="21E03C1E"/>
    <w:rsid w:val="21E13187"/>
    <w:rsid w:val="21E15242"/>
    <w:rsid w:val="21E36C06"/>
    <w:rsid w:val="21E40CBA"/>
    <w:rsid w:val="21E800D1"/>
    <w:rsid w:val="21EB1616"/>
    <w:rsid w:val="21EB7868"/>
    <w:rsid w:val="21ED0E6A"/>
    <w:rsid w:val="21EE1107"/>
    <w:rsid w:val="21EF5B80"/>
    <w:rsid w:val="21F4496F"/>
    <w:rsid w:val="21F7445F"/>
    <w:rsid w:val="21F84C42"/>
    <w:rsid w:val="21F901D7"/>
    <w:rsid w:val="21FA58CD"/>
    <w:rsid w:val="21FA6D5D"/>
    <w:rsid w:val="2201708C"/>
    <w:rsid w:val="220646A2"/>
    <w:rsid w:val="220F6353"/>
    <w:rsid w:val="220F79FB"/>
    <w:rsid w:val="2210107D"/>
    <w:rsid w:val="22124DF5"/>
    <w:rsid w:val="221376EB"/>
    <w:rsid w:val="22192627"/>
    <w:rsid w:val="221B56B0"/>
    <w:rsid w:val="221C2118"/>
    <w:rsid w:val="221D1128"/>
    <w:rsid w:val="222608A0"/>
    <w:rsid w:val="22266AF2"/>
    <w:rsid w:val="22280ABD"/>
    <w:rsid w:val="222A213F"/>
    <w:rsid w:val="222C235B"/>
    <w:rsid w:val="222D26E1"/>
    <w:rsid w:val="222D60D3"/>
    <w:rsid w:val="222D7E81"/>
    <w:rsid w:val="22305BF5"/>
    <w:rsid w:val="223631D9"/>
    <w:rsid w:val="22394A78"/>
    <w:rsid w:val="22396826"/>
    <w:rsid w:val="223C6316"/>
    <w:rsid w:val="223F04E2"/>
    <w:rsid w:val="22405E06"/>
    <w:rsid w:val="22407BB4"/>
    <w:rsid w:val="22416931"/>
    <w:rsid w:val="224A458F"/>
    <w:rsid w:val="224D0523"/>
    <w:rsid w:val="224E3F10"/>
    <w:rsid w:val="224F1189"/>
    <w:rsid w:val="224F1BA5"/>
    <w:rsid w:val="22511DC1"/>
    <w:rsid w:val="225145EB"/>
    <w:rsid w:val="22576990"/>
    <w:rsid w:val="22590C76"/>
    <w:rsid w:val="225A0088"/>
    <w:rsid w:val="225A40A6"/>
    <w:rsid w:val="225A426B"/>
    <w:rsid w:val="225B2C40"/>
    <w:rsid w:val="225B7477"/>
    <w:rsid w:val="225E628C"/>
    <w:rsid w:val="225F35EB"/>
    <w:rsid w:val="22632A99"/>
    <w:rsid w:val="22654825"/>
    <w:rsid w:val="2265761B"/>
    <w:rsid w:val="22680EB9"/>
    <w:rsid w:val="226E2973"/>
    <w:rsid w:val="22734063"/>
    <w:rsid w:val="22753050"/>
    <w:rsid w:val="227635D6"/>
    <w:rsid w:val="22774421"/>
    <w:rsid w:val="22806203"/>
    <w:rsid w:val="22877591"/>
    <w:rsid w:val="228C2DF9"/>
    <w:rsid w:val="228C5D81"/>
    <w:rsid w:val="22925F36"/>
    <w:rsid w:val="22943A5C"/>
    <w:rsid w:val="22993768"/>
    <w:rsid w:val="229C4EAB"/>
    <w:rsid w:val="229F2686"/>
    <w:rsid w:val="22A068A5"/>
    <w:rsid w:val="22AC2B5D"/>
    <w:rsid w:val="22AD2D70"/>
    <w:rsid w:val="22AF0896"/>
    <w:rsid w:val="22B674CB"/>
    <w:rsid w:val="22B70195"/>
    <w:rsid w:val="22B91715"/>
    <w:rsid w:val="22BB723B"/>
    <w:rsid w:val="22BF62A8"/>
    <w:rsid w:val="22C02AA3"/>
    <w:rsid w:val="22C2681B"/>
    <w:rsid w:val="22C2713B"/>
    <w:rsid w:val="22C5455D"/>
    <w:rsid w:val="22C55A01"/>
    <w:rsid w:val="22C73E32"/>
    <w:rsid w:val="22C95DFC"/>
    <w:rsid w:val="22CB1664"/>
    <w:rsid w:val="22CB70E1"/>
    <w:rsid w:val="22CC58EC"/>
    <w:rsid w:val="22CD2F8A"/>
    <w:rsid w:val="22D16A5E"/>
    <w:rsid w:val="22D24584"/>
    <w:rsid w:val="22D50B4C"/>
    <w:rsid w:val="22D7603D"/>
    <w:rsid w:val="22D87DED"/>
    <w:rsid w:val="22DB168B"/>
    <w:rsid w:val="22DF12E8"/>
    <w:rsid w:val="22E20C6B"/>
    <w:rsid w:val="22E26EBD"/>
    <w:rsid w:val="22E348AC"/>
    <w:rsid w:val="22E370DD"/>
    <w:rsid w:val="22E42C35"/>
    <w:rsid w:val="22E5075C"/>
    <w:rsid w:val="22E744D4"/>
    <w:rsid w:val="22E76282"/>
    <w:rsid w:val="22E9024C"/>
    <w:rsid w:val="22EC0514"/>
    <w:rsid w:val="22EC1AEA"/>
    <w:rsid w:val="22EF1F13"/>
    <w:rsid w:val="22EF3388"/>
    <w:rsid w:val="22EF5136"/>
    <w:rsid w:val="22F10325"/>
    <w:rsid w:val="22F32E79"/>
    <w:rsid w:val="22F36224"/>
    <w:rsid w:val="22F626D9"/>
    <w:rsid w:val="22F95FB5"/>
    <w:rsid w:val="22FA5320"/>
    <w:rsid w:val="22FB7F7F"/>
    <w:rsid w:val="23005752"/>
    <w:rsid w:val="230307BE"/>
    <w:rsid w:val="23052BAC"/>
    <w:rsid w:val="230706D2"/>
    <w:rsid w:val="23072F6E"/>
    <w:rsid w:val="230B3A9D"/>
    <w:rsid w:val="231057D9"/>
    <w:rsid w:val="23124597"/>
    <w:rsid w:val="23150953"/>
    <w:rsid w:val="23164DB9"/>
    <w:rsid w:val="23181CF2"/>
    <w:rsid w:val="23187C1A"/>
    <w:rsid w:val="231A09C1"/>
    <w:rsid w:val="231B23CF"/>
    <w:rsid w:val="231D7EF5"/>
    <w:rsid w:val="23250B58"/>
    <w:rsid w:val="23256DAA"/>
    <w:rsid w:val="23264FFC"/>
    <w:rsid w:val="23270D74"/>
    <w:rsid w:val="232A43C0"/>
    <w:rsid w:val="232C1EE7"/>
    <w:rsid w:val="232E2103"/>
    <w:rsid w:val="232E5C5F"/>
    <w:rsid w:val="23343401"/>
    <w:rsid w:val="23362D65"/>
    <w:rsid w:val="23396B62"/>
    <w:rsid w:val="233F124C"/>
    <w:rsid w:val="23425BAE"/>
    <w:rsid w:val="2342795C"/>
    <w:rsid w:val="23427BCD"/>
    <w:rsid w:val="2346744C"/>
    <w:rsid w:val="234A05BF"/>
    <w:rsid w:val="234B6811"/>
    <w:rsid w:val="234F08C0"/>
    <w:rsid w:val="235002CB"/>
    <w:rsid w:val="23517B9F"/>
    <w:rsid w:val="2355492B"/>
    <w:rsid w:val="2355768F"/>
    <w:rsid w:val="235A0D1F"/>
    <w:rsid w:val="235C6C70"/>
    <w:rsid w:val="235F43AF"/>
    <w:rsid w:val="23607DE2"/>
    <w:rsid w:val="23614286"/>
    <w:rsid w:val="23621DAC"/>
    <w:rsid w:val="23623B5A"/>
    <w:rsid w:val="23625212"/>
    <w:rsid w:val="23627FFE"/>
    <w:rsid w:val="236E0751"/>
    <w:rsid w:val="236E6522"/>
    <w:rsid w:val="237018FC"/>
    <w:rsid w:val="23720241"/>
    <w:rsid w:val="23735D67"/>
    <w:rsid w:val="23765646"/>
    <w:rsid w:val="2378512C"/>
    <w:rsid w:val="237A70F6"/>
    <w:rsid w:val="237C2E6E"/>
    <w:rsid w:val="237D2742"/>
    <w:rsid w:val="237F470C"/>
    <w:rsid w:val="2383034F"/>
    <w:rsid w:val="23890C21"/>
    <w:rsid w:val="238D507B"/>
    <w:rsid w:val="238E494F"/>
    <w:rsid w:val="239051F6"/>
    <w:rsid w:val="23922691"/>
    <w:rsid w:val="2392443F"/>
    <w:rsid w:val="23974966"/>
    <w:rsid w:val="23975438"/>
    <w:rsid w:val="23983A20"/>
    <w:rsid w:val="239A32F4"/>
    <w:rsid w:val="239B6CDE"/>
    <w:rsid w:val="239D2DE4"/>
    <w:rsid w:val="239F4DAE"/>
    <w:rsid w:val="23A65060"/>
    <w:rsid w:val="23A67EEB"/>
    <w:rsid w:val="23A74B93"/>
    <w:rsid w:val="23A979DB"/>
    <w:rsid w:val="23B00D6A"/>
    <w:rsid w:val="23B23D14"/>
    <w:rsid w:val="23B4085A"/>
    <w:rsid w:val="23B51EDC"/>
    <w:rsid w:val="23BA5744"/>
    <w:rsid w:val="23BE146B"/>
    <w:rsid w:val="23BE2382"/>
    <w:rsid w:val="23C05D79"/>
    <w:rsid w:val="23C10881"/>
    <w:rsid w:val="23C14D25"/>
    <w:rsid w:val="23C16AD3"/>
    <w:rsid w:val="23C30A9D"/>
    <w:rsid w:val="23C71C0F"/>
    <w:rsid w:val="23C860B3"/>
    <w:rsid w:val="23C91E2B"/>
    <w:rsid w:val="23C94B75"/>
    <w:rsid w:val="23C95987"/>
    <w:rsid w:val="23CB2115"/>
    <w:rsid w:val="23CD191B"/>
    <w:rsid w:val="23CD5478"/>
    <w:rsid w:val="23CE0B11"/>
    <w:rsid w:val="23CE11F0"/>
    <w:rsid w:val="23CE7442"/>
    <w:rsid w:val="23D033B6"/>
    <w:rsid w:val="23DA4A93"/>
    <w:rsid w:val="23DC1B5F"/>
    <w:rsid w:val="23DC3528"/>
    <w:rsid w:val="23DC390D"/>
    <w:rsid w:val="23DD3EED"/>
    <w:rsid w:val="23DE15D6"/>
    <w:rsid w:val="23E2215F"/>
    <w:rsid w:val="23E32EED"/>
    <w:rsid w:val="23E70CF0"/>
    <w:rsid w:val="23E9602A"/>
    <w:rsid w:val="23EB3172"/>
    <w:rsid w:val="23ED78C8"/>
    <w:rsid w:val="23EF6DDD"/>
    <w:rsid w:val="23F0560A"/>
    <w:rsid w:val="23F24EDE"/>
    <w:rsid w:val="23F41E93"/>
    <w:rsid w:val="23F549CE"/>
    <w:rsid w:val="23F724F4"/>
    <w:rsid w:val="23FA1FE5"/>
    <w:rsid w:val="23FC4938"/>
    <w:rsid w:val="24030E99"/>
    <w:rsid w:val="2405635C"/>
    <w:rsid w:val="24062738"/>
    <w:rsid w:val="240864B0"/>
    <w:rsid w:val="240D3AC6"/>
    <w:rsid w:val="24101808"/>
    <w:rsid w:val="24125580"/>
    <w:rsid w:val="241412F8"/>
    <w:rsid w:val="24174945"/>
    <w:rsid w:val="2417728C"/>
    <w:rsid w:val="242332EA"/>
    <w:rsid w:val="24253506"/>
    <w:rsid w:val="242846A7"/>
    <w:rsid w:val="242D23BA"/>
    <w:rsid w:val="24373239"/>
    <w:rsid w:val="24383F19"/>
    <w:rsid w:val="24392B0D"/>
    <w:rsid w:val="24413208"/>
    <w:rsid w:val="2443573A"/>
    <w:rsid w:val="24446896"/>
    <w:rsid w:val="244A2F6C"/>
    <w:rsid w:val="244E3A9F"/>
    <w:rsid w:val="244F2331"/>
    <w:rsid w:val="244F40DF"/>
    <w:rsid w:val="24535D9D"/>
    <w:rsid w:val="24547947"/>
    <w:rsid w:val="24567C22"/>
    <w:rsid w:val="245C4A4D"/>
    <w:rsid w:val="245E2574"/>
    <w:rsid w:val="24661642"/>
    <w:rsid w:val="246B4E01"/>
    <w:rsid w:val="246C3C2F"/>
    <w:rsid w:val="246F4781"/>
    <w:rsid w:val="247052DC"/>
    <w:rsid w:val="247268A5"/>
    <w:rsid w:val="247274B4"/>
    <w:rsid w:val="24735AD4"/>
    <w:rsid w:val="247509BC"/>
    <w:rsid w:val="247578BD"/>
    <w:rsid w:val="24773635"/>
    <w:rsid w:val="247973AD"/>
    <w:rsid w:val="24804DBA"/>
    <w:rsid w:val="24863878"/>
    <w:rsid w:val="248F22B5"/>
    <w:rsid w:val="248F6BD1"/>
    <w:rsid w:val="24A0493A"/>
    <w:rsid w:val="24A23DB7"/>
    <w:rsid w:val="24A26904"/>
    <w:rsid w:val="24A73F1B"/>
    <w:rsid w:val="24AA57B9"/>
    <w:rsid w:val="24AB32DF"/>
    <w:rsid w:val="24B31DC2"/>
    <w:rsid w:val="24B44BFC"/>
    <w:rsid w:val="24B46637"/>
    <w:rsid w:val="24B634E8"/>
    <w:rsid w:val="24BB1774"/>
    <w:rsid w:val="24BB2C9E"/>
    <w:rsid w:val="24BB4180"/>
    <w:rsid w:val="24BD373E"/>
    <w:rsid w:val="24C148B0"/>
    <w:rsid w:val="24C20D54"/>
    <w:rsid w:val="24C21763"/>
    <w:rsid w:val="24CA19B7"/>
    <w:rsid w:val="24CC1BD3"/>
    <w:rsid w:val="24CD76F9"/>
    <w:rsid w:val="24CE594B"/>
    <w:rsid w:val="24D40A88"/>
    <w:rsid w:val="24D932C9"/>
    <w:rsid w:val="24DF6C29"/>
    <w:rsid w:val="24E22A16"/>
    <w:rsid w:val="24E567F1"/>
    <w:rsid w:val="24E579C1"/>
    <w:rsid w:val="24E61397"/>
    <w:rsid w:val="24E73D99"/>
    <w:rsid w:val="24EA11A8"/>
    <w:rsid w:val="24EA2059"/>
    <w:rsid w:val="24ED56A6"/>
    <w:rsid w:val="24EE1B49"/>
    <w:rsid w:val="24F133E8"/>
    <w:rsid w:val="24F25D15"/>
    <w:rsid w:val="24F469CF"/>
    <w:rsid w:val="24F46A34"/>
    <w:rsid w:val="24F66C50"/>
    <w:rsid w:val="24F84776"/>
    <w:rsid w:val="24FB4266"/>
    <w:rsid w:val="2503311B"/>
    <w:rsid w:val="25045019"/>
    <w:rsid w:val="25050C41"/>
    <w:rsid w:val="250C1FD0"/>
    <w:rsid w:val="25115838"/>
    <w:rsid w:val="25132A7F"/>
    <w:rsid w:val="25186BC6"/>
    <w:rsid w:val="2519649B"/>
    <w:rsid w:val="251D6C08"/>
    <w:rsid w:val="251E273A"/>
    <w:rsid w:val="251E4C45"/>
    <w:rsid w:val="25203CCD"/>
    <w:rsid w:val="252578AB"/>
    <w:rsid w:val="252B1D17"/>
    <w:rsid w:val="252B1ECD"/>
    <w:rsid w:val="252D53FE"/>
    <w:rsid w:val="252E179E"/>
    <w:rsid w:val="25382DC5"/>
    <w:rsid w:val="25387269"/>
    <w:rsid w:val="253A4D8F"/>
    <w:rsid w:val="253B28B5"/>
    <w:rsid w:val="253F0438"/>
    <w:rsid w:val="2540611D"/>
    <w:rsid w:val="25423C43"/>
    <w:rsid w:val="25445C0D"/>
    <w:rsid w:val="254554E2"/>
    <w:rsid w:val="254774AC"/>
    <w:rsid w:val="254A2AF8"/>
    <w:rsid w:val="254C6870"/>
    <w:rsid w:val="254D39A1"/>
    <w:rsid w:val="254E083A"/>
    <w:rsid w:val="254E4396"/>
    <w:rsid w:val="254F0607"/>
    <w:rsid w:val="2551032A"/>
    <w:rsid w:val="255319AC"/>
    <w:rsid w:val="25552D38"/>
    <w:rsid w:val="2557798A"/>
    <w:rsid w:val="25641E0C"/>
    <w:rsid w:val="256516E0"/>
    <w:rsid w:val="256736AA"/>
    <w:rsid w:val="25705E1C"/>
    <w:rsid w:val="25710085"/>
    <w:rsid w:val="25777D91"/>
    <w:rsid w:val="25783B09"/>
    <w:rsid w:val="257858B7"/>
    <w:rsid w:val="25787583"/>
    <w:rsid w:val="257A6826"/>
    <w:rsid w:val="257E0B6C"/>
    <w:rsid w:val="2580651A"/>
    <w:rsid w:val="258129BE"/>
    <w:rsid w:val="25820CEA"/>
    <w:rsid w:val="25822292"/>
    <w:rsid w:val="25826736"/>
    <w:rsid w:val="25854EB2"/>
    <w:rsid w:val="258630B3"/>
    <w:rsid w:val="258C1362"/>
    <w:rsid w:val="258C4EBE"/>
    <w:rsid w:val="258D2BFC"/>
    <w:rsid w:val="25902C01"/>
    <w:rsid w:val="25910727"/>
    <w:rsid w:val="25916979"/>
    <w:rsid w:val="2593624D"/>
    <w:rsid w:val="25950217"/>
    <w:rsid w:val="259721E1"/>
    <w:rsid w:val="259874E2"/>
    <w:rsid w:val="259A75DB"/>
    <w:rsid w:val="259B0619"/>
    <w:rsid w:val="259C77F7"/>
    <w:rsid w:val="259D531E"/>
    <w:rsid w:val="259F2E44"/>
    <w:rsid w:val="259F4BF2"/>
    <w:rsid w:val="25A06641"/>
    <w:rsid w:val="25A16BBC"/>
    <w:rsid w:val="25A20B86"/>
    <w:rsid w:val="25A246E2"/>
    <w:rsid w:val="25A4045A"/>
    <w:rsid w:val="25A95A70"/>
    <w:rsid w:val="25AE0DB5"/>
    <w:rsid w:val="25B2102B"/>
    <w:rsid w:val="25B432C7"/>
    <w:rsid w:val="25B6018D"/>
    <w:rsid w:val="25B82157"/>
    <w:rsid w:val="25B95E84"/>
    <w:rsid w:val="25BB4AB6"/>
    <w:rsid w:val="25BD776E"/>
    <w:rsid w:val="25C428AA"/>
    <w:rsid w:val="25C74149"/>
    <w:rsid w:val="25C91ABF"/>
    <w:rsid w:val="25CB59E7"/>
    <w:rsid w:val="25CC281B"/>
    <w:rsid w:val="25CE197B"/>
    <w:rsid w:val="25D02FFD"/>
    <w:rsid w:val="25D074A1"/>
    <w:rsid w:val="25D16D75"/>
    <w:rsid w:val="25D725DE"/>
    <w:rsid w:val="25D961D0"/>
    <w:rsid w:val="25DE1BBE"/>
    <w:rsid w:val="25DF1492"/>
    <w:rsid w:val="25DF76E4"/>
    <w:rsid w:val="25E60A73"/>
    <w:rsid w:val="25EB42DB"/>
    <w:rsid w:val="25EC2454"/>
    <w:rsid w:val="25EC2D81"/>
    <w:rsid w:val="25F106D6"/>
    <w:rsid w:val="25F3318F"/>
    <w:rsid w:val="25F52A64"/>
    <w:rsid w:val="25F5515A"/>
    <w:rsid w:val="25F74973"/>
    <w:rsid w:val="25FC0296"/>
    <w:rsid w:val="25FC13BE"/>
    <w:rsid w:val="25FD5DBC"/>
    <w:rsid w:val="26022290"/>
    <w:rsid w:val="260458EE"/>
    <w:rsid w:val="260809E9"/>
    <w:rsid w:val="26086C3B"/>
    <w:rsid w:val="260929B3"/>
    <w:rsid w:val="260D24A3"/>
    <w:rsid w:val="260E3B25"/>
    <w:rsid w:val="26110E6F"/>
    <w:rsid w:val="26121868"/>
    <w:rsid w:val="26153106"/>
    <w:rsid w:val="26170C2C"/>
    <w:rsid w:val="261730FD"/>
    <w:rsid w:val="26175410"/>
    <w:rsid w:val="26192BF6"/>
    <w:rsid w:val="262072FB"/>
    <w:rsid w:val="26215F4F"/>
    <w:rsid w:val="2624159B"/>
    <w:rsid w:val="262477ED"/>
    <w:rsid w:val="262B2929"/>
    <w:rsid w:val="262C1DCB"/>
    <w:rsid w:val="262D48F3"/>
    <w:rsid w:val="262D66A1"/>
    <w:rsid w:val="262E5F76"/>
    <w:rsid w:val="26321F0A"/>
    <w:rsid w:val="26323CB8"/>
    <w:rsid w:val="26345C82"/>
    <w:rsid w:val="26377839"/>
    <w:rsid w:val="263E265D"/>
    <w:rsid w:val="26413EFB"/>
    <w:rsid w:val="2644502B"/>
    <w:rsid w:val="26446FFE"/>
    <w:rsid w:val="264528BD"/>
    <w:rsid w:val="26467763"/>
    <w:rsid w:val="26490BC0"/>
    <w:rsid w:val="264F486A"/>
    <w:rsid w:val="26515721"/>
    <w:rsid w:val="26545C54"/>
    <w:rsid w:val="265579A6"/>
    <w:rsid w:val="26591245"/>
    <w:rsid w:val="265C0D35"/>
    <w:rsid w:val="265E685B"/>
    <w:rsid w:val="26606A77"/>
    <w:rsid w:val="26645926"/>
    <w:rsid w:val="26681488"/>
    <w:rsid w:val="266B0F78"/>
    <w:rsid w:val="266B5D96"/>
    <w:rsid w:val="266F6CBA"/>
    <w:rsid w:val="2674607E"/>
    <w:rsid w:val="26751DF6"/>
    <w:rsid w:val="26760048"/>
    <w:rsid w:val="2678331D"/>
    <w:rsid w:val="267C4F33"/>
    <w:rsid w:val="267F0C45"/>
    <w:rsid w:val="2681079B"/>
    <w:rsid w:val="268465AB"/>
    <w:rsid w:val="268828FF"/>
    <w:rsid w:val="268842A2"/>
    <w:rsid w:val="268B4F3A"/>
    <w:rsid w:val="268D0EEE"/>
    <w:rsid w:val="268E3B27"/>
    <w:rsid w:val="268F6768"/>
    <w:rsid w:val="26912711"/>
    <w:rsid w:val="26923BC9"/>
    <w:rsid w:val="26936D10"/>
    <w:rsid w:val="26962499"/>
    <w:rsid w:val="2696358E"/>
    <w:rsid w:val="269811C6"/>
    <w:rsid w:val="269823AA"/>
    <w:rsid w:val="269C3827"/>
    <w:rsid w:val="269E30FB"/>
    <w:rsid w:val="26A36964"/>
    <w:rsid w:val="26A77398"/>
    <w:rsid w:val="26AA5F44"/>
    <w:rsid w:val="26AB5818"/>
    <w:rsid w:val="26AD1F5C"/>
    <w:rsid w:val="26AF5308"/>
    <w:rsid w:val="26B20955"/>
    <w:rsid w:val="26B7240F"/>
    <w:rsid w:val="26B80661"/>
    <w:rsid w:val="26B97F35"/>
    <w:rsid w:val="26BE72FA"/>
    <w:rsid w:val="26C07516"/>
    <w:rsid w:val="26C16DEA"/>
    <w:rsid w:val="26C37006"/>
    <w:rsid w:val="26C80178"/>
    <w:rsid w:val="26CA3EF0"/>
    <w:rsid w:val="26CB3A94"/>
    <w:rsid w:val="26D0702D"/>
    <w:rsid w:val="26D66D39"/>
    <w:rsid w:val="26D92385"/>
    <w:rsid w:val="26D94133"/>
    <w:rsid w:val="26DC6C91"/>
    <w:rsid w:val="26DD103B"/>
    <w:rsid w:val="26DE174A"/>
    <w:rsid w:val="26E10197"/>
    <w:rsid w:val="26E14D5A"/>
    <w:rsid w:val="26E256DE"/>
    <w:rsid w:val="26E33204"/>
    <w:rsid w:val="26E36D60"/>
    <w:rsid w:val="26E47D34"/>
    <w:rsid w:val="26E52AD8"/>
    <w:rsid w:val="26E66850"/>
    <w:rsid w:val="26E74AA2"/>
    <w:rsid w:val="26E80EE7"/>
    <w:rsid w:val="26EC030B"/>
    <w:rsid w:val="26ED223B"/>
    <w:rsid w:val="26EF7DFB"/>
    <w:rsid w:val="26F1147D"/>
    <w:rsid w:val="26F15921"/>
    <w:rsid w:val="26F40F6D"/>
    <w:rsid w:val="26F60CAF"/>
    <w:rsid w:val="26F61189"/>
    <w:rsid w:val="26F71615"/>
    <w:rsid w:val="2700492A"/>
    <w:rsid w:val="2702368A"/>
    <w:rsid w:val="27076EF2"/>
    <w:rsid w:val="27160EE4"/>
    <w:rsid w:val="271967C0"/>
    <w:rsid w:val="271B0BF0"/>
    <w:rsid w:val="27221F7E"/>
    <w:rsid w:val="27233601"/>
    <w:rsid w:val="272445CF"/>
    <w:rsid w:val="27247AA4"/>
    <w:rsid w:val="272C0707"/>
    <w:rsid w:val="272E5D11"/>
    <w:rsid w:val="272F1FA5"/>
    <w:rsid w:val="273121C1"/>
    <w:rsid w:val="273306F3"/>
    <w:rsid w:val="27377A67"/>
    <w:rsid w:val="27383550"/>
    <w:rsid w:val="27391076"/>
    <w:rsid w:val="273B094A"/>
    <w:rsid w:val="27433CA3"/>
    <w:rsid w:val="274C0AF8"/>
    <w:rsid w:val="274C0DA9"/>
    <w:rsid w:val="274C2B57"/>
    <w:rsid w:val="274E2D73"/>
    <w:rsid w:val="274E4B21"/>
    <w:rsid w:val="274F616C"/>
    <w:rsid w:val="2750262D"/>
    <w:rsid w:val="27524CC1"/>
    <w:rsid w:val="2753038A"/>
    <w:rsid w:val="27585A15"/>
    <w:rsid w:val="2758774E"/>
    <w:rsid w:val="27592132"/>
    <w:rsid w:val="275A7110"/>
    <w:rsid w:val="275B2D9A"/>
    <w:rsid w:val="275C5E37"/>
    <w:rsid w:val="275D2FB6"/>
    <w:rsid w:val="275E59B7"/>
    <w:rsid w:val="275E733D"/>
    <w:rsid w:val="2760669F"/>
    <w:rsid w:val="2762237B"/>
    <w:rsid w:val="27637EA1"/>
    <w:rsid w:val="276500BD"/>
    <w:rsid w:val="27670678"/>
    <w:rsid w:val="276A7481"/>
    <w:rsid w:val="276B50A0"/>
    <w:rsid w:val="276E0D20"/>
    <w:rsid w:val="27786E27"/>
    <w:rsid w:val="27787DF0"/>
    <w:rsid w:val="277976C4"/>
    <w:rsid w:val="277A3B68"/>
    <w:rsid w:val="277B0D7F"/>
    <w:rsid w:val="277B343D"/>
    <w:rsid w:val="277B51EB"/>
    <w:rsid w:val="277D0F63"/>
    <w:rsid w:val="277D5407"/>
    <w:rsid w:val="277F117F"/>
    <w:rsid w:val="27806CA5"/>
    <w:rsid w:val="27807888"/>
    <w:rsid w:val="27826579"/>
    <w:rsid w:val="2785379B"/>
    <w:rsid w:val="27871DE1"/>
    <w:rsid w:val="27873B8F"/>
    <w:rsid w:val="27895B59"/>
    <w:rsid w:val="27897907"/>
    <w:rsid w:val="278A3680"/>
    <w:rsid w:val="278E278E"/>
    <w:rsid w:val="27905EE6"/>
    <w:rsid w:val="27930B2F"/>
    <w:rsid w:val="27983FEE"/>
    <w:rsid w:val="27985E53"/>
    <w:rsid w:val="279B6677"/>
    <w:rsid w:val="279D1605"/>
    <w:rsid w:val="279D7857"/>
    <w:rsid w:val="279E3F73"/>
    <w:rsid w:val="279F193A"/>
    <w:rsid w:val="279F537D"/>
    <w:rsid w:val="27A60C72"/>
    <w:rsid w:val="27AD6260"/>
    <w:rsid w:val="27AD638E"/>
    <w:rsid w:val="27B01338"/>
    <w:rsid w:val="27B23302"/>
    <w:rsid w:val="27B30E28"/>
    <w:rsid w:val="27B40E77"/>
    <w:rsid w:val="27BA5D13"/>
    <w:rsid w:val="27BC0609"/>
    <w:rsid w:val="27BD06EE"/>
    <w:rsid w:val="27BF3329"/>
    <w:rsid w:val="27C1173F"/>
    <w:rsid w:val="27C2106B"/>
    <w:rsid w:val="27C22E19"/>
    <w:rsid w:val="27C76682"/>
    <w:rsid w:val="27C85CF5"/>
    <w:rsid w:val="27CE17BE"/>
    <w:rsid w:val="27D15DD1"/>
    <w:rsid w:val="27D25752"/>
    <w:rsid w:val="27D50D9F"/>
    <w:rsid w:val="27D66A0D"/>
    <w:rsid w:val="27D86AE1"/>
    <w:rsid w:val="27D90D77"/>
    <w:rsid w:val="27DA63B5"/>
    <w:rsid w:val="27DF1DAC"/>
    <w:rsid w:val="27E40FE2"/>
    <w:rsid w:val="27E72880"/>
    <w:rsid w:val="27EE09E2"/>
    <w:rsid w:val="27EE3C0E"/>
    <w:rsid w:val="27F03E2A"/>
    <w:rsid w:val="27F473D8"/>
    <w:rsid w:val="27F82CDF"/>
    <w:rsid w:val="27FA6426"/>
    <w:rsid w:val="27FF7BCA"/>
    <w:rsid w:val="28011B94"/>
    <w:rsid w:val="28017DE6"/>
    <w:rsid w:val="280478D6"/>
    <w:rsid w:val="280653FC"/>
    <w:rsid w:val="28096C9A"/>
    <w:rsid w:val="280B656E"/>
    <w:rsid w:val="280B7BC3"/>
    <w:rsid w:val="280E42B1"/>
    <w:rsid w:val="28123DA1"/>
    <w:rsid w:val="28164F13"/>
    <w:rsid w:val="2816710E"/>
    <w:rsid w:val="28173165"/>
    <w:rsid w:val="28177609"/>
    <w:rsid w:val="281A2C55"/>
    <w:rsid w:val="281F201A"/>
    <w:rsid w:val="28212236"/>
    <w:rsid w:val="28213FE4"/>
    <w:rsid w:val="28237166"/>
    <w:rsid w:val="28277120"/>
    <w:rsid w:val="28304227"/>
    <w:rsid w:val="28304CAC"/>
    <w:rsid w:val="28327F9F"/>
    <w:rsid w:val="283334DF"/>
    <w:rsid w:val="2833567F"/>
    <w:rsid w:val="28335AC5"/>
    <w:rsid w:val="28337E41"/>
    <w:rsid w:val="2838132E"/>
    <w:rsid w:val="283830DC"/>
    <w:rsid w:val="28396011"/>
    <w:rsid w:val="283D06F2"/>
    <w:rsid w:val="283E2079"/>
    <w:rsid w:val="283F26BC"/>
    <w:rsid w:val="284C02A7"/>
    <w:rsid w:val="284D6B87"/>
    <w:rsid w:val="284E28FF"/>
    <w:rsid w:val="28501239"/>
    <w:rsid w:val="2852419D"/>
    <w:rsid w:val="28551EE0"/>
    <w:rsid w:val="285C14C0"/>
    <w:rsid w:val="285C501C"/>
    <w:rsid w:val="285D2B42"/>
    <w:rsid w:val="285F2D5E"/>
    <w:rsid w:val="285F7943"/>
    <w:rsid w:val="28602527"/>
    <w:rsid w:val="28650375"/>
    <w:rsid w:val="28652321"/>
    <w:rsid w:val="28681C13"/>
    <w:rsid w:val="2869172C"/>
    <w:rsid w:val="28695417"/>
    <w:rsid w:val="286B34B1"/>
    <w:rsid w:val="286C33DB"/>
    <w:rsid w:val="28702875"/>
    <w:rsid w:val="28706D19"/>
    <w:rsid w:val="28724840"/>
    <w:rsid w:val="28731691"/>
    <w:rsid w:val="287560DE"/>
    <w:rsid w:val="28760635"/>
    <w:rsid w:val="2876639C"/>
    <w:rsid w:val="28771E56"/>
    <w:rsid w:val="287F0D0A"/>
    <w:rsid w:val="28813F71"/>
    <w:rsid w:val="28814A83"/>
    <w:rsid w:val="288307FB"/>
    <w:rsid w:val="288602EB"/>
    <w:rsid w:val="28874D02"/>
    <w:rsid w:val="28924EE2"/>
    <w:rsid w:val="289447B6"/>
    <w:rsid w:val="2895052E"/>
    <w:rsid w:val="289651BD"/>
    <w:rsid w:val="289933AC"/>
    <w:rsid w:val="289E5635"/>
    <w:rsid w:val="289F4A11"/>
    <w:rsid w:val="28A1297A"/>
    <w:rsid w:val="28A76295"/>
    <w:rsid w:val="28A864B3"/>
    <w:rsid w:val="28AB7D51"/>
    <w:rsid w:val="28AD3ACA"/>
    <w:rsid w:val="28B135BA"/>
    <w:rsid w:val="28B169A5"/>
    <w:rsid w:val="28B210E0"/>
    <w:rsid w:val="28B430AA"/>
    <w:rsid w:val="28B46C06"/>
    <w:rsid w:val="28B766F6"/>
    <w:rsid w:val="28B8366A"/>
    <w:rsid w:val="28BA1D43"/>
    <w:rsid w:val="28BC3D0D"/>
    <w:rsid w:val="28BC7129"/>
    <w:rsid w:val="28C17575"/>
    <w:rsid w:val="28C36E49"/>
    <w:rsid w:val="28C606E7"/>
    <w:rsid w:val="28CA01D8"/>
    <w:rsid w:val="28CC21F1"/>
    <w:rsid w:val="28CD1A76"/>
    <w:rsid w:val="28CF57EE"/>
    <w:rsid w:val="28D252DE"/>
    <w:rsid w:val="28D41056"/>
    <w:rsid w:val="28D56B7C"/>
    <w:rsid w:val="28D6244E"/>
    <w:rsid w:val="28D64DCE"/>
    <w:rsid w:val="28D92B11"/>
    <w:rsid w:val="28DA4193"/>
    <w:rsid w:val="28DB32AB"/>
    <w:rsid w:val="28DC0C29"/>
    <w:rsid w:val="28DC798B"/>
    <w:rsid w:val="28DE142D"/>
    <w:rsid w:val="28DE1ED5"/>
    <w:rsid w:val="28DE5E2A"/>
    <w:rsid w:val="28DF3C8D"/>
    <w:rsid w:val="28E079FB"/>
    <w:rsid w:val="28E514B5"/>
    <w:rsid w:val="28E54BC4"/>
    <w:rsid w:val="28E60D8A"/>
    <w:rsid w:val="28EA087A"/>
    <w:rsid w:val="28EA3771"/>
    <w:rsid w:val="28EE2D47"/>
    <w:rsid w:val="28F22231"/>
    <w:rsid w:val="28F33BD2"/>
    <w:rsid w:val="28F45255"/>
    <w:rsid w:val="28F74D45"/>
    <w:rsid w:val="28F9286B"/>
    <w:rsid w:val="29001E4B"/>
    <w:rsid w:val="29017971"/>
    <w:rsid w:val="29023E15"/>
    <w:rsid w:val="29053E59"/>
    <w:rsid w:val="29080D00"/>
    <w:rsid w:val="29086F52"/>
    <w:rsid w:val="290A4A78"/>
    <w:rsid w:val="290A766E"/>
    <w:rsid w:val="290D27BA"/>
    <w:rsid w:val="291B6C85"/>
    <w:rsid w:val="291D0C4F"/>
    <w:rsid w:val="291D7154"/>
    <w:rsid w:val="29206EB8"/>
    <w:rsid w:val="29211DC2"/>
    <w:rsid w:val="292136CE"/>
    <w:rsid w:val="292518B2"/>
    <w:rsid w:val="292813A2"/>
    <w:rsid w:val="292875F4"/>
    <w:rsid w:val="29291B2B"/>
    <w:rsid w:val="292A511A"/>
    <w:rsid w:val="292C49EE"/>
    <w:rsid w:val="292D4147"/>
    <w:rsid w:val="292D69B8"/>
    <w:rsid w:val="292E034E"/>
    <w:rsid w:val="292F2731"/>
    <w:rsid w:val="292F67EE"/>
    <w:rsid w:val="29324F91"/>
    <w:rsid w:val="29335170"/>
    <w:rsid w:val="29341AF5"/>
    <w:rsid w:val="29347D47"/>
    <w:rsid w:val="29373393"/>
    <w:rsid w:val="2939535D"/>
    <w:rsid w:val="2939710B"/>
    <w:rsid w:val="294066EC"/>
    <w:rsid w:val="29420FD2"/>
    <w:rsid w:val="29471828"/>
    <w:rsid w:val="294A1318"/>
    <w:rsid w:val="294A3CD7"/>
    <w:rsid w:val="294C22A1"/>
    <w:rsid w:val="294C5091"/>
    <w:rsid w:val="295126A7"/>
    <w:rsid w:val="295876D6"/>
    <w:rsid w:val="295C2DFA"/>
    <w:rsid w:val="295E3016"/>
    <w:rsid w:val="29606D8E"/>
    <w:rsid w:val="296244C7"/>
    <w:rsid w:val="29634F5F"/>
    <w:rsid w:val="29652E48"/>
    <w:rsid w:val="29657F00"/>
    <w:rsid w:val="296B6BF6"/>
    <w:rsid w:val="296C128F"/>
    <w:rsid w:val="296C4BAC"/>
    <w:rsid w:val="296C74E1"/>
    <w:rsid w:val="2973261D"/>
    <w:rsid w:val="29752839"/>
    <w:rsid w:val="297665B1"/>
    <w:rsid w:val="29785E86"/>
    <w:rsid w:val="29797B7D"/>
    <w:rsid w:val="297C5914"/>
    <w:rsid w:val="297E7214"/>
    <w:rsid w:val="297F5466"/>
    <w:rsid w:val="29852351"/>
    <w:rsid w:val="29890093"/>
    <w:rsid w:val="298B4335"/>
    <w:rsid w:val="298E38FB"/>
    <w:rsid w:val="298E56A9"/>
    <w:rsid w:val="29903241"/>
    <w:rsid w:val="29916F47"/>
    <w:rsid w:val="29917294"/>
    <w:rsid w:val="2996177C"/>
    <w:rsid w:val="2996455E"/>
    <w:rsid w:val="2996630C"/>
    <w:rsid w:val="29966FCF"/>
    <w:rsid w:val="29967E2D"/>
    <w:rsid w:val="29975175"/>
    <w:rsid w:val="29982084"/>
    <w:rsid w:val="29986528"/>
    <w:rsid w:val="299A404E"/>
    <w:rsid w:val="299C31FE"/>
    <w:rsid w:val="29A5470F"/>
    <w:rsid w:val="29A96C5C"/>
    <w:rsid w:val="29A97E6C"/>
    <w:rsid w:val="29AA0009"/>
    <w:rsid w:val="29AA1DB7"/>
    <w:rsid w:val="29AB625B"/>
    <w:rsid w:val="29AE18A7"/>
    <w:rsid w:val="29AE5D4B"/>
    <w:rsid w:val="29B175E9"/>
    <w:rsid w:val="29B806DA"/>
    <w:rsid w:val="29B82726"/>
    <w:rsid w:val="29BD08F2"/>
    <w:rsid w:val="29BE1908"/>
    <w:rsid w:val="29BF1D06"/>
    <w:rsid w:val="29C410CB"/>
    <w:rsid w:val="29C643E5"/>
    <w:rsid w:val="29C70AA4"/>
    <w:rsid w:val="29CC7F7F"/>
    <w:rsid w:val="29D60DFE"/>
    <w:rsid w:val="29D63102"/>
    <w:rsid w:val="29D7596E"/>
    <w:rsid w:val="29D82DC8"/>
    <w:rsid w:val="29DD4321"/>
    <w:rsid w:val="29DE31C0"/>
    <w:rsid w:val="29E325E0"/>
    <w:rsid w:val="29EB2AFB"/>
    <w:rsid w:val="29EB48A9"/>
    <w:rsid w:val="29EB7E9F"/>
    <w:rsid w:val="29EC23D0"/>
    <w:rsid w:val="29EF43E8"/>
    <w:rsid w:val="29F00112"/>
    <w:rsid w:val="29F41202"/>
    <w:rsid w:val="29F5538C"/>
    <w:rsid w:val="29F55728"/>
    <w:rsid w:val="29FB2071"/>
    <w:rsid w:val="29FC1D70"/>
    <w:rsid w:val="29FC6AB7"/>
    <w:rsid w:val="29FF2103"/>
    <w:rsid w:val="2A0911D4"/>
    <w:rsid w:val="2A094D30"/>
    <w:rsid w:val="2A0A5FF9"/>
    <w:rsid w:val="2A0B6CFA"/>
    <w:rsid w:val="2A0C6676"/>
    <w:rsid w:val="2A110088"/>
    <w:rsid w:val="2A142478"/>
    <w:rsid w:val="2A163DA4"/>
    <w:rsid w:val="2A1738F0"/>
    <w:rsid w:val="2A1831C5"/>
    <w:rsid w:val="2A1C25CC"/>
    <w:rsid w:val="2A261D85"/>
    <w:rsid w:val="2A263B34"/>
    <w:rsid w:val="2A27165A"/>
    <w:rsid w:val="2A2A2060"/>
    <w:rsid w:val="2A2C6C70"/>
    <w:rsid w:val="2A2C7A58"/>
    <w:rsid w:val="2A2D05FF"/>
    <w:rsid w:val="2A2E4796"/>
    <w:rsid w:val="2A32072A"/>
    <w:rsid w:val="2A332420"/>
    <w:rsid w:val="2A337FFE"/>
    <w:rsid w:val="2A353D77"/>
    <w:rsid w:val="2A360FB4"/>
    <w:rsid w:val="2A385615"/>
    <w:rsid w:val="2A4346E5"/>
    <w:rsid w:val="2A44045E"/>
    <w:rsid w:val="2A452503"/>
    <w:rsid w:val="2A465F84"/>
    <w:rsid w:val="2A467D32"/>
    <w:rsid w:val="2A491627"/>
    <w:rsid w:val="2A4B17EC"/>
    <w:rsid w:val="2A524929"/>
    <w:rsid w:val="2A5561C7"/>
    <w:rsid w:val="2A567646"/>
    <w:rsid w:val="2A581813"/>
    <w:rsid w:val="2A585CB7"/>
    <w:rsid w:val="2A5D6D30"/>
    <w:rsid w:val="2A5F7045"/>
    <w:rsid w:val="2A61691A"/>
    <w:rsid w:val="2A636B36"/>
    <w:rsid w:val="2A6428AE"/>
    <w:rsid w:val="2A643B57"/>
    <w:rsid w:val="2A697EC4"/>
    <w:rsid w:val="2A6B1334"/>
    <w:rsid w:val="2A6D3510"/>
    <w:rsid w:val="2A6F54DA"/>
    <w:rsid w:val="2A7228D5"/>
    <w:rsid w:val="2A73489F"/>
    <w:rsid w:val="2A742AF1"/>
    <w:rsid w:val="2A756869"/>
    <w:rsid w:val="2A78062B"/>
    <w:rsid w:val="2A791292"/>
    <w:rsid w:val="2A7A5D12"/>
    <w:rsid w:val="2A7B6309"/>
    <w:rsid w:val="2A801755"/>
    <w:rsid w:val="2A830965"/>
    <w:rsid w:val="2A840E79"/>
    <w:rsid w:val="2A842E0D"/>
    <w:rsid w:val="2A857040"/>
    <w:rsid w:val="2A88034A"/>
    <w:rsid w:val="2A8B1BE9"/>
    <w:rsid w:val="2A8C0497"/>
    <w:rsid w:val="2A8C3CDE"/>
    <w:rsid w:val="2A9211C9"/>
    <w:rsid w:val="2A924D25"/>
    <w:rsid w:val="2A924FCC"/>
    <w:rsid w:val="2A95137B"/>
    <w:rsid w:val="2A9C2048"/>
    <w:rsid w:val="2A9D15F2"/>
    <w:rsid w:val="2A9E4D57"/>
    <w:rsid w:val="2AA060CC"/>
    <w:rsid w:val="2AA1140C"/>
    <w:rsid w:val="2AA2188F"/>
    <w:rsid w:val="2AA2529F"/>
    <w:rsid w:val="2AA35184"/>
    <w:rsid w:val="2AA36F92"/>
    <w:rsid w:val="2AA50EFC"/>
    <w:rsid w:val="2AA62753"/>
    <w:rsid w:val="2AA809EC"/>
    <w:rsid w:val="2AAB5DE7"/>
    <w:rsid w:val="2AAD433F"/>
    <w:rsid w:val="2AAE58D7"/>
    <w:rsid w:val="2AB00919"/>
    <w:rsid w:val="2AB23619"/>
    <w:rsid w:val="2AB24AC6"/>
    <w:rsid w:val="2AB30A53"/>
    <w:rsid w:val="2AB412AE"/>
    <w:rsid w:val="2AB56C65"/>
    <w:rsid w:val="2AB64438"/>
    <w:rsid w:val="2AB7478C"/>
    <w:rsid w:val="2AB96756"/>
    <w:rsid w:val="2ABA24CE"/>
    <w:rsid w:val="2ABC7FF4"/>
    <w:rsid w:val="2ABE4C3D"/>
    <w:rsid w:val="2ABF7AE4"/>
    <w:rsid w:val="2AC01F46"/>
    <w:rsid w:val="2AC12920"/>
    <w:rsid w:val="2AC1385C"/>
    <w:rsid w:val="2AC24A4E"/>
    <w:rsid w:val="2AC450FA"/>
    <w:rsid w:val="2AC66B4F"/>
    <w:rsid w:val="2ACB0237"/>
    <w:rsid w:val="2ACB46DB"/>
    <w:rsid w:val="2ACB6489"/>
    <w:rsid w:val="2ACE4132"/>
    <w:rsid w:val="2AD57308"/>
    <w:rsid w:val="2AD74E2E"/>
    <w:rsid w:val="2AD757E4"/>
    <w:rsid w:val="2AD76BDC"/>
    <w:rsid w:val="2AD861DD"/>
    <w:rsid w:val="2AD905D3"/>
    <w:rsid w:val="2ADA66CC"/>
    <w:rsid w:val="2ADB2A24"/>
    <w:rsid w:val="2ADE440E"/>
    <w:rsid w:val="2AE228F7"/>
    <w:rsid w:val="2AE412F9"/>
    <w:rsid w:val="2AEA21EB"/>
    <w:rsid w:val="2AEF03C9"/>
    <w:rsid w:val="2AF23A16"/>
    <w:rsid w:val="2AF43C32"/>
    <w:rsid w:val="2AF459E0"/>
    <w:rsid w:val="2AF7102C"/>
    <w:rsid w:val="2AF84B1D"/>
    <w:rsid w:val="2AFC2AE6"/>
    <w:rsid w:val="2AFF093C"/>
    <w:rsid w:val="2B022A53"/>
    <w:rsid w:val="2B033E75"/>
    <w:rsid w:val="2B0379D1"/>
    <w:rsid w:val="2B055C91"/>
    <w:rsid w:val="2B0A5203"/>
    <w:rsid w:val="2B0B5E2F"/>
    <w:rsid w:val="2B0C0FDF"/>
    <w:rsid w:val="2B0D0850"/>
    <w:rsid w:val="2B0E3784"/>
    <w:rsid w:val="2B1240B8"/>
    <w:rsid w:val="2B163BA8"/>
    <w:rsid w:val="2B1716CE"/>
    <w:rsid w:val="2B193698"/>
    <w:rsid w:val="2B1C2A88"/>
    <w:rsid w:val="2B1E480B"/>
    <w:rsid w:val="2B22254D"/>
    <w:rsid w:val="2B225799"/>
    <w:rsid w:val="2B2360C9"/>
    <w:rsid w:val="2B277B63"/>
    <w:rsid w:val="2B2838DB"/>
    <w:rsid w:val="2B2B364B"/>
    <w:rsid w:val="2B2C517A"/>
    <w:rsid w:val="2B2D2CA0"/>
    <w:rsid w:val="2B361B54"/>
    <w:rsid w:val="2B3B11AE"/>
    <w:rsid w:val="2B3D7387"/>
    <w:rsid w:val="2B3E6C5B"/>
    <w:rsid w:val="2B435C33"/>
    <w:rsid w:val="2B45623B"/>
    <w:rsid w:val="2B457FE9"/>
    <w:rsid w:val="2B47447C"/>
    <w:rsid w:val="2B485D2C"/>
    <w:rsid w:val="2B492D8D"/>
    <w:rsid w:val="2B4A3852"/>
    <w:rsid w:val="2B4C7BA5"/>
    <w:rsid w:val="2B4F0E68"/>
    <w:rsid w:val="2B54022C"/>
    <w:rsid w:val="2B566E96"/>
    <w:rsid w:val="2B5841C1"/>
    <w:rsid w:val="2B585F6F"/>
    <w:rsid w:val="2B5B780D"/>
    <w:rsid w:val="2B5E10AB"/>
    <w:rsid w:val="2B604E23"/>
    <w:rsid w:val="2B620B9B"/>
    <w:rsid w:val="2B634913"/>
    <w:rsid w:val="2B6366C1"/>
    <w:rsid w:val="2B69017C"/>
    <w:rsid w:val="2B6C5576"/>
    <w:rsid w:val="2B6C62CF"/>
    <w:rsid w:val="2B6C7C6C"/>
    <w:rsid w:val="2B6D775F"/>
    <w:rsid w:val="2B6F2DD8"/>
    <w:rsid w:val="2B732DA8"/>
    <w:rsid w:val="2B74267D"/>
    <w:rsid w:val="2B75326F"/>
    <w:rsid w:val="2B764647"/>
    <w:rsid w:val="2B77216D"/>
    <w:rsid w:val="2B7B7EAF"/>
    <w:rsid w:val="2B7D7783"/>
    <w:rsid w:val="2B7E058C"/>
    <w:rsid w:val="2B7E34FB"/>
    <w:rsid w:val="2B822FEC"/>
    <w:rsid w:val="2B8723B0"/>
    <w:rsid w:val="2B88437A"/>
    <w:rsid w:val="2B8C3E6A"/>
    <w:rsid w:val="2B8F5708"/>
    <w:rsid w:val="2B8F74B6"/>
    <w:rsid w:val="2B911481"/>
    <w:rsid w:val="2B940F71"/>
    <w:rsid w:val="2B9B0113"/>
    <w:rsid w:val="2B9B22FF"/>
    <w:rsid w:val="2B9D1BD3"/>
    <w:rsid w:val="2B9F3D2E"/>
    <w:rsid w:val="2BA03472"/>
    <w:rsid w:val="2BA61030"/>
    <w:rsid w:val="2BA936A8"/>
    <w:rsid w:val="2BA94A1C"/>
    <w:rsid w:val="2BAA3D44"/>
    <w:rsid w:val="2BAE2033"/>
    <w:rsid w:val="2BAE3DE1"/>
    <w:rsid w:val="2BAE6156"/>
    <w:rsid w:val="2BAF1907"/>
    <w:rsid w:val="2BB12C5F"/>
    <w:rsid w:val="2BB45CC1"/>
    <w:rsid w:val="2BB533C1"/>
    <w:rsid w:val="2BB57697"/>
    <w:rsid w:val="2BB62C95"/>
    <w:rsid w:val="2BB67139"/>
    <w:rsid w:val="2BB83445"/>
    <w:rsid w:val="2BB86A0D"/>
    <w:rsid w:val="2BBA09D7"/>
    <w:rsid w:val="2BBA5CF7"/>
    <w:rsid w:val="2BBB64FD"/>
    <w:rsid w:val="2BBD13CD"/>
    <w:rsid w:val="2BBD4A6B"/>
    <w:rsid w:val="2BBE64C7"/>
    <w:rsid w:val="2BC01D66"/>
    <w:rsid w:val="2BC264BA"/>
    <w:rsid w:val="2BC442AE"/>
    <w:rsid w:val="2BCF5BB2"/>
    <w:rsid w:val="2BD001FB"/>
    <w:rsid w:val="2BD1187D"/>
    <w:rsid w:val="2BD355F5"/>
    <w:rsid w:val="2BD61589"/>
    <w:rsid w:val="2BDB6BA0"/>
    <w:rsid w:val="2BDC2840"/>
    <w:rsid w:val="2BE05F64"/>
    <w:rsid w:val="2BE414A3"/>
    <w:rsid w:val="2BE55328"/>
    <w:rsid w:val="2BE733F6"/>
    <w:rsid w:val="2BEA71D2"/>
    <w:rsid w:val="2BEE68D3"/>
    <w:rsid w:val="2BF06C2B"/>
    <w:rsid w:val="2BF437BD"/>
    <w:rsid w:val="2BF92001"/>
    <w:rsid w:val="2BFB2D9E"/>
    <w:rsid w:val="2BFD2672"/>
    <w:rsid w:val="2BFD7003"/>
    <w:rsid w:val="2BFF4499"/>
    <w:rsid w:val="2BFF63EA"/>
    <w:rsid w:val="2BFF77EC"/>
    <w:rsid w:val="2C0003B4"/>
    <w:rsid w:val="2C02237E"/>
    <w:rsid w:val="2C022E1A"/>
    <w:rsid w:val="2C025EDA"/>
    <w:rsid w:val="2C045708"/>
    <w:rsid w:val="2C047EA4"/>
    <w:rsid w:val="2C0504DF"/>
    <w:rsid w:val="2C0559CB"/>
    <w:rsid w:val="2C063C1D"/>
    <w:rsid w:val="2C0B2D65"/>
    <w:rsid w:val="2C0C4FAB"/>
    <w:rsid w:val="2C0C6D59"/>
    <w:rsid w:val="2C11436F"/>
    <w:rsid w:val="2C1300E8"/>
    <w:rsid w:val="2C161986"/>
    <w:rsid w:val="2C175C27"/>
    <w:rsid w:val="2C1874AC"/>
    <w:rsid w:val="2C1A1476"/>
    <w:rsid w:val="2C1B0D4A"/>
    <w:rsid w:val="2C1B6F9C"/>
    <w:rsid w:val="2C1C3440"/>
    <w:rsid w:val="2C221E9E"/>
    <w:rsid w:val="2C251BC9"/>
    <w:rsid w:val="2C296E55"/>
    <w:rsid w:val="2C2C3DE8"/>
    <w:rsid w:val="2C2C7879"/>
    <w:rsid w:val="2C300C99"/>
    <w:rsid w:val="2C302A48"/>
    <w:rsid w:val="2C31218A"/>
    <w:rsid w:val="2C315A5A"/>
    <w:rsid w:val="2C327883"/>
    <w:rsid w:val="2C332538"/>
    <w:rsid w:val="2C35005E"/>
    <w:rsid w:val="2C363DD6"/>
    <w:rsid w:val="2C3A6AE4"/>
    <w:rsid w:val="2C3C763E"/>
    <w:rsid w:val="2C3F712F"/>
    <w:rsid w:val="2C446EDF"/>
    <w:rsid w:val="2C453FE1"/>
    <w:rsid w:val="2C46226B"/>
    <w:rsid w:val="2C477D91"/>
    <w:rsid w:val="2C484235"/>
    <w:rsid w:val="2C487FD5"/>
    <w:rsid w:val="2C50426F"/>
    <w:rsid w:val="2C532BDA"/>
    <w:rsid w:val="2C534988"/>
    <w:rsid w:val="2C54585B"/>
    <w:rsid w:val="2C55425C"/>
    <w:rsid w:val="2C571A8D"/>
    <w:rsid w:val="2C587B0C"/>
    <w:rsid w:val="2C5B55EB"/>
    <w:rsid w:val="2C5D1363"/>
    <w:rsid w:val="2C6426F1"/>
    <w:rsid w:val="2C644CC2"/>
    <w:rsid w:val="2C652EE7"/>
    <w:rsid w:val="2C6754A3"/>
    <w:rsid w:val="2C693389"/>
    <w:rsid w:val="2C702EEC"/>
    <w:rsid w:val="2C70553A"/>
    <w:rsid w:val="2C723060"/>
    <w:rsid w:val="2C732934"/>
    <w:rsid w:val="2C7F39CF"/>
    <w:rsid w:val="2C815051"/>
    <w:rsid w:val="2C840FE5"/>
    <w:rsid w:val="2C8608B9"/>
    <w:rsid w:val="2C892A75"/>
    <w:rsid w:val="2C9034E6"/>
    <w:rsid w:val="2C923702"/>
    <w:rsid w:val="2C954FA0"/>
    <w:rsid w:val="2C9805ED"/>
    <w:rsid w:val="2C985B8A"/>
    <w:rsid w:val="2C9F5E1F"/>
    <w:rsid w:val="2CA70830"/>
    <w:rsid w:val="2CA86A82"/>
    <w:rsid w:val="2CA9478B"/>
    <w:rsid w:val="2CAC09AD"/>
    <w:rsid w:val="2CAE4A0E"/>
    <w:rsid w:val="2CB01DDA"/>
    <w:rsid w:val="2CB06299"/>
    <w:rsid w:val="2CB34EDA"/>
    <w:rsid w:val="2CB43679"/>
    <w:rsid w:val="2CB609D3"/>
    <w:rsid w:val="2CB90C8F"/>
    <w:rsid w:val="2CBC252D"/>
    <w:rsid w:val="2CBE44F7"/>
    <w:rsid w:val="2CC213E0"/>
    <w:rsid w:val="2CC31B0E"/>
    <w:rsid w:val="2CC413E2"/>
    <w:rsid w:val="2CC66F08"/>
    <w:rsid w:val="2CC9212B"/>
    <w:rsid w:val="2CCB451E"/>
    <w:rsid w:val="2CCE400E"/>
    <w:rsid w:val="2CCF04B2"/>
    <w:rsid w:val="2CD0422B"/>
    <w:rsid w:val="2CD629A7"/>
    <w:rsid w:val="2CD755B9"/>
    <w:rsid w:val="2CD77367"/>
    <w:rsid w:val="2CD979CA"/>
    <w:rsid w:val="2CDC0358"/>
    <w:rsid w:val="2CDD51B6"/>
    <w:rsid w:val="2CE101E6"/>
    <w:rsid w:val="2CE11F94"/>
    <w:rsid w:val="2CE455E0"/>
    <w:rsid w:val="2CE51A84"/>
    <w:rsid w:val="2CED52F7"/>
    <w:rsid w:val="2CF4294C"/>
    <w:rsid w:val="2CFC0B7C"/>
    <w:rsid w:val="2CFE3816"/>
    <w:rsid w:val="2CFE48F4"/>
    <w:rsid w:val="2CFF066C"/>
    <w:rsid w:val="2D0143E4"/>
    <w:rsid w:val="2D0A773C"/>
    <w:rsid w:val="2D0C4CA8"/>
    <w:rsid w:val="2D0D4B37"/>
    <w:rsid w:val="2D12039F"/>
    <w:rsid w:val="2D122D03"/>
    <w:rsid w:val="2D13578C"/>
    <w:rsid w:val="2D142369"/>
    <w:rsid w:val="2D151C3D"/>
    <w:rsid w:val="2D2273A2"/>
    <w:rsid w:val="2D2325AC"/>
    <w:rsid w:val="2D232822"/>
    <w:rsid w:val="2D241E80"/>
    <w:rsid w:val="2D257DDB"/>
    <w:rsid w:val="2D2A1671"/>
    <w:rsid w:val="2D2A393B"/>
    <w:rsid w:val="2D2A56E9"/>
    <w:rsid w:val="2D2D51D9"/>
    <w:rsid w:val="2D2E3032"/>
    <w:rsid w:val="2D306A77"/>
    <w:rsid w:val="2D360531"/>
    <w:rsid w:val="2D3622E0"/>
    <w:rsid w:val="2D3C366E"/>
    <w:rsid w:val="2D40315E"/>
    <w:rsid w:val="2D464721"/>
    <w:rsid w:val="2D4831B4"/>
    <w:rsid w:val="2D4B1056"/>
    <w:rsid w:val="2D4D405D"/>
    <w:rsid w:val="2D593A83"/>
    <w:rsid w:val="2D597B77"/>
    <w:rsid w:val="2D5B1E69"/>
    <w:rsid w:val="2D5B3AF4"/>
    <w:rsid w:val="2D5E5392"/>
    <w:rsid w:val="2D616C31"/>
    <w:rsid w:val="2D6329A9"/>
    <w:rsid w:val="2D65197B"/>
    <w:rsid w:val="2D6741DC"/>
    <w:rsid w:val="2D687AB5"/>
    <w:rsid w:val="2D6C1150"/>
    <w:rsid w:val="2D7050C6"/>
    <w:rsid w:val="2D71156A"/>
    <w:rsid w:val="2D766B80"/>
    <w:rsid w:val="2D79041E"/>
    <w:rsid w:val="2D793729"/>
    <w:rsid w:val="2D796670"/>
    <w:rsid w:val="2D7B7EC6"/>
    <w:rsid w:val="2D7C1CBC"/>
    <w:rsid w:val="2D8377D6"/>
    <w:rsid w:val="2D8A43D9"/>
    <w:rsid w:val="2D8C0151"/>
    <w:rsid w:val="2D8D5C78"/>
    <w:rsid w:val="2D8F6685"/>
    <w:rsid w:val="2D9139BA"/>
    <w:rsid w:val="2D915768"/>
    <w:rsid w:val="2D940DB4"/>
    <w:rsid w:val="2D945258"/>
    <w:rsid w:val="2D956126"/>
    <w:rsid w:val="2D9B6B06"/>
    <w:rsid w:val="2D9E56F5"/>
    <w:rsid w:val="2D9E60D7"/>
    <w:rsid w:val="2DA03BFD"/>
    <w:rsid w:val="2DA332D1"/>
    <w:rsid w:val="2DA3549B"/>
    <w:rsid w:val="2DA37249"/>
    <w:rsid w:val="2DA846A6"/>
    <w:rsid w:val="2DAA4A7C"/>
    <w:rsid w:val="2DAC07F4"/>
    <w:rsid w:val="2DAC392E"/>
    <w:rsid w:val="2DAD1E76"/>
    <w:rsid w:val="2DAF3E40"/>
    <w:rsid w:val="2DB43204"/>
    <w:rsid w:val="2DB444AD"/>
    <w:rsid w:val="2DB80F46"/>
    <w:rsid w:val="2DBD655D"/>
    <w:rsid w:val="2DBF4B12"/>
    <w:rsid w:val="2DC0604D"/>
    <w:rsid w:val="2DC23B73"/>
    <w:rsid w:val="2DC41EB4"/>
    <w:rsid w:val="2DCD775F"/>
    <w:rsid w:val="2DCE2518"/>
    <w:rsid w:val="2DCF003E"/>
    <w:rsid w:val="2DD11160"/>
    <w:rsid w:val="2DD37B2E"/>
    <w:rsid w:val="2DD83397"/>
    <w:rsid w:val="2DD91C74"/>
    <w:rsid w:val="2DE27D71"/>
    <w:rsid w:val="2DE57862"/>
    <w:rsid w:val="2DE7182C"/>
    <w:rsid w:val="2DE735DA"/>
    <w:rsid w:val="2DE75388"/>
    <w:rsid w:val="2DE82A20"/>
    <w:rsid w:val="2DE9470A"/>
    <w:rsid w:val="2DEA30CA"/>
    <w:rsid w:val="2DED7260"/>
    <w:rsid w:val="2DF0150A"/>
    <w:rsid w:val="2DF06932"/>
    <w:rsid w:val="2DF16206"/>
    <w:rsid w:val="2DF45CF7"/>
    <w:rsid w:val="2DF6381D"/>
    <w:rsid w:val="2DF8162E"/>
    <w:rsid w:val="2DF91E34"/>
    <w:rsid w:val="2DFA1A5F"/>
    <w:rsid w:val="2DFA44A9"/>
    <w:rsid w:val="2DFB52D7"/>
    <w:rsid w:val="2DFE26D1"/>
    <w:rsid w:val="2E00644A"/>
    <w:rsid w:val="2E061849"/>
    <w:rsid w:val="2E075A2A"/>
    <w:rsid w:val="2E087164"/>
    <w:rsid w:val="2E0A551A"/>
    <w:rsid w:val="2E0E0B66"/>
    <w:rsid w:val="2E0E23C4"/>
    <w:rsid w:val="2E0E6A8A"/>
    <w:rsid w:val="2E0F48DF"/>
    <w:rsid w:val="2E0F693B"/>
    <w:rsid w:val="2E114AFB"/>
    <w:rsid w:val="2E126FD1"/>
    <w:rsid w:val="2E144204"/>
    <w:rsid w:val="2E150147"/>
    <w:rsid w:val="2E162111"/>
    <w:rsid w:val="2E187C37"/>
    <w:rsid w:val="2E1B14D5"/>
    <w:rsid w:val="2E1B2739"/>
    <w:rsid w:val="2E1D6FFC"/>
    <w:rsid w:val="2E2110EE"/>
    <w:rsid w:val="2E233B01"/>
    <w:rsid w:val="2E262354"/>
    <w:rsid w:val="2E291E44"/>
    <w:rsid w:val="2E2959A0"/>
    <w:rsid w:val="2E382087"/>
    <w:rsid w:val="2E385BE3"/>
    <w:rsid w:val="2E3E709D"/>
    <w:rsid w:val="2E41718E"/>
    <w:rsid w:val="2E456552"/>
    <w:rsid w:val="2E47051C"/>
    <w:rsid w:val="2E4918A3"/>
    <w:rsid w:val="2E491A3F"/>
    <w:rsid w:val="2E495111"/>
    <w:rsid w:val="2E496043"/>
    <w:rsid w:val="2E4C5B33"/>
    <w:rsid w:val="2E4E18AB"/>
    <w:rsid w:val="2E505623"/>
    <w:rsid w:val="2E532A1D"/>
    <w:rsid w:val="2E552C39"/>
    <w:rsid w:val="2E575575"/>
    <w:rsid w:val="2E586286"/>
    <w:rsid w:val="2E5A3DAC"/>
    <w:rsid w:val="2E6030FC"/>
    <w:rsid w:val="2E6305ED"/>
    <w:rsid w:val="2E632643"/>
    <w:rsid w:val="2E6469D8"/>
    <w:rsid w:val="2E652751"/>
    <w:rsid w:val="2E6609A2"/>
    <w:rsid w:val="2E666BF4"/>
    <w:rsid w:val="2E667F96"/>
    <w:rsid w:val="2E690493"/>
    <w:rsid w:val="2E6B53DA"/>
    <w:rsid w:val="2E7009A8"/>
    <w:rsid w:val="2E734E6D"/>
    <w:rsid w:val="2E750BE6"/>
    <w:rsid w:val="2E772BB0"/>
    <w:rsid w:val="2E7806D6"/>
    <w:rsid w:val="2E7A26A0"/>
    <w:rsid w:val="2E7A444E"/>
    <w:rsid w:val="2E7D3F3E"/>
    <w:rsid w:val="2E8226AB"/>
    <w:rsid w:val="2E8227CF"/>
    <w:rsid w:val="2E8250B1"/>
    <w:rsid w:val="2E857DAE"/>
    <w:rsid w:val="2E860B9A"/>
    <w:rsid w:val="2E864BA1"/>
    <w:rsid w:val="2E895C66"/>
    <w:rsid w:val="2E8D2118"/>
    <w:rsid w:val="2E8E1840"/>
    <w:rsid w:val="2E8E6402"/>
    <w:rsid w:val="2E923CDF"/>
    <w:rsid w:val="2E933762"/>
    <w:rsid w:val="2E953036"/>
    <w:rsid w:val="2E975000"/>
    <w:rsid w:val="2E976DAE"/>
    <w:rsid w:val="2E9848D4"/>
    <w:rsid w:val="2E9A064C"/>
    <w:rsid w:val="2E9A2581"/>
    <w:rsid w:val="2EA0058E"/>
    <w:rsid w:val="2EA119DB"/>
    <w:rsid w:val="2EA15E7F"/>
    <w:rsid w:val="2EA27501"/>
    <w:rsid w:val="2EA414CB"/>
    <w:rsid w:val="2EA65243"/>
    <w:rsid w:val="2EA8527E"/>
    <w:rsid w:val="2EA9431C"/>
    <w:rsid w:val="2EAD1279"/>
    <w:rsid w:val="2EB0560C"/>
    <w:rsid w:val="2EB15996"/>
    <w:rsid w:val="2EB711FE"/>
    <w:rsid w:val="2EB86D24"/>
    <w:rsid w:val="2EBC05C2"/>
    <w:rsid w:val="2EBC55DC"/>
    <w:rsid w:val="2EBF4557"/>
    <w:rsid w:val="2EBF6305"/>
    <w:rsid w:val="2EC42C7A"/>
    <w:rsid w:val="2EC4391B"/>
    <w:rsid w:val="2EC61441"/>
    <w:rsid w:val="2EC9206D"/>
    <w:rsid w:val="2EC97183"/>
    <w:rsid w:val="2EC9779A"/>
    <w:rsid w:val="2ECB2EFB"/>
    <w:rsid w:val="2ECB4CA9"/>
    <w:rsid w:val="2ECB6A58"/>
    <w:rsid w:val="2ED075DC"/>
    <w:rsid w:val="2ED1017B"/>
    <w:rsid w:val="2ED21F8D"/>
    <w:rsid w:val="2ED33B5E"/>
    <w:rsid w:val="2EDB31E4"/>
    <w:rsid w:val="2EE16EB1"/>
    <w:rsid w:val="2EE2703D"/>
    <w:rsid w:val="2EE31FF3"/>
    <w:rsid w:val="2EE443DB"/>
    <w:rsid w:val="2EE52969"/>
    <w:rsid w:val="2EEB0EA8"/>
    <w:rsid w:val="2EED2E72"/>
    <w:rsid w:val="2EEE4F05"/>
    <w:rsid w:val="2EF012F9"/>
    <w:rsid w:val="2EF02962"/>
    <w:rsid w:val="2EF04710"/>
    <w:rsid w:val="2EF0571D"/>
    <w:rsid w:val="2EF10DD9"/>
    <w:rsid w:val="2EF139C1"/>
    <w:rsid w:val="2EF17594"/>
    <w:rsid w:val="2EF35FAE"/>
    <w:rsid w:val="2EFC7BC0"/>
    <w:rsid w:val="2EFF2BA5"/>
    <w:rsid w:val="2F000DF7"/>
    <w:rsid w:val="2F02063D"/>
    <w:rsid w:val="2F0361F1"/>
    <w:rsid w:val="2F067253"/>
    <w:rsid w:val="2F0B142F"/>
    <w:rsid w:val="2F0B154A"/>
    <w:rsid w:val="2F0C08F6"/>
    <w:rsid w:val="2F10029A"/>
    <w:rsid w:val="2F104DB2"/>
    <w:rsid w:val="2F120B2A"/>
    <w:rsid w:val="2F1C004F"/>
    <w:rsid w:val="2F1D6BCC"/>
    <w:rsid w:val="2F1E2E03"/>
    <w:rsid w:val="2F21465F"/>
    <w:rsid w:val="2F236894"/>
    <w:rsid w:val="2F2758D5"/>
    <w:rsid w:val="2F2F5238"/>
    <w:rsid w:val="2F2F6AAD"/>
    <w:rsid w:val="2F300FB0"/>
    <w:rsid w:val="2F324D29"/>
    <w:rsid w:val="2F327502"/>
    <w:rsid w:val="2F37233F"/>
    <w:rsid w:val="2F391C13"/>
    <w:rsid w:val="2F3A598B"/>
    <w:rsid w:val="2F3D0CEE"/>
    <w:rsid w:val="2F3E191F"/>
    <w:rsid w:val="2F407445"/>
    <w:rsid w:val="2F45680A"/>
    <w:rsid w:val="2F4777A0"/>
    <w:rsid w:val="2F48454C"/>
    <w:rsid w:val="2F4B7B98"/>
    <w:rsid w:val="2F4F461B"/>
    <w:rsid w:val="2F4F58DB"/>
    <w:rsid w:val="2F5051AF"/>
    <w:rsid w:val="2F511653"/>
    <w:rsid w:val="2F57027C"/>
    <w:rsid w:val="2F575600"/>
    <w:rsid w:val="2F57653D"/>
    <w:rsid w:val="2F594063"/>
    <w:rsid w:val="2F596867"/>
    <w:rsid w:val="2F5C7FF7"/>
    <w:rsid w:val="2F5D4B93"/>
    <w:rsid w:val="2F612229"/>
    <w:rsid w:val="2F6340F7"/>
    <w:rsid w:val="2F64740E"/>
    <w:rsid w:val="2F697244"/>
    <w:rsid w:val="2F6A001E"/>
    <w:rsid w:val="2F6A44C2"/>
    <w:rsid w:val="2F6B12EF"/>
    <w:rsid w:val="2F6D7B0F"/>
    <w:rsid w:val="2F6F1AD9"/>
    <w:rsid w:val="2F723377"/>
    <w:rsid w:val="2F7651CE"/>
    <w:rsid w:val="2F792957"/>
    <w:rsid w:val="2F7C41F6"/>
    <w:rsid w:val="2F7D4F4A"/>
    <w:rsid w:val="2F82048D"/>
    <w:rsid w:val="2F832C79"/>
    <w:rsid w:val="2F863070"/>
    <w:rsid w:val="2F866E22"/>
    <w:rsid w:val="2F880DEC"/>
    <w:rsid w:val="2F882B9B"/>
    <w:rsid w:val="2F8C268B"/>
    <w:rsid w:val="2F8F4328"/>
    <w:rsid w:val="2F9627A7"/>
    <w:rsid w:val="2F9652B7"/>
    <w:rsid w:val="2F967EFE"/>
    <w:rsid w:val="2F9D4288"/>
    <w:rsid w:val="2F9E416C"/>
    <w:rsid w:val="2FA15A0A"/>
    <w:rsid w:val="2FA344C0"/>
    <w:rsid w:val="2FA430DC"/>
    <w:rsid w:val="2FA76FD1"/>
    <w:rsid w:val="2FAA0D63"/>
    <w:rsid w:val="2FAA2CAC"/>
    <w:rsid w:val="2FAD5FC1"/>
    <w:rsid w:val="2FAF45CB"/>
    <w:rsid w:val="2FB35E69"/>
    <w:rsid w:val="2FB43990"/>
    <w:rsid w:val="2FB4573E"/>
    <w:rsid w:val="2FB67708"/>
    <w:rsid w:val="2FBC2844"/>
    <w:rsid w:val="2FBD0A5E"/>
    <w:rsid w:val="2FC00586"/>
    <w:rsid w:val="2FC02334"/>
    <w:rsid w:val="2FC30453"/>
    <w:rsid w:val="2FC35981"/>
    <w:rsid w:val="2FC5794B"/>
    <w:rsid w:val="2FC674F5"/>
    <w:rsid w:val="2FC75471"/>
    <w:rsid w:val="2FC82F97"/>
    <w:rsid w:val="2FC8743B"/>
    <w:rsid w:val="2FCB09DB"/>
    <w:rsid w:val="2FCC2A87"/>
    <w:rsid w:val="2FD45DE0"/>
    <w:rsid w:val="2FD64419"/>
    <w:rsid w:val="2FD7142C"/>
    <w:rsid w:val="2FD730B7"/>
    <w:rsid w:val="2FD858D0"/>
    <w:rsid w:val="2FD8767E"/>
    <w:rsid w:val="2FDD2EE6"/>
    <w:rsid w:val="2FDD4C94"/>
    <w:rsid w:val="2FDE33B6"/>
    <w:rsid w:val="2FDE58A3"/>
    <w:rsid w:val="2FDF1D04"/>
    <w:rsid w:val="2FE57FED"/>
    <w:rsid w:val="2FE74788"/>
    <w:rsid w:val="2FEC019D"/>
    <w:rsid w:val="2FED29FE"/>
    <w:rsid w:val="2FEE50F3"/>
    <w:rsid w:val="2FEF2D58"/>
    <w:rsid w:val="2FEF6776"/>
    <w:rsid w:val="2FF07C2B"/>
    <w:rsid w:val="2FF2263C"/>
    <w:rsid w:val="2FF344B8"/>
    <w:rsid w:val="2FF36512"/>
    <w:rsid w:val="2FF507E6"/>
    <w:rsid w:val="2FF74010"/>
    <w:rsid w:val="2FFB15BE"/>
    <w:rsid w:val="2FFD0DFC"/>
    <w:rsid w:val="3002033D"/>
    <w:rsid w:val="30030473"/>
    <w:rsid w:val="30077F63"/>
    <w:rsid w:val="30082117"/>
    <w:rsid w:val="300F0BC6"/>
    <w:rsid w:val="300F506A"/>
    <w:rsid w:val="30142680"/>
    <w:rsid w:val="3014442E"/>
    <w:rsid w:val="30182170"/>
    <w:rsid w:val="30183DA9"/>
    <w:rsid w:val="301B5877"/>
    <w:rsid w:val="301F52AD"/>
    <w:rsid w:val="302503E9"/>
    <w:rsid w:val="30251352"/>
    <w:rsid w:val="3025488D"/>
    <w:rsid w:val="302723B3"/>
    <w:rsid w:val="30297EDA"/>
    <w:rsid w:val="302C1778"/>
    <w:rsid w:val="302C79CA"/>
    <w:rsid w:val="302F1268"/>
    <w:rsid w:val="30313158"/>
    <w:rsid w:val="30323FB6"/>
    <w:rsid w:val="30330D58"/>
    <w:rsid w:val="30354AD0"/>
    <w:rsid w:val="303C4D07"/>
    <w:rsid w:val="303D7627"/>
    <w:rsid w:val="30416A1A"/>
    <w:rsid w:val="30422D49"/>
    <w:rsid w:val="3042552E"/>
    <w:rsid w:val="30443C64"/>
    <w:rsid w:val="30444D13"/>
    <w:rsid w:val="304A7E50"/>
    <w:rsid w:val="304B4730"/>
    <w:rsid w:val="304D7F03"/>
    <w:rsid w:val="304E0CC8"/>
    <w:rsid w:val="305331A8"/>
    <w:rsid w:val="30542A7D"/>
    <w:rsid w:val="305558AE"/>
    <w:rsid w:val="30562C99"/>
    <w:rsid w:val="3056544F"/>
    <w:rsid w:val="305667F5"/>
    <w:rsid w:val="30572D9F"/>
    <w:rsid w:val="30580BC9"/>
    <w:rsid w:val="30584527"/>
    <w:rsid w:val="305F1B4D"/>
    <w:rsid w:val="306553A3"/>
    <w:rsid w:val="30657FDD"/>
    <w:rsid w:val="30676C54"/>
    <w:rsid w:val="3069477A"/>
    <w:rsid w:val="306C6018"/>
    <w:rsid w:val="306E1D90"/>
    <w:rsid w:val="306E3B3E"/>
    <w:rsid w:val="3071362F"/>
    <w:rsid w:val="30731155"/>
    <w:rsid w:val="307373A7"/>
    <w:rsid w:val="3075311F"/>
    <w:rsid w:val="307750E9"/>
    <w:rsid w:val="30785D29"/>
    <w:rsid w:val="307D6477"/>
    <w:rsid w:val="307E5655"/>
    <w:rsid w:val="30845298"/>
    <w:rsid w:val="30845E67"/>
    <w:rsid w:val="30851151"/>
    <w:rsid w:val="30872E52"/>
    <w:rsid w:val="308A78C9"/>
    <w:rsid w:val="308B2942"/>
    <w:rsid w:val="308C311F"/>
    <w:rsid w:val="30915A7F"/>
    <w:rsid w:val="309335A5"/>
    <w:rsid w:val="3095731D"/>
    <w:rsid w:val="30963095"/>
    <w:rsid w:val="309655D5"/>
    <w:rsid w:val="3098247E"/>
    <w:rsid w:val="309A2B85"/>
    <w:rsid w:val="309B1AA0"/>
    <w:rsid w:val="309D5228"/>
    <w:rsid w:val="309F4922"/>
    <w:rsid w:val="30A003C2"/>
    <w:rsid w:val="30A413A6"/>
    <w:rsid w:val="30A457B2"/>
    <w:rsid w:val="30A6152A"/>
    <w:rsid w:val="30A9726C"/>
    <w:rsid w:val="30AC4667"/>
    <w:rsid w:val="30B1398F"/>
    <w:rsid w:val="30B33C47"/>
    <w:rsid w:val="30BC6FA0"/>
    <w:rsid w:val="30C11F27"/>
    <w:rsid w:val="30C20A00"/>
    <w:rsid w:val="30C419B0"/>
    <w:rsid w:val="30C41C15"/>
    <w:rsid w:val="30C81950"/>
    <w:rsid w:val="30C9346B"/>
    <w:rsid w:val="30CE0A81"/>
    <w:rsid w:val="30D065A7"/>
    <w:rsid w:val="30D50061"/>
    <w:rsid w:val="30D75B88"/>
    <w:rsid w:val="30D81136"/>
    <w:rsid w:val="30DA5678"/>
    <w:rsid w:val="30DA6B89"/>
    <w:rsid w:val="30DB1F65"/>
    <w:rsid w:val="30DC4672"/>
    <w:rsid w:val="30E16A06"/>
    <w:rsid w:val="30E327D8"/>
    <w:rsid w:val="30E3452C"/>
    <w:rsid w:val="30E66E9D"/>
    <w:rsid w:val="30EB4A3B"/>
    <w:rsid w:val="30F06C49"/>
    <w:rsid w:val="30F77FD8"/>
    <w:rsid w:val="30F87556"/>
    <w:rsid w:val="3102072B"/>
    <w:rsid w:val="31032463"/>
    <w:rsid w:val="310426F5"/>
    <w:rsid w:val="31081B8B"/>
    <w:rsid w:val="310D15A9"/>
    <w:rsid w:val="310E0E7D"/>
    <w:rsid w:val="311424C4"/>
    <w:rsid w:val="31181346"/>
    <w:rsid w:val="311A7304"/>
    <w:rsid w:val="311B250B"/>
    <w:rsid w:val="311C2969"/>
    <w:rsid w:val="311E2ED7"/>
    <w:rsid w:val="31216E03"/>
    <w:rsid w:val="3126266B"/>
    <w:rsid w:val="31280191"/>
    <w:rsid w:val="313065F7"/>
    <w:rsid w:val="31327262"/>
    <w:rsid w:val="313759B1"/>
    <w:rsid w:val="313869E4"/>
    <w:rsid w:val="313C3C3D"/>
    <w:rsid w:val="31411253"/>
    <w:rsid w:val="3143321D"/>
    <w:rsid w:val="31435B14"/>
    <w:rsid w:val="3148755E"/>
    <w:rsid w:val="314A1279"/>
    <w:rsid w:val="314B0324"/>
    <w:rsid w:val="315076E8"/>
    <w:rsid w:val="315216B2"/>
    <w:rsid w:val="31570A76"/>
    <w:rsid w:val="315947EF"/>
    <w:rsid w:val="315A40C3"/>
    <w:rsid w:val="315C42DF"/>
    <w:rsid w:val="315C449C"/>
    <w:rsid w:val="315E0057"/>
    <w:rsid w:val="31623C66"/>
    <w:rsid w:val="316373A4"/>
    <w:rsid w:val="31660CB9"/>
    <w:rsid w:val="31677457"/>
    <w:rsid w:val="316867E0"/>
    <w:rsid w:val="316B3B03"/>
    <w:rsid w:val="316D33DC"/>
    <w:rsid w:val="31747448"/>
    <w:rsid w:val="31750EFD"/>
    <w:rsid w:val="317B29B7"/>
    <w:rsid w:val="317C484D"/>
    <w:rsid w:val="317E6003"/>
    <w:rsid w:val="317F1D7B"/>
    <w:rsid w:val="317F1F89"/>
    <w:rsid w:val="31813D45"/>
    <w:rsid w:val="31864EB8"/>
    <w:rsid w:val="318850D4"/>
    <w:rsid w:val="318B0720"/>
    <w:rsid w:val="318B0BE0"/>
    <w:rsid w:val="318D6246"/>
    <w:rsid w:val="31943A79"/>
    <w:rsid w:val="319475D5"/>
    <w:rsid w:val="3195334D"/>
    <w:rsid w:val="3196684B"/>
    <w:rsid w:val="319677F1"/>
    <w:rsid w:val="31973569"/>
    <w:rsid w:val="31992E3D"/>
    <w:rsid w:val="31994BEB"/>
    <w:rsid w:val="319B4E07"/>
    <w:rsid w:val="319C292D"/>
    <w:rsid w:val="319C6CC2"/>
    <w:rsid w:val="319E0453"/>
    <w:rsid w:val="31A31F0E"/>
    <w:rsid w:val="31A32185"/>
    <w:rsid w:val="31A62DFA"/>
    <w:rsid w:val="31A677D0"/>
    <w:rsid w:val="31AA07B4"/>
    <w:rsid w:val="31AB2B70"/>
    <w:rsid w:val="31AC0D3B"/>
    <w:rsid w:val="31AD0696"/>
    <w:rsid w:val="31AF2660"/>
    <w:rsid w:val="31AF440F"/>
    <w:rsid w:val="31B4289A"/>
    <w:rsid w:val="31B45209"/>
    <w:rsid w:val="31B82709"/>
    <w:rsid w:val="31BF1AB8"/>
    <w:rsid w:val="31BF293A"/>
    <w:rsid w:val="31C12394"/>
    <w:rsid w:val="31C9085B"/>
    <w:rsid w:val="31CB55CE"/>
    <w:rsid w:val="31CD0D39"/>
    <w:rsid w:val="31CF4AB1"/>
    <w:rsid w:val="31CF7994"/>
    <w:rsid w:val="31D16A7B"/>
    <w:rsid w:val="31D47C7D"/>
    <w:rsid w:val="31D67BED"/>
    <w:rsid w:val="31DA35B5"/>
    <w:rsid w:val="31DE6AA2"/>
    <w:rsid w:val="31E06CBE"/>
    <w:rsid w:val="31E3055C"/>
    <w:rsid w:val="31E7004C"/>
    <w:rsid w:val="31E76BD8"/>
    <w:rsid w:val="31E83DC4"/>
    <w:rsid w:val="31EC0C04"/>
    <w:rsid w:val="31EE33F5"/>
    <w:rsid w:val="31F14A27"/>
    <w:rsid w:val="31F16829"/>
    <w:rsid w:val="31F2254D"/>
    <w:rsid w:val="31F43832"/>
    <w:rsid w:val="31FB7654"/>
    <w:rsid w:val="31FD161E"/>
    <w:rsid w:val="3200110E"/>
    <w:rsid w:val="32036508"/>
    <w:rsid w:val="32087FC3"/>
    <w:rsid w:val="320E2D13"/>
    <w:rsid w:val="32132BEF"/>
    <w:rsid w:val="32193F7E"/>
    <w:rsid w:val="321D0063"/>
    <w:rsid w:val="32211625"/>
    <w:rsid w:val="32244DFC"/>
    <w:rsid w:val="3227669B"/>
    <w:rsid w:val="322841C1"/>
    <w:rsid w:val="322975E7"/>
    <w:rsid w:val="322C3CB1"/>
    <w:rsid w:val="322C5A5F"/>
    <w:rsid w:val="322F72FD"/>
    <w:rsid w:val="32320699"/>
    <w:rsid w:val="32342B66"/>
    <w:rsid w:val="323D69CE"/>
    <w:rsid w:val="323F11FB"/>
    <w:rsid w:val="32400B34"/>
    <w:rsid w:val="32405B2A"/>
    <w:rsid w:val="324234D5"/>
    <w:rsid w:val="32452FC5"/>
    <w:rsid w:val="32454D73"/>
    <w:rsid w:val="324616E0"/>
    <w:rsid w:val="32471DFD"/>
    <w:rsid w:val="324F5BF1"/>
    <w:rsid w:val="3251196A"/>
    <w:rsid w:val="32513718"/>
    <w:rsid w:val="3255145A"/>
    <w:rsid w:val="32591540"/>
    <w:rsid w:val="325B78A5"/>
    <w:rsid w:val="326206E5"/>
    <w:rsid w:val="32621481"/>
    <w:rsid w:val="326351F9"/>
    <w:rsid w:val="32650F71"/>
    <w:rsid w:val="3268280F"/>
    <w:rsid w:val="326A2A2B"/>
    <w:rsid w:val="326D7029"/>
    <w:rsid w:val="326E26B3"/>
    <w:rsid w:val="32700042"/>
    <w:rsid w:val="32737B32"/>
    <w:rsid w:val="32747406"/>
    <w:rsid w:val="32764F2C"/>
    <w:rsid w:val="327D17AF"/>
    <w:rsid w:val="32843AED"/>
    <w:rsid w:val="32891103"/>
    <w:rsid w:val="328C0BF4"/>
    <w:rsid w:val="329029CD"/>
    <w:rsid w:val="32957AA8"/>
    <w:rsid w:val="32987598"/>
    <w:rsid w:val="32991471"/>
    <w:rsid w:val="329C0D99"/>
    <w:rsid w:val="329E6876"/>
    <w:rsid w:val="32A2203A"/>
    <w:rsid w:val="32A25D21"/>
    <w:rsid w:val="32A32356"/>
    <w:rsid w:val="32A36D88"/>
    <w:rsid w:val="32A41A99"/>
    <w:rsid w:val="32A777DC"/>
    <w:rsid w:val="32A95302"/>
    <w:rsid w:val="32AA2E28"/>
    <w:rsid w:val="32AC3044"/>
    <w:rsid w:val="32B36180"/>
    <w:rsid w:val="32B37F2E"/>
    <w:rsid w:val="32B53CA7"/>
    <w:rsid w:val="32B64F51"/>
    <w:rsid w:val="32B82A64"/>
    <w:rsid w:val="32B83797"/>
    <w:rsid w:val="32BF4133"/>
    <w:rsid w:val="32BF490D"/>
    <w:rsid w:val="32BF68D3"/>
    <w:rsid w:val="32C263C3"/>
    <w:rsid w:val="32C57C62"/>
    <w:rsid w:val="32C959A4"/>
    <w:rsid w:val="32CC1EED"/>
    <w:rsid w:val="32CE61B4"/>
    <w:rsid w:val="32D00AE0"/>
    <w:rsid w:val="32D0288E"/>
    <w:rsid w:val="32D560F7"/>
    <w:rsid w:val="32DA022E"/>
    <w:rsid w:val="32DA370D"/>
    <w:rsid w:val="32DC2D5E"/>
    <w:rsid w:val="32DD4FAB"/>
    <w:rsid w:val="32E26A66"/>
    <w:rsid w:val="32E4633A"/>
    <w:rsid w:val="32E75E2A"/>
    <w:rsid w:val="32EB76C8"/>
    <w:rsid w:val="32F01183"/>
    <w:rsid w:val="32F03BA4"/>
    <w:rsid w:val="32F21E9F"/>
    <w:rsid w:val="32F26CA9"/>
    <w:rsid w:val="32F56799"/>
    <w:rsid w:val="32FB3683"/>
    <w:rsid w:val="32FB774C"/>
    <w:rsid w:val="32FD73FC"/>
    <w:rsid w:val="3301513E"/>
    <w:rsid w:val="330469DC"/>
    <w:rsid w:val="33072028"/>
    <w:rsid w:val="330B0D48"/>
    <w:rsid w:val="330B7D6A"/>
    <w:rsid w:val="330C5891"/>
    <w:rsid w:val="330C763F"/>
    <w:rsid w:val="330D3AE3"/>
    <w:rsid w:val="33114C55"/>
    <w:rsid w:val="33122EA7"/>
    <w:rsid w:val="33134E71"/>
    <w:rsid w:val="33164C7B"/>
    <w:rsid w:val="331704BD"/>
    <w:rsid w:val="33184235"/>
    <w:rsid w:val="331A61FF"/>
    <w:rsid w:val="331C1F78"/>
    <w:rsid w:val="331D7A9E"/>
    <w:rsid w:val="332215E4"/>
    <w:rsid w:val="3326188F"/>
    <w:rsid w:val="3328091C"/>
    <w:rsid w:val="332930F1"/>
    <w:rsid w:val="332B21BB"/>
    <w:rsid w:val="332D1A72"/>
    <w:rsid w:val="332D7CE1"/>
    <w:rsid w:val="332E4F6B"/>
    <w:rsid w:val="333029D5"/>
    <w:rsid w:val="333559FB"/>
    <w:rsid w:val="333703B7"/>
    <w:rsid w:val="33386686"/>
    <w:rsid w:val="33395BB8"/>
    <w:rsid w:val="333E1EEE"/>
    <w:rsid w:val="333E57F9"/>
    <w:rsid w:val="334119DE"/>
    <w:rsid w:val="334943EF"/>
    <w:rsid w:val="33496E63"/>
    <w:rsid w:val="334D105C"/>
    <w:rsid w:val="334D791B"/>
    <w:rsid w:val="335039CF"/>
    <w:rsid w:val="335214F5"/>
    <w:rsid w:val="33541FD5"/>
    <w:rsid w:val="3358616F"/>
    <w:rsid w:val="335B5AF2"/>
    <w:rsid w:val="335F1E64"/>
    <w:rsid w:val="3364747B"/>
    <w:rsid w:val="33693FB2"/>
    <w:rsid w:val="336B25B7"/>
    <w:rsid w:val="33705A3F"/>
    <w:rsid w:val="33775400"/>
    <w:rsid w:val="33791178"/>
    <w:rsid w:val="33811DDB"/>
    <w:rsid w:val="3381627F"/>
    <w:rsid w:val="33857D5D"/>
    <w:rsid w:val="3386325D"/>
    <w:rsid w:val="33866BEF"/>
    <w:rsid w:val="33882539"/>
    <w:rsid w:val="33896EE1"/>
    <w:rsid w:val="338B0EAB"/>
    <w:rsid w:val="338D4C23"/>
    <w:rsid w:val="338F274A"/>
    <w:rsid w:val="339128A9"/>
    <w:rsid w:val="3392223A"/>
    <w:rsid w:val="33953AD8"/>
    <w:rsid w:val="339E0BDF"/>
    <w:rsid w:val="33A1247D"/>
    <w:rsid w:val="33A37FA3"/>
    <w:rsid w:val="33A7639F"/>
    <w:rsid w:val="33AE39DC"/>
    <w:rsid w:val="33B201E6"/>
    <w:rsid w:val="33B2468A"/>
    <w:rsid w:val="33BC0BBD"/>
    <w:rsid w:val="33C06DA7"/>
    <w:rsid w:val="33C22CE8"/>
    <w:rsid w:val="33C30645"/>
    <w:rsid w:val="33C5616B"/>
    <w:rsid w:val="33C63297"/>
    <w:rsid w:val="33C70135"/>
    <w:rsid w:val="33CB3DEF"/>
    <w:rsid w:val="33CD6DCE"/>
    <w:rsid w:val="33CF2B46"/>
    <w:rsid w:val="33CF6FEA"/>
    <w:rsid w:val="33D04B10"/>
    <w:rsid w:val="33D4015C"/>
    <w:rsid w:val="33D771D0"/>
    <w:rsid w:val="33D934D4"/>
    <w:rsid w:val="33DC1707"/>
    <w:rsid w:val="33DF6B01"/>
    <w:rsid w:val="33E52369"/>
    <w:rsid w:val="33E660E2"/>
    <w:rsid w:val="33F00D0E"/>
    <w:rsid w:val="33F829BD"/>
    <w:rsid w:val="33F86541"/>
    <w:rsid w:val="33F9642F"/>
    <w:rsid w:val="33FB1B8D"/>
    <w:rsid w:val="33FE2F6A"/>
    <w:rsid w:val="33FF738F"/>
    <w:rsid w:val="34024234"/>
    <w:rsid w:val="340824FC"/>
    <w:rsid w:val="34087DDA"/>
    <w:rsid w:val="340A0022"/>
    <w:rsid w:val="340F5638"/>
    <w:rsid w:val="341113B0"/>
    <w:rsid w:val="3411315F"/>
    <w:rsid w:val="3414192E"/>
    <w:rsid w:val="341744ED"/>
    <w:rsid w:val="34190265"/>
    <w:rsid w:val="341A3419"/>
    <w:rsid w:val="341A4BCE"/>
    <w:rsid w:val="341E3ACD"/>
    <w:rsid w:val="341E7629"/>
    <w:rsid w:val="342033A2"/>
    <w:rsid w:val="34232E92"/>
    <w:rsid w:val="34242FB6"/>
    <w:rsid w:val="34255B84"/>
    <w:rsid w:val="342563FC"/>
    <w:rsid w:val="342653A7"/>
    <w:rsid w:val="342866FA"/>
    <w:rsid w:val="342A4220"/>
    <w:rsid w:val="342E5821"/>
    <w:rsid w:val="342F41AF"/>
    <w:rsid w:val="34313C5A"/>
    <w:rsid w:val="343155AF"/>
    <w:rsid w:val="3431799D"/>
    <w:rsid w:val="3434509F"/>
    <w:rsid w:val="343614B1"/>
    <w:rsid w:val="34362BC5"/>
    <w:rsid w:val="343A5A3C"/>
    <w:rsid w:val="343B2D13"/>
    <w:rsid w:val="343E47B7"/>
    <w:rsid w:val="344057F2"/>
    <w:rsid w:val="34425A0E"/>
    <w:rsid w:val="34433534"/>
    <w:rsid w:val="34480B4A"/>
    <w:rsid w:val="34496D9C"/>
    <w:rsid w:val="344D4B67"/>
    <w:rsid w:val="3451678A"/>
    <w:rsid w:val="34545741"/>
    <w:rsid w:val="34565015"/>
    <w:rsid w:val="34574764"/>
    <w:rsid w:val="3457548F"/>
    <w:rsid w:val="34592D57"/>
    <w:rsid w:val="345B087E"/>
    <w:rsid w:val="34621C0C"/>
    <w:rsid w:val="34627928"/>
    <w:rsid w:val="34642998"/>
    <w:rsid w:val="346534AA"/>
    <w:rsid w:val="34675474"/>
    <w:rsid w:val="34684D49"/>
    <w:rsid w:val="346911EC"/>
    <w:rsid w:val="346A286F"/>
    <w:rsid w:val="346A6D13"/>
    <w:rsid w:val="346C2A8B"/>
    <w:rsid w:val="346C4839"/>
    <w:rsid w:val="346E05B1"/>
    <w:rsid w:val="346E6803"/>
    <w:rsid w:val="347150DC"/>
    <w:rsid w:val="34727975"/>
    <w:rsid w:val="34761214"/>
    <w:rsid w:val="34796F56"/>
    <w:rsid w:val="347C1C67"/>
    <w:rsid w:val="347C3FD8"/>
    <w:rsid w:val="347D6A46"/>
    <w:rsid w:val="347E7F4E"/>
    <w:rsid w:val="347F27BE"/>
    <w:rsid w:val="34806536"/>
    <w:rsid w:val="34807019"/>
    <w:rsid w:val="3482376E"/>
    <w:rsid w:val="34825E0A"/>
    <w:rsid w:val="34853B4C"/>
    <w:rsid w:val="34872286"/>
    <w:rsid w:val="34880F47"/>
    <w:rsid w:val="3489363D"/>
    <w:rsid w:val="348D78CC"/>
    <w:rsid w:val="348F6779"/>
    <w:rsid w:val="3491604D"/>
    <w:rsid w:val="34983880"/>
    <w:rsid w:val="349A13A6"/>
    <w:rsid w:val="349B2A17"/>
    <w:rsid w:val="349B6ECC"/>
    <w:rsid w:val="349D49F2"/>
    <w:rsid w:val="349F69BC"/>
    <w:rsid w:val="34A31424"/>
    <w:rsid w:val="34A5635E"/>
    <w:rsid w:val="34A75871"/>
    <w:rsid w:val="34A9783B"/>
    <w:rsid w:val="34AB35B3"/>
    <w:rsid w:val="34AC10D9"/>
    <w:rsid w:val="34AE07E1"/>
    <w:rsid w:val="34AE6BFF"/>
    <w:rsid w:val="34B34216"/>
    <w:rsid w:val="34B42CD7"/>
    <w:rsid w:val="34B47F8E"/>
    <w:rsid w:val="34B65AB4"/>
    <w:rsid w:val="34B85CD0"/>
    <w:rsid w:val="34BB30CA"/>
    <w:rsid w:val="34BF2BBB"/>
    <w:rsid w:val="34C208FD"/>
    <w:rsid w:val="34C27960"/>
    <w:rsid w:val="34C401D1"/>
    <w:rsid w:val="34C75F13"/>
    <w:rsid w:val="34C767CC"/>
    <w:rsid w:val="34C943A5"/>
    <w:rsid w:val="34CC52D7"/>
    <w:rsid w:val="34CD748C"/>
    <w:rsid w:val="34CE091E"/>
    <w:rsid w:val="34CE72A2"/>
    <w:rsid w:val="34CE7CA8"/>
    <w:rsid w:val="34CF6B76"/>
    <w:rsid w:val="34D10B40"/>
    <w:rsid w:val="34D36666"/>
    <w:rsid w:val="34E0563C"/>
    <w:rsid w:val="34E73EBF"/>
    <w:rsid w:val="34F30AB6"/>
    <w:rsid w:val="34F43D78"/>
    <w:rsid w:val="34F5482E"/>
    <w:rsid w:val="34F62354"/>
    <w:rsid w:val="34F82570"/>
    <w:rsid w:val="34FA3BF3"/>
    <w:rsid w:val="34FB5395"/>
    <w:rsid w:val="35081F3D"/>
    <w:rsid w:val="350B5E00"/>
    <w:rsid w:val="350C3926"/>
    <w:rsid w:val="351006CF"/>
    <w:rsid w:val="35101668"/>
    <w:rsid w:val="35123632"/>
    <w:rsid w:val="35131158"/>
    <w:rsid w:val="351331F9"/>
    <w:rsid w:val="35145978"/>
    <w:rsid w:val="35150A2C"/>
    <w:rsid w:val="35161C05"/>
    <w:rsid w:val="351647A5"/>
    <w:rsid w:val="3518051D"/>
    <w:rsid w:val="351B4977"/>
    <w:rsid w:val="35243365"/>
    <w:rsid w:val="352B31F5"/>
    <w:rsid w:val="352B532A"/>
    <w:rsid w:val="35344874"/>
    <w:rsid w:val="35352E7D"/>
    <w:rsid w:val="35357321"/>
    <w:rsid w:val="353A0493"/>
    <w:rsid w:val="353C420B"/>
    <w:rsid w:val="353F1F4D"/>
    <w:rsid w:val="35415CC5"/>
    <w:rsid w:val="35417A73"/>
    <w:rsid w:val="354237EC"/>
    <w:rsid w:val="35443D18"/>
    <w:rsid w:val="35447564"/>
    <w:rsid w:val="35487054"/>
    <w:rsid w:val="35496ABD"/>
    <w:rsid w:val="354F3EEC"/>
    <w:rsid w:val="35521C81"/>
    <w:rsid w:val="35523A2F"/>
    <w:rsid w:val="35527ED3"/>
    <w:rsid w:val="355754E9"/>
    <w:rsid w:val="35586B6B"/>
    <w:rsid w:val="355A28E3"/>
    <w:rsid w:val="355A6D87"/>
    <w:rsid w:val="355C2A85"/>
    <w:rsid w:val="355C48AD"/>
    <w:rsid w:val="3560331F"/>
    <w:rsid w:val="35631901"/>
    <w:rsid w:val="3563442E"/>
    <w:rsid w:val="35673502"/>
    <w:rsid w:val="356F59EC"/>
    <w:rsid w:val="357339A5"/>
    <w:rsid w:val="357716E7"/>
    <w:rsid w:val="35775243"/>
    <w:rsid w:val="35777939"/>
    <w:rsid w:val="357A2F85"/>
    <w:rsid w:val="357A3B1C"/>
    <w:rsid w:val="357C0AAC"/>
    <w:rsid w:val="3583008C"/>
    <w:rsid w:val="35847960"/>
    <w:rsid w:val="358856A2"/>
    <w:rsid w:val="358931C8"/>
    <w:rsid w:val="359009FB"/>
    <w:rsid w:val="35930182"/>
    <w:rsid w:val="35942299"/>
    <w:rsid w:val="35944047"/>
    <w:rsid w:val="359671B2"/>
    <w:rsid w:val="359A53D6"/>
    <w:rsid w:val="359A63C0"/>
    <w:rsid w:val="359F64F2"/>
    <w:rsid w:val="35A149B6"/>
    <w:rsid w:val="35A239BC"/>
    <w:rsid w:val="35A46254"/>
    <w:rsid w:val="35A5691A"/>
    <w:rsid w:val="35A746CB"/>
    <w:rsid w:val="35AB1391"/>
    <w:rsid w:val="35AD6EB7"/>
    <w:rsid w:val="35AF70D3"/>
    <w:rsid w:val="35B42802"/>
    <w:rsid w:val="35BA15D4"/>
    <w:rsid w:val="35BC17F0"/>
    <w:rsid w:val="35BC70FA"/>
    <w:rsid w:val="35C0308E"/>
    <w:rsid w:val="35C04B91"/>
    <w:rsid w:val="35C366DA"/>
    <w:rsid w:val="35C83CF1"/>
    <w:rsid w:val="35C9101D"/>
    <w:rsid w:val="35C97A69"/>
    <w:rsid w:val="35CB558F"/>
    <w:rsid w:val="35CD1307"/>
    <w:rsid w:val="35CE1DFE"/>
    <w:rsid w:val="35CF6816"/>
    <w:rsid w:val="35D112E4"/>
    <w:rsid w:val="35D24B6F"/>
    <w:rsid w:val="35D501BC"/>
    <w:rsid w:val="35D7578A"/>
    <w:rsid w:val="35DB7EC8"/>
    <w:rsid w:val="35DF2C43"/>
    <w:rsid w:val="35DF2FB2"/>
    <w:rsid w:val="35E04660"/>
    <w:rsid w:val="35E2289C"/>
    <w:rsid w:val="35E328D9"/>
    <w:rsid w:val="35EA7D42"/>
    <w:rsid w:val="35EB5CD8"/>
    <w:rsid w:val="35EF4301"/>
    <w:rsid w:val="35EF74CF"/>
    <w:rsid w:val="35F24F62"/>
    <w:rsid w:val="35F94BA2"/>
    <w:rsid w:val="35FC1BEC"/>
    <w:rsid w:val="35FF348B"/>
    <w:rsid w:val="36015455"/>
    <w:rsid w:val="36032F7B"/>
    <w:rsid w:val="36037DA4"/>
    <w:rsid w:val="36074A7F"/>
    <w:rsid w:val="36080591"/>
    <w:rsid w:val="3608381A"/>
    <w:rsid w:val="360A4309"/>
    <w:rsid w:val="360D3DFA"/>
    <w:rsid w:val="360E2E9B"/>
    <w:rsid w:val="360F7B72"/>
    <w:rsid w:val="36145188"/>
    <w:rsid w:val="3615572B"/>
    <w:rsid w:val="36162CAE"/>
    <w:rsid w:val="361707D4"/>
    <w:rsid w:val="36174C78"/>
    <w:rsid w:val="36176A26"/>
    <w:rsid w:val="361909F0"/>
    <w:rsid w:val="361B6516"/>
    <w:rsid w:val="361F444A"/>
    <w:rsid w:val="36251143"/>
    <w:rsid w:val="362A49AB"/>
    <w:rsid w:val="362C0724"/>
    <w:rsid w:val="362C2EF1"/>
    <w:rsid w:val="362D624A"/>
    <w:rsid w:val="362F1FC2"/>
    <w:rsid w:val="36355F3E"/>
    <w:rsid w:val="36356EAC"/>
    <w:rsid w:val="36374158"/>
    <w:rsid w:val="36391D81"/>
    <w:rsid w:val="363B0967"/>
    <w:rsid w:val="363B2715"/>
    <w:rsid w:val="363C023B"/>
    <w:rsid w:val="3643115A"/>
    <w:rsid w:val="36432478"/>
    <w:rsid w:val="36462E68"/>
    <w:rsid w:val="364A2958"/>
    <w:rsid w:val="364C4922"/>
    <w:rsid w:val="36530255"/>
    <w:rsid w:val="365437D6"/>
    <w:rsid w:val="36545584"/>
    <w:rsid w:val="365612FD"/>
    <w:rsid w:val="365732C7"/>
    <w:rsid w:val="36583853"/>
    <w:rsid w:val="365D6B2F"/>
    <w:rsid w:val="36653C36"/>
    <w:rsid w:val="36681030"/>
    <w:rsid w:val="366A23ED"/>
    <w:rsid w:val="366C6D72"/>
    <w:rsid w:val="366D4898"/>
    <w:rsid w:val="366F76E7"/>
    <w:rsid w:val="367141CE"/>
    <w:rsid w:val="36723C5D"/>
    <w:rsid w:val="36745C27"/>
    <w:rsid w:val="3676199F"/>
    <w:rsid w:val="36777699"/>
    <w:rsid w:val="367B6FB5"/>
    <w:rsid w:val="3680281D"/>
    <w:rsid w:val="368045CB"/>
    <w:rsid w:val="368220F2"/>
    <w:rsid w:val="368340BC"/>
    <w:rsid w:val="36871691"/>
    <w:rsid w:val="3687277C"/>
    <w:rsid w:val="36891FCF"/>
    <w:rsid w:val="368A71F8"/>
    <w:rsid w:val="368C11C2"/>
    <w:rsid w:val="369129F7"/>
    <w:rsid w:val="36923549"/>
    <w:rsid w:val="369431FE"/>
    <w:rsid w:val="36962041"/>
    <w:rsid w:val="36964EAD"/>
    <w:rsid w:val="36965B9D"/>
    <w:rsid w:val="36966D52"/>
    <w:rsid w:val="369736C3"/>
    <w:rsid w:val="3699743B"/>
    <w:rsid w:val="369B1405"/>
    <w:rsid w:val="369D33CF"/>
    <w:rsid w:val="369D517D"/>
    <w:rsid w:val="36A21135"/>
    <w:rsid w:val="36A22794"/>
    <w:rsid w:val="36A61FEF"/>
    <w:rsid w:val="36A71B58"/>
    <w:rsid w:val="36A858D0"/>
    <w:rsid w:val="36A91D74"/>
    <w:rsid w:val="36AA7F2F"/>
    <w:rsid w:val="36AC53C0"/>
    <w:rsid w:val="36B13AD8"/>
    <w:rsid w:val="36B14785"/>
    <w:rsid w:val="36B240C8"/>
    <w:rsid w:val="36B31729"/>
    <w:rsid w:val="36B60F67"/>
    <w:rsid w:val="36B727F9"/>
    <w:rsid w:val="36B75FBF"/>
    <w:rsid w:val="36BD312A"/>
    <w:rsid w:val="36BE50F4"/>
    <w:rsid w:val="36BF3346"/>
    <w:rsid w:val="36C02C1A"/>
    <w:rsid w:val="36C344B8"/>
    <w:rsid w:val="36C47148"/>
    <w:rsid w:val="36C827C2"/>
    <w:rsid w:val="36C92B6B"/>
    <w:rsid w:val="36C97D20"/>
    <w:rsid w:val="36CC2F3F"/>
    <w:rsid w:val="36CC5A63"/>
    <w:rsid w:val="36CD6D52"/>
    <w:rsid w:val="36D30B9F"/>
    <w:rsid w:val="36D42D35"/>
    <w:rsid w:val="36D466C5"/>
    <w:rsid w:val="36D93D4C"/>
    <w:rsid w:val="36DD23A2"/>
    <w:rsid w:val="36DF5796"/>
    <w:rsid w:val="36E42DAC"/>
    <w:rsid w:val="36E56469"/>
    <w:rsid w:val="36E56B24"/>
    <w:rsid w:val="36E6103A"/>
    <w:rsid w:val="36E7464B"/>
    <w:rsid w:val="36E86DB0"/>
    <w:rsid w:val="36E903C3"/>
    <w:rsid w:val="36E94D26"/>
    <w:rsid w:val="36EA57B9"/>
    <w:rsid w:val="36EE7787"/>
    <w:rsid w:val="36F01751"/>
    <w:rsid w:val="36F6488E"/>
    <w:rsid w:val="36F80606"/>
    <w:rsid w:val="36F8396F"/>
    <w:rsid w:val="36FB4891"/>
    <w:rsid w:val="36FE4069"/>
    <w:rsid w:val="37022B95"/>
    <w:rsid w:val="37076A9B"/>
    <w:rsid w:val="370C40B1"/>
    <w:rsid w:val="37103BA1"/>
    <w:rsid w:val="37107F95"/>
    <w:rsid w:val="37113475"/>
    <w:rsid w:val="37152F66"/>
    <w:rsid w:val="37160A8C"/>
    <w:rsid w:val="371A057C"/>
    <w:rsid w:val="371C0798"/>
    <w:rsid w:val="371F3DE4"/>
    <w:rsid w:val="37213AEB"/>
    <w:rsid w:val="37215DAE"/>
    <w:rsid w:val="37217B5C"/>
    <w:rsid w:val="372223AA"/>
    <w:rsid w:val="37226B12"/>
    <w:rsid w:val="37256F21"/>
    <w:rsid w:val="37257503"/>
    <w:rsid w:val="372633C5"/>
    <w:rsid w:val="372C4753"/>
    <w:rsid w:val="372E04CB"/>
    <w:rsid w:val="372E4C5F"/>
    <w:rsid w:val="372F1B4E"/>
    <w:rsid w:val="37305FF2"/>
    <w:rsid w:val="37307DA0"/>
    <w:rsid w:val="3733163E"/>
    <w:rsid w:val="373553B6"/>
    <w:rsid w:val="37362EDC"/>
    <w:rsid w:val="373A4D44"/>
    <w:rsid w:val="373E2203"/>
    <w:rsid w:val="374455F9"/>
    <w:rsid w:val="37461371"/>
    <w:rsid w:val="37465815"/>
    <w:rsid w:val="37465A08"/>
    <w:rsid w:val="3748158D"/>
    <w:rsid w:val="374A567A"/>
    <w:rsid w:val="374B2E2B"/>
    <w:rsid w:val="374B6987"/>
    <w:rsid w:val="37500442"/>
    <w:rsid w:val="37503F9E"/>
    <w:rsid w:val="375241BA"/>
    <w:rsid w:val="37533A8E"/>
    <w:rsid w:val="37543F70"/>
    <w:rsid w:val="37544FE6"/>
    <w:rsid w:val="375515B4"/>
    <w:rsid w:val="37557806"/>
    <w:rsid w:val="375C3AD3"/>
    <w:rsid w:val="375D490D"/>
    <w:rsid w:val="375F0685"/>
    <w:rsid w:val="37632F89"/>
    <w:rsid w:val="37643EED"/>
    <w:rsid w:val="37667C65"/>
    <w:rsid w:val="376A7951"/>
    <w:rsid w:val="376E73A5"/>
    <w:rsid w:val="37704640"/>
    <w:rsid w:val="37725830"/>
    <w:rsid w:val="37744822"/>
    <w:rsid w:val="37753A04"/>
    <w:rsid w:val="37760883"/>
    <w:rsid w:val="37773C20"/>
    <w:rsid w:val="377B23EA"/>
    <w:rsid w:val="377C1237"/>
    <w:rsid w:val="378123A9"/>
    <w:rsid w:val="378325C5"/>
    <w:rsid w:val="378671E1"/>
    <w:rsid w:val="37872489"/>
    <w:rsid w:val="378835C5"/>
    <w:rsid w:val="378B3228"/>
    <w:rsid w:val="378C0D4E"/>
    <w:rsid w:val="378E4AC6"/>
    <w:rsid w:val="37904CE2"/>
    <w:rsid w:val="37920FAE"/>
    <w:rsid w:val="379775C4"/>
    <w:rsid w:val="37977BBC"/>
    <w:rsid w:val="37983B97"/>
    <w:rsid w:val="379929F5"/>
    <w:rsid w:val="379B23DD"/>
    <w:rsid w:val="379E11AD"/>
    <w:rsid w:val="37A12A4B"/>
    <w:rsid w:val="37A442EA"/>
    <w:rsid w:val="37A662B4"/>
    <w:rsid w:val="37A85152"/>
    <w:rsid w:val="37AB5678"/>
    <w:rsid w:val="37AE6F16"/>
    <w:rsid w:val="37B10249"/>
    <w:rsid w:val="37B7226F"/>
    <w:rsid w:val="37B81B43"/>
    <w:rsid w:val="37B90489"/>
    <w:rsid w:val="37B95FE7"/>
    <w:rsid w:val="37BC1633"/>
    <w:rsid w:val="37BC5AD7"/>
    <w:rsid w:val="37C35B89"/>
    <w:rsid w:val="37C52C3A"/>
    <w:rsid w:val="37C64260"/>
    <w:rsid w:val="37C8622A"/>
    <w:rsid w:val="37C93D50"/>
    <w:rsid w:val="37CD5B9C"/>
    <w:rsid w:val="37CE75B8"/>
    <w:rsid w:val="37D01583"/>
    <w:rsid w:val="37D3697D"/>
    <w:rsid w:val="37DA41AF"/>
    <w:rsid w:val="37DE77FC"/>
    <w:rsid w:val="37E07842"/>
    <w:rsid w:val="37E128C2"/>
    <w:rsid w:val="37E66CE8"/>
    <w:rsid w:val="37EA43F2"/>
    <w:rsid w:val="37ED7A3F"/>
    <w:rsid w:val="37F012DD"/>
    <w:rsid w:val="37F4701F"/>
    <w:rsid w:val="37F54B45"/>
    <w:rsid w:val="37F76B0F"/>
    <w:rsid w:val="37FC5ED4"/>
    <w:rsid w:val="37FD02CD"/>
    <w:rsid w:val="37FE3BFC"/>
    <w:rsid w:val="37FE7E9E"/>
    <w:rsid w:val="38083B97"/>
    <w:rsid w:val="380A4A95"/>
    <w:rsid w:val="380B09B8"/>
    <w:rsid w:val="380B4369"/>
    <w:rsid w:val="380C35FC"/>
    <w:rsid w:val="380D1E8F"/>
    <w:rsid w:val="38170F5F"/>
    <w:rsid w:val="38172D0E"/>
    <w:rsid w:val="38174ABC"/>
    <w:rsid w:val="381F0910"/>
    <w:rsid w:val="38203594"/>
    <w:rsid w:val="38224237"/>
    <w:rsid w:val="3825542A"/>
    <w:rsid w:val="382578D8"/>
    <w:rsid w:val="382625BE"/>
    <w:rsid w:val="382B67B9"/>
    <w:rsid w:val="38303DA7"/>
    <w:rsid w:val="38305B7D"/>
    <w:rsid w:val="3831064E"/>
    <w:rsid w:val="38325D99"/>
    <w:rsid w:val="383323EC"/>
    <w:rsid w:val="38333699"/>
    <w:rsid w:val="3834301C"/>
    <w:rsid w:val="38353194"/>
    <w:rsid w:val="3835486A"/>
    <w:rsid w:val="383A044D"/>
    <w:rsid w:val="384229DF"/>
    <w:rsid w:val="38431D54"/>
    <w:rsid w:val="3843357E"/>
    <w:rsid w:val="384440D0"/>
    <w:rsid w:val="38455ACD"/>
    <w:rsid w:val="38467783"/>
    <w:rsid w:val="3848736B"/>
    <w:rsid w:val="384A30E3"/>
    <w:rsid w:val="384E4FBD"/>
    <w:rsid w:val="384E5182"/>
    <w:rsid w:val="384F204E"/>
    <w:rsid w:val="384F24A7"/>
    <w:rsid w:val="38514471"/>
    <w:rsid w:val="38547ABE"/>
    <w:rsid w:val="385A0A04"/>
    <w:rsid w:val="385D37E7"/>
    <w:rsid w:val="385E26EA"/>
    <w:rsid w:val="386046B4"/>
    <w:rsid w:val="38635F53"/>
    <w:rsid w:val="38637D01"/>
    <w:rsid w:val="38653A79"/>
    <w:rsid w:val="386D5023"/>
    <w:rsid w:val="386D6DD1"/>
    <w:rsid w:val="38743CBC"/>
    <w:rsid w:val="387463B2"/>
    <w:rsid w:val="3875408A"/>
    <w:rsid w:val="38763ED8"/>
    <w:rsid w:val="38787C50"/>
    <w:rsid w:val="387C7014"/>
    <w:rsid w:val="38855EC9"/>
    <w:rsid w:val="388F6D48"/>
    <w:rsid w:val="38912AC0"/>
    <w:rsid w:val="38926838"/>
    <w:rsid w:val="389425B0"/>
    <w:rsid w:val="38957B7A"/>
    <w:rsid w:val="38972D3F"/>
    <w:rsid w:val="38983E4E"/>
    <w:rsid w:val="389B393F"/>
    <w:rsid w:val="389B56ED"/>
    <w:rsid w:val="389F78EA"/>
    <w:rsid w:val="38A5089C"/>
    <w:rsid w:val="38A65E3F"/>
    <w:rsid w:val="38AA5930"/>
    <w:rsid w:val="38AC5B4C"/>
    <w:rsid w:val="38AE3672"/>
    <w:rsid w:val="38B7004D"/>
    <w:rsid w:val="38B86F38"/>
    <w:rsid w:val="38B90459"/>
    <w:rsid w:val="38B927E7"/>
    <w:rsid w:val="38BA2623"/>
    <w:rsid w:val="38BB18EB"/>
    <w:rsid w:val="38BB2412"/>
    <w:rsid w:val="38BC4CF6"/>
    <w:rsid w:val="38BD1B07"/>
    <w:rsid w:val="38C033A5"/>
    <w:rsid w:val="38C35493"/>
    <w:rsid w:val="38C42E95"/>
    <w:rsid w:val="38C764E2"/>
    <w:rsid w:val="38CC1660"/>
    <w:rsid w:val="38CF2505"/>
    <w:rsid w:val="38CF35E8"/>
    <w:rsid w:val="38CF5396"/>
    <w:rsid w:val="38D0417E"/>
    <w:rsid w:val="38D1110E"/>
    <w:rsid w:val="38D24B86"/>
    <w:rsid w:val="38D62BC9"/>
    <w:rsid w:val="38DB0EAE"/>
    <w:rsid w:val="38E057F5"/>
    <w:rsid w:val="38E075A3"/>
    <w:rsid w:val="38E452E6"/>
    <w:rsid w:val="38E91D32"/>
    <w:rsid w:val="38E928FC"/>
    <w:rsid w:val="38E946AA"/>
    <w:rsid w:val="38EA21D0"/>
    <w:rsid w:val="38EC5F48"/>
    <w:rsid w:val="38EC7CF6"/>
    <w:rsid w:val="38EE040E"/>
    <w:rsid w:val="38F117B0"/>
    <w:rsid w:val="38F12CD3"/>
    <w:rsid w:val="38F1355F"/>
    <w:rsid w:val="38F44DFD"/>
    <w:rsid w:val="38F60B75"/>
    <w:rsid w:val="38F848ED"/>
    <w:rsid w:val="38F92413"/>
    <w:rsid w:val="38F94373"/>
    <w:rsid w:val="38F94775"/>
    <w:rsid w:val="38F972B9"/>
    <w:rsid w:val="38FD1F03"/>
    <w:rsid w:val="38FF3A42"/>
    <w:rsid w:val="38FF3ECD"/>
    <w:rsid w:val="390246F3"/>
    <w:rsid w:val="39070FD4"/>
    <w:rsid w:val="39074B30"/>
    <w:rsid w:val="390B6245"/>
    <w:rsid w:val="390C65EA"/>
    <w:rsid w:val="39162FC5"/>
    <w:rsid w:val="3919532C"/>
    <w:rsid w:val="391A2AB5"/>
    <w:rsid w:val="391B05DB"/>
    <w:rsid w:val="391D4354"/>
    <w:rsid w:val="39203E44"/>
    <w:rsid w:val="39217148"/>
    <w:rsid w:val="39246EA0"/>
    <w:rsid w:val="39290F4A"/>
    <w:rsid w:val="392971ED"/>
    <w:rsid w:val="392F4087"/>
    <w:rsid w:val="39304C93"/>
    <w:rsid w:val="39311478"/>
    <w:rsid w:val="3938118D"/>
    <w:rsid w:val="393A05EC"/>
    <w:rsid w:val="393A3157"/>
    <w:rsid w:val="393D2C48"/>
    <w:rsid w:val="394051F8"/>
    <w:rsid w:val="394204F7"/>
    <w:rsid w:val="39461AFC"/>
    <w:rsid w:val="394C4C39"/>
    <w:rsid w:val="394D77FC"/>
    <w:rsid w:val="39504729"/>
    <w:rsid w:val="3953226C"/>
    <w:rsid w:val="3953286E"/>
    <w:rsid w:val="39535FC7"/>
    <w:rsid w:val="39551D3F"/>
    <w:rsid w:val="39561614"/>
    <w:rsid w:val="39567866"/>
    <w:rsid w:val="39581830"/>
    <w:rsid w:val="395A55A8"/>
    <w:rsid w:val="395D699C"/>
    <w:rsid w:val="39610843"/>
    <w:rsid w:val="39616936"/>
    <w:rsid w:val="3962620A"/>
    <w:rsid w:val="39641F82"/>
    <w:rsid w:val="39657AA9"/>
    <w:rsid w:val="39663F4D"/>
    <w:rsid w:val="39665CFB"/>
    <w:rsid w:val="39684404"/>
    <w:rsid w:val="396C0E37"/>
    <w:rsid w:val="39706B79"/>
    <w:rsid w:val="39736669"/>
    <w:rsid w:val="397D3044"/>
    <w:rsid w:val="397D6458"/>
    <w:rsid w:val="397D70D7"/>
    <w:rsid w:val="39810D86"/>
    <w:rsid w:val="398114C3"/>
    <w:rsid w:val="3983274D"/>
    <w:rsid w:val="3986014B"/>
    <w:rsid w:val="398B39B3"/>
    <w:rsid w:val="398B750F"/>
    <w:rsid w:val="398C14D9"/>
    <w:rsid w:val="398C590D"/>
    <w:rsid w:val="398E5251"/>
    <w:rsid w:val="39906069"/>
    <w:rsid w:val="39912EF4"/>
    <w:rsid w:val="39932868"/>
    <w:rsid w:val="3995213C"/>
    <w:rsid w:val="399860D0"/>
    <w:rsid w:val="399B5602"/>
    <w:rsid w:val="399C1130"/>
    <w:rsid w:val="399C796E"/>
    <w:rsid w:val="399F120C"/>
    <w:rsid w:val="39A14F85"/>
    <w:rsid w:val="39A63CD6"/>
    <w:rsid w:val="39A700C1"/>
    <w:rsid w:val="39A86313"/>
    <w:rsid w:val="39AB2E16"/>
    <w:rsid w:val="39AE76A2"/>
    <w:rsid w:val="39B12CEE"/>
    <w:rsid w:val="39BC1DBE"/>
    <w:rsid w:val="39BC70BE"/>
    <w:rsid w:val="39BD18DE"/>
    <w:rsid w:val="39C173D5"/>
    <w:rsid w:val="39C82EA4"/>
    <w:rsid w:val="39C8528E"/>
    <w:rsid w:val="39C90037"/>
    <w:rsid w:val="39CA3032"/>
    <w:rsid w:val="39CC2A82"/>
    <w:rsid w:val="39CD5D7A"/>
    <w:rsid w:val="39CE3969"/>
    <w:rsid w:val="39D07613"/>
    <w:rsid w:val="39D30EB6"/>
    <w:rsid w:val="39D52E80"/>
    <w:rsid w:val="39D54C2E"/>
    <w:rsid w:val="39D569DC"/>
    <w:rsid w:val="39D570FE"/>
    <w:rsid w:val="39D577AD"/>
    <w:rsid w:val="39D64A99"/>
    <w:rsid w:val="39DA0497"/>
    <w:rsid w:val="39DA3FF3"/>
    <w:rsid w:val="39DE1D35"/>
    <w:rsid w:val="39DF6898"/>
    <w:rsid w:val="39E52059"/>
    <w:rsid w:val="39E6508D"/>
    <w:rsid w:val="39E758BD"/>
    <w:rsid w:val="39E97BF2"/>
    <w:rsid w:val="39E97DA8"/>
    <w:rsid w:val="39ED170C"/>
    <w:rsid w:val="39ED1F78"/>
    <w:rsid w:val="39F156F5"/>
    <w:rsid w:val="39F552D0"/>
    <w:rsid w:val="39F74BA5"/>
    <w:rsid w:val="39FA4695"/>
    <w:rsid w:val="39FC665F"/>
    <w:rsid w:val="3A013C75"/>
    <w:rsid w:val="3A03179B"/>
    <w:rsid w:val="3A0369E0"/>
    <w:rsid w:val="3A044DC2"/>
    <w:rsid w:val="3A06303A"/>
    <w:rsid w:val="3A064DE8"/>
    <w:rsid w:val="3A0A0C34"/>
    <w:rsid w:val="3A0A0D7C"/>
    <w:rsid w:val="3A0B0650"/>
    <w:rsid w:val="3A10210A"/>
    <w:rsid w:val="3A103EB8"/>
    <w:rsid w:val="3A145757"/>
    <w:rsid w:val="3A156272"/>
    <w:rsid w:val="3A1A4D37"/>
    <w:rsid w:val="3A1B12AC"/>
    <w:rsid w:val="3A1B478A"/>
    <w:rsid w:val="3A1C0AAF"/>
    <w:rsid w:val="3A1E073A"/>
    <w:rsid w:val="3A255BB6"/>
    <w:rsid w:val="3A29194C"/>
    <w:rsid w:val="3A2B3AE8"/>
    <w:rsid w:val="3A2E4B81"/>
    <w:rsid w:val="3A2E7EAC"/>
    <w:rsid w:val="3A306308"/>
    <w:rsid w:val="3A3519D1"/>
    <w:rsid w:val="3A3F654C"/>
    <w:rsid w:val="3A40479E"/>
    <w:rsid w:val="3A410516"/>
    <w:rsid w:val="3A414072"/>
    <w:rsid w:val="3A440893"/>
    <w:rsid w:val="3A445910"/>
    <w:rsid w:val="3A465B2C"/>
    <w:rsid w:val="3A496293"/>
    <w:rsid w:val="3A4A1178"/>
    <w:rsid w:val="3A4B6C9E"/>
    <w:rsid w:val="3A502507"/>
    <w:rsid w:val="3A53360C"/>
    <w:rsid w:val="3A5448AB"/>
    <w:rsid w:val="3A571AE7"/>
    <w:rsid w:val="3A575643"/>
    <w:rsid w:val="3A581C37"/>
    <w:rsid w:val="3A59760D"/>
    <w:rsid w:val="3A5E2E76"/>
    <w:rsid w:val="3A663AD8"/>
    <w:rsid w:val="3A6A6066"/>
    <w:rsid w:val="3A6B550B"/>
    <w:rsid w:val="3A751279"/>
    <w:rsid w:val="3A7B57D6"/>
    <w:rsid w:val="3A830B2E"/>
    <w:rsid w:val="3A84407A"/>
    <w:rsid w:val="3A8723CC"/>
    <w:rsid w:val="3A8839A7"/>
    <w:rsid w:val="3A887EF3"/>
    <w:rsid w:val="3A8B353F"/>
    <w:rsid w:val="3A8D6676"/>
    <w:rsid w:val="3A921CEB"/>
    <w:rsid w:val="3A995C5C"/>
    <w:rsid w:val="3A9C574C"/>
    <w:rsid w:val="3A9D19CF"/>
    <w:rsid w:val="3AA26176"/>
    <w:rsid w:val="3AA34D2C"/>
    <w:rsid w:val="3AA45590"/>
    <w:rsid w:val="3AA60379"/>
    <w:rsid w:val="3AA64BD0"/>
    <w:rsid w:val="3AA70E2C"/>
    <w:rsid w:val="3AA80482"/>
    <w:rsid w:val="3AAC1E33"/>
    <w:rsid w:val="3AAC3BE1"/>
    <w:rsid w:val="3AAD495E"/>
    <w:rsid w:val="3AAF1923"/>
    <w:rsid w:val="3AB900AC"/>
    <w:rsid w:val="3ABC194A"/>
    <w:rsid w:val="3ACC1ED6"/>
    <w:rsid w:val="3ACF167E"/>
    <w:rsid w:val="3AD35612"/>
    <w:rsid w:val="3AD43138"/>
    <w:rsid w:val="3AD76784"/>
    <w:rsid w:val="3AD82C28"/>
    <w:rsid w:val="3AD849D6"/>
    <w:rsid w:val="3AD969A0"/>
    <w:rsid w:val="3ADA2030"/>
    <w:rsid w:val="3ADB0022"/>
    <w:rsid w:val="3ADD4A26"/>
    <w:rsid w:val="3ADE7B13"/>
    <w:rsid w:val="3AE07D2F"/>
    <w:rsid w:val="3AE113B1"/>
    <w:rsid w:val="3AE315B0"/>
    <w:rsid w:val="3AE51797"/>
    <w:rsid w:val="3AE55345"/>
    <w:rsid w:val="3AE72E6B"/>
    <w:rsid w:val="3AE852B6"/>
    <w:rsid w:val="3AE92834"/>
    <w:rsid w:val="3AEC0481"/>
    <w:rsid w:val="3AEF7F72"/>
    <w:rsid w:val="3AF364B7"/>
    <w:rsid w:val="3AF61300"/>
    <w:rsid w:val="3AF6515B"/>
    <w:rsid w:val="3AF80B99"/>
    <w:rsid w:val="3AF92B9E"/>
    <w:rsid w:val="3AFD443D"/>
    <w:rsid w:val="3AFD4730"/>
    <w:rsid w:val="3AFD5E03"/>
    <w:rsid w:val="3AFD61EB"/>
    <w:rsid w:val="3AFE1F63"/>
    <w:rsid w:val="3B007A89"/>
    <w:rsid w:val="3B027CA5"/>
    <w:rsid w:val="3B051543"/>
    <w:rsid w:val="3B082DE1"/>
    <w:rsid w:val="3B111C96"/>
    <w:rsid w:val="3B132EBB"/>
    <w:rsid w:val="3B181276"/>
    <w:rsid w:val="3B191B5E"/>
    <w:rsid w:val="3B1A5974"/>
    <w:rsid w:val="3B1B0D67"/>
    <w:rsid w:val="3B1D4ADF"/>
    <w:rsid w:val="3B1D688D"/>
    <w:rsid w:val="3B21695D"/>
    <w:rsid w:val="3B2A0FAA"/>
    <w:rsid w:val="3B2C087E"/>
    <w:rsid w:val="3B2E2245"/>
    <w:rsid w:val="3B2F036E"/>
    <w:rsid w:val="3B304812"/>
    <w:rsid w:val="3B3140E6"/>
    <w:rsid w:val="3B3167B3"/>
    <w:rsid w:val="3B31760D"/>
    <w:rsid w:val="3B345984"/>
    <w:rsid w:val="3B3763D1"/>
    <w:rsid w:val="3B3A743F"/>
    <w:rsid w:val="3B3B31B7"/>
    <w:rsid w:val="3B3D0CDD"/>
    <w:rsid w:val="3B3E4314"/>
    <w:rsid w:val="3B424545"/>
    <w:rsid w:val="3B4262F3"/>
    <w:rsid w:val="3B4406AD"/>
    <w:rsid w:val="3B4515C9"/>
    <w:rsid w:val="3B451F73"/>
    <w:rsid w:val="3B4A1BD1"/>
    <w:rsid w:val="3B4A2E09"/>
    <w:rsid w:val="3B530501"/>
    <w:rsid w:val="3B5424B5"/>
    <w:rsid w:val="3B5C3046"/>
    <w:rsid w:val="3B6444BC"/>
    <w:rsid w:val="3B64626A"/>
    <w:rsid w:val="3B6B3A9C"/>
    <w:rsid w:val="3B6B584A"/>
    <w:rsid w:val="3B6D4F6B"/>
    <w:rsid w:val="3B6E0E96"/>
    <w:rsid w:val="3B6F2B03"/>
    <w:rsid w:val="3B7346FF"/>
    <w:rsid w:val="3B787F67"/>
    <w:rsid w:val="3B7A5A8D"/>
    <w:rsid w:val="3B7F12F6"/>
    <w:rsid w:val="3B7F1F51"/>
    <w:rsid w:val="3B81506E"/>
    <w:rsid w:val="3B8763FC"/>
    <w:rsid w:val="3B8E745C"/>
    <w:rsid w:val="3B8E778B"/>
    <w:rsid w:val="3B903503"/>
    <w:rsid w:val="3B905FB8"/>
    <w:rsid w:val="3B9308FD"/>
    <w:rsid w:val="3B955CD0"/>
    <w:rsid w:val="3B974891"/>
    <w:rsid w:val="3B9A7EDD"/>
    <w:rsid w:val="3B9F54F4"/>
    <w:rsid w:val="3BA35F47"/>
    <w:rsid w:val="3BA716DB"/>
    <w:rsid w:val="3BA74A92"/>
    <w:rsid w:val="3BAB1B9C"/>
    <w:rsid w:val="3BAB20EB"/>
    <w:rsid w:val="3BAB3E99"/>
    <w:rsid w:val="3BAB7ADE"/>
    <w:rsid w:val="3BAC7C11"/>
    <w:rsid w:val="3BAE24DA"/>
    <w:rsid w:val="3BB014AF"/>
    <w:rsid w:val="3BB164CD"/>
    <w:rsid w:val="3BB56AC5"/>
    <w:rsid w:val="3BB93856"/>
    <w:rsid w:val="3BBF7944"/>
    <w:rsid w:val="3BC1190E"/>
    <w:rsid w:val="3BC136BC"/>
    <w:rsid w:val="3BC1546A"/>
    <w:rsid w:val="3BC60CD2"/>
    <w:rsid w:val="3BC66F24"/>
    <w:rsid w:val="3BCE7B87"/>
    <w:rsid w:val="3BD3519D"/>
    <w:rsid w:val="3BD776DA"/>
    <w:rsid w:val="3BD80A06"/>
    <w:rsid w:val="3BDA477E"/>
    <w:rsid w:val="3BDC22A4"/>
    <w:rsid w:val="3BDF1D94"/>
    <w:rsid w:val="3BE63123"/>
    <w:rsid w:val="3BE70C49"/>
    <w:rsid w:val="3BEE0229"/>
    <w:rsid w:val="3BF230C4"/>
    <w:rsid w:val="3BF27D19"/>
    <w:rsid w:val="3BF36DBD"/>
    <w:rsid w:val="3BF375EE"/>
    <w:rsid w:val="3BF84C04"/>
    <w:rsid w:val="3BF865C3"/>
    <w:rsid w:val="3BFC46F4"/>
    <w:rsid w:val="3BFD046C"/>
    <w:rsid w:val="3C011D0B"/>
    <w:rsid w:val="3C025713"/>
    <w:rsid w:val="3C0417FB"/>
    <w:rsid w:val="3C0637C5"/>
    <w:rsid w:val="3C070B8D"/>
    <w:rsid w:val="3C1001A0"/>
    <w:rsid w:val="3C1063F2"/>
    <w:rsid w:val="3C166A9C"/>
    <w:rsid w:val="3C17152E"/>
    <w:rsid w:val="3C1934F8"/>
    <w:rsid w:val="3C1F6635"/>
    <w:rsid w:val="3C2459F9"/>
    <w:rsid w:val="3C2854E9"/>
    <w:rsid w:val="3C2D2B00"/>
    <w:rsid w:val="3C300842"/>
    <w:rsid w:val="3C317E23"/>
    <w:rsid w:val="3C3A4B39"/>
    <w:rsid w:val="3C3E2F5F"/>
    <w:rsid w:val="3C4165AB"/>
    <w:rsid w:val="3C432323"/>
    <w:rsid w:val="3C44609B"/>
    <w:rsid w:val="3C4A1903"/>
    <w:rsid w:val="3C4B742A"/>
    <w:rsid w:val="3C4C171C"/>
    <w:rsid w:val="3C4D13F4"/>
    <w:rsid w:val="3C4E2A76"/>
    <w:rsid w:val="3C502C92"/>
    <w:rsid w:val="3C504A40"/>
    <w:rsid w:val="3C553E04"/>
    <w:rsid w:val="3C5A45CF"/>
    <w:rsid w:val="3C5F4C83"/>
    <w:rsid w:val="3C6179FE"/>
    <w:rsid w:val="3C6B3628"/>
    <w:rsid w:val="3C700C3E"/>
    <w:rsid w:val="3C7050E2"/>
    <w:rsid w:val="3C706E90"/>
    <w:rsid w:val="3C793F97"/>
    <w:rsid w:val="3C795D45"/>
    <w:rsid w:val="3C7B228A"/>
    <w:rsid w:val="3C7B3438"/>
    <w:rsid w:val="3C7E4C3C"/>
    <w:rsid w:val="3C7F0E81"/>
    <w:rsid w:val="3C805325"/>
    <w:rsid w:val="3C814BF9"/>
    <w:rsid w:val="3C834E15"/>
    <w:rsid w:val="3C8766A6"/>
    <w:rsid w:val="3C89024E"/>
    <w:rsid w:val="3C8A7F52"/>
    <w:rsid w:val="3C9012E0"/>
    <w:rsid w:val="3C9618E6"/>
    <w:rsid w:val="3C990195"/>
    <w:rsid w:val="3C9C1A33"/>
    <w:rsid w:val="3C9C3DF5"/>
    <w:rsid w:val="3C9E1C4F"/>
    <w:rsid w:val="3CA164D5"/>
    <w:rsid w:val="3CA1704A"/>
    <w:rsid w:val="3CA31014"/>
    <w:rsid w:val="3CA31F01"/>
    <w:rsid w:val="3CA408E8"/>
    <w:rsid w:val="3CBB45AF"/>
    <w:rsid w:val="3CBC20D5"/>
    <w:rsid w:val="3CBE19AA"/>
    <w:rsid w:val="3CC037FD"/>
    <w:rsid w:val="3CC03974"/>
    <w:rsid w:val="3CC05722"/>
    <w:rsid w:val="3CC316B6"/>
    <w:rsid w:val="3CC347D3"/>
    <w:rsid w:val="3CCA65A0"/>
    <w:rsid w:val="3CCC056A"/>
    <w:rsid w:val="3CCD3C8C"/>
    <w:rsid w:val="3CCD6091"/>
    <w:rsid w:val="3CD236A7"/>
    <w:rsid w:val="3CD63197"/>
    <w:rsid w:val="3CDA245A"/>
    <w:rsid w:val="3CDE71C1"/>
    <w:rsid w:val="3CE05DC4"/>
    <w:rsid w:val="3CE37662"/>
    <w:rsid w:val="3CE6604E"/>
    <w:rsid w:val="3CE7185D"/>
    <w:rsid w:val="3CEA4A31"/>
    <w:rsid w:val="3CEC29BB"/>
    <w:rsid w:val="3CEC4769"/>
    <w:rsid w:val="3CEE0A37"/>
    <w:rsid w:val="3CF0711C"/>
    <w:rsid w:val="3CF21BD1"/>
    <w:rsid w:val="3CF67395"/>
    <w:rsid w:val="3CF96E86"/>
    <w:rsid w:val="3CFA3924"/>
    <w:rsid w:val="3CFC735A"/>
    <w:rsid w:val="3CFE624A"/>
    <w:rsid w:val="3D011811"/>
    <w:rsid w:val="3D05582A"/>
    <w:rsid w:val="3D056A3F"/>
    <w:rsid w:val="3D0F48FB"/>
    <w:rsid w:val="3D10720F"/>
    <w:rsid w:val="3D112421"/>
    <w:rsid w:val="3D18555E"/>
    <w:rsid w:val="3D1B3B06"/>
    <w:rsid w:val="3D1B5205"/>
    <w:rsid w:val="3D2008B6"/>
    <w:rsid w:val="3D204412"/>
    <w:rsid w:val="3D2739C8"/>
    <w:rsid w:val="3D2739F3"/>
    <w:rsid w:val="3D2A34E3"/>
    <w:rsid w:val="3D2C1009"/>
    <w:rsid w:val="3D2C725B"/>
    <w:rsid w:val="3D2F0AF9"/>
    <w:rsid w:val="3D2F4655"/>
    <w:rsid w:val="3D3035F9"/>
    <w:rsid w:val="3D344362"/>
    <w:rsid w:val="3D347EBE"/>
    <w:rsid w:val="3D363C36"/>
    <w:rsid w:val="3D393726"/>
    <w:rsid w:val="3D3A2B19"/>
    <w:rsid w:val="3D4445A5"/>
    <w:rsid w:val="3D4520CB"/>
    <w:rsid w:val="3D491BBB"/>
    <w:rsid w:val="3D4D6987"/>
    <w:rsid w:val="3D4E71D1"/>
    <w:rsid w:val="3D4F2F4A"/>
    <w:rsid w:val="3D50442D"/>
    <w:rsid w:val="3D566086"/>
    <w:rsid w:val="3D567E34"/>
    <w:rsid w:val="3D597924"/>
    <w:rsid w:val="3D5D11C3"/>
    <w:rsid w:val="3D605157"/>
    <w:rsid w:val="3D624A2B"/>
    <w:rsid w:val="3D6469F5"/>
    <w:rsid w:val="3D670293"/>
    <w:rsid w:val="3D691975"/>
    <w:rsid w:val="3D6A7D83"/>
    <w:rsid w:val="3D6B6BFA"/>
    <w:rsid w:val="3D6D517E"/>
    <w:rsid w:val="3D6E33D0"/>
    <w:rsid w:val="3D736C38"/>
    <w:rsid w:val="3D74650C"/>
    <w:rsid w:val="3D747A54"/>
    <w:rsid w:val="3D766728"/>
    <w:rsid w:val="3D785FFC"/>
    <w:rsid w:val="3D7B5AED"/>
    <w:rsid w:val="3D7B789B"/>
    <w:rsid w:val="3D7C2E18"/>
    <w:rsid w:val="3D7D7F1F"/>
    <w:rsid w:val="3D7E17DF"/>
    <w:rsid w:val="3D842BF3"/>
    <w:rsid w:val="3D8726E3"/>
    <w:rsid w:val="3D89020A"/>
    <w:rsid w:val="3D8E3A72"/>
    <w:rsid w:val="3D913562"/>
    <w:rsid w:val="3D915310"/>
    <w:rsid w:val="3D9B618F"/>
    <w:rsid w:val="3D9C66F8"/>
    <w:rsid w:val="3D9E01E0"/>
    <w:rsid w:val="3DA23C6B"/>
    <w:rsid w:val="3DA4758B"/>
    <w:rsid w:val="3DA47914"/>
    <w:rsid w:val="3DA54918"/>
    <w:rsid w:val="3DAC75A2"/>
    <w:rsid w:val="3DB12122"/>
    <w:rsid w:val="3DB17760"/>
    <w:rsid w:val="3DB3369B"/>
    <w:rsid w:val="3DBB238D"/>
    <w:rsid w:val="3DBC3A61"/>
    <w:rsid w:val="3DBD4357"/>
    <w:rsid w:val="3DBD7EB3"/>
    <w:rsid w:val="3DC26A6B"/>
    <w:rsid w:val="3DCE20C0"/>
    <w:rsid w:val="3DD31485"/>
    <w:rsid w:val="3DD516A1"/>
    <w:rsid w:val="3DD6552D"/>
    <w:rsid w:val="3DD671C7"/>
    <w:rsid w:val="3DD86A9B"/>
    <w:rsid w:val="3DDA6CB7"/>
    <w:rsid w:val="3DDD2303"/>
    <w:rsid w:val="3DE11078"/>
    <w:rsid w:val="3DE2791A"/>
    <w:rsid w:val="3DE37306"/>
    <w:rsid w:val="3DE61E57"/>
    <w:rsid w:val="3DE73182"/>
    <w:rsid w:val="3DE93370"/>
    <w:rsid w:val="3DEA73A4"/>
    <w:rsid w:val="3DEB2C72"/>
    <w:rsid w:val="3DEB6224"/>
    <w:rsid w:val="3DF27491"/>
    <w:rsid w:val="3DF37D79"/>
    <w:rsid w:val="3DF96E3A"/>
    <w:rsid w:val="3DFC7B0B"/>
    <w:rsid w:val="3DFD29A6"/>
    <w:rsid w:val="3E015FF2"/>
    <w:rsid w:val="3E02320C"/>
    <w:rsid w:val="3E03600F"/>
    <w:rsid w:val="3E083824"/>
    <w:rsid w:val="3E1026D9"/>
    <w:rsid w:val="3E104487"/>
    <w:rsid w:val="3E1113DE"/>
    <w:rsid w:val="3E133F77"/>
    <w:rsid w:val="3E18333B"/>
    <w:rsid w:val="3E1A3557"/>
    <w:rsid w:val="3E1A5306"/>
    <w:rsid w:val="3E1A6DC1"/>
    <w:rsid w:val="3E1D0952"/>
    <w:rsid w:val="3E1D4DF6"/>
    <w:rsid w:val="3E1F291C"/>
    <w:rsid w:val="3E23240C"/>
    <w:rsid w:val="3E241CE0"/>
    <w:rsid w:val="3E247F32"/>
    <w:rsid w:val="3E250F63"/>
    <w:rsid w:val="3E29379B"/>
    <w:rsid w:val="3E295549"/>
    <w:rsid w:val="3E2E7003"/>
    <w:rsid w:val="3E304B29"/>
    <w:rsid w:val="3E3143FD"/>
    <w:rsid w:val="3E3144BE"/>
    <w:rsid w:val="3E357B4C"/>
    <w:rsid w:val="3E377C66"/>
    <w:rsid w:val="3E3A106C"/>
    <w:rsid w:val="3E3C34CE"/>
    <w:rsid w:val="3E3D275E"/>
    <w:rsid w:val="3E3F6B1A"/>
    <w:rsid w:val="3E43485C"/>
    <w:rsid w:val="3E46434D"/>
    <w:rsid w:val="3E467DCB"/>
    <w:rsid w:val="3E481E73"/>
    <w:rsid w:val="3E4C3FFA"/>
    <w:rsid w:val="3E4F1453"/>
    <w:rsid w:val="3E4F1FA4"/>
    <w:rsid w:val="3E530817"/>
    <w:rsid w:val="3E564C85"/>
    <w:rsid w:val="3E587BDC"/>
    <w:rsid w:val="3E5A3954"/>
    <w:rsid w:val="3E5E3444"/>
    <w:rsid w:val="3E636CAD"/>
    <w:rsid w:val="3E64108F"/>
    <w:rsid w:val="3E691C6B"/>
    <w:rsid w:val="3E693B97"/>
    <w:rsid w:val="3E6D7B2B"/>
    <w:rsid w:val="3E6E11AD"/>
    <w:rsid w:val="3E740EBA"/>
    <w:rsid w:val="3E767CA2"/>
    <w:rsid w:val="3E772758"/>
    <w:rsid w:val="3E78202C"/>
    <w:rsid w:val="3E78424B"/>
    <w:rsid w:val="3E7C7D6E"/>
    <w:rsid w:val="3E864749"/>
    <w:rsid w:val="3E8B7FB1"/>
    <w:rsid w:val="3E8E35FE"/>
    <w:rsid w:val="3E90381A"/>
    <w:rsid w:val="3E907376"/>
    <w:rsid w:val="3E921340"/>
    <w:rsid w:val="3E927814"/>
    <w:rsid w:val="3E941710"/>
    <w:rsid w:val="3E94330A"/>
    <w:rsid w:val="3E95498C"/>
    <w:rsid w:val="3E970704"/>
    <w:rsid w:val="3E976956"/>
    <w:rsid w:val="3E9831C1"/>
    <w:rsid w:val="3E9A01F4"/>
    <w:rsid w:val="3E9C5D1B"/>
    <w:rsid w:val="3E9D66EF"/>
    <w:rsid w:val="3EA10976"/>
    <w:rsid w:val="3EA11583"/>
    <w:rsid w:val="3EA11895"/>
    <w:rsid w:val="3EA57A3F"/>
    <w:rsid w:val="3EAB2402"/>
    <w:rsid w:val="3EAC2D08"/>
    <w:rsid w:val="3EAD617A"/>
    <w:rsid w:val="3EB06725"/>
    <w:rsid w:val="3EB07A18"/>
    <w:rsid w:val="3EB9437E"/>
    <w:rsid w:val="3EBE1528"/>
    <w:rsid w:val="3EBF1DD8"/>
    <w:rsid w:val="3EBF1FF6"/>
    <w:rsid w:val="3EC7118D"/>
    <w:rsid w:val="3ECB4852"/>
    <w:rsid w:val="3ECB6600"/>
    <w:rsid w:val="3ECC5112"/>
    <w:rsid w:val="3ECD2378"/>
    <w:rsid w:val="3ECF148E"/>
    <w:rsid w:val="3ED23E32"/>
    <w:rsid w:val="3ED90D1D"/>
    <w:rsid w:val="3EDC25BB"/>
    <w:rsid w:val="3EDC6A5F"/>
    <w:rsid w:val="3EDD198D"/>
    <w:rsid w:val="3EE002FD"/>
    <w:rsid w:val="3EE020AB"/>
    <w:rsid w:val="3EE15347"/>
    <w:rsid w:val="3EE31B9B"/>
    <w:rsid w:val="3EE86526"/>
    <w:rsid w:val="3EEA4CD8"/>
    <w:rsid w:val="3EEF23AA"/>
    <w:rsid w:val="3EF23B8C"/>
    <w:rsid w:val="3EF26282"/>
    <w:rsid w:val="3EFB0C93"/>
    <w:rsid w:val="3EFC4A0B"/>
    <w:rsid w:val="3EFD107E"/>
    <w:rsid w:val="3EFE4C27"/>
    <w:rsid w:val="3EFF0135"/>
    <w:rsid w:val="3F001B51"/>
    <w:rsid w:val="3F03223E"/>
    <w:rsid w:val="3F045DCE"/>
    <w:rsid w:val="3F051B12"/>
    <w:rsid w:val="3F0538C0"/>
    <w:rsid w:val="3F057D64"/>
    <w:rsid w:val="3F06588A"/>
    <w:rsid w:val="3F0840B9"/>
    <w:rsid w:val="3F0A35CC"/>
    <w:rsid w:val="3F0B2DA6"/>
    <w:rsid w:val="3F0F473E"/>
    <w:rsid w:val="3F1423B9"/>
    <w:rsid w:val="3F171845"/>
    <w:rsid w:val="3F19736B"/>
    <w:rsid w:val="3F1E4982"/>
    <w:rsid w:val="3F220916"/>
    <w:rsid w:val="3F260B3C"/>
    <w:rsid w:val="3F281CA4"/>
    <w:rsid w:val="3F283A52"/>
    <w:rsid w:val="3F325EA5"/>
    <w:rsid w:val="3F375A43"/>
    <w:rsid w:val="3F397A0D"/>
    <w:rsid w:val="3F3E5CD5"/>
    <w:rsid w:val="3F3E6DD2"/>
    <w:rsid w:val="3F3F46D3"/>
    <w:rsid w:val="3F407113"/>
    <w:rsid w:val="3F441A8C"/>
    <w:rsid w:val="3F44662B"/>
    <w:rsid w:val="3F485EA2"/>
    <w:rsid w:val="3F4A741D"/>
    <w:rsid w:val="3F4B1EE8"/>
    <w:rsid w:val="3F4D34B9"/>
    <w:rsid w:val="3F4D4F72"/>
    <w:rsid w:val="3F4F5483"/>
    <w:rsid w:val="3F544847"/>
    <w:rsid w:val="3F5465F5"/>
    <w:rsid w:val="3F555269"/>
    <w:rsid w:val="3F5605BF"/>
    <w:rsid w:val="3F56236D"/>
    <w:rsid w:val="3F5900B0"/>
    <w:rsid w:val="3F591E5E"/>
    <w:rsid w:val="3F5A676C"/>
    <w:rsid w:val="3F6251B6"/>
    <w:rsid w:val="3F634BB1"/>
    <w:rsid w:val="3F660E74"/>
    <w:rsid w:val="3F6A406B"/>
    <w:rsid w:val="3F6C1B91"/>
    <w:rsid w:val="3F6C393F"/>
    <w:rsid w:val="3F6D50FF"/>
    <w:rsid w:val="3F6E19E9"/>
    <w:rsid w:val="3F6F1681"/>
    <w:rsid w:val="3F740BAA"/>
    <w:rsid w:val="3F744EE9"/>
    <w:rsid w:val="3F746C97"/>
    <w:rsid w:val="3F780536"/>
    <w:rsid w:val="3F7942AE"/>
    <w:rsid w:val="3F794A47"/>
    <w:rsid w:val="3F7B6278"/>
    <w:rsid w:val="3F7B7B8A"/>
    <w:rsid w:val="3F7D3AA3"/>
    <w:rsid w:val="3F811F08"/>
    <w:rsid w:val="3F817E67"/>
    <w:rsid w:val="3F8412D0"/>
    <w:rsid w:val="3F862E62"/>
    <w:rsid w:val="3F8844F1"/>
    <w:rsid w:val="3F905FED"/>
    <w:rsid w:val="3F9115F7"/>
    <w:rsid w:val="3F9335CD"/>
    <w:rsid w:val="3F966C0E"/>
    <w:rsid w:val="3F971B9A"/>
    <w:rsid w:val="3F9904AC"/>
    <w:rsid w:val="3F995D91"/>
    <w:rsid w:val="3F9A4950"/>
    <w:rsid w:val="3F9B4B17"/>
    <w:rsid w:val="3F9D1D4A"/>
    <w:rsid w:val="3FA61B8F"/>
    <w:rsid w:val="3FA70E1B"/>
    <w:rsid w:val="3FA94B93"/>
    <w:rsid w:val="3FAC01DF"/>
    <w:rsid w:val="3FAC745B"/>
    <w:rsid w:val="3FAF13AE"/>
    <w:rsid w:val="3FAF7CCF"/>
    <w:rsid w:val="3FB12ADB"/>
    <w:rsid w:val="3FB164F4"/>
    <w:rsid w:val="3FB3156E"/>
    <w:rsid w:val="3FB377C0"/>
    <w:rsid w:val="3FB53538"/>
    <w:rsid w:val="3FBD419A"/>
    <w:rsid w:val="3FBE7F13"/>
    <w:rsid w:val="3FC26C5C"/>
    <w:rsid w:val="3FC63871"/>
    <w:rsid w:val="3FC75AA0"/>
    <w:rsid w:val="3FC96EB0"/>
    <w:rsid w:val="3FCF2120"/>
    <w:rsid w:val="3FDA2F9E"/>
    <w:rsid w:val="3FDB2873"/>
    <w:rsid w:val="3FDB6D16"/>
    <w:rsid w:val="3FE16D38"/>
    <w:rsid w:val="3FE55985"/>
    <w:rsid w:val="3FEE07F8"/>
    <w:rsid w:val="3FEF7FA2"/>
    <w:rsid w:val="3FF027C2"/>
    <w:rsid w:val="3FF102E8"/>
    <w:rsid w:val="3FF76AA0"/>
    <w:rsid w:val="3FFA34B2"/>
    <w:rsid w:val="3FFB3BF1"/>
    <w:rsid w:val="3FFD2A12"/>
    <w:rsid w:val="3FFD4EDF"/>
    <w:rsid w:val="3FFF0C57"/>
    <w:rsid w:val="3FFF2A05"/>
    <w:rsid w:val="4004001B"/>
    <w:rsid w:val="40062655"/>
    <w:rsid w:val="400647A9"/>
    <w:rsid w:val="400A75C6"/>
    <w:rsid w:val="400B75FC"/>
    <w:rsid w:val="400D3374"/>
    <w:rsid w:val="400E7546"/>
    <w:rsid w:val="4010076E"/>
    <w:rsid w:val="40104C12"/>
    <w:rsid w:val="401144E6"/>
    <w:rsid w:val="40170617"/>
    <w:rsid w:val="40183AC7"/>
    <w:rsid w:val="401A037E"/>
    <w:rsid w:val="401F4E55"/>
    <w:rsid w:val="40203CB1"/>
    <w:rsid w:val="40227D90"/>
    <w:rsid w:val="4024246B"/>
    <w:rsid w:val="4025767C"/>
    <w:rsid w:val="402814CD"/>
    <w:rsid w:val="402E32EA"/>
    <w:rsid w:val="4030560B"/>
    <w:rsid w:val="403264EC"/>
    <w:rsid w:val="403326AF"/>
    <w:rsid w:val="4033445D"/>
    <w:rsid w:val="403F2E01"/>
    <w:rsid w:val="40442B0E"/>
    <w:rsid w:val="40445CE2"/>
    <w:rsid w:val="40477F08"/>
    <w:rsid w:val="404A39B1"/>
    <w:rsid w:val="404B79F8"/>
    <w:rsid w:val="404F1B83"/>
    <w:rsid w:val="4053079A"/>
    <w:rsid w:val="40572841"/>
    <w:rsid w:val="405B099C"/>
    <w:rsid w:val="405E3BCF"/>
    <w:rsid w:val="405E758E"/>
    <w:rsid w:val="405F1467"/>
    <w:rsid w:val="405F16F6"/>
    <w:rsid w:val="40630A6C"/>
    <w:rsid w:val="40646D0C"/>
    <w:rsid w:val="40673C32"/>
    <w:rsid w:val="40692574"/>
    <w:rsid w:val="40697DEF"/>
    <w:rsid w:val="406B009A"/>
    <w:rsid w:val="407214B1"/>
    <w:rsid w:val="407231D7"/>
    <w:rsid w:val="40723CDF"/>
    <w:rsid w:val="40744D04"/>
    <w:rsid w:val="4077259B"/>
    <w:rsid w:val="407777EE"/>
    <w:rsid w:val="407A6407"/>
    <w:rsid w:val="407A79D6"/>
    <w:rsid w:val="407C22A8"/>
    <w:rsid w:val="407C5E04"/>
    <w:rsid w:val="407F58F4"/>
    <w:rsid w:val="40827192"/>
    <w:rsid w:val="408353E4"/>
    <w:rsid w:val="40844CB8"/>
    <w:rsid w:val="40863629"/>
    <w:rsid w:val="40890521"/>
    <w:rsid w:val="408D0011"/>
    <w:rsid w:val="408F7457"/>
    <w:rsid w:val="409018CD"/>
    <w:rsid w:val="40910A42"/>
    <w:rsid w:val="409475F1"/>
    <w:rsid w:val="40967C9A"/>
    <w:rsid w:val="4099146F"/>
    <w:rsid w:val="4099578D"/>
    <w:rsid w:val="409D0A43"/>
    <w:rsid w:val="409D5D7A"/>
    <w:rsid w:val="40A57942"/>
    <w:rsid w:val="40A610D2"/>
    <w:rsid w:val="40A67324"/>
    <w:rsid w:val="40A8309D"/>
    <w:rsid w:val="40AC03DF"/>
    <w:rsid w:val="40AD06B3"/>
    <w:rsid w:val="40AD5B64"/>
    <w:rsid w:val="40AE41D1"/>
    <w:rsid w:val="40B25CC9"/>
    <w:rsid w:val="40B530C4"/>
    <w:rsid w:val="40BB7697"/>
    <w:rsid w:val="40BE0DB2"/>
    <w:rsid w:val="40BE0F76"/>
    <w:rsid w:val="40C1373E"/>
    <w:rsid w:val="40C17EEE"/>
    <w:rsid w:val="40C357E1"/>
    <w:rsid w:val="40C438A3"/>
    <w:rsid w:val="40C655E2"/>
    <w:rsid w:val="40C67C6D"/>
    <w:rsid w:val="40C74FEA"/>
    <w:rsid w:val="40C81049"/>
    <w:rsid w:val="40C96B6F"/>
    <w:rsid w:val="40CD48B1"/>
    <w:rsid w:val="40CD582B"/>
    <w:rsid w:val="40CF4866"/>
    <w:rsid w:val="40D07EFD"/>
    <w:rsid w:val="40D528AC"/>
    <w:rsid w:val="40D53766"/>
    <w:rsid w:val="40DA0D7C"/>
    <w:rsid w:val="40DA57F1"/>
    <w:rsid w:val="40DC581F"/>
    <w:rsid w:val="40DE261A"/>
    <w:rsid w:val="40DE4339"/>
    <w:rsid w:val="40E045E4"/>
    <w:rsid w:val="40E37C31"/>
    <w:rsid w:val="40E439A9"/>
    <w:rsid w:val="40E47132"/>
    <w:rsid w:val="40E56385"/>
    <w:rsid w:val="40E85247"/>
    <w:rsid w:val="40EC1096"/>
    <w:rsid w:val="40ED0AAF"/>
    <w:rsid w:val="40F41E3E"/>
    <w:rsid w:val="40F621C4"/>
    <w:rsid w:val="40F67CBC"/>
    <w:rsid w:val="40FA31CC"/>
    <w:rsid w:val="40FB1513"/>
    <w:rsid w:val="40FE4A6B"/>
    <w:rsid w:val="40FF07E3"/>
    <w:rsid w:val="410127AD"/>
    <w:rsid w:val="410140EC"/>
    <w:rsid w:val="4101455B"/>
    <w:rsid w:val="410249FD"/>
    <w:rsid w:val="410302D3"/>
    <w:rsid w:val="41051135"/>
    <w:rsid w:val="41061B71"/>
    <w:rsid w:val="41076015"/>
    <w:rsid w:val="410A5D60"/>
    <w:rsid w:val="410C362B"/>
    <w:rsid w:val="410D6D4A"/>
    <w:rsid w:val="410F7655"/>
    <w:rsid w:val="41160006"/>
    <w:rsid w:val="41171FD0"/>
    <w:rsid w:val="411C3143"/>
    <w:rsid w:val="412076AA"/>
    <w:rsid w:val="41232723"/>
    <w:rsid w:val="41281AE7"/>
    <w:rsid w:val="412A3AB2"/>
    <w:rsid w:val="412C5A7C"/>
    <w:rsid w:val="412C782A"/>
    <w:rsid w:val="412D48D8"/>
    <w:rsid w:val="41322966"/>
    <w:rsid w:val="41326E0A"/>
    <w:rsid w:val="41332DEE"/>
    <w:rsid w:val="41336AA3"/>
    <w:rsid w:val="41384420"/>
    <w:rsid w:val="413E093E"/>
    <w:rsid w:val="41405083"/>
    <w:rsid w:val="41434B73"/>
    <w:rsid w:val="41441117"/>
    <w:rsid w:val="414B6FDA"/>
    <w:rsid w:val="414F0FC2"/>
    <w:rsid w:val="41536C1F"/>
    <w:rsid w:val="41555250"/>
    <w:rsid w:val="41562AF9"/>
    <w:rsid w:val="415840B6"/>
    <w:rsid w:val="41641FEF"/>
    <w:rsid w:val="416A0352"/>
    <w:rsid w:val="416D24A3"/>
    <w:rsid w:val="41742F7F"/>
    <w:rsid w:val="41764F49"/>
    <w:rsid w:val="4177481D"/>
    <w:rsid w:val="417967E7"/>
    <w:rsid w:val="417D0085"/>
    <w:rsid w:val="41815E93"/>
    <w:rsid w:val="4182744A"/>
    <w:rsid w:val="41892EE4"/>
    <w:rsid w:val="418B6F45"/>
    <w:rsid w:val="418E2292"/>
    <w:rsid w:val="419302A8"/>
    <w:rsid w:val="419453CF"/>
    <w:rsid w:val="41983D4B"/>
    <w:rsid w:val="41990A28"/>
    <w:rsid w:val="41990C37"/>
    <w:rsid w:val="419A1BB9"/>
    <w:rsid w:val="419B675D"/>
    <w:rsid w:val="41A354FD"/>
    <w:rsid w:val="41A35612"/>
    <w:rsid w:val="41AB3DDC"/>
    <w:rsid w:val="41AE6491"/>
    <w:rsid w:val="41B11ADD"/>
    <w:rsid w:val="41B21056"/>
    <w:rsid w:val="41B36CDD"/>
    <w:rsid w:val="41B63641"/>
    <w:rsid w:val="41B8730F"/>
    <w:rsid w:val="41BA23CC"/>
    <w:rsid w:val="41BB0BAE"/>
    <w:rsid w:val="41BC71EB"/>
    <w:rsid w:val="41BE4CC7"/>
    <w:rsid w:val="41BE5A2A"/>
    <w:rsid w:val="41C12819"/>
    <w:rsid w:val="41C31810"/>
    <w:rsid w:val="41C37A62"/>
    <w:rsid w:val="41C454A4"/>
    <w:rsid w:val="41C60CE5"/>
    <w:rsid w:val="41C63BEE"/>
    <w:rsid w:val="41C662EF"/>
    <w:rsid w:val="41CF2217"/>
    <w:rsid w:val="41D1217F"/>
    <w:rsid w:val="41D81760"/>
    <w:rsid w:val="41D852BC"/>
    <w:rsid w:val="41DB1250"/>
    <w:rsid w:val="41DB4DAC"/>
    <w:rsid w:val="41DC3706"/>
    <w:rsid w:val="41E06866"/>
    <w:rsid w:val="41E40104"/>
    <w:rsid w:val="41E53E7C"/>
    <w:rsid w:val="41E952A1"/>
    <w:rsid w:val="41E9571B"/>
    <w:rsid w:val="41E974C9"/>
    <w:rsid w:val="41EA5B46"/>
    <w:rsid w:val="41EC6FB9"/>
    <w:rsid w:val="41EE19F9"/>
    <w:rsid w:val="41EE4ADF"/>
    <w:rsid w:val="41F145CF"/>
    <w:rsid w:val="41F30347"/>
    <w:rsid w:val="41F61BE6"/>
    <w:rsid w:val="41FA16D6"/>
    <w:rsid w:val="41FB71FC"/>
    <w:rsid w:val="41FD11C6"/>
    <w:rsid w:val="41FF4F3E"/>
    <w:rsid w:val="42004812"/>
    <w:rsid w:val="42023833"/>
    <w:rsid w:val="42044303"/>
    <w:rsid w:val="420A5BE2"/>
    <w:rsid w:val="420A6C99"/>
    <w:rsid w:val="420E33EE"/>
    <w:rsid w:val="4210073E"/>
    <w:rsid w:val="421107CE"/>
    <w:rsid w:val="421309EA"/>
    <w:rsid w:val="421502BE"/>
    <w:rsid w:val="42154762"/>
    <w:rsid w:val="421D3C7F"/>
    <w:rsid w:val="42204EB5"/>
    <w:rsid w:val="42291FBB"/>
    <w:rsid w:val="42295B17"/>
    <w:rsid w:val="422E312E"/>
    <w:rsid w:val="42336996"/>
    <w:rsid w:val="423821FE"/>
    <w:rsid w:val="423A0FD9"/>
    <w:rsid w:val="423A3BCC"/>
    <w:rsid w:val="423B52A6"/>
    <w:rsid w:val="423B584A"/>
    <w:rsid w:val="423D7815"/>
    <w:rsid w:val="425154F8"/>
    <w:rsid w:val="425272CB"/>
    <w:rsid w:val="425828A0"/>
    <w:rsid w:val="425A367A"/>
    <w:rsid w:val="425C043B"/>
    <w:rsid w:val="425C413F"/>
    <w:rsid w:val="425D3A13"/>
    <w:rsid w:val="42606EAF"/>
    <w:rsid w:val="42612D34"/>
    <w:rsid w:val="426624C3"/>
    <w:rsid w:val="42672AE3"/>
    <w:rsid w:val="426B4382"/>
    <w:rsid w:val="426D5A4D"/>
    <w:rsid w:val="426D634C"/>
    <w:rsid w:val="427174BE"/>
    <w:rsid w:val="42721D88"/>
    <w:rsid w:val="42723962"/>
    <w:rsid w:val="42734FE4"/>
    <w:rsid w:val="427C5B2B"/>
    <w:rsid w:val="427F1BDB"/>
    <w:rsid w:val="42816FF2"/>
    <w:rsid w:val="42826AE4"/>
    <w:rsid w:val="4283791D"/>
    <w:rsid w:val="42843695"/>
    <w:rsid w:val="42843BC2"/>
    <w:rsid w:val="428561CB"/>
    <w:rsid w:val="428B0580"/>
    <w:rsid w:val="428B4A24"/>
    <w:rsid w:val="428C585C"/>
    <w:rsid w:val="42903DE8"/>
    <w:rsid w:val="429733C9"/>
    <w:rsid w:val="42984A4B"/>
    <w:rsid w:val="429E2362"/>
    <w:rsid w:val="42A338A7"/>
    <w:rsid w:val="42A35700"/>
    <w:rsid w:val="42A41642"/>
    <w:rsid w:val="42A930FC"/>
    <w:rsid w:val="42A950BB"/>
    <w:rsid w:val="42AA5F72"/>
    <w:rsid w:val="42B34E2B"/>
    <w:rsid w:val="42B447CB"/>
    <w:rsid w:val="42B51AA1"/>
    <w:rsid w:val="42B52239"/>
    <w:rsid w:val="42B530EB"/>
    <w:rsid w:val="42B5384F"/>
    <w:rsid w:val="42BD444E"/>
    <w:rsid w:val="42BF46CD"/>
    <w:rsid w:val="42C24102"/>
    <w:rsid w:val="42C341BE"/>
    <w:rsid w:val="42C615B8"/>
    <w:rsid w:val="42C73697"/>
    <w:rsid w:val="42C77FCE"/>
    <w:rsid w:val="42C817D4"/>
    <w:rsid w:val="42CA40AF"/>
    <w:rsid w:val="42CD0147"/>
    <w:rsid w:val="42CE4911"/>
    <w:rsid w:val="42D261AF"/>
    <w:rsid w:val="42D31F27"/>
    <w:rsid w:val="42D53EF1"/>
    <w:rsid w:val="42D737C5"/>
    <w:rsid w:val="42DA5063"/>
    <w:rsid w:val="42DA7950"/>
    <w:rsid w:val="42E20147"/>
    <w:rsid w:val="42E3216A"/>
    <w:rsid w:val="42E44134"/>
    <w:rsid w:val="42E51853"/>
    <w:rsid w:val="42E87780"/>
    <w:rsid w:val="42EC4B1D"/>
    <w:rsid w:val="42ED123B"/>
    <w:rsid w:val="42ED1DD1"/>
    <w:rsid w:val="42ED352D"/>
    <w:rsid w:val="42EE0B0F"/>
    <w:rsid w:val="42EF6D61"/>
    <w:rsid w:val="42F500EF"/>
    <w:rsid w:val="42F8373B"/>
    <w:rsid w:val="42FA5706"/>
    <w:rsid w:val="42FE6FA4"/>
    <w:rsid w:val="43087E22"/>
    <w:rsid w:val="430A3B9B"/>
    <w:rsid w:val="43122A4F"/>
    <w:rsid w:val="43140575"/>
    <w:rsid w:val="431542ED"/>
    <w:rsid w:val="431A7B56"/>
    <w:rsid w:val="431D0717"/>
    <w:rsid w:val="431D372B"/>
    <w:rsid w:val="4320516C"/>
    <w:rsid w:val="43217136"/>
    <w:rsid w:val="43255786"/>
    <w:rsid w:val="432B495E"/>
    <w:rsid w:val="432D5ADB"/>
    <w:rsid w:val="432E070E"/>
    <w:rsid w:val="43302ED5"/>
    <w:rsid w:val="4339622E"/>
    <w:rsid w:val="433A6FE6"/>
    <w:rsid w:val="434075BC"/>
    <w:rsid w:val="434123BC"/>
    <w:rsid w:val="43421586"/>
    <w:rsid w:val="43430E5B"/>
    <w:rsid w:val="43443F1E"/>
    <w:rsid w:val="43454BD3"/>
    <w:rsid w:val="4346094B"/>
    <w:rsid w:val="434609B3"/>
    <w:rsid w:val="434E7CF8"/>
    <w:rsid w:val="4350713C"/>
    <w:rsid w:val="4352109E"/>
    <w:rsid w:val="43543068"/>
    <w:rsid w:val="43572B58"/>
    <w:rsid w:val="435A088F"/>
    <w:rsid w:val="435D5832"/>
    <w:rsid w:val="43600C36"/>
    <w:rsid w:val="436653E0"/>
    <w:rsid w:val="4366740F"/>
    <w:rsid w:val="4368266F"/>
    <w:rsid w:val="43696F7C"/>
    <w:rsid w:val="436B7F3C"/>
    <w:rsid w:val="436C6603"/>
    <w:rsid w:val="436D237B"/>
    <w:rsid w:val="437453F5"/>
    <w:rsid w:val="43746A4F"/>
    <w:rsid w:val="437901B2"/>
    <w:rsid w:val="43790D20"/>
    <w:rsid w:val="4379487C"/>
    <w:rsid w:val="43807474"/>
    <w:rsid w:val="438356FB"/>
    <w:rsid w:val="43843DC2"/>
    <w:rsid w:val="43866F99"/>
    <w:rsid w:val="4387013B"/>
    <w:rsid w:val="438751EB"/>
    <w:rsid w:val="43882D11"/>
    <w:rsid w:val="438C45B0"/>
    <w:rsid w:val="438D102F"/>
    <w:rsid w:val="438F2C60"/>
    <w:rsid w:val="438F661B"/>
    <w:rsid w:val="43902128"/>
    <w:rsid w:val="43905BA3"/>
    <w:rsid w:val="43930246"/>
    <w:rsid w:val="439671DC"/>
    <w:rsid w:val="4397166E"/>
    <w:rsid w:val="43973DCE"/>
    <w:rsid w:val="439C59D6"/>
    <w:rsid w:val="43A318F9"/>
    <w:rsid w:val="43A643FA"/>
    <w:rsid w:val="43A86F10"/>
    <w:rsid w:val="43AC6A00"/>
    <w:rsid w:val="43AE6F7D"/>
    <w:rsid w:val="43B12268"/>
    <w:rsid w:val="43B14016"/>
    <w:rsid w:val="43B600AD"/>
    <w:rsid w:val="43B81849"/>
    <w:rsid w:val="43B92ECB"/>
    <w:rsid w:val="43B95163"/>
    <w:rsid w:val="43B9736F"/>
    <w:rsid w:val="43BF3FB9"/>
    <w:rsid w:val="43C006FD"/>
    <w:rsid w:val="43C04259"/>
    <w:rsid w:val="43C24475"/>
    <w:rsid w:val="43C31F9B"/>
    <w:rsid w:val="43C31FA2"/>
    <w:rsid w:val="43C401ED"/>
    <w:rsid w:val="43C81360"/>
    <w:rsid w:val="43C8760E"/>
    <w:rsid w:val="43CC0E50"/>
    <w:rsid w:val="43CD667C"/>
    <w:rsid w:val="43CE2E1A"/>
    <w:rsid w:val="43CF1E4E"/>
    <w:rsid w:val="43D45F57"/>
    <w:rsid w:val="43DB1093"/>
    <w:rsid w:val="43E02BE7"/>
    <w:rsid w:val="43E066A9"/>
    <w:rsid w:val="43E36C7A"/>
    <w:rsid w:val="43F62371"/>
    <w:rsid w:val="43F6411F"/>
    <w:rsid w:val="44022AC4"/>
    <w:rsid w:val="440426ED"/>
    <w:rsid w:val="44044A8E"/>
    <w:rsid w:val="44071E88"/>
    <w:rsid w:val="44087AD1"/>
    <w:rsid w:val="440A7BCA"/>
    <w:rsid w:val="440C749E"/>
    <w:rsid w:val="440E3217"/>
    <w:rsid w:val="44124CF1"/>
    <w:rsid w:val="4413477E"/>
    <w:rsid w:val="44134CD1"/>
    <w:rsid w:val="441445A5"/>
    <w:rsid w:val="44150A49"/>
    <w:rsid w:val="44156B63"/>
    <w:rsid w:val="44175E54"/>
    <w:rsid w:val="441D1006"/>
    <w:rsid w:val="44222311"/>
    <w:rsid w:val="44223EC2"/>
    <w:rsid w:val="44226CC2"/>
    <w:rsid w:val="442E1B0B"/>
    <w:rsid w:val="442E5667"/>
    <w:rsid w:val="44330ECF"/>
    <w:rsid w:val="443D58AA"/>
    <w:rsid w:val="443F7874"/>
    <w:rsid w:val="444255B6"/>
    <w:rsid w:val="4447497A"/>
    <w:rsid w:val="444E13D2"/>
    <w:rsid w:val="445157F9"/>
    <w:rsid w:val="44557097"/>
    <w:rsid w:val="445A46AE"/>
    <w:rsid w:val="445F4788"/>
    <w:rsid w:val="44611C1B"/>
    <w:rsid w:val="446175D3"/>
    <w:rsid w:val="44661A1F"/>
    <w:rsid w:val="446C43E1"/>
    <w:rsid w:val="446E2DED"/>
    <w:rsid w:val="4473751E"/>
    <w:rsid w:val="447C2876"/>
    <w:rsid w:val="447D039C"/>
    <w:rsid w:val="447D214A"/>
    <w:rsid w:val="44872FC9"/>
    <w:rsid w:val="448E7078"/>
    <w:rsid w:val="448F2126"/>
    <w:rsid w:val="44913E48"/>
    <w:rsid w:val="44915BF6"/>
    <w:rsid w:val="44965C2C"/>
    <w:rsid w:val="449851D6"/>
    <w:rsid w:val="44986938"/>
    <w:rsid w:val="449A2CFC"/>
    <w:rsid w:val="449C4CC6"/>
    <w:rsid w:val="44A14FA7"/>
    <w:rsid w:val="44A34D86"/>
    <w:rsid w:val="44A8626A"/>
    <w:rsid w:val="44AA1103"/>
    <w:rsid w:val="44AE67A8"/>
    <w:rsid w:val="44B02520"/>
    <w:rsid w:val="44B042CE"/>
    <w:rsid w:val="44B32010"/>
    <w:rsid w:val="44B71B00"/>
    <w:rsid w:val="44B738AE"/>
    <w:rsid w:val="44BE2E8F"/>
    <w:rsid w:val="44BF2763"/>
    <w:rsid w:val="44C10289"/>
    <w:rsid w:val="44C304A5"/>
    <w:rsid w:val="44C61D43"/>
    <w:rsid w:val="44C67F95"/>
    <w:rsid w:val="44CB1108"/>
    <w:rsid w:val="44CB3B1B"/>
    <w:rsid w:val="44CD14E0"/>
    <w:rsid w:val="44CD30D2"/>
    <w:rsid w:val="44CE0BF8"/>
    <w:rsid w:val="44D0671E"/>
    <w:rsid w:val="44D37FBC"/>
    <w:rsid w:val="44D426B2"/>
    <w:rsid w:val="44DF1057"/>
    <w:rsid w:val="44E623E5"/>
    <w:rsid w:val="44E81CBA"/>
    <w:rsid w:val="44E83CA9"/>
    <w:rsid w:val="44E93C84"/>
    <w:rsid w:val="44EC4ED1"/>
    <w:rsid w:val="44F05012"/>
    <w:rsid w:val="44F06DC0"/>
    <w:rsid w:val="44F22B38"/>
    <w:rsid w:val="44F42EE1"/>
    <w:rsid w:val="44F63F31"/>
    <w:rsid w:val="44F85C75"/>
    <w:rsid w:val="44F86822"/>
    <w:rsid w:val="44F87A23"/>
    <w:rsid w:val="44FA4815"/>
    <w:rsid w:val="45013F1D"/>
    <w:rsid w:val="450308A1"/>
    <w:rsid w:val="45034D45"/>
    <w:rsid w:val="450624C3"/>
    <w:rsid w:val="45091C30"/>
    <w:rsid w:val="450C780B"/>
    <w:rsid w:val="450E5498"/>
    <w:rsid w:val="45115463"/>
    <w:rsid w:val="451231DA"/>
    <w:rsid w:val="45141548"/>
    <w:rsid w:val="45147E19"/>
    <w:rsid w:val="451505D5"/>
    <w:rsid w:val="4517434D"/>
    <w:rsid w:val="451A3E3D"/>
    <w:rsid w:val="451C1963"/>
    <w:rsid w:val="451C5E07"/>
    <w:rsid w:val="451E56DB"/>
    <w:rsid w:val="45227CA0"/>
    <w:rsid w:val="45237196"/>
    <w:rsid w:val="452409D7"/>
    <w:rsid w:val="452756F8"/>
    <w:rsid w:val="45280308"/>
    <w:rsid w:val="452847AC"/>
    <w:rsid w:val="452A730B"/>
    <w:rsid w:val="453250A1"/>
    <w:rsid w:val="45352A25"/>
    <w:rsid w:val="453942C3"/>
    <w:rsid w:val="453A003B"/>
    <w:rsid w:val="453F5652"/>
    <w:rsid w:val="45401AF6"/>
    <w:rsid w:val="4541761C"/>
    <w:rsid w:val="4545710C"/>
    <w:rsid w:val="454669E0"/>
    <w:rsid w:val="454915A7"/>
    <w:rsid w:val="454A2974"/>
    <w:rsid w:val="454B2248"/>
    <w:rsid w:val="454D5FC1"/>
    <w:rsid w:val="454D7D6F"/>
    <w:rsid w:val="454F1D39"/>
    <w:rsid w:val="4550160D"/>
    <w:rsid w:val="45505AB1"/>
    <w:rsid w:val="45561AB0"/>
    <w:rsid w:val="455A248C"/>
    <w:rsid w:val="45611A6C"/>
    <w:rsid w:val="45622249"/>
    <w:rsid w:val="4565155C"/>
    <w:rsid w:val="456D21BF"/>
    <w:rsid w:val="456D2CB0"/>
    <w:rsid w:val="456E41DF"/>
    <w:rsid w:val="456E4C88"/>
    <w:rsid w:val="456F4189"/>
    <w:rsid w:val="456F738A"/>
    <w:rsid w:val="45735B6A"/>
    <w:rsid w:val="4574354D"/>
    <w:rsid w:val="45780F51"/>
    <w:rsid w:val="457906C4"/>
    <w:rsid w:val="457E5811"/>
    <w:rsid w:val="457E617A"/>
    <w:rsid w:val="457F1EF2"/>
    <w:rsid w:val="45800144"/>
    <w:rsid w:val="45833790"/>
    <w:rsid w:val="45835E86"/>
    <w:rsid w:val="45863281"/>
    <w:rsid w:val="458946E9"/>
    <w:rsid w:val="458B21FF"/>
    <w:rsid w:val="45911A11"/>
    <w:rsid w:val="45961716"/>
    <w:rsid w:val="45962E4E"/>
    <w:rsid w:val="45986D8C"/>
    <w:rsid w:val="45992C39"/>
    <w:rsid w:val="459B4382"/>
    <w:rsid w:val="459C0CF6"/>
    <w:rsid w:val="459C2AA4"/>
    <w:rsid w:val="459F20B2"/>
    <w:rsid w:val="45A06EFF"/>
    <w:rsid w:val="45A32084"/>
    <w:rsid w:val="45AA51C1"/>
    <w:rsid w:val="45AC718B"/>
    <w:rsid w:val="45AE54CB"/>
    <w:rsid w:val="45B1654F"/>
    <w:rsid w:val="45B222C8"/>
    <w:rsid w:val="45B918A8"/>
    <w:rsid w:val="45C16A25"/>
    <w:rsid w:val="45C36283"/>
    <w:rsid w:val="45C66EB9"/>
    <w:rsid w:val="45C95510"/>
    <w:rsid w:val="45CA13BF"/>
    <w:rsid w:val="45CA1598"/>
    <w:rsid w:val="45CC3389"/>
    <w:rsid w:val="45D1274E"/>
    <w:rsid w:val="45D466E2"/>
    <w:rsid w:val="45D87F80"/>
    <w:rsid w:val="45DA5812"/>
    <w:rsid w:val="45DB181E"/>
    <w:rsid w:val="45DB2DA7"/>
    <w:rsid w:val="45DE130F"/>
    <w:rsid w:val="45E06E35"/>
    <w:rsid w:val="45E22BAD"/>
    <w:rsid w:val="45E83F3B"/>
    <w:rsid w:val="45EC3A2B"/>
    <w:rsid w:val="45EC57D9"/>
    <w:rsid w:val="45EE269E"/>
    <w:rsid w:val="45EE77A4"/>
    <w:rsid w:val="45EE7D8D"/>
    <w:rsid w:val="45F11042"/>
    <w:rsid w:val="45F244DE"/>
    <w:rsid w:val="45F4653A"/>
    <w:rsid w:val="45F97EF6"/>
    <w:rsid w:val="45FB67D7"/>
    <w:rsid w:val="45FD79E7"/>
    <w:rsid w:val="45FE0522"/>
    <w:rsid w:val="460074D7"/>
    <w:rsid w:val="46020B59"/>
    <w:rsid w:val="46024FFD"/>
    <w:rsid w:val="46032B23"/>
    <w:rsid w:val="460743C1"/>
    <w:rsid w:val="46080139"/>
    <w:rsid w:val="460C70AB"/>
    <w:rsid w:val="460D74FE"/>
    <w:rsid w:val="46113D93"/>
    <w:rsid w:val="4616725F"/>
    <w:rsid w:val="4618037D"/>
    <w:rsid w:val="461865CE"/>
    <w:rsid w:val="46192347"/>
    <w:rsid w:val="461B071B"/>
    <w:rsid w:val="461B1C1B"/>
    <w:rsid w:val="461D1E37"/>
    <w:rsid w:val="461E41BA"/>
    <w:rsid w:val="461F516B"/>
    <w:rsid w:val="46205483"/>
    <w:rsid w:val="46256F3D"/>
    <w:rsid w:val="46266A8D"/>
    <w:rsid w:val="46284338"/>
    <w:rsid w:val="462A65A2"/>
    <w:rsid w:val="462C02CC"/>
    <w:rsid w:val="462C3E28"/>
    <w:rsid w:val="462C5BD6"/>
    <w:rsid w:val="462E5CB9"/>
    <w:rsid w:val="463351B6"/>
    <w:rsid w:val="463364C0"/>
    <w:rsid w:val="46340F2E"/>
    <w:rsid w:val="46357180"/>
    <w:rsid w:val="46377A12"/>
    <w:rsid w:val="46381AE3"/>
    <w:rsid w:val="463D7073"/>
    <w:rsid w:val="4644098E"/>
    <w:rsid w:val="46472A10"/>
    <w:rsid w:val="464B4747"/>
    <w:rsid w:val="464F5C0D"/>
    <w:rsid w:val="46511AE0"/>
    <w:rsid w:val="46534369"/>
    <w:rsid w:val="46541B0B"/>
    <w:rsid w:val="46584C1D"/>
    <w:rsid w:val="465D7879"/>
    <w:rsid w:val="466510E8"/>
    <w:rsid w:val="46651908"/>
    <w:rsid w:val="4665558C"/>
    <w:rsid w:val="466B2BA2"/>
    <w:rsid w:val="46713F31"/>
    <w:rsid w:val="46726D53"/>
    <w:rsid w:val="4674757D"/>
    <w:rsid w:val="46770F87"/>
    <w:rsid w:val="467852BF"/>
    <w:rsid w:val="4678706D"/>
    <w:rsid w:val="467908C2"/>
    <w:rsid w:val="467B090B"/>
    <w:rsid w:val="467D740B"/>
    <w:rsid w:val="467F21AA"/>
    <w:rsid w:val="46813CB3"/>
    <w:rsid w:val="46821C9A"/>
    <w:rsid w:val="468448D8"/>
    <w:rsid w:val="468679DC"/>
    <w:rsid w:val="46873754"/>
    <w:rsid w:val="46893028"/>
    <w:rsid w:val="468974CC"/>
    <w:rsid w:val="468C2B19"/>
    <w:rsid w:val="46957C1F"/>
    <w:rsid w:val="46971BE9"/>
    <w:rsid w:val="469B2D5C"/>
    <w:rsid w:val="469D0882"/>
    <w:rsid w:val="469F0A9E"/>
    <w:rsid w:val="46A84713"/>
    <w:rsid w:val="46AD52B3"/>
    <w:rsid w:val="46AE0CE1"/>
    <w:rsid w:val="46B02CAB"/>
    <w:rsid w:val="46B06807"/>
    <w:rsid w:val="46B300A5"/>
    <w:rsid w:val="46B36B91"/>
    <w:rsid w:val="46B75DE7"/>
    <w:rsid w:val="46B8390E"/>
    <w:rsid w:val="46BB51AC"/>
    <w:rsid w:val="46BB787A"/>
    <w:rsid w:val="46BD2CD2"/>
    <w:rsid w:val="46BF2EEE"/>
    <w:rsid w:val="46BF64C2"/>
    <w:rsid w:val="46C40504"/>
    <w:rsid w:val="46C51F28"/>
    <w:rsid w:val="46C70E61"/>
    <w:rsid w:val="46CC73B9"/>
    <w:rsid w:val="46CD355E"/>
    <w:rsid w:val="46CE09C1"/>
    <w:rsid w:val="46D149CF"/>
    <w:rsid w:val="46D1677D"/>
    <w:rsid w:val="46D70238"/>
    <w:rsid w:val="46D955A7"/>
    <w:rsid w:val="46D97270"/>
    <w:rsid w:val="46DA1AD6"/>
    <w:rsid w:val="46E110B6"/>
    <w:rsid w:val="46E42955"/>
    <w:rsid w:val="46E666CD"/>
    <w:rsid w:val="46E80DB5"/>
    <w:rsid w:val="46E82445"/>
    <w:rsid w:val="46EB5A91"/>
    <w:rsid w:val="46EB783F"/>
    <w:rsid w:val="46ED0E13"/>
    <w:rsid w:val="46ED1809"/>
    <w:rsid w:val="46F012F9"/>
    <w:rsid w:val="46F13E60"/>
    <w:rsid w:val="46F15894"/>
    <w:rsid w:val="46F56910"/>
    <w:rsid w:val="46F72688"/>
    <w:rsid w:val="46FA2178"/>
    <w:rsid w:val="46FA6535"/>
    <w:rsid w:val="46FD1503"/>
    <w:rsid w:val="46FD6304"/>
    <w:rsid w:val="47024B89"/>
    <w:rsid w:val="47044DA5"/>
    <w:rsid w:val="470628CB"/>
    <w:rsid w:val="4707219F"/>
    <w:rsid w:val="470923BB"/>
    <w:rsid w:val="470B7EE1"/>
    <w:rsid w:val="470E2EE7"/>
    <w:rsid w:val="471054F8"/>
    <w:rsid w:val="47124BC1"/>
    <w:rsid w:val="47133957"/>
    <w:rsid w:val="4714323A"/>
    <w:rsid w:val="471548BC"/>
    <w:rsid w:val="47176886"/>
    <w:rsid w:val="471919C1"/>
    <w:rsid w:val="471A69C9"/>
    <w:rsid w:val="471E5E67"/>
    <w:rsid w:val="472114B3"/>
    <w:rsid w:val="47217705"/>
    <w:rsid w:val="47237081"/>
    <w:rsid w:val="47246288"/>
    <w:rsid w:val="47250D5F"/>
    <w:rsid w:val="472D42FC"/>
    <w:rsid w:val="473236C0"/>
    <w:rsid w:val="47342495"/>
    <w:rsid w:val="47356D0C"/>
    <w:rsid w:val="47370CD6"/>
    <w:rsid w:val="4737208D"/>
    <w:rsid w:val="47394A4E"/>
    <w:rsid w:val="473E02B7"/>
    <w:rsid w:val="473E2065"/>
    <w:rsid w:val="474358CD"/>
    <w:rsid w:val="474478EF"/>
    <w:rsid w:val="47486A40"/>
    <w:rsid w:val="474F4272"/>
    <w:rsid w:val="47503B46"/>
    <w:rsid w:val="47503FE6"/>
    <w:rsid w:val="4750418A"/>
    <w:rsid w:val="47507FEA"/>
    <w:rsid w:val="47523D62"/>
    <w:rsid w:val="47571378"/>
    <w:rsid w:val="475911F7"/>
    <w:rsid w:val="47596E9F"/>
    <w:rsid w:val="47637D1D"/>
    <w:rsid w:val="476845ED"/>
    <w:rsid w:val="476A01DA"/>
    <w:rsid w:val="476A10AC"/>
    <w:rsid w:val="476E3D90"/>
    <w:rsid w:val="47767A51"/>
    <w:rsid w:val="47775577"/>
    <w:rsid w:val="4779329E"/>
    <w:rsid w:val="477E6905"/>
    <w:rsid w:val="47811F51"/>
    <w:rsid w:val="4783216D"/>
    <w:rsid w:val="47846F53"/>
    <w:rsid w:val="47867568"/>
    <w:rsid w:val="47887784"/>
    <w:rsid w:val="478F21EB"/>
    <w:rsid w:val="47901267"/>
    <w:rsid w:val="47953C4F"/>
    <w:rsid w:val="479B1265"/>
    <w:rsid w:val="479B74B7"/>
    <w:rsid w:val="479F062A"/>
    <w:rsid w:val="47A07E0C"/>
    <w:rsid w:val="47A619B8"/>
    <w:rsid w:val="47AA594C"/>
    <w:rsid w:val="47AE4B10"/>
    <w:rsid w:val="47B2035D"/>
    <w:rsid w:val="47B36F08"/>
    <w:rsid w:val="47B57E4D"/>
    <w:rsid w:val="47B67368"/>
    <w:rsid w:val="47B71E17"/>
    <w:rsid w:val="47B746AA"/>
    <w:rsid w:val="47BE6D02"/>
    <w:rsid w:val="47BF7F9B"/>
    <w:rsid w:val="47C00975"/>
    <w:rsid w:val="47C6205A"/>
    <w:rsid w:val="47CA7D9C"/>
    <w:rsid w:val="47CC58C3"/>
    <w:rsid w:val="47CF7161"/>
    <w:rsid w:val="47D26C51"/>
    <w:rsid w:val="47D74267"/>
    <w:rsid w:val="47D863C3"/>
    <w:rsid w:val="47DC3CA8"/>
    <w:rsid w:val="47DC523D"/>
    <w:rsid w:val="47DF34E2"/>
    <w:rsid w:val="47E0311C"/>
    <w:rsid w:val="47E32732"/>
    <w:rsid w:val="47E524E0"/>
    <w:rsid w:val="47E81FD1"/>
    <w:rsid w:val="47EA722E"/>
    <w:rsid w:val="47EF37F7"/>
    <w:rsid w:val="47F44E19"/>
    <w:rsid w:val="47FB7F56"/>
    <w:rsid w:val="47FD1E93"/>
    <w:rsid w:val="48014387"/>
    <w:rsid w:val="48036E0A"/>
    <w:rsid w:val="48041878"/>
    <w:rsid w:val="48054931"/>
    <w:rsid w:val="48082673"/>
    <w:rsid w:val="480908C5"/>
    <w:rsid w:val="480A136E"/>
    <w:rsid w:val="480B5E1D"/>
    <w:rsid w:val="480C3F11"/>
    <w:rsid w:val="480E5012"/>
    <w:rsid w:val="481132D5"/>
    <w:rsid w:val="48144482"/>
    <w:rsid w:val="48153186"/>
    <w:rsid w:val="481903DC"/>
    <w:rsid w:val="481E59F2"/>
    <w:rsid w:val="481F27F7"/>
    <w:rsid w:val="482079BC"/>
    <w:rsid w:val="48256D81"/>
    <w:rsid w:val="48270D4B"/>
    <w:rsid w:val="482A083B"/>
    <w:rsid w:val="482A25E9"/>
    <w:rsid w:val="482B265C"/>
    <w:rsid w:val="482C45B3"/>
    <w:rsid w:val="482D3E87"/>
    <w:rsid w:val="48315726"/>
    <w:rsid w:val="48335D86"/>
    <w:rsid w:val="483416BA"/>
    <w:rsid w:val="48347F7E"/>
    <w:rsid w:val="483E6094"/>
    <w:rsid w:val="4841067C"/>
    <w:rsid w:val="484511D1"/>
    <w:rsid w:val="48457423"/>
    <w:rsid w:val="48484C47"/>
    <w:rsid w:val="484A4A39"/>
    <w:rsid w:val="484C255F"/>
    <w:rsid w:val="484E0AD2"/>
    <w:rsid w:val="485811E2"/>
    <w:rsid w:val="485B27A2"/>
    <w:rsid w:val="485B4F92"/>
    <w:rsid w:val="485E04E5"/>
    <w:rsid w:val="486378A9"/>
    <w:rsid w:val="48642021"/>
    <w:rsid w:val="48650157"/>
    <w:rsid w:val="4867383D"/>
    <w:rsid w:val="486A1C17"/>
    <w:rsid w:val="486C1747"/>
    <w:rsid w:val="486D24D6"/>
    <w:rsid w:val="4870272E"/>
    <w:rsid w:val="48723461"/>
    <w:rsid w:val="48763E7B"/>
    <w:rsid w:val="487A051B"/>
    <w:rsid w:val="487B1097"/>
    <w:rsid w:val="487B4BF3"/>
    <w:rsid w:val="487C1662"/>
    <w:rsid w:val="487D6BBD"/>
    <w:rsid w:val="4880045B"/>
    <w:rsid w:val="48814D1C"/>
    <w:rsid w:val="48822425"/>
    <w:rsid w:val="48825F81"/>
    <w:rsid w:val="488404C7"/>
    <w:rsid w:val="48867CD4"/>
    <w:rsid w:val="4889543F"/>
    <w:rsid w:val="488C32A4"/>
    <w:rsid w:val="488C5052"/>
    <w:rsid w:val="488F68F0"/>
    <w:rsid w:val="489050BE"/>
    <w:rsid w:val="48952158"/>
    <w:rsid w:val="48961A2D"/>
    <w:rsid w:val="489D100D"/>
    <w:rsid w:val="489D2DBB"/>
    <w:rsid w:val="48A36846"/>
    <w:rsid w:val="48A4239B"/>
    <w:rsid w:val="48A466CE"/>
    <w:rsid w:val="48A51C70"/>
    <w:rsid w:val="48A534D7"/>
    <w:rsid w:val="48A64365"/>
    <w:rsid w:val="48A73C3A"/>
    <w:rsid w:val="48B00D40"/>
    <w:rsid w:val="48B87BF5"/>
    <w:rsid w:val="48B9571B"/>
    <w:rsid w:val="48BA396D"/>
    <w:rsid w:val="48BC0D87"/>
    <w:rsid w:val="48BD345D"/>
    <w:rsid w:val="48BD520B"/>
    <w:rsid w:val="48BF0F83"/>
    <w:rsid w:val="48C04DCB"/>
    <w:rsid w:val="48C4659A"/>
    <w:rsid w:val="48C53D36"/>
    <w:rsid w:val="48C90054"/>
    <w:rsid w:val="48C91E02"/>
    <w:rsid w:val="48CA7928"/>
    <w:rsid w:val="48CB5B7A"/>
    <w:rsid w:val="48CD108C"/>
    <w:rsid w:val="48CD2E1A"/>
    <w:rsid w:val="48D3302F"/>
    <w:rsid w:val="48D72771"/>
    <w:rsid w:val="48D80297"/>
    <w:rsid w:val="48D83DF3"/>
    <w:rsid w:val="48D94F98"/>
    <w:rsid w:val="48DA5DBD"/>
    <w:rsid w:val="48DB1977"/>
    <w:rsid w:val="48DF0B70"/>
    <w:rsid w:val="48DF5182"/>
    <w:rsid w:val="48E00EFA"/>
    <w:rsid w:val="48E03492"/>
    <w:rsid w:val="48E076C9"/>
    <w:rsid w:val="48E21116"/>
    <w:rsid w:val="48E22EC4"/>
    <w:rsid w:val="48E629B4"/>
    <w:rsid w:val="48E924A4"/>
    <w:rsid w:val="48EC3300"/>
    <w:rsid w:val="48EE58E8"/>
    <w:rsid w:val="48EF5D2E"/>
    <w:rsid w:val="48F0738F"/>
    <w:rsid w:val="48F549A5"/>
    <w:rsid w:val="48F72E22"/>
    <w:rsid w:val="48F74BC1"/>
    <w:rsid w:val="48F7696F"/>
    <w:rsid w:val="48FA1472"/>
    <w:rsid w:val="48FA645F"/>
    <w:rsid w:val="490115D2"/>
    <w:rsid w:val="49044BE8"/>
    <w:rsid w:val="4907292A"/>
    <w:rsid w:val="49080B7C"/>
    <w:rsid w:val="490A3089"/>
    <w:rsid w:val="490C7F41"/>
    <w:rsid w:val="490D78A6"/>
    <w:rsid w:val="490E1F0B"/>
    <w:rsid w:val="49156DF5"/>
    <w:rsid w:val="49162368"/>
    <w:rsid w:val="491A265E"/>
    <w:rsid w:val="491D19BF"/>
    <w:rsid w:val="491D214E"/>
    <w:rsid w:val="491D5CAA"/>
    <w:rsid w:val="491F7C74"/>
    <w:rsid w:val="49255DFC"/>
    <w:rsid w:val="49276B29"/>
    <w:rsid w:val="492B486B"/>
    <w:rsid w:val="492C24DC"/>
    <w:rsid w:val="492E7EB7"/>
    <w:rsid w:val="49325BF9"/>
    <w:rsid w:val="4933371F"/>
    <w:rsid w:val="49362ED7"/>
    <w:rsid w:val="49380D36"/>
    <w:rsid w:val="49385C0C"/>
    <w:rsid w:val="4938670B"/>
    <w:rsid w:val="493D3419"/>
    <w:rsid w:val="493F54EA"/>
    <w:rsid w:val="49410206"/>
    <w:rsid w:val="49424029"/>
    <w:rsid w:val="49425710"/>
    <w:rsid w:val="49431BB4"/>
    <w:rsid w:val="49463453"/>
    <w:rsid w:val="494816E4"/>
    <w:rsid w:val="49492F43"/>
    <w:rsid w:val="494B0A69"/>
    <w:rsid w:val="494B472D"/>
    <w:rsid w:val="494E2307"/>
    <w:rsid w:val="4950607F"/>
    <w:rsid w:val="49585496"/>
    <w:rsid w:val="495913D8"/>
    <w:rsid w:val="495A6EFE"/>
    <w:rsid w:val="495F2766"/>
    <w:rsid w:val="496164DE"/>
    <w:rsid w:val="49697141"/>
    <w:rsid w:val="496B2EB9"/>
    <w:rsid w:val="496C291C"/>
    <w:rsid w:val="496D32A5"/>
    <w:rsid w:val="496E4757"/>
    <w:rsid w:val="496F62BB"/>
    <w:rsid w:val="497266D3"/>
    <w:rsid w:val="4977360C"/>
    <w:rsid w:val="49793828"/>
    <w:rsid w:val="497C0C22"/>
    <w:rsid w:val="498015D8"/>
    <w:rsid w:val="49804BB7"/>
    <w:rsid w:val="49805A76"/>
    <w:rsid w:val="49811327"/>
    <w:rsid w:val="498126DD"/>
    <w:rsid w:val="49815D26"/>
    <w:rsid w:val="49816239"/>
    <w:rsid w:val="49861AA1"/>
    <w:rsid w:val="49877112"/>
    <w:rsid w:val="498A77E3"/>
    <w:rsid w:val="49902920"/>
    <w:rsid w:val="499046CE"/>
    <w:rsid w:val="4990798C"/>
    <w:rsid w:val="49912D54"/>
    <w:rsid w:val="499441BE"/>
    <w:rsid w:val="49951AC7"/>
    <w:rsid w:val="49957E72"/>
    <w:rsid w:val="49995C78"/>
    <w:rsid w:val="499A452E"/>
    <w:rsid w:val="499F2B63"/>
    <w:rsid w:val="49A32653"/>
    <w:rsid w:val="49A3380F"/>
    <w:rsid w:val="49A81A70"/>
    <w:rsid w:val="49A918FB"/>
    <w:rsid w:val="49AA1FDC"/>
    <w:rsid w:val="49AA31B5"/>
    <w:rsid w:val="49AB59AC"/>
    <w:rsid w:val="49AB775A"/>
    <w:rsid w:val="49AC538B"/>
    <w:rsid w:val="49AD1724"/>
    <w:rsid w:val="49AE2DA6"/>
    <w:rsid w:val="49B605D8"/>
    <w:rsid w:val="49B753C7"/>
    <w:rsid w:val="49B900C8"/>
    <w:rsid w:val="49BA799D"/>
    <w:rsid w:val="49BC2721"/>
    <w:rsid w:val="49C20652"/>
    <w:rsid w:val="49C32CF5"/>
    <w:rsid w:val="49C56A6D"/>
    <w:rsid w:val="49C64593"/>
    <w:rsid w:val="49C751FD"/>
    <w:rsid w:val="49C97B1D"/>
    <w:rsid w:val="49CA4084"/>
    <w:rsid w:val="49CF169A"/>
    <w:rsid w:val="49D2118A"/>
    <w:rsid w:val="49D40682"/>
    <w:rsid w:val="49D4280C"/>
    <w:rsid w:val="49D62A28"/>
    <w:rsid w:val="49D7054F"/>
    <w:rsid w:val="49D767A1"/>
    <w:rsid w:val="49DC7715"/>
    <w:rsid w:val="49E01723"/>
    <w:rsid w:val="49E04077"/>
    <w:rsid w:val="49E113CD"/>
    <w:rsid w:val="49E1317B"/>
    <w:rsid w:val="49E8275C"/>
    <w:rsid w:val="49E968C3"/>
    <w:rsid w:val="49EB1A27"/>
    <w:rsid w:val="49EB7B56"/>
    <w:rsid w:val="49EC224C"/>
    <w:rsid w:val="49ED0C6B"/>
    <w:rsid w:val="49EF3AEA"/>
    <w:rsid w:val="49EF7646"/>
    <w:rsid w:val="49F033BE"/>
    <w:rsid w:val="49F20EE5"/>
    <w:rsid w:val="49F44C5D"/>
    <w:rsid w:val="49F53598"/>
    <w:rsid w:val="49F64D3C"/>
    <w:rsid w:val="49F7299F"/>
    <w:rsid w:val="49F96717"/>
    <w:rsid w:val="49FC1D63"/>
    <w:rsid w:val="49FC7FB5"/>
    <w:rsid w:val="49FD6207"/>
    <w:rsid w:val="4A0140F5"/>
    <w:rsid w:val="4A023139"/>
    <w:rsid w:val="4A03113E"/>
    <w:rsid w:val="4A0328F9"/>
    <w:rsid w:val="4A092165"/>
    <w:rsid w:val="4A0A26D2"/>
    <w:rsid w:val="4A0A7296"/>
    <w:rsid w:val="4A0D21C2"/>
    <w:rsid w:val="4A0F1A96"/>
    <w:rsid w:val="4A0F5F3A"/>
    <w:rsid w:val="4A17094B"/>
    <w:rsid w:val="4A174DEF"/>
    <w:rsid w:val="4A1E617D"/>
    <w:rsid w:val="4A2410AF"/>
    <w:rsid w:val="4A247CED"/>
    <w:rsid w:val="4A273284"/>
    <w:rsid w:val="4A2819C9"/>
    <w:rsid w:val="4A2C089A"/>
    <w:rsid w:val="4A2C2648"/>
    <w:rsid w:val="4A2D0E0E"/>
    <w:rsid w:val="4A2F073B"/>
    <w:rsid w:val="4A304D07"/>
    <w:rsid w:val="4A314103"/>
    <w:rsid w:val="4A353E64"/>
    <w:rsid w:val="4A3B0ADD"/>
    <w:rsid w:val="4A3E05CE"/>
    <w:rsid w:val="4A413C1A"/>
    <w:rsid w:val="4A435BE4"/>
    <w:rsid w:val="4A4756D4"/>
    <w:rsid w:val="4A477482"/>
    <w:rsid w:val="4A492030"/>
    <w:rsid w:val="4A53662B"/>
    <w:rsid w:val="4A600544"/>
    <w:rsid w:val="4A6022F2"/>
    <w:rsid w:val="4A633B90"/>
    <w:rsid w:val="4A695243"/>
    <w:rsid w:val="4A6A3171"/>
    <w:rsid w:val="4A6D4A0F"/>
    <w:rsid w:val="4A6F2535"/>
    <w:rsid w:val="4A712751"/>
    <w:rsid w:val="4A727F0E"/>
    <w:rsid w:val="4A730277"/>
    <w:rsid w:val="4A742241"/>
    <w:rsid w:val="4A754154"/>
    <w:rsid w:val="4A761B16"/>
    <w:rsid w:val="4A767D68"/>
    <w:rsid w:val="4A791606"/>
    <w:rsid w:val="4A7B537E"/>
    <w:rsid w:val="4A7B576F"/>
    <w:rsid w:val="4A7E09CA"/>
    <w:rsid w:val="4A802994"/>
    <w:rsid w:val="4A82495E"/>
    <w:rsid w:val="4A82670C"/>
    <w:rsid w:val="4A857FAB"/>
    <w:rsid w:val="4A895CED"/>
    <w:rsid w:val="4A8C38A0"/>
    <w:rsid w:val="4A8D10ED"/>
    <w:rsid w:val="4A8E09AD"/>
    <w:rsid w:val="4A8E50B1"/>
    <w:rsid w:val="4A8F4985"/>
    <w:rsid w:val="4A8F7F71"/>
    <w:rsid w:val="4A9401EE"/>
    <w:rsid w:val="4A954692"/>
    <w:rsid w:val="4A9B05A9"/>
    <w:rsid w:val="4A9F106C"/>
    <w:rsid w:val="4A9F72BE"/>
    <w:rsid w:val="4AA30431"/>
    <w:rsid w:val="4AA448D5"/>
    <w:rsid w:val="4AA5064D"/>
    <w:rsid w:val="4AAA6481"/>
    <w:rsid w:val="4AAD305D"/>
    <w:rsid w:val="4AAF6887"/>
    <w:rsid w:val="4AB03279"/>
    <w:rsid w:val="4AB04516"/>
    <w:rsid w:val="4AB16FF2"/>
    <w:rsid w:val="4AB368C6"/>
    <w:rsid w:val="4AB50890"/>
    <w:rsid w:val="4ABB1C1E"/>
    <w:rsid w:val="4ABB577A"/>
    <w:rsid w:val="4ABD30CC"/>
    <w:rsid w:val="4AC07235"/>
    <w:rsid w:val="4AC15D58"/>
    <w:rsid w:val="4AC22FAD"/>
    <w:rsid w:val="4AC40AD3"/>
    <w:rsid w:val="4AC46D25"/>
    <w:rsid w:val="4AC705C3"/>
    <w:rsid w:val="4ACA3C0F"/>
    <w:rsid w:val="4ACF05F5"/>
    <w:rsid w:val="4AD11442"/>
    <w:rsid w:val="4AD131F0"/>
    <w:rsid w:val="4AD60806"/>
    <w:rsid w:val="4ADB18EB"/>
    <w:rsid w:val="4ADE7383"/>
    <w:rsid w:val="4ADF355A"/>
    <w:rsid w:val="4AE0544B"/>
    <w:rsid w:val="4AE5022F"/>
    <w:rsid w:val="4AE7656F"/>
    <w:rsid w:val="4AE779C2"/>
    <w:rsid w:val="4AE97F15"/>
    <w:rsid w:val="4AEA4061"/>
    <w:rsid w:val="4AEB2504"/>
    <w:rsid w:val="4AEE5B50"/>
    <w:rsid w:val="4AF37CCE"/>
    <w:rsid w:val="4AF64A04"/>
    <w:rsid w:val="4AF869CF"/>
    <w:rsid w:val="4AF95AE8"/>
    <w:rsid w:val="4AFB201B"/>
    <w:rsid w:val="4AFE2ACC"/>
    <w:rsid w:val="4B0042F9"/>
    <w:rsid w:val="4B0F5512"/>
    <w:rsid w:val="4B11183E"/>
    <w:rsid w:val="4B137364"/>
    <w:rsid w:val="4B1732F9"/>
    <w:rsid w:val="4B187071"/>
    <w:rsid w:val="4B1A6945"/>
    <w:rsid w:val="4B1D4687"/>
    <w:rsid w:val="4B217CD3"/>
    <w:rsid w:val="4B223A4B"/>
    <w:rsid w:val="4B271062"/>
    <w:rsid w:val="4B2B0B52"/>
    <w:rsid w:val="4B2C48CA"/>
    <w:rsid w:val="4B307F16"/>
    <w:rsid w:val="4B35377F"/>
    <w:rsid w:val="4B3774F7"/>
    <w:rsid w:val="4B386DCB"/>
    <w:rsid w:val="4B3F72F1"/>
    <w:rsid w:val="4B441C14"/>
    <w:rsid w:val="4B48362D"/>
    <w:rsid w:val="4B4C0AC8"/>
    <w:rsid w:val="4B4C2876"/>
    <w:rsid w:val="4B555BCF"/>
    <w:rsid w:val="4B5A4F93"/>
    <w:rsid w:val="4B5C0D0B"/>
    <w:rsid w:val="4B5F09E6"/>
    <w:rsid w:val="4B616322"/>
    <w:rsid w:val="4B6202EC"/>
    <w:rsid w:val="4B6422B6"/>
    <w:rsid w:val="4B6573C5"/>
    <w:rsid w:val="4B6978CC"/>
    <w:rsid w:val="4B6C4CC7"/>
    <w:rsid w:val="4B6D2F19"/>
    <w:rsid w:val="4B736055"/>
    <w:rsid w:val="4B777E35"/>
    <w:rsid w:val="4B797B0F"/>
    <w:rsid w:val="4B7B4D7B"/>
    <w:rsid w:val="4B7C13AE"/>
    <w:rsid w:val="4B7D55E8"/>
    <w:rsid w:val="4B7F2C4C"/>
    <w:rsid w:val="4B8058CD"/>
    <w:rsid w:val="4B8402B1"/>
    <w:rsid w:val="4B8509FE"/>
    <w:rsid w:val="4B863FDA"/>
    <w:rsid w:val="4B865D88"/>
    <w:rsid w:val="4B8940F4"/>
    <w:rsid w:val="4B92297F"/>
    <w:rsid w:val="4B9318F2"/>
    <w:rsid w:val="4B9366F7"/>
    <w:rsid w:val="4B9506C1"/>
    <w:rsid w:val="4B9530C4"/>
    <w:rsid w:val="4B983D0E"/>
    <w:rsid w:val="4B9F6E4A"/>
    <w:rsid w:val="4BA17066"/>
    <w:rsid w:val="4BA426B2"/>
    <w:rsid w:val="4BA803F5"/>
    <w:rsid w:val="4BA821A3"/>
    <w:rsid w:val="4BA97CC9"/>
    <w:rsid w:val="4BAB3A41"/>
    <w:rsid w:val="4BAB57EF"/>
    <w:rsid w:val="4BAE52DF"/>
    <w:rsid w:val="4BAF6219"/>
    <w:rsid w:val="4BB01057"/>
    <w:rsid w:val="4BB26B7D"/>
    <w:rsid w:val="4BB943B0"/>
    <w:rsid w:val="4BBA3C84"/>
    <w:rsid w:val="4BBC5C4E"/>
    <w:rsid w:val="4BBF594C"/>
    <w:rsid w:val="4BC0068E"/>
    <w:rsid w:val="4BC468B1"/>
    <w:rsid w:val="4BC52D55"/>
    <w:rsid w:val="4BC82845"/>
    <w:rsid w:val="4BD3035B"/>
    <w:rsid w:val="4BD626E7"/>
    <w:rsid w:val="4BD759D7"/>
    <w:rsid w:val="4BD765E4"/>
    <w:rsid w:val="4BD905AE"/>
    <w:rsid w:val="4BDA1742"/>
    <w:rsid w:val="4BDA60D4"/>
    <w:rsid w:val="4BDC009E"/>
    <w:rsid w:val="4BDE3E16"/>
    <w:rsid w:val="4BE156B5"/>
    <w:rsid w:val="4BE551A5"/>
    <w:rsid w:val="4BE62CCB"/>
    <w:rsid w:val="4BEA27BB"/>
    <w:rsid w:val="4BEB02E1"/>
    <w:rsid w:val="4BEB6533"/>
    <w:rsid w:val="4BED22AB"/>
    <w:rsid w:val="4BEE392E"/>
    <w:rsid w:val="4BF61160"/>
    <w:rsid w:val="4BF62612"/>
    <w:rsid w:val="4BF70A34"/>
    <w:rsid w:val="4BF70D1F"/>
    <w:rsid w:val="4BF90C50"/>
    <w:rsid w:val="4BFC24EE"/>
    <w:rsid w:val="4BFC604B"/>
    <w:rsid w:val="4BFF5B3B"/>
    <w:rsid w:val="4C0118B3"/>
    <w:rsid w:val="4C01255B"/>
    <w:rsid w:val="4C0575F5"/>
    <w:rsid w:val="4C072813"/>
    <w:rsid w:val="4C0A2342"/>
    <w:rsid w:val="4C0B2731"/>
    <w:rsid w:val="4C0D2006"/>
    <w:rsid w:val="4C107D48"/>
    <w:rsid w:val="4C115F9A"/>
    <w:rsid w:val="4C11613A"/>
    <w:rsid w:val="4C12586E"/>
    <w:rsid w:val="4C15535E"/>
    <w:rsid w:val="4C177328"/>
    <w:rsid w:val="4C196BFC"/>
    <w:rsid w:val="4C1B0BC7"/>
    <w:rsid w:val="4C1C011A"/>
    <w:rsid w:val="4C20442F"/>
    <w:rsid w:val="4C204881"/>
    <w:rsid w:val="4C215AB1"/>
    <w:rsid w:val="4C2757BD"/>
    <w:rsid w:val="4C2E4820"/>
    <w:rsid w:val="4C2F01CE"/>
    <w:rsid w:val="4C2F1256"/>
    <w:rsid w:val="4C3103EA"/>
    <w:rsid w:val="4C327CBE"/>
    <w:rsid w:val="4C343841"/>
    <w:rsid w:val="4C392213"/>
    <w:rsid w:val="4C3B4DC5"/>
    <w:rsid w:val="4C3B6274"/>
    <w:rsid w:val="4C4109A5"/>
    <w:rsid w:val="4C4719BC"/>
    <w:rsid w:val="4C4874E2"/>
    <w:rsid w:val="4C4A0649"/>
    <w:rsid w:val="4C4C5224"/>
    <w:rsid w:val="4C511115"/>
    <w:rsid w:val="4C516396"/>
    <w:rsid w:val="4C5D5CF6"/>
    <w:rsid w:val="4C667968"/>
    <w:rsid w:val="4C675BBA"/>
    <w:rsid w:val="4C6B091A"/>
    <w:rsid w:val="4C6C226D"/>
    <w:rsid w:val="4C6D0CF6"/>
    <w:rsid w:val="4C6E50DF"/>
    <w:rsid w:val="4C713CFE"/>
    <w:rsid w:val="4C716A38"/>
    <w:rsid w:val="4C744019"/>
    <w:rsid w:val="4C79769B"/>
    <w:rsid w:val="4C7E4CB1"/>
    <w:rsid w:val="4C804ECE"/>
    <w:rsid w:val="4C83051A"/>
    <w:rsid w:val="4C87000A"/>
    <w:rsid w:val="4C8C73CE"/>
    <w:rsid w:val="4C94244E"/>
    <w:rsid w:val="4C9857B2"/>
    <w:rsid w:val="4C9D782D"/>
    <w:rsid w:val="4CA02E7A"/>
    <w:rsid w:val="4CA0731E"/>
    <w:rsid w:val="4CA24E44"/>
    <w:rsid w:val="4CA276AB"/>
    <w:rsid w:val="4CA412EE"/>
    <w:rsid w:val="4CA50490"/>
    <w:rsid w:val="4CA54934"/>
    <w:rsid w:val="4CB132D9"/>
    <w:rsid w:val="4CB22BAD"/>
    <w:rsid w:val="4CB30DFF"/>
    <w:rsid w:val="4CBF59F6"/>
    <w:rsid w:val="4CC0176E"/>
    <w:rsid w:val="4CC21042"/>
    <w:rsid w:val="4CC215D8"/>
    <w:rsid w:val="4CC2206D"/>
    <w:rsid w:val="4CC4300C"/>
    <w:rsid w:val="4CC50B32"/>
    <w:rsid w:val="4CC528E0"/>
    <w:rsid w:val="4CC622E8"/>
    <w:rsid w:val="4CC72AFC"/>
    <w:rsid w:val="4CC76658"/>
    <w:rsid w:val="4CCE3E8B"/>
    <w:rsid w:val="4CCE58CF"/>
    <w:rsid w:val="4CD15729"/>
    <w:rsid w:val="4CD3324F"/>
    <w:rsid w:val="4CD40D75"/>
    <w:rsid w:val="4CD66EB3"/>
    <w:rsid w:val="4CDB0356"/>
    <w:rsid w:val="4CDD5E7C"/>
    <w:rsid w:val="4CE27936"/>
    <w:rsid w:val="4CE42B3C"/>
    <w:rsid w:val="4CE4647E"/>
    <w:rsid w:val="4CE470D3"/>
    <w:rsid w:val="4CE52F83"/>
    <w:rsid w:val="4CE92184"/>
    <w:rsid w:val="4CED0898"/>
    <w:rsid w:val="4CEE62DB"/>
    <w:rsid w:val="4CEF5BAF"/>
    <w:rsid w:val="4CF809E5"/>
    <w:rsid w:val="4D023C3A"/>
    <w:rsid w:val="4D0347ED"/>
    <w:rsid w:val="4D04450E"/>
    <w:rsid w:val="4D0478A8"/>
    <w:rsid w:val="4D07444D"/>
    <w:rsid w:val="4D090A1F"/>
    <w:rsid w:val="4D0A4797"/>
    <w:rsid w:val="4D0D77FD"/>
    <w:rsid w:val="4D1004F6"/>
    <w:rsid w:val="4D13189E"/>
    <w:rsid w:val="4D153868"/>
    <w:rsid w:val="4D155616"/>
    <w:rsid w:val="4D191506"/>
    <w:rsid w:val="4D1A36F9"/>
    <w:rsid w:val="4D1D44CA"/>
    <w:rsid w:val="4D243AAB"/>
    <w:rsid w:val="4D2770F7"/>
    <w:rsid w:val="4D286149"/>
    <w:rsid w:val="4D301632"/>
    <w:rsid w:val="4D355CB8"/>
    <w:rsid w:val="4D3B1C54"/>
    <w:rsid w:val="4D3B2BA3"/>
    <w:rsid w:val="4D3D2DBF"/>
    <w:rsid w:val="4D3D4B6D"/>
    <w:rsid w:val="4D3D691B"/>
    <w:rsid w:val="4D3D72F9"/>
    <w:rsid w:val="4D3F481B"/>
    <w:rsid w:val="4D41465D"/>
    <w:rsid w:val="4D4203D5"/>
    <w:rsid w:val="4D461C73"/>
    <w:rsid w:val="4D467EC5"/>
    <w:rsid w:val="4D470D2F"/>
    <w:rsid w:val="4D4952BF"/>
    <w:rsid w:val="4D4A6344"/>
    <w:rsid w:val="4D4C3002"/>
    <w:rsid w:val="4D4F66DD"/>
    <w:rsid w:val="4D5048A0"/>
    <w:rsid w:val="4D511823"/>
    <w:rsid w:val="4D534390"/>
    <w:rsid w:val="4D551EB6"/>
    <w:rsid w:val="4D5716EC"/>
    <w:rsid w:val="4D583754"/>
    <w:rsid w:val="4D622825"/>
    <w:rsid w:val="4D64659D"/>
    <w:rsid w:val="4D6473B4"/>
    <w:rsid w:val="4D70238D"/>
    <w:rsid w:val="4D73058E"/>
    <w:rsid w:val="4D782FD9"/>
    <w:rsid w:val="4D7D140D"/>
    <w:rsid w:val="4D806F98"/>
    <w:rsid w:val="4D834C75"/>
    <w:rsid w:val="4D84279B"/>
    <w:rsid w:val="4D8602C2"/>
    <w:rsid w:val="4D880DF6"/>
    <w:rsid w:val="4D8B3B2A"/>
    <w:rsid w:val="4D8E361A"/>
    <w:rsid w:val="4D8F45EB"/>
    <w:rsid w:val="4D910B7E"/>
    <w:rsid w:val="4D956757"/>
    <w:rsid w:val="4D983AE6"/>
    <w:rsid w:val="4D9C1893"/>
    <w:rsid w:val="4D9E78F3"/>
    <w:rsid w:val="4D9F75D5"/>
    <w:rsid w:val="4DA27D4A"/>
    <w:rsid w:val="4DA326D4"/>
    <w:rsid w:val="4DA44CDC"/>
    <w:rsid w:val="4DA60964"/>
    <w:rsid w:val="4DA67FC9"/>
    <w:rsid w:val="4DA70238"/>
    <w:rsid w:val="4DA7075E"/>
    <w:rsid w:val="4DA846DC"/>
    <w:rsid w:val="4DAB3098"/>
    <w:rsid w:val="4DAB40F0"/>
    <w:rsid w:val="4DAD1CF2"/>
    <w:rsid w:val="4DAE0572"/>
    <w:rsid w:val="4DB43081"/>
    <w:rsid w:val="4DBA61BD"/>
    <w:rsid w:val="4DBE2C0C"/>
    <w:rsid w:val="4DC112FA"/>
    <w:rsid w:val="4DC31F9D"/>
    <w:rsid w:val="4DC66910"/>
    <w:rsid w:val="4DC82688"/>
    <w:rsid w:val="4DCD7C9F"/>
    <w:rsid w:val="4DCE1C69"/>
    <w:rsid w:val="4DCE2B1A"/>
    <w:rsid w:val="4DCF687D"/>
    <w:rsid w:val="4DD70B1D"/>
    <w:rsid w:val="4DD85AB8"/>
    <w:rsid w:val="4DD8667B"/>
    <w:rsid w:val="4DD94895"/>
    <w:rsid w:val="4DDA06F9"/>
    <w:rsid w:val="4DDB20CA"/>
    <w:rsid w:val="4DDE1EAC"/>
    <w:rsid w:val="4DE17BEE"/>
    <w:rsid w:val="4DE21C50"/>
    <w:rsid w:val="4DEB281B"/>
    <w:rsid w:val="4DEB45C9"/>
    <w:rsid w:val="4DEC4FB0"/>
    <w:rsid w:val="4DED6593"/>
    <w:rsid w:val="4DEF6FAE"/>
    <w:rsid w:val="4DF647A7"/>
    <w:rsid w:val="4DFF6CE0"/>
    <w:rsid w:val="4E0062C6"/>
    <w:rsid w:val="4E037B64"/>
    <w:rsid w:val="4E070B9A"/>
    <w:rsid w:val="4E075D8A"/>
    <w:rsid w:val="4E08517B"/>
    <w:rsid w:val="4E0A0EF3"/>
    <w:rsid w:val="4E0B07C7"/>
    <w:rsid w:val="4E0B6A19"/>
    <w:rsid w:val="4E0F6509"/>
    <w:rsid w:val="4E1171B8"/>
    <w:rsid w:val="4E125FF9"/>
    <w:rsid w:val="4E143B1F"/>
    <w:rsid w:val="4E1C29D4"/>
    <w:rsid w:val="4E1C6E78"/>
    <w:rsid w:val="4E1E674C"/>
    <w:rsid w:val="4E2077F1"/>
    <w:rsid w:val="4E232905"/>
    <w:rsid w:val="4E235B10"/>
    <w:rsid w:val="4E257ADB"/>
    <w:rsid w:val="4E263853"/>
    <w:rsid w:val="4E265601"/>
    <w:rsid w:val="4E2B4904"/>
    <w:rsid w:val="4E2F00CD"/>
    <w:rsid w:val="4E30022D"/>
    <w:rsid w:val="4E361CE8"/>
    <w:rsid w:val="4E393586"/>
    <w:rsid w:val="4E3B72FE"/>
    <w:rsid w:val="4E3C3076"/>
    <w:rsid w:val="4E3E386B"/>
    <w:rsid w:val="4E41243B"/>
    <w:rsid w:val="4E43575C"/>
    <w:rsid w:val="4E4A7541"/>
    <w:rsid w:val="4E4B537E"/>
    <w:rsid w:val="4E4D0DDF"/>
    <w:rsid w:val="4E4E3531"/>
    <w:rsid w:val="4E4F21B5"/>
    <w:rsid w:val="4E5008D0"/>
    <w:rsid w:val="4E516B22"/>
    <w:rsid w:val="4E5466E1"/>
    <w:rsid w:val="4E557B71"/>
    <w:rsid w:val="4E586D7B"/>
    <w:rsid w:val="4E5B17E2"/>
    <w:rsid w:val="4E5C64FB"/>
    <w:rsid w:val="4E612B82"/>
    <w:rsid w:val="4E630603"/>
    <w:rsid w:val="4E65437B"/>
    <w:rsid w:val="4E656129"/>
    <w:rsid w:val="4E6C0560"/>
    <w:rsid w:val="4E6C395B"/>
    <w:rsid w:val="4E6C5709"/>
    <w:rsid w:val="4E704ACE"/>
    <w:rsid w:val="4E7445BE"/>
    <w:rsid w:val="4E790595"/>
    <w:rsid w:val="4E796078"/>
    <w:rsid w:val="4E797E26"/>
    <w:rsid w:val="4E8011B5"/>
    <w:rsid w:val="4E850579"/>
    <w:rsid w:val="4E862CA3"/>
    <w:rsid w:val="4E8649E8"/>
    <w:rsid w:val="4E87155B"/>
    <w:rsid w:val="4E87437C"/>
    <w:rsid w:val="4E8A5B90"/>
    <w:rsid w:val="4E8C2811"/>
    <w:rsid w:val="4E922C96"/>
    <w:rsid w:val="4E992277"/>
    <w:rsid w:val="4E9B7D9D"/>
    <w:rsid w:val="4E9D60A3"/>
    <w:rsid w:val="4EA12ED9"/>
    <w:rsid w:val="4EA35EC7"/>
    <w:rsid w:val="4EA43198"/>
    <w:rsid w:val="4EA56E6D"/>
    <w:rsid w:val="4EAA6232"/>
    <w:rsid w:val="4EAC3D58"/>
    <w:rsid w:val="4EAF0A8D"/>
    <w:rsid w:val="4EB257AD"/>
    <w:rsid w:val="4EB513C3"/>
    <w:rsid w:val="4EB64BD7"/>
    <w:rsid w:val="4EB90223"/>
    <w:rsid w:val="4EBC506D"/>
    <w:rsid w:val="4EBD5A47"/>
    <w:rsid w:val="4EC512BE"/>
    <w:rsid w:val="4EC54E1A"/>
    <w:rsid w:val="4EC72940"/>
    <w:rsid w:val="4EC76DE4"/>
    <w:rsid w:val="4EC8490A"/>
    <w:rsid w:val="4EC927B3"/>
    <w:rsid w:val="4ECA2430"/>
    <w:rsid w:val="4ECA68D4"/>
    <w:rsid w:val="4ECE6CED"/>
    <w:rsid w:val="4ED355A0"/>
    <w:rsid w:val="4ED3756D"/>
    <w:rsid w:val="4ED432AF"/>
    <w:rsid w:val="4ED4505D"/>
    <w:rsid w:val="4ED569E4"/>
    <w:rsid w:val="4ED60DD5"/>
    <w:rsid w:val="4ED92673"/>
    <w:rsid w:val="4EDD03B5"/>
    <w:rsid w:val="4EDD2163"/>
    <w:rsid w:val="4EDF257D"/>
    <w:rsid w:val="4EE01C53"/>
    <w:rsid w:val="4EE15D33"/>
    <w:rsid w:val="4EE17099"/>
    <w:rsid w:val="4EE51018"/>
    <w:rsid w:val="4EE527CC"/>
    <w:rsid w:val="4EE85483"/>
    <w:rsid w:val="4EE96D5A"/>
    <w:rsid w:val="4EEE25C2"/>
    <w:rsid w:val="4EF474AD"/>
    <w:rsid w:val="4EFB504C"/>
    <w:rsid w:val="4EFB5199"/>
    <w:rsid w:val="4EFB6A8D"/>
    <w:rsid w:val="4EFD2805"/>
    <w:rsid w:val="4EFD45B3"/>
    <w:rsid w:val="4F0022F6"/>
    <w:rsid w:val="4F02503B"/>
    <w:rsid w:val="4F053468"/>
    <w:rsid w:val="4F0973FC"/>
    <w:rsid w:val="4F097463"/>
    <w:rsid w:val="4F0A4F22"/>
    <w:rsid w:val="4F0B3174"/>
    <w:rsid w:val="4F0C0C9A"/>
    <w:rsid w:val="4F0D4088"/>
    <w:rsid w:val="4F0E4A13"/>
    <w:rsid w:val="4F1638C7"/>
    <w:rsid w:val="4F181241"/>
    <w:rsid w:val="4F186803"/>
    <w:rsid w:val="4F1B0EDE"/>
    <w:rsid w:val="4F20745B"/>
    <w:rsid w:val="4F213B38"/>
    <w:rsid w:val="4F245363"/>
    <w:rsid w:val="4F277882"/>
    <w:rsid w:val="4F2908FF"/>
    <w:rsid w:val="4F310701"/>
    <w:rsid w:val="4F334479"/>
    <w:rsid w:val="4F361873"/>
    <w:rsid w:val="4F3855EC"/>
    <w:rsid w:val="4F3B1580"/>
    <w:rsid w:val="4F3D70A6"/>
    <w:rsid w:val="4F42760C"/>
    <w:rsid w:val="4F4641AC"/>
    <w:rsid w:val="4F473A81"/>
    <w:rsid w:val="4F495A4B"/>
    <w:rsid w:val="4F4A531F"/>
    <w:rsid w:val="4F4C1097"/>
    <w:rsid w:val="4F4D103E"/>
    <w:rsid w:val="4F50502B"/>
    <w:rsid w:val="4F5477B1"/>
    <w:rsid w:val="4F561F16"/>
    <w:rsid w:val="4F566538"/>
    <w:rsid w:val="4F587A3C"/>
    <w:rsid w:val="4F5A30F9"/>
    <w:rsid w:val="4F5A7C58"/>
    <w:rsid w:val="4F5F0DCA"/>
    <w:rsid w:val="4F6005A7"/>
    <w:rsid w:val="4F636270"/>
    <w:rsid w:val="4F6B59C1"/>
    <w:rsid w:val="4F730D1A"/>
    <w:rsid w:val="4F7328A8"/>
    <w:rsid w:val="4F732AC8"/>
    <w:rsid w:val="4F770156"/>
    <w:rsid w:val="4F7C0B50"/>
    <w:rsid w:val="4F7C5E20"/>
    <w:rsid w:val="4F7D2F66"/>
    <w:rsid w:val="4F884993"/>
    <w:rsid w:val="4F885589"/>
    <w:rsid w:val="4F8B1BBF"/>
    <w:rsid w:val="4F8E237C"/>
    <w:rsid w:val="4F8E6A6F"/>
    <w:rsid w:val="4F912F4E"/>
    <w:rsid w:val="4F9273F2"/>
    <w:rsid w:val="4F9A0054"/>
    <w:rsid w:val="4F9A44F8"/>
    <w:rsid w:val="4F9B0E06"/>
    <w:rsid w:val="4F9B1E14"/>
    <w:rsid w:val="4FA40ED3"/>
    <w:rsid w:val="4FA54744"/>
    <w:rsid w:val="4FAC7D88"/>
    <w:rsid w:val="4FAD422B"/>
    <w:rsid w:val="4FB235F0"/>
    <w:rsid w:val="4FB31A07"/>
    <w:rsid w:val="4FB44097"/>
    <w:rsid w:val="4FB65142"/>
    <w:rsid w:val="4FB76E58"/>
    <w:rsid w:val="4FBA6948"/>
    <w:rsid w:val="4FBD3D43"/>
    <w:rsid w:val="4FC13833"/>
    <w:rsid w:val="4FC155E1"/>
    <w:rsid w:val="4FC43323"/>
    <w:rsid w:val="4FC62A8C"/>
    <w:rsid w:val="4FC869BA"/>
    <w:rsid w:val="4FD257C6"/>
    <w:rsid w:val="4FD80B7D"/>
    <w:rsid w:val="4FD96283"/>
    <w:rsid w:val="4FDE2637"/>
    <w:rsid w:val="4FE20F0D"/>
    <w:rsid w:val="4FE237A9"/>
    <w:rsid w:val="4FE45773"/>
    <w:rsid w:val="4FE47521"/>
    <w:rsid w:val="4FE87012"/>
    <w:rsid w:val="4FEB4D54"/>
    <w:rsid w:val="4FED182E"/>
    <w:rsid w:val="4FED4628"/>
    <w:rsid w:val="4FF21C3E"/>
    <w:rsid w:val="4FF37764"/>
    <w:rsid w:val="4FF82FCD"/>
    <w:rsid w:val="4FF91D1B"/>
    <w:rsid w:val="4FFA5313"/>
    <w:rsid w:val="4FFA6D45"/>
    <w:rsid w:val="4FFE18CB"/>
    <w:rsid w:val="500100D3"/>
    <w:rsid w:val="50025BF9"/>
    <w:rsid w:val="5007672C"/>
    <w:rsid w:val="500A6321"/>
    <w:rsid w:val="500D0826"/>
    <w:rsid w:val="500E27F0"/>
    <w:rsid w:val="50100316"/>
    <w:rsid w:val="501047BA"/>
    <w:rsid w:val="501B6F55"/>
    <w:rsid w:val="501E5995"/>
    <w:rsid w:val="501F49FD"/>
    <w:rsid w:val="50210776"/>
    <w:rsid w:val="502301D1"/>
    <w:rsid w:val="50261A03"/>
    <w:rsid w:val="502643B9"/>
    <w:rsid w:val="502826FD"/>
    <w:rsid w:val="502D0EC8"/>
    <w:rsid w:val="502D2C76"/>
    <w:rsid w:val="502E69EF"/>
    <w:rsid w:val="50306C0B"/>
    <w:rsid w:val="503234D1"/>
    <w:rsid w:val="503A5393"/>
    <w:rsid w:val="503B1837"/>
    <w:rsid w:val="503F66A1"/>
    <w:rsid w:val="50412BC6"/>
    <w:rsid w:val="5044408F"/>
    <w:rsid w:val="50454464"/>
    <w:rsid w:val="504637E5"/>
    <w:rsid w:val="50463D38"/>
    <w:rsid w:val="50483F54"/>
    <w:rsid w:val="504908E4"/>
    <w:rsid w:val="50492324"/>
    <w:rsid w:val="504A4F1C"/>
    <w:rsid w:val="504B57F2"/>
    <w:rsid w:val="504D156B"/>
    <w:rsid w:val="504D3DB0"/>
    <w:rsid w:val="504F29ED"/>
    <w:rsid w:val="50503AAD"/>
    <w:rsid w:val="50504C4B"/>
    <w:rsid w:val="50546455"/>
    <w:rsid w:val="50593A6B"/>
    <w:rsid w:val="505C7A00"/>
    <w:rsid w:val="505F4DFA"/>
    <w:rsid w:val="506403BE"/>
    <w:rsid w:val="50650662"/>
    <w:rsid w:val="50680152"/>
    <w:rsid w:val="506A3ECB"/>
    <w:rsid w:val="506B379F"/>
    <w:rsid w:val="506B7C43"/>
    <w:rsid w:val="506D39BB"/>
    <w:rsid w:val="506F7733"/>
    <w:rsid w:val="50707B8E"/>
    <w:rsid w:val="50720FD1"/>
    <w:rsid w:val="50727505"/>
    <w:rsid w:val="507408A5"/>
    <w:rsid w:val="5074270E"/>
    <w:rsid w:val="50770396"/>
    <w:rsid w:val="50783C60"/>
    <w:rsid w:val="507904F4"/>
    <w:rsid w:val="50792360"/>
    <w:rsid w:val="507A013B"/>
    <w:rsid w:val="50813689"/>
    <w:rsid w:val="50867BFF"/>
    <w:rsid w:val="508B5BEF"/>
    <w:rsid w:val="50903205"/>
    <w:rsid w:val="509623AA"/>
    <w:rsid w:val="50992BE5"/>
    <w:rsid w:val="509C6E7C"/>
    <w:rsid w:val="509C7DFC"/>
    <w:rsid w:val="509D6FF7"/>
    <w:rsid w:val="509E57AB"/>
    <w:rsid w:val="50A0169A"/>
    <w:rsid w:val="50A04E0F"/>
    <w:rsid w:val="50A15412"/>
    <w:rsid w:val="50A75028"/>
    <w:rsid w:val="50A97291"/>
    <w:rsid w:val="50AA42C7"/>
    <w:rsid w:val="50AB7F7F"/>
    <w:rsid w:val="50AC6DB0"/>
    <w:rsid w:val="50B43398"/>
    <w:rsid w:val="50B52C6C"/>
    <w:rsid w:val="50B909AE"/>
    <w:rsid w:val="50C15A67"/>
    <w:rsid w:val="50CA6717"/>
    <w:rsid w:val="50D17AA6"/>
    <w:rsid w:val="50D22EE7"/>
    <w:rsid w:val="50D457E8"/>
    <w:rsid w:val="50D96C79"/>
    <w:rsid w:val="50DD32E6"/>
    <w:rsid w:val="50E05F3B"/>
    <w:rsid w:val="50E72A30"/>
    <w:rsid w:val="50E7551B"/>
    <w:rsid w:val="50EA1F34"/>
    <w:rsid w:val="50EA4404"/>
    <w:rsid w:val="50ED0658"/>
    <w:rsid w:val="50F11EF6"/>
    <w:rsid w:val="50F6750C"/>
    <w:rsid w:val="50F73284"/>
    <w:rsid w:val="50F96FFC"/>
    <w:rsid w:val="50FE4613"/>
    <w:rsid w:val="51010D79"/>
    <w:rsid w:val="51037E7B"/>
    <w:rsid w:val="510C31D4"/>
    <w:rsid w:val="51165E00"/>
    <w:rsid w:val="51176F9E"/>
    <w:rsid w:val="511778D1"/>
    <w:rsid w:val="511D0F3D"/>
    <w:rsid w:val="511D2CEB"/>
    <w:rsid w:val="511E6A63"/>
    <w:rsid w:val="51202BC1"/>
    <w:rsid w:val="51220612"/>
    <w:rsid w:val="51226553"/>
    <w:rsid w:val="512322CB"/>
    <w:rsid w:val="51281690"/>
    <w:rsid w:val="512D6CA6"/>
    <w:rsid w:val="512F645E"/>
    <w:rsid w:val="51306CEF"/>
    <w:rsid w:val="5131339E"/>
    <w:rsid w:val="513168B9"/>
    <w:rsid w:val="51324FD6"/>
    <w:rsid w:val="513358DF"/>
    <w:rsid w:val="51340035"/>
    <w:rsid w:val="51380E48"/>
    <w:rsid w:val="51383FC9"/>
    <w:rsid w:val="513A0C0E"/>
    <w:rsid w:val="513A6B13"/>
    <w:rsid w:val="513C3318"/>
    <w:rsid w:val="513D513B"/>
    <w:rsid w:val="513E0EB3"/>
    <w:rsid w:val="513F7105"/>
    <w:rsid w:val="51404C2B"/>
    <w:rsid w:val="51422751"/>
    <w:rsid w:val="514D0982"/>
    <w:rsid w:val="514F4E6E"/>
    <w:rsid w:val="5151508A"/>
    <w:rsid w:val="5153495F"/>
    <w:rsid w:val="515626A1"/>
    <w:rsid w:val="51576E82"/>
    <w:rsid w:val="515801C7"/>
    <w:rsid w:val="51591E29"/>
    <w:rsid w:val="515D57DD"/>
    <w:rsid w:val="5160707C"/>
    <w:rsid w:val="51612C25"/>
    <w:rsid w:val="5162104E"/>
    <w:rsid w:val="51631640"/>
    <w:rsid w:val="51694182"/>
    <w:rsid w:val="51702517"/>
    <w:rsid w:val="51711289"/>
    <w:rsid w:val="51786173"/>
    <w:rsid w:val="517A638F"/>
    <w:rsid w:val="517B3EB5"/>
    <w:rsid w:val="517D7C2E"/>
    <w:rsid w:val="51810ACE"/>
    <w:rsid w:val="518134B2"/>
    <w:rsid w:val="518502DF"/>
    <w:rsid w:val="51882792"/>
    <w:rsid w:val="518A5306"/>
    <w:rsid w:val="518C1C1F"/>
    <w:rsid w:val="518D5E6A"/>
    <w:rsid w:val="51932FAD"/>
    <w:rsid w:val="51944027"/>
    <w:rsid w:val="519531C9"/>
    <w:rsid w:val="51960CEF"/>
    <w:rsid w:val="51985452"/>
    <w:rsid w:val="51986F15"/>
    <w:rsid w:val="519B00B4"/>
    <w:rsid w:val="51A21442"/>
    <w:rsid w:val="51A33E68"/>
    <w:rsid w:val="51A4340C"/>
    <w:rsid w:val="51A831A6"/>
    <w:rsid w:val="51A90A23"/>
    <w:rsid w:val="51AA02F7"/>
    <w:rsid w:val="51AA639C"/>
    <w:rsid w:val="51AC0513"/>
    <w:rsid w:val="51AE0F7B"/>
    <w:rsid w:val="51B7361B"/>
    <w:rsid w:val="51BA5593"/>
    <w:rsid w:val="51BF0246"/>
    <w:rsid w:val="51C21AE4"/>
    <w:rsid w:val="51C70EA9"/>
    <w:rsid w:val="51CB6BEB"/>
    <w:rsid w:val="51CC64BF"/>
    <w:rsid w:val="51CF3A55"/>
    <w:rsid w:val="51D04201"/>
    <w:rsid w:val="51D159D6"/>
    <w:rsid w:val="51D27F79"/>
    <w:rsid w:val="51D3240E"/>
    <w:rsid w:val="51DC0D2B"/>
    <w:rsid w:val="51DD06CC"/>
    <w:rsid w:val="51DD247A"/>
    <w:rsid w:val="51E33C89"/>
    <w:rsid w:val="51E3650C"/>
    <w:rsid w:val="51E41A5B"/>
    <w:rsid w:val="51E65239"/>
    <w:rsid w:val="51EC0F1C"/>
    <w:rsid w:val="51EE0B2B"/>
    <w:rsid w:val="51EE28D9"/>
    <w:rsid w:val="51F1661C"/>
    <w:rsid w:val="51F36B6D"/>
    <w:rsid w:val="51F6353C"/>
    <w:rsid w:val="51F83758"/>
    <w:rsid w:val="51FF6894"/>
    <w:rsid w:val="5201085F"/>
    <w:rsid w:val="52021F07"/>
    <w:rsid w:val="5204431E"/>
    <w:rsid w:val="52045C59"/>
    <w:rsid w:val="520B348B"/>
    <w:rsid w:val="52122037"/>
    <w:rsid w:val="52122C37"/>
    <w:rsid w:val="521515B8"/>
    <w:rsid w:val="5215365D"/>
    <w:rsid w:val="521752E3"/>
    <w:rsid w:val="521E2410"/>
    <w:rsid w:val="52217969"/>
    <w:rsid w:val="52224331"/>
    <w:rsid w:val="522307D5"/>
    <w:rsid w:val="522400A9"/>
    <w:rsid w:val="52244433"/>
    <w:rsid w:val="52285DEB"/>
    <w:rsid w:val="52287B99"/>
    <w:rsid w:val="522956BF"/>
    <w:rsid w:val="522D3402"/>
    <w:rsid w:val="522E717A"/>
    <w:rsid w:val="52320A18"/>
    <w:rsid w:val="52326C6A"/>
    <w:rsid w:val="523522B6"/>
    <w:rsid w:val="5237602E"/>
    <w:rsid w:val="52391DA6"/>
    <w:rsid w:val="523A167B"/>
    <w:rsid w:val="523D116B"/>
    <w:rsid w:val="523E560F"/>
    <w:rsid w:val="524244DF"/>
    <w:rsid w:val="5244074B"/>
    <w:rsid w:val="5246001F"/>
    <w:rsid w:val="52462715"/>
    <w:rsid w:val="5247554A"/>
    <w:rsid w:val="52481FEA"/>
    <w:rsid w:val="52483D98"/>
    <w:rsid w:val="524B3888"/>
    <w:rsid w:val="524C24E0"/>
    <w:rsid w:val="524D13AE"/>
    <w:rsid w:val="524E2FBC"/>
    <w:rsid w:val="524E5126"/>
    <w:rsid w:val="52525626"/>
    <w:rsid w:val="52554706"/>
    <w:rsid w:val="525700B0"/>
    <w:rsid w:val="52574ECB"/>
    <w:rsid w:val="525933B2"/>
    <w:rsid w:val="525941F7"/>
    <w:rsid w:val="525B6CEF"/>
    <w:rsid w:val="525E297F"/>
    <w:rsid w:val="525E35BB"/>
    <w:rsid w:val="52636E23"/>
    <w:rsid w:val="52691F60"/>
    <w:rsid w:val="526E0676"/>
    <w:rsid w:val="526F0D33"/>
    <w:rsid w:val="52701540"/>
    <w:rsid w:val="52720E14"/>
    <w:rsid w:val="527252B8"/>
    <w:rsid w:val="52750905"/>
    <w:rsid w:val="52796647"/>
    <w:rsid w:val="527A33E5"/>
    <w:rsid w:val="5281374D"/>
    <w:rsid w:val="5284461E"/>
    <w:rsid w:val="52850AA4"/>
    <w:rsid w:val="528A0854"/>
    <w:rsid w:val="528A593B"/>
    <w:rsid w:val="528C45CC"/>
    <w:rsid w:val="528D5C4E"/>
    <w:rsid w:val="528E597D"/>
    <w:rsid w:val="528F1410"/>
    <w:rsid w:val="52915273"/>
    <w:rsid w:val="52961E90"/>
    <w:rsid w:val="529671F9"/>
    <w:rsid w:val="52A26354"/>
    <w:rsid w:val="52A336C4"/>
    <w:rsid w:val="52A64F62"/>
    <w:rsid w:val="52AA4A52"/>
    <w:rsid w:val="52AB4326"/>
    <w:rsid w:val="52AD4542"/>
    <w:rsid w:val="52AF2069"/>
    <w:rsid w:val="52B458D1"/>
    <w:rsid w:val="52B96A43"/>
    <w:rsid w:val="52BE405A"/>
    <w:rsid w:val="52BE768D"/>
    <w:rsid w:val="52C5188C"/>
    <w:rsid w:val="52C553E8"/>
    <w:rsid w:val="52C8137C"/>
    <w:rsid w:val="52CD3B29"/>
    <w:rsid w:val="52D23FA9"/>
    <w:rsid w:val="52D25D57"/>
    <w:rsid w:val="52D73AAB"/>
    <w:rsid w:val="52D941BD"/>
    <w:rsid w:val="52D968AB"/>
    <w:rsid w:val="52DD7B03"/>
    <w:rsid w:val="52E53CDC"/>
    <w:rsid w:val="52E57C07"/>
    <w:rsid w:val="52E8648C"/>
    <w:rsid w:val="52EA30A1"/>
    <w:rsid w:val="52EC1CE1"/>
    <w:rsid w:val="52EC33C3"/>
    <w:rsid w:val="52ED354F"/>
    <w:rsid w:val="52F04D01"/>
    <w:rsid w:val="52F1442F"/>
    <w:rsid w:val="52F67C97"/>
    <w:rsid w:val="52F91536"/>
    <w:rsid w:val="52FB52AE"/>
    <w:rsid w:val="530028C4"/>
    <w:rsid w:val="53004672"/>
    <w:rsid w:val="53034396"/>
    <w:rsid w:val="530C74BB"/>
    <w:rsid w:val="530D4FE1"/>
    <w:rsid w:val="530E3233"/>
    <w:rsid w:val="530F0D59"/>
    <w:rsid w:val="530F6FAB"/>
    <w:rsid w:val="5310069C"/>
    <w:rsid w:val="531243A6"/>
    <w:rsid w:val="531358A6"/>
    <w:rsid w:val="53195734"/>
    <w:rsid w:val="531D273D"/>
    <w:rsid w:val="531E0F9C"/>
    <w:rsid w:val="531E7B67"/>
    <w:rsid w:val="53226CDE"/>
    <w:rsid w:val="532B7609"/>
    <w:rsid w:val="5330338D"/>
    <w:rsid w:val="53312A7E"/>
    <w:rsid w:val="53397B84"/>
    <w:rsid w:val="533D58C6"/>
    <w:rsid w:val="533D68E5"/>
    <w:rsid w:val="533F163E"/>
    <w:rsid w:val="534276A9"/>
    <w:rsid w:val="534A3FB3"/>
    <w:rsid w:val="534C3D5B"/>
    <w:rsid w:val="534F1156"/>
    <w:rsid w:val="53563F10"/>
    <w:rsid w:val="53591FD4"/>
    <w:rsid w:val="535B7AFB"/>
    <w:rsid w:val="535D1AC5"/>
    <w:rsid w:val="535D2428"/>
    <w:rsid w:val="535E4EAC"/>
    <w:rsid w:val="535E75EB"/>
    <w:rsid w:val="5362104B"/>
    <w:rsid w:val="53654E1D"/>
    <w:rsid w:val="53666D3F"/>
    <w:rsid w:val="53682217"/>
    <w:rsid w:val="53683F6B"/>
    <w:rsid w:val="536B2E30"/>
    <w:rsid w:val="536E5A80"/>
    <w:rsid w:val="53715570"/>
    <w:rsid w:val="537506AF"/>
    <w:rsid w:val="537863BA"/>
    <w:rsid w:val="53803A05"/>
    <w:rsid w:val="53853AFB"/>
    <w:rsid w:val="538D7C23"/>
    <w:rsid w:val="538E7ED0"/>
    <w:rsid w:val="538F1360"/>
    <w:rsid w:val="538F56F6"/>
    <w:rsid w:val="53936B24"/>
    <w:rsid w:val="5394125E"/>
    <w:rsid w:val="539579A4"/>
    <w:rsid w:val="539C642B"/>
    <w:rsid w:val="539F032F"/>
    <w:rsid w:val="53A039CC"/>
    <w:rsid w:val="53A1505A"/>
    <w:rsid w:val="53A169D4"/>
    <w:rsid w:val="53A21BCD"/>
    <w:rsid w:val="53A45945"/>
    <w:rsid w:val="53A5521A"/>
    <w:rsid w:val="53A82E27"/>
    <w:rsid w:val="53A94D0A"/>
    <w:rsid w:val="53A94E1F"/>
    <w:rsid w:val="53A96AB8"/>
    <w:rsid w:val="53AA4158"/>
    <w:rsid w:val="53AD1BF2"/>
    <w:rsid w:val="53B35B89"/>
    <w:rsid w:val="53B52E53"/>
    <w:rsid w:val="53B73033"/>
    <w:rsid w:val="53B84F4D"/>
    <w:rsid w:val="53B86CFB"/>
    <w:rsid w:val="53B8749A"/>
    <w:rsid w:val="53B92A73"/>
    <w:rsid w:val="53BD2563"/>
    <w:rsid w:val="53BD6A07"/>
    <w:rsid w:val="53BF452D"/>
    <w:rsid w:val="53C20A91"/>
    <w:rsid w:val="53C25DCC"/>
    <w:rsid w:val="53C31961"/>
    <w:rsid w:val="53C32D17"/>
    <w:rsid w:val="53C41B44"/>
    <w:rsid w:val="53C64D9B"/>
    <w:rsid w:val="53D0673A"/>
    <w:rsid w:val="53D14261"/>
    <w:rsid w:val="53D1600F"/>
    <w:rsid w:val="53DC5FCE"/>
    <w:rsid w:val="53E05348"/>
    <w:rsid w:val="53E43F94"/>
    <w:rsid w:val="53E915AA"/>
    <w:rsid w:val="53E92248"/>
    <w:rsid w:val="53EB266A"/>
    <w:rsid w:val="53EB5322"/>
    <w:rsid w:val="53F109E6"/>
    <w:rsid w:val="53F306B5"/>
    <w:rsid w:val="53F32429"/>
    <w:rsid w:val="53FF49A6"/>
    <w:rsid w:val="5400590F"/>
    <w:rsid w:val="540168F4"/>
    <w:rsid w:val="54041F40"/>
    <w:rsid w:val="540463E4"/>
    <w:rsid w:val="54063E08"/>
    <w:rsid w:val="54065CB8"/>
    <w:rsid w:val="54091C4C"/>
    <w:rsid w:val="541A5C08"/>
    <w:rsid w:val="541D1254"/>
    <w:rsid w:val="5428092D"/>
    <w:rsid w:val="542A5BF1"/>
    <w:rsid w:val="542B3971"/>
    <w:rsid w:val="542D593B"/>
    <w:rsid w:val="542D76E9"/>
    <w:rsid w:val="542E520F"/>
    <w:rsid w:val="543162F7"/>
    <w:rsid w:val="54330A77"/>
    <w:rsid w:val="543437E8"/>
    <w:rsid w:val="5435659E"/>
    <w:rsid w:val="54377B7E"/>
    <w:rsid w:val="5438706C"/>
    <w:rsid w:val="543A1709"/>
    <w:rsid w:val="543C5B7E"/>
    <w:rsid w:val="543D17CB"/>
    <w:rsid w:val="543F566E"/>
    <w:rsid w:val="544113E6"/>
    <w:rsid w:val="54483C93"/>
    <w:rsid w:val="544A2F0F"/>
    <w:rsid w:val="544B7B6F"/>
    <w:rsid w:val="544D7D8B"/>
    <w:rsid w:val="54520EFE"/>
    <w:rsid w:val="54534C76"/>
    <w:rsid w:val="54564027"/>
    <w:rsid w:val="5458228C"/>
    <w:rsid w:val="54613836"/>
    <w:rsid w:val="54617393"/>
    <w:rsid w:val="54624EB9"/>
    <w:rsid w:val="54660E4D"/>
    <w:rsid w:val="546B0211"/>
    <w:rsid w:val="546B4BDF"/>
    <w:rsid w:val="546B6463"/>
    <w:rsid w:val="546E7D01"/>
    <w:rsid w:val="54752E3E"/>
    <w:rsid w:val="54770964"/>
    <w:rsid w:val="54774E08"/>
    <w:rsid w:val="54776BB6"/>
    <w:rsid w:val="547846DC"/>
    <w:rsid w:val="5479292E"/>
    <w:rsid w:val="547A0454"/>
    <w:rsid w:val="547A48F8"/>
    <w:rsid w:val="547F7119"/>
    <w:rsid w:val="54857525"/>
    <w:rsid w:val="5488491F"/>
    <w:rsid w:val="548B440F"/>
    <w:rsid w:val="548E5CAE"/>
    <w:rsid w:val="548F594D"/>
    <w:rsid w:val="54936E88"/>
    <w:rsid w:val="549459BA"/>
    <w:rsid w:val="54971006"/>
    <w:rsid w:val="54990ADB"/>
    <w:rsid w:val="549A28A4"/>
    <w:rsid w:val="549F0B68"/>
    <w:rsid w:val="549F610D"/>
    <w:rsid w:val="54A31D35"/>
    <w:rsid w:val="54A43723"/>
    <w:rsid w:val="54A51975"/>
    <w:rsid w:val="54A6749B"/>
    <w:rsid w:val="54A84FC1"/>
    <w:rsid w:val="54A85393"/>
    <w:rsid w:val="54AB6860"/>
    <w:rsid w:val="54B03EEA"/>
    <w:rsid w:val="54B25E40"/>
    <w:rsid w:val="54B27BEE"/>
    <w:rsid w:val="54B60678"/>
    <w:rsid w:val="54B73456"/>
    <w:rsid w:val="54BD77A2"/>
    <w:rsid w:val="54C142D5"/>
    <w:rsid w:val="54C33BA9"/>
    <w:rsid w:val="54C37597"/>
    <w:rsid w:val="54C60539"/>
    <w:rsid w:val="54C70191"/>
    <w:rsid w:val="54CA13DC"/>
    <w:rsid w:val="54CD2165"/>
    <w:rsid w:val="54CE5923"/>
    <w:rsid w:val="54CE6966"/>
    <w:rsid w:val="54D172DA"/>
    <w:rsid w:val="54D20290"/>
    <w:rsid w:val="54D23DEC"/>
    <w:rsid w:val="54D264E2"/>
    <w:rsid w:val="54D4021D"/>
    <w:rsid w:val="54D538DD"/>
    <w:rsid w:val="54D90E4D"/>
    <w:rsid w:val="54DC2EBD"/>
    <w:rsid w:val="54E0475B"/>
    <w:rsid w:val="54E12281"/>
    <w:rsid w:val="54E16725"/>
    <w:rsid w:val="54E63D3C"/>
    <w:rsid w:val="54E87AB4"/>
    <w:rsid w:val="54EA55DA"/>
    <w:rsid w:val="54EB1352"/>
    <w:rsid w:val="54EB72AE"/>
    <w:rsid w:val="54EE1700"/>
    <w:rsid w:val="54F71AA5"/>
    <w:rsid w:val="54FB5FE3"/>
    <w:rsid w:val="54FC355F"/>
    <w:rsid w:val="550269E3"/>
    <w:rsid w:val="55085A60"/>
    <w:rsid w:val="550A7A2A"/>
    <w:rsid w:val="550C37A2"/>
    <w:rsid w:val="550D751A"/>
    <w:rsid w:val="55116D87"/>
    <w:rsid w:val="55191A1B"/>
    <w:rsid w:val="551D59AF"/>
    <w:rsid w:val="551E34D6"/>
    <w:rsid w:val="551E7032"/>
    <w:rsid w:val="5523289A"/>
    <w:rsid w:val="5526285F"/>
    <w:rsid w:val="552A3C28"/>
    <w:rsid w:val="552D3719"/>
    <w:rsid w:val="55320D2F"/>
    <w:rsid w:val="55384597"/>
    <w:rsid w:val="55393E6B"/>
    <w:rsid w:val="553D4F3A"/>
    <w:rsid w:val="553D6B7E"/>
    <w:rsid w:val="5540169E"/>
    <w:rsid w:val="5540344C"/>
    <w:rsid w:val="554143B5"/>
    <w:rsid w:val="55424033"/>
    <w:rsid w:val="55432F3C"/>
    <w:rsid w:val="55466DB5"/>
    <w:rsid w:val="554967A4"/>
    <w:rsid w:val="554B0437"/>
    <w:rsid w:val="554B0F1D"/>
    <w:rsid w:val="554D7917"/>
    <w:rsid w:val="554E3DBB"/>
    <w:rsid w:val="554E7A8C"/>
    <w:rsid w:val="554F5B03"/>
    <w:rsid w:val="5552317F"/>
    <w:rsid w:val="555313D1"/>
    <w:rsid w:val="5553570E"/>
    <w:rsid w:val="55560EC1"/>
    <w:rsid w:val="55562C6F"/>
    <w:rsid w:val="555869E7"/>
    <w:rsid w:val="55620AD4"/>
    <w:rsid w:val="55652944"/>
    <w:rsid w:val="55652EB2"/>
    <w:rsid w:val="5566599F"/>
    <w:rsid w:val="556829A3"/>
    <w:rsid w:val="55682BE8"/>
    <w:rsid w:val="557032EB"/>
    <w:rsid w:val="55711857"/>
    <w:rsid w:val="5579070C"/>
    <w:rsid w:val="557B26D6"/>
    <w:rsid w:val="557C1FAA"/>
    <w:rsid w:val="557D644E"/>
    <w:rsid w:val="557F21C6"/>
    <w:rsid w:val="55801A9A"/>
    <w:rsid w:val="55826964"/>
    <w:rsid w:val="558275C0"/>
    <w:rsid w:val="558477DD"/>
    <w:rsid w:val="558570B1"/>
    <w:rsid w:val="5587107B"/>
    <w:rsid w:val="558772CD"/>
    <w:rsid w:val="55880276"/>
    <w:rsid w:val="558A46C7"/>
    <w:rsid w:val="558C48E3"/>
    <w:rsid w:val="558D41B7"/>
    <w:rsid w:val="558E065B"/>
    <w:rsid w:val="558F6A10"/>
    <w:rsid w:val="55910141"/>
    <w:rsid w:val="559106BB"/>
    <w:rsid w:val="55914F40"/>
    <w:rsid w:val="5592453F"/>
    <w:rsid w:val="55935C72"/>
    <w:rsid w:val="55980A4A"/>
    <w:rsid w:val="559B174B"/>
    <w:rsid w:val="559B4B26"/>
    <w:rsid w:val="559F31E2"/>
    <w:rsid w:val="55A03EEB"/>
    <w:rsid w:val="55A27C63"/>
    <w:rsid w:val="55A33019"/>
    <w:rsid w:val="55A41C2D"/>
    <w:rsid w:val="55A439DB"/>
    <w:rsid w:val="55A734CB"/>
    <w:rsid w:val="55A9466F"/>
    <w:rsid w:val="55AC6D33"/>
    <w:rsid w:val="55AE6607"/>
    <w:rsid w:val="55B160F8"/>
    <w:rsid w:val="55B17EA6"/>
    <w:rsid w:val="55B41744"/>
    <w:rsid w:val="55B654BC"/>
    <w:rsid w:val="55B856D8"/>
    <w:rsid w:val="55B857CD"/>
    <w:rsid w:val="55BA127A"/>
    <w:rsid w:val="55C207CD"/>
    <w:rsid w:val="55C7591B"/>
    <w:rsid w:val="55C94D0E"/>
    <w:rsid w:val="55CD539B"/>
    <w:rsid w:val="55CE0CF4"/>
    <w:rsid w:val="55D02A22"/>
    <w:rsid w:val="55D41DE6"/>
    <w:rsid w:val="55D6790C"/>
    <w:rsid w:val="55D818D6"/>
    <w:rsid w:val="55DB3175"/>
    <w:rsid w:val="55DD6EED"/>
    <w:rsid w:val="55DF2C65"/>
    <w:rsid w:val="55E464CD"/>
    <w:rsid w:val="55E6461A"/>
    <w:rsid w:val="55E95892"/>
    <w:rsid w:val="55EA33B8"/>
    <w:rsid w:val="55EB0ED2"/>
    <w:rsid w:val="55EE53CE"/>
    <w:rsid w:val="55F06C20"/>
    <w:rsid w:val="55F304BE"/>
    <w:rsid w:val="55F40804"/>
    <w:rsid w:val="55F54236"/>
    <w:rsid w:val="55F66200"/>
    <w:rsid w:val="55F81F79"/>
    <w:rsid w:val="55FA184D"/>
    <w:rsid w:val="55FC1EE9"/>
    <w:rsid w:val="55FD30EB"/>
    <w:rsid w:val="55FD758F"/>
    <w:rsid w:val="55FF3307"/>
    <w:rsid w:val="5600321F"/>
    <w:rsid w:val="56020701"/>
    <w:rsid w:val="560426CB"/>
    <w:rsid w:val="560501F2"/>
    <w:rsid w:val="560A5808"/>
    <w:rsid w:val="5610371B"/>
    <w:rsid w:val="56130B60"/>
    <w:rsid w:val="56131A9E"/>
    <w:rsid w:val="56156687"/>
    <w:rsid w:val="561623FF"/>
    <w:rsid w:val="561641AD"/>
    <w:rsid w:val="561A1EEF"/>
    <w:rsid w:val="561D378D"/>
    <w:rsid w:val="5621502B"/>
    <w:rsid w:val="56237FD6"/>
    <w:rsid w:val="562468CA"/>
    <w:rsid w:val="562A14DA"/>
    <w:rsid w:val="562B40FC"/>
    <w:rsid w:val="562B4DF0"/>
    <w:rsid w:val="562D0004"/>
    <w:rsid w:val="562E14F6"/>
    <w:rsid w:val="562E599A"/>
    <w:rsid w:val="562F67CA"/>
    <w:rsid w:val="563053E6"/>
    <w:rsid w:val="56332FB1"/>
    <w:rsid w:val="563365AA"/>
    <w:rsid w:val="56356D29"/>
    <w:rsid w:val="563740DE"/>
    <w:rsid w:val="563A7E9B"/>
    <w:rsid w:val="563C00B7"/>
    <w:rsid w:val="563D3E2F"/>
    <w:rsid w:val="564156CE"/>
    <w:rsid w:val="564B02FA"/>
    <w:rsid w:val="564B654C"/>
    <w:rsid w:val="564C327E"/>
    <w:rsid w:val="564C5E20"/>
    <w:rsid w:val="564D2D6C"/>
    <w:rsid w:val="564E7DEA"/>
    <w:rsid w:val="56505911"/>
    <w:rsid w:val="56553E52"/>
    <w:rsid w:val="56592F93"/>
    <w:rsid w:val="565A678F"/>
    <w:rsid w:val="565E627F"/>
    <w:rsid w:val="566118CC"/>
    <w:rsid w:val="56633896"/>
    <w:rsid w:val="56644F18"/>
    <w:rsid w:val="56665134"/>
    <w:rsid w:val="56666EE2"/>
    <w:rsid w:val="56674A08"/>
    <w:rsid w:val="56682C5A"/>
    <w:rsid w:val="566D0271"/>
    <w:rsid w:val="566D2D04"/>
    <w:rsid w:val="566D3E5D"/>
    <w:rsid w:val="566D52ED"/>
    <w:rsid w:val="56717635"/>
    <w:rsid w:val="56772E9D"/>
    <w:rsid w:val="567B188F"/>
    <w:rsid w:val="567F61F6"/>
    <w:rsid w:val="567F7FA4"/>
    <w:rsid w:val="56813D1C"/>
    <w:rsid w:val="56847368"/>
    <w:rsid w:val="56867733"/>
    <w:rsid w:val="568832FC"/>
    <w:rsid w:val="568850AA"/>
    <w:rsid w:val="5691462E"/>
    <w:rsid w:val="56925F29"/>
    <w:rsid w:val="56927CD7"/>
    <w:rsid w:val="56941CA1"/>
    <w:rsid w:val="5697709C"/>
    <w:rsid w:val="569C0B56"/>
    <w:rsid w:val="569F23F4"/>
    <w:rsid w:val="56A31EE4"/>
    <w:rsid w:val="56A63783"/>
    <w:rsid w:val="56A93273"/>
    <w:rsid w:val="56A96DCF"/>
    <w:rsid w:val="56AE4F0A"/>
    <w:rsid w:val="56B0015D"/>
    <w:rsid w:val="56B04601"/>
    <w:rsid w:val="56B13CD2"/>
    <w:rsid w:val="56B14607"/>
    <w:rsid w:val="56B22A9C"/>
    <w:rsid w:val="56B91708"/>
    <w:rsid w:val="56BE6D1E"/>
    <w:rsid w:val="56C1236A"/>
    <w:rsid w:val="56C6512B"/>
    <w:rsid w:val="56C67981"/>
    <w:rsid w:val="56C90818"/>
    <w:rsid w:val="56C9121F"/>
    <w:rsid w:val="56CA56C3"/>
    <w:rsid w:val="56CB143B"/>
    <w:rsid w:val="56CE62D0"/>
    <w:rsid w:val="56D025AE"/>
    <w:rsid w:val="56D54257"/>
    <w:rsid w:val="56D976B4"/>
    <w:rsid w:val="56D97F48"/>
    <w:rsid w:val="56DF0A43"/>
    <w:rsid w:val="56E66275"/>
    <w:rsid w:val="56E91DA0"/>
    <w:rsid w:val="56ED7603"/>
    <w:rsid w:val="56EE0C86"/>
    <w:rsid w:val="56EE5B8F"/>
    <w:rsid w:val="56EF512A"/>
    <w:rsid w:val="56EF6ED8"/>
    <w:rsid w:val="56F42740"/>
    <w:rsid w:val="56F50266"/>
    <w:rsid w:val="56F6463A"/>
    <w:rsid w:val="56F72230"/>
    <w:rsid w:val="56FA587C"/>
    <w:rsid w:val="56FE35BF"/>
    <w:rsid w:val="56FE63C1"/>
    <w:rsid w:val="56FF14FB"/>
    <w:rsid w:val="56FF545E"/>
    <w:rsid w:val="57007337"/>
    <w:rsid w:val="570B1AB1"/>
    <w:rsid w:val="570D3802"/>
    <w:rsid w:val="57106E4E"/>
    <w:rsid w:val="57122BC6"/>
    <w:rsid w:val="57154464"/>
    <w:rsid w:val="571701DC"/>
    <w:rsid w:val="5717642E"/>
    <w:rsid w:val="57196706"/>
    <w:rsid w:val="571B7CCD"/>
    <w:rsid w:val="571F5004"/>
    <w:rsid w:val="571F6335"/>
    <w:rsid w:val="5721105B"/>
    <w:rsid w:val="57212E09"/>
    <w:rsid w:val="57236B81"/>
    <w:rsid w:val="572648C3"/>
    <w:rsid w:val="57281234"/>
    <w:rsid w:val="572A655F"/>
    <w:rsid w:val="572C2786"/>
    <w:rsid w:val="572F19CA"/>
    <w:rsid w:val="573378CD"/>
    <w:rsid w:val="57340D8E"/>
    <w:rsid w:val="57364B06"/>
    <w:rsid w:val="5737087F"/>
    <w:rsid w:val="573963A5"/>
    <w:rsid w:val="573B1A0A"/>
    <w:rsid w:val="573C5E95"/>
    <w:rsid w:val="573E602B"/>
    <w:rsid w:val="573E7E5F"/>
    <w:rsid w:val="573F15EA"/>
    <w:rsid w:val="57405985"/>
    <w:rsid w:val="57430FD1"/>
    <w:rsid w:val="57435475"/>
    <w:rsid w:val="57456BD3"/>
    <w:rsid w:val="57476652"/>
    <w:rsid w:val="57476D14"/>
    <w:rsid w:val="574C432A"/>
    <w:rsid w:val="574D135A"/>
    <w:rsid w:val="574F7976"/>
    <w:rsid w:val="57501B81"/>
    <w:rsid w:val="57503774"/>
    <w:rsid w:val="575136EE"/>
    <w:rsid w:val="57532F8E"/>
    <w:rsid w:val="57567CE0"/>
    <w:rsid w:val="5758643F"/>
    <w:rsid w:val="575B27BF"/>
    <w:rsid w:val="575B456D"/>
    <w:rsid w:val="575B774B"/>
    <w:rsid w:val="575D644F"/>
    <w:rsid w:val="575D6537"/>
    <w:rsid w:val="575E6A88"/>
    <w:rsid w:val="57601B83"/>
    <w:rsid w:val="57672F12"/>
    <w:rsid w:val="57686183"/>
    <w:rsid w:val="576C64D8"/>
    <w:rsid w:val="576D42A0"/>
    <w:rsid w:val="576F0018"/>
    <w:rsid w:val="576F1DC6"/>
    <w:rsid w:val="57713D91"/>
    <w:rsid w:val="57715B3F"/>
    <w:rsid w:val="5774562F"/>
    <w:rsid w:val="577604EB"/>
    <w:rsid w:val="57762B00"/>
    <w:rsid w:val="57770C7B"/>
    <w:rsid w:val="57776ECD"/>
    <w:rsid w:val="577B4C0F"/>
    <w:rsid w:val="577C44E3"/>
    <w:rsid w:val="57805D82"/>
    <w:rsid w:val="57833AC4"/>
    <w:rsid w:val="57882E88"/>
    <w:rsid w:val="578A2E8A"/>
    <w:rsid w:val="578C0BCA"/>
    <w:rsid w:val="578C4726"/>
    <w:rsid w:val="578F4217"/>
    <w:rsid w:val="57904B13"/>
    <w:rsid w:val="57914433"/>
    <w:rsid w:val="579415CF"/>
    <w:rsid w:val="57996E43"/>
    <w:rsid w:val="579D05A5"/>
    <w:rsid w:val="579E08FE"/>
    <w:rsid w:val="579E26AC"/>
    <w:rsid w:val="57A001D2"/>
    <w:rsid w:val="57A06424"/>
    <w:rsid w:val="57A202BD"/>
    <w:rsid w:val="57A203EE"/>
    <w:rsid w:val="57A47D24"/>
    <w:rsid w:val="57AB72DA"/>
    <w:rsid w:val="57AE6D93"/>
    <w:rsid w:val="57B3416D"/>
    <w:rsid w:val="57B72A76"/>
    <w:rsid w:val="57B82B9B"/>
    <w:rsid w:val="57BB7557"/>
    <w:rsid w:val="57BE194A"/>
    <w:rsid w:val="57C02622"/>
    <w:rsid w:val="57C049B1"/>
    <w:rsid w:val="57C10AC3"/>
    <w:rsid w:val="57C374D7"/>
    <w:rsid w:val="57C739B1"/>
    <w:rsid w:val="57C96694"/>
    <w:rsid w:val="57CF6D04"/>
    <w:rsid w:val="57D442B7"/>
    <w:rsid w:val="57D61E46"/>
    <w:rsid w:val="57D86F9C"/>
    <w:rsid w:val="57D91936"/>
    <w:rsid w:val="57DA3E17"/>
    <w:rsid w:val="57DD31D4"/>
    <w:rsid w:val="57DE2F63"/>
    <w:rsid w:val="57E207EA"/>
    <w:rsid w:val="57E75E01"/>
    <w:rsid w:val="57E90877"/>
    <w:rsid w:val="57EC3417"/>
    <w:rsid w:val="57F56CC7"/>
    <w:rsid w:val="57F66044"/>
    <w:rsid w:val="57F8064E"/>
    <w:rsid w:val="57FB7462"/>
    <w:rsid w:val="57FE314A"/>
    <w:rsid w:val="58003366"/>
    <w:rsid w:val="58027680"/>
    <w:rsid w:val="58042493"/>
    <w:rsid w:val="58070251"/>
    <w:rsid w:val="580764A3"/>
    <w:rsid w:val="58084289"/>
    <w:rsid w:val="58095919"/>
    <w:rsid w:val="580C47FE"/>
    <w:rsid w:val="580F2368"/>
    <w:rsid w:val="581110D0"/>
    <w:rsid w:val="58112E7E"/>
    <w:rsid w:val="5814471C"/>
    <w:rsid w:val="581B1F4E"/>
    <w:rsid w:val="581E66C8"/>
    <w:rsid w:val="58215A55"/>
    <w:rsid w:val="582232DD"/>
    <w:rsid w:val="58247055"/>
    <w:rsid w:val="58256929"/>
    <w:rsid w:val="58273B30"/>
    <w:rsid w:val="5827444F"/>
    <w:rsid w:val="582901C7"/>
    <w:rsid w:val="5829466B"/>
    <w:rsid w:val="582B03E3"/>
    <w:rsid w:val="582B2191"/>
    <w:rsid w:val="582B57B9"/>
    <w:rsid w:val="582E65EE"/>
    <w:rsid w:val="582E7AAF"/>
    <w:rsid w:val="583077A8"/>
    <w:rsid w:val="58315248"/>
    <w:rsid w:val="583628E4"/>
    <w:rsid w:val="58366D88"/>
    <w:rsid w:val="58387090"/>
    <w:rsid w:val="583A1661"/>
    <w:rsid w:val="583A23D4"/>
    <w:rsid w:val="583F3276"/>
    <w:rsid w:val="58405B96"/>
    <w:rsid w:val="584204B6"/>
    <w:rsid w:val="5842097B"/>
    <w:rsid w:val="58421289"/>
    <w:rsid w:val="584274DB"/>
    <w:rsid w:val="5846521D"/>
    <w:rsid w:val="58496ABB"/>
    <w:rsid w:val="584A6390"/>
    <w:rsid w:val="584D27AD"/>
    <w:rsid w:val="584E7C2E"/>
    <w:rsid w:val="58507E4A"/>
    <w:rsid w:val="5851771E"/>
    <w:rsid w:val="5853793A"/>
    <w:rsid w:val="58555460"/>
    <w:rsid w:val="585B059D"/>
    <w:rsid w:val="585D2567"/>
    <w:rsid w:val="585E533B"/>
    <w:rsid w:val="58607961"/>
    <w:rsid w:val="58613A3F"/>
    <w:rsid w:val="58613E05"/>
    <w:rsid w:val="58636A40"/>
    <w:rsid w:val="586C27AA"/>
    <w:rsid w:val="586D5636"/>
    <w:rsid w:val="58737694"/>
    <w:rsid w:val="5875340D"/>
    <w:rsid w:val="587753D7"/>
    <w:rsid w:val="5878114F"/>
    <w:rsid w:val="587A6C75"/>
    <w:rsid w:val="587C29ED"/>
    <w:rsid w:val="587D3A86"/>
    <w:rsid w:val="587F0709"/>
    <w:rsid w:val="588418A2"/>
    <w:rsid w:val="58847AF3"/>
    <w:rsid w:val="58871392"/>
    <w:rsid w:val="58882378"/>
    <w:rsid w:val="588B70D4"/>
    <w:rsid w:val="58913FBE"/>
    <w:rsid w:val="589245BD"/>
    <w:rsid w:val="58967306"/>
    <w:rsid w:val="589870FB"/>
    <w:rsid w:val="589C1963"/>
    <w:rsid w:val="589C308F"/>
    <w:rsid w:val="589E6E07"/>
    <w:rsid w:val="58A3441E"/>
    <w:rsid w:val="58A558E7"/>
    <w:rsid w:val="58A610F9"/>
    <w:rsid w:val="58A837E2"/>
    <w:rsid w:val="58AB5080"/>
    <w:rsid w:val="58AB688C"/>
    <w:rsid w:val="58AE691E"/>
    <w:rsid w:val="58B07F4F"/>
    <w:rsid w:val="58B2640F"/>
    <w:rsid w:val="58B538BA"/>
    <w:rsid w:val="58B73A25"/>
    <w:rsid w:val="58BC54DF"/>
    <w:rsid w:val="58BE32CF"/>
    <w:rsid w:val="58BF6D7E"/>
    <w:rsid w:val="58C61EBA"/>
    <w:rsid w:val="58CD2411"/>
    <w:rsid w:val="58CE0D6F"/>
    <w:rsid w:val="58D04AE7"/>
    <w:rsid w:val="58D26AB1"/>
    <w:rsid w:val="58D345D7"/>
    <w:rsid w:val="58D42829"/>
    <w:rsid w:val="58D74519"/>
    <w:rsid w:val="58DA7713"/>
    <w:rsid w:val="58E14F46"/>
    <w:rsid w:val="58E90251"/>
    <w:rsid w:val="58EE31BF"/>
    <w:rsid w:val="58F307D5"/>
    <w:rsid w:val="58F46A27"/>
    <w:rsid w:val="58F509F1"/>
    <w:rsid w:val="58FB5034"/>
    <w:rsid w:val="58FC58DC"/>
    <w:rsid w:val="58FE1654"/>
    <w:rsid w:val="59013D9D"/>
    <w:rsid w:val="590316FF"/>
    <w:rsid w:val="59063B02"/>
    <w:rsid w:val="59077622"/>
    <w:rsid w:val="59080725"/>
    <w:rsid w:val="590A49E9"/>
    <w:rsid w:val="590B0730"/>
    <w:rsid w:val="590B3D71"/>
    <w:rsid w:val="590D7AE9"/>
    <w:rsid w:val="590F3E15"/>
    <w:rsid w:val="591250FF"/>
    <w:rsid w:val="59136180"/>
    <w:rsid w:val="5915699E"/>
    <w:rsid w:val="591623EB"/>
    <w:rsid w:val="59162E41"/>
    <w:rsid w:val="591946E0"/>
    <w:rsid w:val="591B0458"/>
    <w:rsid w:val="591C2557"/>
    <w:rsid w:val="591C7D2C"/>
    <w:rsid w:val="591F6730"/>
    <w:rsid w:val="59205A6E"/>
    <w:rsid w:val="592D1F39"/>
    <w:rsid w:val="59301A29"/>
    <w:rsid w:val="593212FE"/>
    <w:rsid w:val="59341B67"/>
    <w:rsid w:val="59350DEE"/>
    <w:rsid w:val="59372DB8"/>
    <w:rsid w:val="593C6736"/>
    <w:rsid w:val="593D4189"/>
    <w:rsid w:val="593E7CA2"/>
    <w:rsid w:val="593F3A1A"/>
    <w:rsid w:val="59411DC7"/>
    <w:rsid w:val="59465FF6"/>
    <w:rsid w:val="594A4899"/>
    <w:rsid w:val="594F0101"/>
    <w:rsid w:val="594F3C5E"/>
    <w:rsid w:val="594F6875"/>
    <w:rsid w:val="59513E7A"/>
    <w:rsid w:val="5952374E"/>
    <w:rsid w:val="59527570"/>
    <w:rsid w:val="59527BF2"/>
    <w:rsid w:val="59531008"/>
    <w:rsid w:val="59544FF5"/>
    <w:rsid w:val="59597927"/>
    <w:rsid w:val="595B6AA6"/>
    <w:rsid w:val="59605937"/>
    <w:rsid w:val="59653481"/>
    <w:rsid w:val="596C4358"/>
    <w:rsid w:val="596D0588"/>
    <w:rsid w:val="596D2336"/>
    <w:rsid w:val="596D67DA"/>
    <w:rsid w:val="597263D6"/>
    <w:rsid w:val="59754081"/>
    <w:rsid w:val="59771AA2"/>
    <w:rsid w:val="59796F2C"/>
    <w:rsid w:val="597E2795"/>
    <w:rsid w:val="59822285"/>
    <w:rsid w:val="598237B0"/>
    <w:rsid w:val="5988716F"/>
    <w:rsid w:val="598970AA"/>
    <w:rsid w:val="59897866"/>
    <w:rsid w:val="598B7AD8"/>
    <w:rsid w:val="598F04FE"/>
    <w:rsid w:val="5991071A"/>
    <w:rsid w:val="59914276"/>
    <w:rsid w:val="59934492"/>
    <w:rsid w:val="59941FB8"/>
    <w:rsid w:val="59945B14"/>
    <w:rsid w:val="5996337C"/>
    <w:rsid w:val="59973856"/>
    <w:rsid w:val="599B3347"/>
    <w:rsid w:val="599C2C1B"/>
    <w:rsid w:val="599C4367"/>
    <w:rsid w:val="59A0095D"/>
    <w:rsid w:val="59A33FA9"/>
    <w:rsid w:val="59A541C5"/>
    <w:rsid w:val="59A7084E"/>
    <w:rsid w:val="59A87812"/>
    <w:rsid w:val="59A97480"/>
    <w:rsid w:val="59AA0910"/>
    <w:rsid w:val="59AA5338"/>
    <w:rsid w:val="59AF294E"/>
    <w:rsid w:val="59AF442D"/>
    <w:rsid w:val="59AF6DF2"/>
    <w:rsid w:val="59B04427"/>
    <w:rsid w:val="59B2243E"/>
    <w:rsid w:val="59B47F65"/>
    <w:rsid w:val="59B526F2"/>
    <w:rsid w:val="59B63CDD"/>
    <w:rsid w:val="59B85CA7"/>
    <w:rsid w:val="59BA3716"/>
    <w:rsid w:val="59BC7D8F"/>
    <w:rsid w:val="59BE5287"/>
    <w:rsid w:val="59BE7035"/>
    <w:rsid w:val="59C04B5B"/>
    <w:rsid w:val="59C12681"/>
    <w:rsid w:val="59C26B25"/>
    <w:rsid w:val="59C3464B"/>
    <w:rsid w:val="59C55177"/>
    <w:rsid w:val="59C81C62"/>
    <w:rsid w:val="59C82CB8"/>
    <w:rsid w:val="59C97EB4"/>
    <w:rsid w:val="59D03A04"/>
    <w:rsid w:val="59D12BC9"/>
    <w:rsid w:val="59D2488F"/>
    <w:rsid w:val="59D57095"/>
    <w:rsid w:val="59DD6583"/>
    <w:rsid w:val="59E0058C"/>
    <w:rsid w:val="59E051FD"/>
    <w:rsid w:val="59E3084A"/>
    <w:rsid w:val="59E51BA8"/>
    <w:rsid w:val="59E720E8"/>
    <w:rsid w:val="59EA607C"/>
    <w:rsid w:val="59EC4266"/>
    <w:rsid w:val="59F6007B"/>
    <w:rsid w:val="59F667CF"/>
    <w:rsid w:val="59F73AC1"/>
    <w:rsid w:val="59F8263F"/>
    <w:rsid w:val="5A054C64"/>
    <w:rsid w:val="5A062CE3"/>
    <w:rsid w:val="5A094754"/>
    <w:rsid w:val="5A0E3B19"/>
    <w:rsid w:val="5A113609"/>
    <w:rsid w:val="5A117165"/>
    <w:rsid w:val="5A134FC8"/>
    <w:rsid w:val="5A142B1F"/>
    <w:rsid w:val="5A146C55"/>
    <w:rsid w:val="5A1976E0"/>
    <w:rsid w:val="5A1B4488"/>
    <w:rsid w:val="5A1D5B0A"/>
    <w:rsid w:val="5A2275C4"/>
    <w:rsid w:val="5A277C43"/>
    <w:rsid w:val="5A285D45"/>
    <w:rsid w:val="5A294C0A"/>
    <w:rsid w:val="5A296BA4"/>
    <w:rsid w:val="5A2A6479"/>
    <w:rsid w:val="5A2E1F00"/>
    <w:rsid w:val="5A3115B5"/>
    <w:rsid w:val="5A312D8C"/>
    <w:rsid w:val="5A366BCB"/>
    <w:rsid w:val="5A380B96"/>
    <w:rsid w:val="5A3A490E"/>
    <w:rsid w:val="5A3B68D8"/>
    <w:rsid w:val="5A3C20EF"/>
    <w:rsid w:val="5A3C747D"/>
    <w:rsid w:val="5A407A4A"/>
    <w:rsid w:val="5A413125"/>
    <w:rsid w:val="5A4455DB"/>
    <w:rsid w:val="5A44578C"/>
    <w:rsid w:val="5A47702B"/>
    <w:rsid w:val="5A481189"/>
    <w:rsid w:val="5A490FF5"/>
    <w:rsid w:val="5A4958D6"/>
    <w:rsid w:val="5A4A4609"/>
    <w:rsid w:val="5A504131"/>
    <w:rsid w:val="5A50597F"/>
    <w:rsid w:val="5A533C21"/>
    <w:rsid w:val="5A551748"/>
    <w:rsid w:val="5A555C7D"/>
    <w:rsid w:val="5A5B4884"/>
    <w:rsid w:val="5A5D23AA"/>
    <w:rsid w:val="5A6019BB"/>
    <w:rsid w:val="5A6776CD"/>
    <w:rsid w:val="5A724623"/>
    <w:rsid w:val="5A7410C5"/>
    <w:rsid w:val="5A74177B"/>
    <w:rsid w:val="5A7539D2"/>
    <w:rsid w:val="5A753B98"/>
    <w:rsid w:val="5A755946"/>
    <w:rsid w:val="5A767645"/>
    <w:rsid w:val="5A7C4F26"/>
    <w:rsid w:val="5A805270"/>
    <w:rsid w:val="5A84202D"/>
    <w:rsid w:val="5A846C42"/>
    <w:rsid w:val="5A851901"/>
    <w:rsid w:val="5A887DA1"/>
    <w:rsid w:val="5A89083A"/>
    <w:rsid w:val="5A8C2C8F"/>
    <w:rsid w:val="5A9009D2"/>
    <w:rsid w:val="5AA1498D"/>
    <w:rsid w:val="5AA24261"/>
    <w:rsid w:val="5AA30DE7"/>
    <w:rsid w:val="5AA47FD9"/>
    <w:rsid w:val="5AA7249C"/>
    <w:rsid w:val="5AA903B9"/>
    <w:rsid w:val="5AA955EF"/>
    <w:rsid w:val="5AB02E22"/>
    <w:rsid w:val="5AB26B9A"/>
    <w:rsid w:val="5AB50438"/>
    <w:rsid w:val="5AB5486F"/>
    <w:rsid w:val="5ABA77FD"/>
    <w:rsid w:val="5ABC3575"/>
    <w:rsid w:val="5ABE2233"/>
    <w:rsid w:val="5ABF12B7"/>
    <w:rsid w:val="5AC02939"/>
    <w:rsid w:val="5AC061CA"/>
    <w:rsid w:val="5AC13523"/>
    <w:rsid w:val="5AC643F3"/>
    <w:rsid w:val="5AC81FAD"/>
    <w:rsid w:val="5AC86513"/>
    <w:rsid w:val="5AC95C92"/>
    <w:rsid w:val="5ACD7DA0"/>
    <w:rsid w:val="5ACE14FA"/>
    <w:rsid w:val="5ACE32A8"/>
    <w:rsid w:val="5AD20FEA"/>
    <w:rsid w:val="5AD21A31"/>
    <w:rsid w:val="5AD76600"/>
    <w:rsid w:val="5ADE798F"/>
    <w:rsid w:val="5AE26D53"/>
    <w:rsid w:val="5AE55CE6"/>
    <w:rsid w:val="5AE605F2"/>
    <w:rsid w:val="5AE96334"/>
    <w:rsid w:val="5AEC2C48"/>
    <w:rsid w:val="5AEF16BE"/>
    <w:rsid w:val="5AF56A87"/>
    <w:rsid w:val="5AF70A51"/>
    <w:rsid w:val="5AF947C9"/>
    <w:rsid w:val="5AFC6067"/>
    <w:rsid w:val="5AFC7E15"/>
    <w:rsid w:val="5AFE3B8D"/>
    <w:rsid w:val="5AFF7905"/>
    <w:rsid w:val="5B01542B"/>
    <w:rsid w:val="5B0703F5"/>
    <w:rsid w:val="5B0E7493"/>
    <w:rsid w:val="5B18349B"/>
    <w:rsid w:val="5B184523"/>
    <w:rsid w:val="5B1909C7"/>
    <w:rsid w:val="5B1A473F"/>
    <w:rsid w:val="5B1C4013"/>
    <w:rsid w:val="5B1E7D8B"/>
    <w:rsid w:val="5B1F079D"/>
    <w:rsid w:val="5B1F58B2"/>
    <w:rsid w:val="5B260F80"/>
    <w:rsid w:val="5B276D18"/>
    <w:rsid w:val="5B297096"/>
    <w:rsid w:val="5B2D4374"/>
    <w:rsid w:val="5B307ABF"/>
    <w:rsid w:val="5B3255E5"/>
    <w:rsid w:val="5B33135D"/>
    <w:rsid w:val="5B363143"/>
    <w:rsid w:val="5B3A6B8F"/>
    <w:rsid w:val="5B3B1403"/>
    <w:rsid w:val="5B3D25E5"/>
    <w:rsid w:val="5B4524B8"/>
    <w:rsid w:val="5B4761F6"/>
    <w:rsid w:val="5B4D5DFB"/>
    <w:rsid w:val="5B5163B3"/>
    <w:rsid w:val="5B5437AD"/>
    <w:rsid w:val="5B57329D"/>
    <w:rsid w:val="5B5A4B3C"/>
    <w:rsid w:val="5B5A768C"/>
    <w:rsid w:val="5B5C08B4"/>
    <w:rsid w:val="5B5C4D58"/>
    <w:rsid w:val="5B5E287E"/>
    <w:rsid w:val="5B6065F6"/>
    <w:rsid w:val="5B6078C7"/>
    <w:rsid w:val="5B6139D7"/>
    <w:rsid w:val="5B61411C"/>
    <w:rsid w:val="5B6339F0"/>
    <w:rsid w:val="5B637E94"/>
    <w:rsid w:val="5B647768"/>
    <w:rsid w:val="5B661732"/>
    <w:rsid w:val="5B6854AA"/>
    <w:rsid w:val="5B694D7F"/>
    <w:rsid w:val="5B6F6839"/>
    <w:rsid w:val="5B7200D7"/>
    <w:rsid w:val="5B735536"/>
    <w:rsid w:val="5B765E19"/>
    <w:rsid w:val="5B7C2C24"/>
    <w:rsid w:val="5B7C4516"/>
    <w:rsid w:val="5B7E082A"/>
    <w:rsid w:val="5B804F69"/>
    <w:rsid w:val="5B885B4D"/>
    <w:rsid w:val="5B8D2D21"/>
    <w:rsid w:val="5B8D4069"/>
    <w:rsid w:val="5B8E7B0D"/>
    <w:rsid w:val="5B9135EA"/>
    <w:rsid w:val="5B9444F1"/>
    <w:rsid w:val="5B9608D0"/>
    <w:rsid w:val="5B962018"/>
    <w:rsid w:val="5B9938B6"/>
    <w:rsid w:val="5B9960CD"/>
    <w:rsid w:val="5B9B5880"/>
    <w:rsid w:val="5B9D7062"/>
    <w:rsid w:val="5B9E0ECC"/>
    <w:rsid w:val="5BA65FD3"/>
    <w:rsid w:val="5BAC15F8"/>
    <w:rsid w:val="5BAC2986"/>
    <w:rsid w:val="5BB02677"/>
    <w:rsid w:val="5BB02907"/>
    <w:rsid w:val="5BB57FC4"/>
    <w:rsid w:val="5BB97AB4"/>
    <w:rsid w:val="5BBE1529"/>
    <w:rsid w:val="5BC97600"/>
    <w:rsid w:val="5BCA176A"/>
    <w:rsid w:val="5BCA1CC1"/>
    <w:rsid w:val="5BCA607F"/>
    <w:rsid w:val="5BCA7FDA"/>
    <w:rsid w:val="5BCF0B61"/>
    <w:rsid w:val="5BD42B40"/>
    <w:rsid w:val="5BD82630"/>
    <w:rsid w:val="5BD90156"/>
    <w:rsid w:val="5BD91B0B"/>
    <w:rsid w:val="5BD91F04"/>
    <w:rsid w:val="5BD97269"/>
    <w:rsid w:val="5BDC0494"/>
    <w:rsid w:val="5BDF5D95"/>
    <w:rsid w:val="5BE00642"/>
    <w:rsid w:val="5BE74621"/>
    <w:rsid w:val="5BE82147"/>
    <w:rsid w:val="5BEA1F3C"/>
    <w:rsid w:val="5BEA52B3"/>
    <w:rsid w:val="5BED775E"/>
    <w:rsid w:val="5BEF7CE3"/>
    <w:rsid w:val="5BF136F2"/>
    <w:rsid w:val="5BF31960"/>
    <w:rsid w:val="5BF64864"/>
    <w:rsid w:val="5BF82228"/>
    <w:rsid w:val="5BF8281F"/>
    <w:rsid w:val="5BFE196B"/>
    <w:rsid w:val="5C0046E4"/>
    <w:rsid w:val="5C013209"/>
    <w:rsid w:val="5C0276AD"/>
    <w:rsid w:val="5C053504"/>
    <w:rsid w:val="5C076A71"/>
    <w:rsid w:val="5C0827EA"/>
    <w:rsid w:val="5C0E3BCB"/>
    <w:rsid w:val="5C0F5926"/>
    <w:rsid w:val="5C121CA4"/>
    <w:rsid w:val="5C1271C4"/>
    <w:rsid w:val="5C187C5C"/>
    <w:rsid w:val="5C190553"/>
    <w:rsid w:val="5C1B076F"/>
    <w:rsid w:val="5C1B7D36"/>
    <w:rsid w:val="5C2238AB"/>
    <w:rsid w:val="5C225659"/>
    <w:rsid w:val="5C237623"/>
    <w:rsid w:val="5C2440E9"/>
    <w:rsid w:val="5C25514A"/>
    <w:rsid w:val="5C272C70"/>
    <w:rsid w:val="5C2B0664"/>
    <w:rsid w:val="5C2E290C"/>
    <w:rsid w:val="5C2F421A"/>
    <w:rsid w:val="5C34538D"/>
    <w:rsid w:val="5C384E7D"/>
    <w:rsid w:val="5C3933B5"/>
    <w:rsid w:val="5C3E7FB9"/>
    <w:rsid w:val="5C432D7B"/>
    <w:rsid w:val="5C487AAD"/>
    <w:rsid w:val="5C4A069B"/>
    <w:rsid w:val="5C4D5E95"/>
    <w:rsid w:val="5C4E28BC"/>
    <w:rsid w:val="5C4E644E"/>
    <w:rsid w:val="5C5305C6"/>
    <w:rsid w:val="5C537F09"/>
    <w:rsid w:val="5C541F4D"/>
    <w:rsid w:val="5C58551F"/>
    <w:rsid w:val="5C5B6DBD"/>
    <w:rsid w:val="5C5C1087"/>
    <w:rsid w:val="5C62639E"/>
    <w:rsid w:val="5C65155C"/>
    <w:rsid w:val="5C663787"/>
    <w:rsid w:val="5C6C4B26"/>
    <w:rsid w:val="5C6D4F4E"/>
    <w:rsid w:val="5C6E6AF1"/>
    <w:rsid w:val="5C6E7D9F"/>
    <w:rsid w:val="5C732359"/>
    <w:rsid w:val="5C757E7F"/>
    <w:rsid w:val="5C765E1A"/>
    <w:rsid w:val="5C7922E1"/>
    <w:rsid w:val="5C7B2FBB"/>
    <w:rsid w:val="5C7D31D8"/>
    <w:rsid w:val="5C7D41A0"/>
    <w:rsid w:val="5C7E4CC3"/>
    <w:rsid w:val="5C8140DA"/>
    <w:rsid w:val="5C8509BC"/>
    <w:rsid w:val="5C86208C"/>
    <w:rsid w:val="5C871960"/>
    <w:rsid w:val="5C9127DF"/>
    <w:rsid w:val="5C930305"/>
    <w:rsid w:val="5C9A78E6"/>
    <w:rsid w:val="5C9E33F5"/>
    <w:rsid w:val="5C9F4EFC"/>
    <w:rsid w:val="5CA035BD"/>
    <w:rsid w:val="5CA16EC6"/>
    <w:rsid w:val="5CA24B2E"/>
    <w:rsid w:val="5CA42512"/>
    <w:rsid w:val="5CA63ECF"/>
    <w:rsid w:val="5CA64CDB"/>
    <w:rsid w:val="5CA93FCD"/>
    <w:rsid w:val="5CB35043"/>
    <w:rsid w:val="5CB84210"/>
    <w:rsid w:val="5CB87D6C"/>
    <w:rsid w:val="5CBA3AE4"/>
    <w:rsid w:val="5CBB785C"/>
    <w:rsid w:val="5CBC0E24"/>
    <w:rsid w:val="5CBC3D00"/>
    <w:rsid w:val="5CBC5AAE"/>
    <w:rsid w:val="5CBF10FA"/>
    <w:rsid w:val="5CC05F06"/>
    <w:rsid w:val="5CC26E3C"/>
    <w:rsid w:val="5CC606DB"/>
    <w:rsid w:val="5CC932A2"/>
    <w:rsid w:val="5CCC3817"/>
    <w:rsid w:val="5CCD7CBB"/>
    <w:rsid w:val="5CD04077"/>
    <w:rsid w:val="5CD1707F"/>
    <w:rsid w:val="5CD32DF8"/>
    <w:rsid w:val="5CD56B70"/>
    <w:rsid w:val="5CD86660"/>
    <w:rsid w:val="5CDA4186"/>
    <w:rsid w:val="5CDB3A5A"/>
    <w:rsid w:val="5CDC2524"/>
    <w:rsid w:val="5CDC7EFE"/>
    <w:rsid w:val="5CDF79EE"/>
    <w:rsid w:val="5CE172C2"/>
    <w:rsid w:val="5CE60D7D"/>
    <w:rsid w:val="5CE86CAD"/>
    <w:rsid w:val="5CE9261B"/>
    <w:rsid w:val="5CEB3BAF"/>
    <w:rsid w:val="5CEC5C67"/>
    <w:rsid w:val="5CEE378D"/>
    <w:rsid w:val="5CF50FC0"/>
    <w:rsid w:val="5CF76AE6"/>
    <w:rsid w:val="5CFA0384"/>
    <w:rsid w:val="5CFB5EAA"/>
    <w:rsid w:val="5CFD1C22"/>
    <w:rsid w:val="5CFE3AF6"/>
    <w:rsid w:val="5D0631CD"/>
    <w:rsid w:val="5D064F7B"/>
    <w:rsid w:val="5D082FB3"/>
    <w:rsid w:val="5D123920"/>
    <w:rsid w:val="5D1256CE"/>
    <w:rsid w:val="5D1461BC"/>
    <w:rsid w:val="5D1551BE"/>
    <w:rsid w:val="5D170F36"/>
    <w:rsid w:val="5D172CE4"/>
    <w:rsid w:val="5D1B2582"/>
    <w:rsid w:val="5D1D22C5"/>
    <w:rsid w:val="5D1D3926"/>
    <w:rsid w:val="5D1D77F0"/>
    <w:rsid w:val="5D1F7DEB"/>
    <w:rsid w:val="5D2650B4"/>
    <w:rsid w:val="5D292A17"/>
    <w:rsid w:val="5D296EBB"/>
    <w:rsid w:val="5D2D075A"/>
    <w:rsid w:val="5D2E44D2"/>
    <w:rsid w:val="5D2E6280"/>
    <w:rsid w:val="5D30766A"/>
    <w:rsid w:val="5D311666"/>
    <w:rsid w:val="5D35760E"/>
    <w:rsid w:val="5D395350"/>
    <w:rsid w:val="5D3C099D"/>
    <w:rsid w:val="5D3F223B"/>
    <w:rsid w:val="5D443CF5"/>
    <w:rsid w:val="5D4635C9"/>
    <w:rsid w:val="5D494E68"/>
    <w:rsid w:val="5D530758"/>
    <w:rsid w:val="5D5A52C7"/>
    <w:rsid w:val="5D600B2F"/>
    <w:rsid w:val="5D616655"/>
    <w:rsid w:val="5D650029"/>
    <w:rsid w:val="5D657C27"/>
    <w:rsid w:val="5D6D6DA8"/>
    <w:rsid w:val="5D722610"/>
    <w:rsid w:val="5D7235D2"/>
    <w:rsid w:val="5D730D16"/>
    <w:rsid w:val="5D78422A"/>
    <w:rsid w:val="5D7C523D"/>
    <w:rsid w:val="5D7E0FB5"/>
    <w:rsid w:val="5D7F0CC9"/>
    <w:rsid w:val="5D814602"/>
    <w:rsid w:val="5D821189"/>
    <w:rsid w:val="5D8365CC"/>
    <w:rsid w:val="5D8440F2"/>
    <w:rsid w:val="5D847B0A"/>
    <w:rsid w:val="5D861C18"/>
    <w:rsid w:val="5D8660BC"/>
    <w:rsid w:val="5D8B1499"/>
    <w:rsid w:val="5D916F3A"/>
    <w:rsid w:val="5D94616F"/>
    <w:rsid w:val="5D950500"/>
    <w:rsid w:val="5D955EEB"/>
    <w:rsid w:val="5D96240B"/>
    <w:rsid w:val="5D99194B"/>
    <w:rsid w:val="5D9A3915"/>
    <w:rsid w:val="5D9A7B05"/>
    <w:rsid w:val="5DAA3B58"/>
    <w:rsid w:val="5DB171DF"/>
    <w:rsid w:val="5DB20402"/>
    <w:rsid w:val="5DB26EB1"/>
    <w:rsid w:val="5DB34D76"/>
    <w:rsid w:val="5DB577BD"/>
    <w:rsid w:val="5DB6074F"/>
    <w:rsid w:val="5DB669A1"/>
    <w:rsid w:val="5DB74439"/>
    <w:rsid w:val="5DB93D9B"/>
    <w:rsid w:val="5DBB599C"/>
    <w:rsid w:val="5DBC6D53"/>
    <w:rsid w:val="5DBE7604"/>
    <w:rsid w:val="5DC10142"/>
    <w:rsid w:val="5DC21912"/>
    <w:rsid w:val="5DC21AC7"/>
    <w:rsid w:val="5DC866D4"/>
    <w:rsid w:val="5DCA41FA"/>
    <w:rsid w:val="5DCF10B7"/>
    <w:rsid w:val="5DD10F3B"/>
    <w:rsid w:val="5DD1456E"/>
    <w:rsid w:val="5DD21301"/>
    <w:rsid w:val="5DD45079"/>
    <w:rsid w:val="5DD47F03"/>
    <w:rsid w:val="5DD53B07"/>
    <w:rsid w:val="5DD60B23"/>
    <w:rsid w:val="5DDB1F64"/>
    <w:rsid w:val="5DDB5DDB"/>
    <w:rsid w:val="5DE057CC"/>
    <w:rsid w:val="5DE0757A"/>
    <w:rsid w:val="5DE132F2"/>
    <w:rsid w:val="5DE3706A"/>
    <w:rsid w:val="5DEB63BE"/>
    <w:rsid w:val="5DEC4171"/>
    <w:rsid w:val="5DF23751"/>
    <w:rsid w:val="5DF245C1"/>
    <w:rsid w:val="5DF254FF"/>
    <w:rsid w:val="5DF41277"/>
    <w:rsid w:val="5DF64FF0"/>
    <w:rsid w:val="5DF72B16"/>
    <w:rsid w:val="5DF87A0F"/>
    <w:rsid w:val="5DFF2729"/>
    <w:rsid w:val="5E007C1C"/>
    <w:rsid w:val="5E023994"/>
    <w:rsid w:val="5E044CCE"/>
    <w:rsid w:val="5E052FC6"/>
    <w:rsid w:val="5E07481C"/>
    <w:rsid w:val="5E0F35C8"/>
    <w:rsid w:val="5E122843"/>
    <w:rsid w:val="5E165F27"/>
    <w:rsid w:val="5E176D14"/>
    <w:rsid w:val="5E18501A"/>
    <w:rsid w:val="5E190CDE"/>
    <w:rsid w:val="5E196F30"/>
    <w:rsid w:val="5E1978DE"/>
    <w:rsid w:val="5E1B3B2A"/>
    <w:rsid w:val="5E1E62F4"/>
    <w:rsid w:val="5E26588A"/>
    <w:rsid w:val="5E2700EA"/>
    <w:rsid w:val="5E2D6537"/>
    <w:rsid w:val="5E2D74A8"/>
    <w:rsid w:val="5E337FF2"/>
    <w:rsid w:val="5E341674"/>
    <w:rsid w:val="5E355B65"/>
    <w:rsid w:val="5E366B9F"/>
    <w:rsid w:val="5E371164"/>
    <w:rsid w:val="5E39312E"/>
    <w:rsid w:val="5E3E59B5"/>
    <w:rsid w:val="5E40626B"/>
    <w:rsid w:val="5E483371"/>
    <w:rsid w:val="5E4C10B3"/>
    <w:rsid w:val="5E512226"/>
    <w:rsid w:val="5E541D16"/>
    <w:rsid w:val="5E547F68"/>
    <w:rsid w:val="5E563CE0"/>
    <w:rsid w:val="5E5B30A5"/>
    <w:rsid w:val="5E5B4E53"/>
    <w:rsid w:val="5E653F23"/>
    <w:rsid w:val="5E695530"/>
    <w:rsid w:val="5E6A3D6C"/>
    <w:rsid w:val="5E6A5A7A"/>
    <w:rsid w:val="5E6D4B86"/>
    <w:rsid w:val="5E710B1A"/>
    <w:rsid w:val="5E734892"/>
    <w:rsid w:val="5E745F14"/>
    <w:rsid w:val="5E781EA8"/>
    <w:rsid w:val="5E7834B2"/>
    <w:rsid w:val="5E783C56"/>
    <w:rsid w:val="5E796A43"/>
    <w:rsid w:val="5E7A1EB6"/>
    <w:rsid w:val="5E7A3283"/>
    <w:rsid w:val="5E7D126D"/>
    <w:rsid w:val="5E7E2FB5"/>
    <w:rsid w:val="5E800D5D"/>
    <w:rsid w:val="5E806C53"/>
    <w:rsid w:val="5E8167DF"/>
    <w:rsid w:val="5E892B2C"/>
    <w:rsid w:val="5E8A398A"/>
    <w:rsid w:val="5E8B1BDC"/>
    <w:rsid w:val="5E8E347A"/>
    <w:rsid w:val="5E913942"/>
    <w:rsid w:val="5E916AC6"/>
    <w:rsid w:val="5E960581"/>
    <w:rsid w:val="5E9842F9"/>
    <w:rsid w:val="5EA06D09"/>
    <w:rsid w:val="5EA20CD3"/>
    <w:rsid w:val="5EA507C4"/>
    <w:rsid w:val="5EA66A16"/>
    <w:rsid w:val="5EA92062"/>
    <w:rsid w:val="5EA92521"/>
    <w:rsid w:val="5EA93E10"/>
    <w:rsid w:val="5EAA35A6"/>
    <w:rsid w:val="5EAB5E7A"/>
    <w:rsid w:val="5EAC56AE"/>
    <w:rsid w:val="5EC073AC"/>
    <w:rsid w:val="5EC549C2"/>
    <w:rsid w:val="5EC92704"/>
    <w:rsid w:val="5ECF37B3"/>
    <w:rsid w:val="5ED05841"/>
    <w:rsid w:val="5ED115B9"/>
    <w:rsid w:val="5ED6097D"/>
    <w:rsid w:val="5ED846F5"/>
    <w:rsid w:val="5EDB5F93"/>
    <w:rsid w:val="5EDB7BE5"/>
    <w:rsid w:val="5EDC303D"/>
    <w:rsid w:val="5EDF5A84"/>
    <w:rsid w:val="5EE035AA"/>
    <w:rsid w:val="5EE4753E"/>
    <w:rsid w:val="5EE50BC0"/>
    <w:rsid w:val="5EE66E12"/>
    <w:rsid w:val="5EE72B8A"/>
    <w:rsid w:val="5EE82168"/>
    <w:rsid w:val="5EEC63F2"/>
    <w:rsid w:val="5EEE5CC7"/>
    <w:rsid w:val="5EF3152F"/>
    <w:rsid w:val="5EF77271"/>
    <w:rsid w:val="5EF84D97"/>
    <w:rsid w:val="5EFC6636"/>
    <w:rsid w:val="5EFF7ED4"/>
    <w:rsid w:val="5F0059FA"/>
    <w:rsid w:val="5F013C4C"/>
    <w:rsid w:val="5F053010"/>
    <w:rsid w:val="5F061E42"/>
    <w:rsid w:val="5F092B01"/>
    <w:rsid w:val="5F093472"/>
    <w:rsid w:val="5F0C439F"/>
    <w:rsid w:val="5F0E7E34"/>
    <w:rsid w:val="5F1033DB"/>
    <w:rsid w:val="5F105C3D"/>
    <w:rsid w:val="5F131BD1"/>
    <w:rsid w:val="5F13397F"/>
    <w:rsid w:val="5F1514A5"/>
    <w:rsid w:val="5F155A7A"/>
    <w:rsid w:val="5F1576F7"/>
    <w:rsid w:val="5F166FCB"/>
    <w:rsid w:val="5F183B67"/>
    <w:rsid w:val="5F1A2B43"/>
    <w:rsid w:val="5F1B3461"/>
    <w:rsid w:val="5F1D035A"/>
    <w:rsid w:val="5F1F2324"/>
    <w:rsid w:val="5F21088D"/>
    <w:rsid w:val="5F245B8C"/>
    <w:rsid w:val="5F27742B"/>
    <w:rsid w:val="5F2C67EF"/>
    <w:rsid w:val="5F2E2567"/>
    <w:rsid w:val="5F2F29E7"/>
    <w:rsid w:val="5F304531"/>
    <w:rsid w:val="5F315C21"/>
    <w:rsid w:val="5F337B7D"/>
    <w:rsid w:val="5F3B570F"/>
    <w:rsid w:val="5F3C2ED6"/>
    <w:rsid w:val="5F405364"/>
    <w:rsid w:val="5F4728EB"/>
    <w:rsid w:val="5F4A7642"/>
    <w:rsid w:val="5F4C0C3F"/>
    <w:rsid w:val="5F4D6E91"/>
    <w:rsid w:val="5F5226F9"/>
    <w:rsid w:val="5F5521EA"/>
    <w:rsid w:val="5F577D10"/>
    <w:rsid w:val="5F59283E"/>
    <w:rsid w:val="5F5A335C"/>
    <w:rsid w:val="5F5F0972"/>
    <w:rsid w:val="5F5F4E16"/>
    <w:rsid w:val="5F630463"/>
    <w:rsid w:val="5F675A73"/>
    <w:rsid w:val="5F6B6A07"/>
    <w:rsid w:val="5F6D12E1"/>
    <w:rsid w:val="5F700DD2"/>
    <w:rsid w:val="5F75455E"/>
    <w:rsid w:val="5F761608"/>
    <w:rsid w:val="5F772160"/>
    <w:rsid w:val="5F797C86"/>
    <w:rsid w:val="5F7D704B"/>
    <w:rsid w:val="5F7E0DDA"/>
    <w:rsid w:val="5F7E34EF"/>
    <w:rsid w:val="5F8623A3"/>
    <w:rsid w:val="5F864151"/>
    <w:rsid w:val="5F872886"/>
    <w:rsid w:val="5F876EAC"/>
    <w:rsid w:val="5F8A1207"/>
    <w:rsid w:val="5F8D4DCC"/>
    <w:rsid w:val="5F8E1258"/>
    <w:rsid w:val="5F8F74AA"/>
    <w:rsid w:val="5F97635E"/>
    <w:rsid w:val="5F9C3975"/>
    <w:rsid w:val="5F9D4AAC"/>
    <w:rsid w:val="5FA171DD"/>
    <w:rsid w:val="5FA34D03"/>
    <w:rsid w:val="5FA42829"/>
    <w:rsid w:val="5FA8056B"/>
    <w:rsid w:val="5FAA6092"/>
    <w:rsid w:val="5FAD000C"/>
    <w:rsid w:val="5FB31BE9"/>
    <w:rsid w:val="5FB36ECE"/>
    <w:rsid w:val="5FB707AE"/>
    <w:rsid w:val="5FB837BB"/>
    <w:rsid w:val="5FB95710"/>
    <w:rsid w:val="5FBA204D"/>
    <w:rsid w:val="5FBC5DC5"/>
    <w:rsid w:val="5FBD3482"/>
    <w:rsid w:val="5FBE38EB"/>
    <w:rsid w:val="5FBF1411"/>
    <w:rsid w:val="5FC773F1"/>
    <w:rsid w:val="5FC93D7A"/>
    <w:rsid w:val="5FCB6008"/>
    <w:rsid w:val="5FCD1D80"/>
    <w:rsid w:val="5FD24E2C"/>
    <w:rsid w:val="5FD27396"/>
    <w:rsid w:val="5FD44EBD"/>
    <w:rsid w:val="5FDA449D"/>
    <w:rsid w:val="5FE315A4"/>
    <w:rsid w:val="5FE61094"/>
    <w:rsid w:val="5FED41D0"/>
    <w:rsid w:val="5FED5F7E"/>
    <w:rsid w:val="5FEF619A"/>
    <w:rsid w:val="5FF11F12"/>
    <w:rsid w:val="5FF27A39"/>
    <w:rsid w:val="5FF37227"/>
    <w:rsid w:val="5FF53085"/>
    <w:rsid w:val="5FF732A1"/>
    <w:rsid w:val="5FF7504F"/>
    <w:rsid w:val="5FF832FA"/>
    <w:rsid w:val="5FFE480F"/>
    <w:rsid w:val="60002155"/>
    <w:rsid w:val="60025ECE"/>
    <w:rsid w:val="600339F4"/>
    <w:rsid w:val="60065292"/>
    <w:rsid w:val="60065E0F"/>
    <w:rsid w:val="600F2399"/>
    <w:rsid w:val="60114363"/>
    <w:rsid w:val="60125EE4"/>
    <w:rsid w:val="60145C01"/>
    <w:rsid w:val="60157FFC"/>
    <w:rsid w:val="6017749F"/>
    <w:rsid w:val="60187342"/>
    <w:rsid w:val="601A63AB"/>
    <w:rsid w:val="601B4F8E"/>
    <w:rsid w:val="601E25DC"/>
    <w:rsid w:val="60255718"/>
    <w:rsid w:val="602A71D2"/>
    <w:rsid w:val="60310561"/>
    <w:rsid w:val="603121A8"/>
    <w:rsid w:val="603242D9"/>
    <w:rsid w:val="60327E35"/>
    <w:rsid w:val="6039546A"/>
    <w:rsid w:val="603A33F3"/>
    <w:rsid w:val="604007A4"/>
    <w:rsid w:val="60402552"/>
    <w:rsid w:val="604162CA"/>
    <w:rsid w:val="6042276E"/>
    <w:rsid w:val="60432479"/>
    <w:rsid w:val="60457B68"/>
    <w:rsid w:val="604751DF"/>
    <w:rsid w:val="60477D84"/>
    <w:rsid w:val="604F6C39"/>
    <w:rsid w:val="60522285"/>
    <w:rsid w:val="60545FFD"/>
    <w:rsid w:val="60566219"/>
    <w:rsid w:val="60593614"/>
    <w:rsid w:val="605B55DE"/>
    <w:rsid w:val="605C4EB2"/>
    <w:rsid w:val="60681AA9"/>
    <w:rsid w:val="606A5821"/>
    <w:rsid w:val="606A5D6B"/>
    <w:rsid w:val="606E3563"/>
    <w:rsid w:val="60716BAF"/>
    <w:rsid w:val="60732927"/>
    <w:rsid w:val="607355F5"/>
    <w:rsid w:val="607565D9"/>
    <w:rsid w:val="60762418"/>
    <w:rsid w:val="60786190"/>
    <w:rsid w:val="60793CB6"/>
    <w:rsid w:val="607B17DC"/>
    <w:rsid w:val="607D004F"/>
    <w:rsid w:val="607E307A"/>
    <w:rsid w:val="60822B6A"/>
    <w:rsid w:val="6083177E"/>
    <w:rsid w:val="608368E3"/>
    <w:rsid w:val="608508AD"/>
    <w:rsid w:val="6085265B"/>
    <w:rsid w:val="608C39E9"/>
    <w:rsid w:val="608F34D9"/>
    <w:rsid w:val="60912DAE"/>
    <w:rsid w:val="60917251"/>
    <w:rsid w:val="60934D78"/>
    <w:rsid w:val="60964868"/>
    <w:rsid w:val="6098413C"/>
    <w:rsid w:val="609B00D0"/>
    <w:rsid w:val="609D069B"/>
    <w:rsid w:val="609D11F2"/>
    <w:rsid w:val="609D79A4"/>
    <w:rsid w:val="609E371C"/>
    <w:rsid w:val="60A07495"/>
    <w:rsid w:val="60A46F85"/>
    <w:rsid w:val="60A56859"/>
    <w:rsid w:val="60A76A75"/>
    <w:rsid w:val="60A800F7"/>
    <w:rsid w:val="60AC1FF9"/>
    <w:rsid w:val="60AC5E39"/>
    <w:rsid w:val="60AE14F9"/>
    <w:rsid w:val="60AE3960"/>
    <w:rsid w:val="60B116A2"/>
    <w:rsid w:val="60B13610"/>
    <w:rsid w:val="60B53DBD"/>
    <w:rsid w:val="60B66CA1"/>
    <w:rsid w:val="60B66CB8"/>
    <w:rsid w:val="60C34F31"/>
    <w:rsid w:val="60C51973"/>
    <w:rsid w:val="60CF36F6"/>
    <w:rsid w:val="60D13AF2"/>
    <w:rsid w:val="60D55390"/>
    <w:rsid w:val="60D809DC"/>
    <w:rsid w:val="60DC3DB6"/>
    <w:rsid w:val="60DC7B7A"/>
    <w:rsid w:val="60DF1D6B"/>
    <w:rsid w:val="60E37E0A"/>
    <w:rsid w:val="60E6759D"/>
    <w:rsid w:val="60E76E71"/>
    <w:rsid w:val="60E81DBB"/>
    <w:rsid w:val="60E9572D"/>
    <w:rsid w:val="60EC4488"/>
    <w:rsid w:val="60EE1FAE"/>
    <w:rsid w:val="60EF48AF"/>
    <w:rsid w:val="60F241DA"/>
    <w:rsid w:val="60F34B93"/>
    <w:rsid w:val="60F9034D"/>
    <w:rsid w:val="60F90953"/>
    <w:rsid w:val="60FD6695"/>
    <w:rsid w:val="60FF41BB"/>
    <w:rsid w:val="61016185"/>
    <w:rsid w:val="61045C75"/>
    <w:rsid w:val="610619ED"/>
    <w:rsid w:val="61073070"/>
    <w:rsid w:val="610A2B60"/>
    <w:rsid w:val="610C0686"/>
    <w:rsid w:val="610C4B2A"/>
    <w:rsid w:val="610C6FCC"/>
    <w:rsid w:val="610D1BF1"/>
    <w:rsid w:val="610E08A2"/>
    <w:rsid w:val="610F7301"/>
    <w:rsid w:val="61120392"/>
    <w:rsid w:val="61135EB8"/>
    <w:rsid w:val="61137C66"/>
    <w:rsid w:val="61165902"/>
    <w:rsid w:val="611759A9"/>
    <w:rsid w:val="611834CF"/>
    <w:rsid w:val="611C21BA"/>
    <w:rsid w:val="612754C0"/>
    <w:rsid w:val="6129748A"/>
    <w:rsid w:val="612C0393"/>
    <w:rsid w:val="613227E3"/>
    <w:rsid w:val="6135026C"/>
    <w:rsid w:val="61355E2F"/>
    <w:rsid w:val="61363955"/>
    <w:rsid w:val="61375C84"/>
    <w:rsid w:val="613A3445"/>
    <w:rsid w:val="613B5F8F"/>
    <w:rsid w:val="613B7D7B"/>
    <w:rsid w:val="613D2F35"/>
    <w:rsid w:val="613F0A5C"/>
    <w:rsid w:val="61412B5A"/>
    <w:rsid w:val="61455EAF"/>
    <w:rsid w:val="614A7659"/>
    <w:rsid w:val="614C2DB9"/>
    <w:rsid w:val="614D13CA"/>
    <w:rsid w:val="614E6EF1"/>
    <w:rsid w:val="61500EBB"/>
    <w:rsid w:val="61504A17"/>
    <w:rsid w:val="615053A3"/>
    <w:rsid w:val="6151078F"/>
    <w:rsid w:val="6151253D"/>
    <w:rsid w:val="6152204F"/>
    <w:rsid w:val="615446EC"/>
    <w:rsid w:val="615838CB"/>
    <w:rsid w:val="61595DDF"/>
    <w:rsid w:val="615A3AE7"/>
    <w:rsid w:val="615C785F"/>
    <w:rsid w:val="615D7134"/>
    <w:rsid w:val="615F10FE"/>
    <w:rsid w:val="61602923"/>
    <w:rsid w:val="61614E76"/>
    <w:rsid w:val="61616C24"/>
    <w:rsid w:val="6162299C"/>
    <w:rsid w:val="61691F7C"/>
    <w:rsid w:val="61700C15"/>
    <w:rsid w:val="6170768E"/>
    <w:rsid w:val="61707F91"/>
    <w:rsid w:val="617466CE"/>
    <w:rsid w:val="617701F5"/>
    <w:rsid w:val="61783F6D"/>
    <w:rsid w:val="6178408E"/>
    <w:rsid w:val="61785D1C"/>
    <w:rsid w:val="617A7CE6"/>
    <w:rsid w:val="617B7A74"/>
    <w:rsid w:val="617D3332"/>
    <w:rsid w:val="617E77D6"/>
    <w:rsid w:val="61830921"/>
    <w:rsid w:val="61834DEC"/>
    <w:rsid w:val="61881DC6"/>
    <w:rsid w:val="618C17C7"/>
    <w:rsid w:val="6190770A"/>
    <w:rsid w:val="61917F48"/>
    <w:rsid w:val="61943BF5"/>
    <w:rsid w:val="619F14FA"/>
    <w:rsid w:val="619F73C4"/>
    <w:rsid w:val="61A15272"/>
    <w:rsid w:val="61A62889"/>
    <w:rsid w:val="61AE30F8"/>
    <w:rsid w:val="61AE5BE1"/>
    <w:rsid w:val="61B56F70"/>
    <w:rsid w:val="61B8631B"/>
    <w:rsid w:val="61BA7637"/>
    <w:rsid w:val="61BE4076"/>
    <w:rsid w:val="61BF1B9C"/>
    <w:rsid w:val="61BF394A"/>
    <w:rsid w:val="61C1296A"/>
    <w:rsid w:val="61C13B66"/>
    <w:rsid w:val="61C243C9"/>
    <w:rsid w:val="61C80A51"/>
    <w:rsid w:val="61CB46C0"/>
    <w:rsid w:val="61CB62CF"/>
    <w:rsid w:val="61D373F6"/>
    <w:rsid w:val="61D70C94"/>
    <w:rsid w:val="61D76EE6"/>
    <w:rsid w:val="61D86D49"/>
    <w:rsid w:val="61DA26C4"/>
    <w:rsid w:val="61DA69D6"/>
    <w:rsid w:val="61DC44FC"/>
    <w:rsid w:val="61E03976"/>
    <w:rsid w:val="61E31298"/>
    <w:rsid w:val="61E32DD8"/>
    <w:rsid w:val="61E57855"/>
    <w:rsid w:val="61EB0BE3"/>
    <w:rsid w:val="61EB473F"/>
    <w:rsid w:val="61EF4230"/>
    <w:rsid w:val="61F07FA8"/>
    <w:rsid w:val="61F21F72"/>
    <w:rsid w:val="61F950AE"/>
    <w:rsid w:val="61FF118B"/>
    <w:rsid w:val="62020581"/>
    <w:rsid w:val="62031A89"/>
    <w:rsid w:val="62033E14"/>
    <w:rsid w:val="620A72BB"/>
    <w:rsid w:val="620F4693"/>
    <w:rsid w:val="620F48D2"/>
    <w:rsid w:val="621106F4"/>
    <w:rsid w:val="62141AA7"/>
    <w:rsid w:val="621E68C3"/>
    <w:rsid w:val="62255EA3"/>
    <w:rsid w:val="622A34BA"/>
    <w:rsid w:val="622A5268"/>
    <w:rsid w:val="622B7232"/>
    <w:rsid w:val="622D2FAA"/>
    <w:rsid w:val="62314848"/>
    <w:rsid w:val="623205C0"/>
    <w:rsid w:val="6232236E"/>
    <w:rsid w:val="62326AFE"/>
    <w:rsid w:val="62364782"/>
    <w:rsid w:val="62375AF0"/>
    <w:rsid w:val="62397551"/>
    <w:rsid w:val="62397BA1"/>
    <w:rsid w:val="623A66C4"/>
    <w:rsid w:val="623C4F9B"/>
    <w:rsid w:val="623E47E2"/>
    <w:rsid w:val="623E6F65"/>
    <w:rsid w:val="62426A55"/>
    <w:rsid w:val="624327CD"/>
    <w:rsid w:val="6247406C"/>
    <w:rsid w:val="62483940"/>
    <w:rsid w:val="624A3B5C"/>
    <w:rsid w:val="62516C98"/>
    <w:rsid w:val="62540537"/>
    <w:rsid w:val="625422E5"/>
    <w:rsid w:val="62562501"/>
    <w:rsid w:val="625B18C5"/>
    <w:rsid w:val="625B3673"/>
    <w:rsid w:val="625E6872"/>
    <w:rsid w:val="62620EA5"/>
    <w:rsid w:val="62623765"/>
    <w:rsid w:val="6263077A"/>
    <w:rsid w:val="62636AC5"/>
    <w:rsid w:val="626562A0"/>
    <w:rsid w:val="62665185"/>
    <w:rsid w:val="6267026A"/>
    <w:rsid w:val="626B7569"/>
    <w:rsid w:val="626B762E"/>
    <w:rsid w:val="626B7BBE"/>
    <w:rsid w:val="626F5370"/>
    <w:rsid w:val="626F778E"/>
    <w:rsid w:val="627051C5"/>
    <w:rsid w:val="62713A30"/>
    <w:rsid w:val="62740BD9"/>
    <w:rsid w:val="62783599"/>
    <w:rsid w:val="62791D4B"/>
    <w:rsid w:val="627B3D15"/>
    <w:rsid w:val="627E3805"/>
    <w:rsid w:val="627E47EA"/>
    <w:rsid w:val="62807141"/>
    <w:rsid w:val="62830E1C"/>
    <w:rsid w:val="6286301C"/>
    <w:rsid w:val="62864468"/>
    <w:rsid w:val="628A21AA"/>
    <w:rsid w:val="628A3F58"/>
    <w:rsid w:val="628B71A8"/>
    <w:rsid w:val="628C7CD0"/>
    <w:rsid w:val="628D57F7"/>
    <w:rsid w:val="628E1B2F"/>
    <w:rsid w:val="628F42BC"/>
    <w:rsid w:val="62946B85"/>
    <w:rsid w:val="62946DCA"/>
    <w:rsid w:val="62950184"/>
    <w:rsid w:val="62975F54"/>
    <w:rsid w:val="6299063F"/>
    <w:rsid w:val="629B43B7"/>
    <w:rsid w:val="629F3071"/>
    <w:rsid w:val="62A27CA7"/>
    <w:rsid w:val="62A414BE"/>
    <w:rsid w:val="62A63DB0"/>
    <w:rsid w:val="62A768B8"/>
    <w:rsid w:val="62AA0157"/>
    <w:rsid w:val="62AA45FB"/>
    <w:rsid w:val="62AA63A9"/>
    <w:rsid w:val="62AC2121"/>
    <w:rsid w:val="62AE40EB"/>
    <w:rsid w:val="62AE5E99"/>
    <w:rsid w:val="62B0142F"/>
    <w:rsid w:val="62B2525D"/>
    <w:rsid w:val="62B47227"/>
    <w:rsid w:val="62B86D17"/>
    <w:rsid w:val="62B9483E"/>
    <w:rsid w:val="62B97574"/>
    <w:rsid w:val="62BD2580"/>
    <w:rsid w:val="62BF7FA3"/>
    <w:rsid w:val="62C0797A"/>
    <w:rsid w:val="62C82EE3"/>
    <w:rsid w:val="62CA6A4B"/>
    <w:rsid w:val="62CC4571"/>
    <w:rsid w:val="62D376AD"/>
    <w:rsid w:val="62D82F16"/>
    <w:rsid w:val="62D94DD2"/>
    <w:rsid w:val="62D96C8E"/>
    <w:rsid w:val="62DE6052"/>
    <w:rsid w:val="62E0001C"/>
    <w:rsid w:val="62E23D94"/>
    <w:rsid w:val="62E418BB"/>
    <w:rsid w:val="62E42611"/>
    <w:rsid w:val="62E553F8"/>
    <w:rsid w:val="62E775FD"/>
    <w:rsid w:val="62EA49F7"/>
    <w:rsid w:val="62EC4C13"/>
    <w:rsid w:val="62ED51EE"/>
    <w:rsid w:val="62EE2739"/>
    <w:rsid w:val="62EE44E7"/>
    <w:rsid w:val="62EF200D"/>
    <w:rsid w:val="62EF64B1"/>
    <w:rsid w:val="62F0280B"/>
    <w:rsid w:val="62F31AFE"/>
    <w:rsid w:val="62F5014F"/>
    <w:rsid w:val="62F703F9"/>
    <w:rsid w:val="62FD297C"/>
    <w:rsid w:val="62FD48F9"/>
    <w:rsid w:val="62FF26D9"/>
    <w:rsid w:val="63027F93"/>
    <w:rsid w:val="63035AB9"/>
    <w:rsid w:val="6308735D"/>
    <w:rsid w:val="630A6E47"/>
    <w:rsid w:val="630B4F5E"/>
    <w:rsid w:val="630D38A0"/>
    <w:rsid w:val="630E2DDB"/>
    <w:rsid w:val="630E4B89"/>
    <w:rsid w:val="631303F2"/>
    <w:rsid w:val="631F28F3"/>
    <w:rsid w:val="63212B0F"/>
    <w:rsid w:val="63224191"/>
    <w:rsid w:val="63225184"/>
    <w:rsid w:val="63235063"/>
    <w:rsid w:val="63286F28"/>
    <w:rsid w:val="632A1297"/>
    <w:rsid w:val="632B573B"/>
    <w:rsid w:val="632B64E7"/>
    <w:rsid w:val="632D2B56"/>
    <w:rsid w:val="63332842"/>
    <w:rsid w:val="63360D48"/>
    <w:rsid w:val="633914DA"/>
    <w:rsid w:val="633B16F7"/>
    <w:rsid w:val="633D0FCB"/>
    <w:rsid w:val="633D18C0"/>
    <w:rsid w:val="633D2BD8"/>
    <w:rsid w:val="633F11E7"/>
    <w:rsid w:val="63416D0D"/>
    <w:rsid w:val="6343533F"/>
    <w:rsid w:val="63436152"/>
    <w:rsid w:val="63442359"/>
    <w:rsid w:val="634632A4"/>
    <w:rsid w:val="63493E13"/>
    <w:rsid w:val="634C7460"/>
    <w:rsid w:val="635228F6"/>
    <w:rsid w:val="63554566"/>
    <w:rsid w:val="63556314"/>
    <w:rsid w:val="63575504"/>
    <w:rsid w:val="635A1B7D"/>
    <w:rsid w:val="635D341B"/>
    <w:rsid w:val="6361115D"/>
    <w:rsid w:val="63624ED5"/>
    <w:rsid w:val="63650337"/>
    <w:rsid w:val="63660521"/>
    <w:rsid w:val="636649C5"/>
    <w:rsid w:val="6367429A"/>
    <w:rsid w:val="63697919"/>
    <w:rsid w:val="636C365E"/>
    <w:rsid w:val="637013A0"/>
    <w:rsid w:val="63702A4C"/>
    <w:rsid w:val="63711839"/>
    <w:rsid w:val="63716EC6"/>
    <w:rsid w:val="63730E90"/>
    <w:rsid w:val="63743B6A"/>
    <w:rsid w:val="637569B7"/>
    <w:rsid w:val="637644DD"/>
    <w:rsid w:val="637C31BE"/>
    <w:rsid w:val="637C5D8F"/>
    <w:rsid w:val="637D721E"/>
    <w:rsid w:val="637F3391"/>
    <w:rsid w:val="637F590A"/>
    <w:rsid w:val="637F7835"/>
    <w:rsid w:val="63811F35"/>
    <w:rsid w:val="63881DBD"/>
    <w:rsid w:val="63883103"/>
    <w:rsid w:val="63892CD6"/>
    <w:rsid w:val="638B442C"/>
    <w:rsid w:val="638C2474"/>
    <w:rsid w:val="638D4E7E"/>
    <w:rsid w:val="638F1633"/>
    <w:rsid w:val="639042D2"/>
    <w:rsid w:val="63952BB5"/>
    <w:rsid w:val="639808F7"/>
    <w:rsid w:val="63981333"/>
    <w:rsid w:val="63996C58"/>
    <w:rsid w:val="639F57E1"/>
    <w:rsid w:val="63A96660"/>
    <w:rsid w:val="63AB4186"/>
    <w:rsid w:val="63B05C41"/>
    <w:rsid w:val="63B76FCF"/>
    <w:rsid w:val="63B948A0"/>
    <w:rsid w:val="63BA086D"/>
    <w:rsid w:val="63BA6ABF"/>
    <w:rsid w:val="63C11BFC"/>
    <w:rsid w:val="63C244C2"/>
    <w:rsid w:val="63C27722"/>
    <w:rsid w:val="63C4349A"/>
    <w:rsid w:val="63C60FC0"/>
    <w:rsid w:val="63C76EA4"/>
    <w:rsid w:val="63C86A2B"/>
    <w:rsid w:val="63C872E4"/>
    <w:rsid w:val="63CB3C77"/>
    <w:rsid w:val="63D01E3F"/>
    <w:rsid w:val="63D40BE9"/>
    <w:rsid w:val="63D7141F"/>
    <w:rsid w:val="63DA0F0F"/>
    <w:rsid w:val="63DD455C"/>
    <w:rsid w:val="63DE27AE"/>
    <w:rsid w:val="63DF2082"/>
    <w:rsid w:val="63DF6526"/>
    <w:rsid w:val="63E0211F"/>
    <w:rsid w:val="63E04830"/>
    <w:rsid w:val="63E1404C"/>
    <w:rsid w:val="63E37DC4"/>
    <w:rsid w:val="63E678B4"/>
    <w:rsid w:val="63E74FEE"/>
    <w:rsid w:val="63E853DA"/>
    <w:rsid w:val="63EB4ECB"/>
    <w:rsid w:val="63EC4EF3"/>
    <w:rsid w:val="63ED29F1"/>
    <w:rsid w:val="63ED479F"/>
    <w:rsid w:val="63F00DC7"/>
    <w:rsid w:val="63F0428F"/>
    <w:rsid w:val="63F0603D"/>
    <w:rsid w:val="63F26259"/>
    <w:rsid w:val="63F64A00"/>
    <w:rsid w:val="63F91D33"/>
    <w:rsid w:val="63FC70D8"/>
    <w:rsid w:val="6405643E"/>
    <w:rsid w:val="64061D04"/>
    <w:rsid w:val="640657AF"/>
    <w:rsid w:val="640815D9"/>
    <w:rsid w:val="6408782B"/>
    <w:rsid w:val="640B2E77"/>
    <w:rsid w:val="640F0BB9"/>
    <w:rsid w:val="6410048D"/>
    <w:rsid w:val="64122457"/>
    <w:rsid w:val="64153CF6"/>
    <w:rsid w:val="6417181C"/>
    <w:rsid w:val="64183B7B"/>
    <w:rsid w:val="64191957"/>
    <w:rsid w:val="64195594"/>
    <w:rsid w:val="641B57B0"/>
    <w:rsid w:val="641E2BAA"/>
    <w:rsid w:val="641E704E"/>
    <w:rsid w:val="642167B4"/>
    <w:rsid w:val="642A0B61"/>
    <w:rsid w:val="642B3519"/>
    <w:rsid w:val="642D7291"/>
    <w:rsid w:val="642D79A4"/>
    <w:rsid w:val="643024A2"/>
    <w:rsid w:val="64326656"/>
    <w:rsid w:val="64361EE4"/>
    <w:rsid w:val="643945F5"/>
    <w:rsid w:val="643A70CF"/>
    <w:rsid w:val="643C25D6"/>
    <w:rsid w:val="643E0E5C"/>
    <w:rsid w:val="643E4FFA"/>
    <w:rsid w:val="643E5117"/>
    <w:rsid w:val="64426DE8"/>
    <w:rsid w:val="64432611"/>
    <w:rsid w:val="6445282D"/>
    <w:rsid w:val="64485E79"/>
    <w:rsid w:val="644904C4"/>
    <w:rsid w:val="644A1BF1"/>
    <w:rsid w:val="644B034C"/>
    <w:rsid w:val="644E3D19"/>
    <w:rsid w:val="644F0FB6"/>
    <w:rsid w:val="64524F4A"/>
    <w:rsid w:val="64534785"/>
    <w:rsid w:val="64552344"/>
    <w:rsid w:val="645667E8"/>
    <w:rsid w:val="64570C2A"/>
    <w:rsid w:val="645760BC"/>
    <w:rsid w:val="645B3DFE"/>
    <w:rsid w:val="645C7B76"/>
    <w:rsid w:val="645E38EF"/>
    <w:rsid w:val="64601415"/>
    <w:rsid w:val="646031C3"/>
    <w:rsid w:val="64642182"/>
    <w:rsid w:val="64655FDA"/>
    <w:rsid w:val="64656A2B"/>
    <w:rsid w:val="64676364"/>
    <w:rsid w:val="646802C9"/>
    <w:rsid w:val="646A2293"/>
    <w:rsid w:val="646A4358"/>
    <w:rsid w:val="646D3B32"/>
    <w:rsid w:val="646E3CD1"/>
    <w:rsid w:val="647640BA"/>
    <w:rsid w:val="647C3D75"/>
    <w:rsid w:val="6486074F"/>
    <w:rsid w:val="64872E45"/>
    <w:rsid w:val="6487551C"/>
    <w:rsid w:val="648917D7"/>
    <w:rsid w:val="648A46E4"/>
    <w:rsid w:val="648A7941"/>
    <w:rsid w:val="648B3FB8"/>
    <w:rsid w:val="64923598"/>
    <w:rsid w:val="649308CA"/>
    <w:rsid w:val="64930CCF"/>
    <w:rsid w:val="649317EA"/>
    <w:rsid w:val="64970BAF"/>
    <w:rsid w:val="6497295D"/>
    <w:rsid w:val="64992B79"/>
    <w:rsid w:val="649D3D46"/>
    <w:rsid w:val="649E3CEB"/>
    <w:rsid w:val="64A1360B"/>
    <w:rsid w:val="64A37553"/>
    <w:rsid w:val="64A5151D"/>
    <w:rsid w:val="64A62BA0"/>
    <w:rsid w:val="64AA29DA"/>
    <w:rsid w:val="64AC28AC"/>
    <w:rsid w:val="64AC465A"/>
    <w:rsid w:val="64B55F14"/>
    <w:rsid w:val="64BE438D"/>
    <w:rsid w:val="64BE613B"/>
    <w:rsid w:val="64C01EB3"/>
    <w:rsid w:val="64C30C0B"/>
    <w:rsid w:val="64C45AF8"/>
    <w:rsid w:val="64C64FF0"/>
    <w:rsid w:val="64CB5679"/>
    <w:rsid w:val="64CC1094"/>
    <w:rsid w:val="64CC2606"/>
    <w:rsid w:val="64CE332C"/>
    <w:rsid w:val="64CF659A"/>
    <w:rsid w:val="64D211B2"/>
    <w:rsid w:val="64D63485"/>
    <w:rsid w:val="64D74D16"/>
    <w:rsid w:val="64DB6CED"/>
    <w:rsid w:val="64DF43D9"/>
    <w:rsid w:val="64DF4A2F"/>
    <w:rsid w:val="64E41150"/>
    <w:rsid w:val="64E52D76"/>
    <w:rsid w:val="64E57B6C"/>
    <w:rsid w:val="64E75692"/>
    <w:rsid w:val="64E917B9"/>
    <w:rsid w:val="64EA33D4"/>
    <w:rsid w:val="64EC08CE"/>
    <w:rsid w:val="64EC2CA8"/>
    <w:rsid w:val="64EC4A56"/>
    <w:rsid w:val="64EE1A97"/>
    <w:rsid w:val="64F16511"/>
    <w:rsid w:val="64F67FA2"/>
    <w:rsid w:val="64F733FB"/>
    <w:rsid w:val="64FB2EEB"/>
    <w:rsid w:val="64FB738F"/>
    <w:rsid w:val="64FF0C2E"/>
    <w:rsid w:val="650113FE"/>
    <w:rsid w:val="6502071E"/>
    <w:rsid w:val="65063C89"/>
    <w:rsid w:val="650B6F5C"/>
    <w:rsid w:val="650C334B"/>
    <w:rsid w:val="65110961"/>
    <w:rsid w:val="65130235"/>
    <w:rsid w:val="65136487"/>
    <w:rsid w:val="651569E0"/>
    <w:rsid w:val="65167D25"/>
    <w:rsid w:val="65181CEF"/>
    <w:rsid w:val="651A5A67"/>
    <w:rsid w:val="651C3873"/>
    <w:rsid w:val="651D5558"/>
    <w:rsid w:val="65202952"/>
    <w:rsid w:val="65207558"/>
    <w:rsid w:val="65230BB9"/>
    <w:rsid w:val="652341F0"/>
    <w:rsid w:val="652404E2"/>
    <w:rsid w:val="65240694"/>
    <w:rsid w:val="6525705F"/>
    <w:rsid w:val="652B54CB"/>
    <w:rsid w:val="652C16E9"/>
    <w:rsid w:val="652C7549"/>
    <w:rsid w:val="652E1513"/>
    <w:rsid w:val="65332685"/>
    <w:rsid w:val="653463FD"/>
    <w:rsid w:val="65357ADB"/>
    <w:rsid w:val="65362175"/>
    <w:rsid w:val="65373578"/>
    <w:rsid w:val="653A02CF"/>
    <w:rsid w:val="653F54CE"/>
    <w:rsid w:val="65404DA2"/>
    <w:rsid w:val="65433F44"/>
    <w:rsid w:val="654523B9"/>
    <w:rsid w:val="654E74BF"/>
    <w:rsid w:val="655069AC"/>
    <w:rsid w:val="65544838"/>
    <w:rsid w:val="655467D1"/>
    <w:rsid w:val="655557C2"/>
    <w:rsid w:val="655B4BDA"/>
    <w:rsid w:val="6560179B"/>
    <w:rsid w:val="65624D19"/>
    <w:rsid w:val="656D4024"/>
    <w:rsid w:val="65705687"/>
    <w:rsid w:val="65711400"/>
    <w:rsid w:val="65711DFC"/>
    <w:rsid w:val="65716E00"/>
    <w:rsid w:val="65717652"/>
    <w:rsid w:val="65747D87"/>
    <w:rsid w:val="657809E0"/>
    <w:rsid w:val="6579663B"/>
    <w:rsid w:val="657D7DA4"/>
    <w:rsid w:val="657E64D4"/>
    <w:rsid w:val="657F1404"/>
    <w:rsid w:val="657F3B1C"/>
    <w:rsid w:val="657F5BAA"/>
    <w:rsid w:val="658253BB"/>
    <w:rsid w:val="65856C59"/>
    <w:rsid w:val="65864EAB"/>
    <w:rsid w:val="65896749"/>
    <w:rsid w:val="658A426F"/>
    <w:rsid w:val="658B0713"/>
    <w:rsid w:val="658C6239"/>
    <w:rsid w:val="658E3D60"/>
    <w:rsid w:val="65905D2A"/>
    <w:rsid w:val="65913850"/>
    <w:rsid w:val="6592787A"/>
    <w:rsid w:val="65960165"/>
    <w:rsid w:val="659865EF"/>
    <w:rsid w:val="659A0956"/>
    <w:rsid w:val="65A11CE5"/>
    <w:rsid w:val="65A13A93"/>
    <w:rsid w:val="65A417D5"/>
    <w:rsid w:val="65AA392C"/>
    <w:rsid w:val="65AC068A"/>
    <w:rsid w:val="65B27D31"/>
    <w:rsid w:val="65B337C6"/>
    <w:rsid w:val="65B4371E"/>
    <w:rsid w:val="65B512EC"/>
    <w:rsid w:val="65BB4BCA"/>
    <w:rsid w:val="65C07C91"/>
    <w:rsid w:val="65C43C25"/>
    <w:rsid w:val="65C459D3"/>
    <w:rsid w:val="65C6174B"/>
    <w:rsid w:val="65C71020"/>
    <w:rsid w:val="65C8108A"/>
    <w:rsid w:val="65C854C3"/>
    <w:rsid w:val="65C94D98"/>
    <w:rsid w:val="65CB3162"/>
    <w:rsid w:val="65CC6636"/>
    <w:rsid w:val="65CE6852"/>
    <w:rsid w:val="65D025CA"/>
    <w:rsid w:val="65D16249"/>
    <w:rsid w:val="65DC2D1D"/>
    <w:rsid w:val="65E107A1"/>
    <w:rsid w:val="65E120E1"/>
    <w:rsid w:val="65E41BD1"/>
    <w:rsid w:val="65EE0CA2"/>
    <w:rsid w:val="65EE3EAC"/>
    <w:rsid w:val="65F004D2"/>
    <w:rsid w:val="65F067C8"/>
    <w:rsid w:val="65F31E15"/>
    <w:rsid w:val="65F362B8"/>
    <w:rsid w:val="65F52031"/>
    <w:rsid w:val="65F53DDF"/>
    <w:rsid w:val="65F71905"/>
    <w:rsid w:val="65F938CF"/>
    <w:rsid w:val="65FA31A3"/>
    <w:rsid w:val="65FE1159"/>
    <w:rsid w:val="66011168"/>
    <w:rsid w:val="66017C1F"/>
    <w:rsid w:val="6603474E"/>
    <w:rsid w:val="66063C4D"/>
    <w:rsid w:val="660A6DCA"/>
    <w:rsid w:val="660B1854"/>
    <w:rsid w:val="660E4EA0"/>
    <w:rsid w:val="6611613F"/>
    <w:rsid w:val="66122D27"/>
    <w:rsid w:val="6612673F"/>
    <w:rsid w:val="66171FA7"/>
    <w:rsid w:val="661C3F42"/>
    <w:rsid w:val="661F2C0A"/>
    <w:rsid w:val="662045C9"/>
    <w:rsid w:val="6623094C"/>
    <w:rsid w:val="66236B9E"/>
    <w:rsid w:val="66256BB3"/>
    <w:rsid w:val="66280D11"/>
    <w:rsid w:val="66293A88"/>
    <w:rsid w:val="662A1D70"/>
    <w:rsid w:val="662D5327"/>
    <w:rsid w:val="66331B4C"/>
    <w:rsid w:val="66342B59"/>
    <w:rsid w:val="6636344C"/>
    <w:rsid w:val="6639277A"/>
    <w:rsid w:val="663D12E2"/>
    <w:rsid w:val="663E0BF4"/>
    <w:rsid w:val="663E5786"/>
    <w:rsid w:val="663F0955"/>
    <w:rsid w:val="66410DD2"/>
    <w:rsid w:val="66415276"/>
    <w:rsid w:val="66434B4A"/>
    <w:rsid w:val="66434BE7"/>
    <w:rsid w:val="664408C2"/>
    <w:rsid w:val="66442B46"/>
    <w:rsid w:val="66476DEF"/>
    <w:rsid w:val="664B7EA3"/>
    <w:rsid w:val="664D3C1B"/>
    <w:rsid w:val="664D4B6E"/>
    <w:rsid w:val="664D7777"/>
    <w:rsid w:val="6655487D"/>
    <w:rsid w:val="665705F5"/>
    <w:rsid w:val="6659611C"/>
    <w:rsid w:val="665A00E6"/>
    <w:rsid w:val="665D3590"/>
    <w:rsid w:val="665E3732"/>
    <w:rsid w:val="665E7BD6"/>
    <w:rsid w:val="665F7EA6"/>
    <w:rsid w:val="66614756"/>
    <w:rsid w:val="666176C6"/>
    <w:rsid w:val="66664CDC"/>
    <w:rsid w:val="667967BE"/>
    <w:rsid w:val="667B2536"/>
    <w:rsid w:val="66811B16"/>
    <w:rsid w:val="6683763C"/>
    <w:rsid w:val="668524C1"/>
    <w:rsid w:val="668533B4"/>
    <w:rsid w:val="66854445"/>
    <w:rsid w:val="66862C89"/>
    <w:rsid w:val="668B029F"/>
    <w:rsid w:val="668B7751"/>
    <w:rsid w:val="668D04BB"/>
    <w:rsid w:val="668D2269"/>
    <w:rsid w:val="668D7512"/>
    <w:rsid w:val="668F6144"/>
    <w:rsid w:val="66911D59"/>
    <w:rsid w:val="66976C44"/>
    <w:rsid w:val="669B6734"/>
    <w:rsid w:val="669C10FA"/>
    <w:rsid w:val="669E4476"/>
    <w:rsid w:val="66A31A8D"/>
    <w:rsid w:val="66A3383B"/>
    <w:rsid w:val="66A51361"/>
    <w:rsid w:val="66A6332B"/>
    <w:rsid w:val="66A870A3"/>
    <w:rsid w:val="66AB0941"/>
    <w:rsid w:val="66B141AA"/>
    <w:rsid w:val="66B15F58"/>
    <w:rsid w:val="66B6356E"/>
    <w:rsid w:val="66B772E6"/>
    <w:rsid w:val="66B912B0"/>
    <w:rsid w:val="66BB7D21"/>
    <w:rsid w:val="66BC66AA"/>
    <w:rsid w:val="66C0619B"/>
    <w:rsid w:val="66C33EDD"/>
    <w:rsid w:val="66C52082"/>
    <w:rsid w:val="66C55758"/>
    <w:rsid w:val="66C56213"/>
    <w:rsid w:val="66C57C55"/>
    <w:rsid w:val="66C814F3"/>
    <w:rsid w:val="66CC0FE3"/>
    <w:rsid w:val="66CF2882"/>
    <w:rsid w:val="66CF4630"/>
    <w:rsid w:val="66CF63DE"/>
    <w:rsid w:val="66D63C10"/>
    <w:rsid w:val="66D659BE"/>
    <w:rsid w:val="66D6776C"/>
    <w:rsid w:val="66D81D68"/>
    <w:rsid w:val="66DD63E5"/>
    <w:rsid w:val="66E71979"/>
    <w:rsid w:val="66EC6F90"/>
    <w:rsid w:val="66ED0F5A"/>
    <w:rsid w:val="66EF4CD2"/>
    <w:rsid w:val="66F422E8"/>
    <w:rsid w:val="66F4477F"/>
    <w:rsid w:val="66F45E44"/>
    <w:rsid w:val="66F75934"/>
    <w:rsid w:val="66FB71D3"/>
    <w:rsid w:val="66FB7A23"/>
    <w:rsid w:val="66FD73EF"/>
    <w:rsid w:val="66FE6CC3"/>
    <w:rsid w:val="67000C8D"/>
    <w:rsid w:val="670102B9"/>
    <w:rsid w:val="67087B42"/>
    <w:rsid w:val="670D6401"/>
    <w:rsid w:val="67112E9A"/>
    <w:rsid w:val="6712451C"/>
    <w:rsid w:val="67171B92"/>
    <w:rsid w:val="6718068C"/>
    <w:rsid w:val="671A2875"/>
    <w:rsid w:val="67211A19"/>
    <w:rsid w:val="67220C03"/>
    <w:rsid w:val="67295A58"/>
    <w:rsid w:val="672C6851"/>
    <w:rsid w:val="672D4457"/>
    <w:rsid w:val="672E0BBA"/>
    <w:rsid w:val="672F0E4B"/>
    <w:rsid w:val="672F1572"/>
    <w:rsid w:val="673426E5"/>
    <w:rsid w:val="67362901"/>
    <w:rsid w:val="67380715"/>
    <w:rsid w:val="673E3563"/>
    <w:rsid w:val="673F2C7A"/>
    <w:rsid w:val="674072DB"/>
    <w:rsid w:val="6747066A"/>
    <w:rsid w:val="674A094A"/>
    <w:rsid w:val="674C5C80"/>
    <w:rsid w:val="674E1E9C"/>
    <w:rsid w:val="674E7C4A"/>
    <w:rsid w:val="6751773B"/>
    <w:rsid w:val="67530DBD"/>
    <w:rsid w:val="67540894"/>
    <w:rsid w:val="675B5EC3"/>
    <w:rsid w:val="675D6544"/>
    <w:rsid w:val="675D7E8D"/>
    <w:rsid w:val="676254A4"/>
    <w:rsid w:val="6765041B"/>
    <w:rsid w:val="67672ABA"/>
    <w:rsid w:val="676B585C"/>
    <w:rsid w:val="676E3E49"/>
    <w:rsid w:val="676F196F"/>
    <w:rsid w:val="67713939"/>
    <w:rsid w:val="67746F85"/>
    <w:rsid w:val="67786A75"/>
    <w:rsid w:val="677B6565"/>
    <w:rsid w:val="677F6056"/>
    <w:rsid w:val="6780592A"/>
    <w:rsid w:val="678216A2"/>
    <w:rsid w:val="678278F4"/>
    <w:rsid w:val="67841F6B"/>
    <w:rsid w:val="6784366C"/>
    <w:rsid w:val="67883798"/>
    <w:rsid w:val="678B49FB"/>
    <w:rsid w:val="678E0047"/>
    <w:rsid w:val="678E6299"/>
    <w:rsid w:val="67900263"/>
    <w:rsid w:val="679338AF"/>
    <w:rsid w:val="67966EFB"/>
    <w:rsid w:val="67982C74"/>
    <w:rsid w:val="679B1BC9"/>
    <w:rsid w:val="679F04A6"/>
    <w:rsid w:val="67A05409"/>
    <w:rsid w:val="67A07D7A"/>
    <w:rsid w:val="67A20640"/>
    <w:rsid w:val="67A23AF2"/>
    <w:rsid w:val="67A26575"/>
    <w:rsid w:val="67B13D35"/>
    <w:rsid w:val="67B33F51"/>
    <w:rsid w:val="67B35CFF"/>
    <w:rsid w:val="67B37AAD"/>
    <w:rsid w:val="67B50D99"/>
    <w:rsid w:val="67B83316"/>
    <w:rsid w:val="67C209B2"/>
    <w:rsid w:val="67C63C85"/>
    <w:rsid w:val="67CA7EC8"/>
    <w:rsid w:val="67CF2049"/>
    <w:rsid w:val="67CF5D1C"/>
    <w:rsid w:val="67D11A4E"/>
    <w:rsid w:val="67D411EB"/>
    <w:rsid w:val="67DD4B2A"/>
    <w:rsid w:val="67E301C9"/>
    <w:rsid w:val="67E81E4D"/>
    <w:rsid w:val="67E97973"/>
    <w:rsid w:val="67EB7247"/>
    <w:rsid w:val="67EC1211"/>
    <w:rsid w:val="67F2442C"/>
    <w:rsid w:val="67F51E74"/>
    <w:rsid w:val="67FA7F10"/>
    <w:rsid w:val="67FB3202"/>
    <w:rsid w:val="67FC76A6"/>
    <w:rsid w:val="68017372"/>
    <w:rsid w:val="6804655B"/>
    <w:rsid w:val="680622D3"/>
    <w:rsid w:val="68071BA7"/>
    <w:rsid w:val="68077DF9"/>
    <w:rsid w:val="680B5B3B"/>
    <w:rsid w:val="680B6231"/>
    <w:rsid w:val="68106CAE"/>
    <w:rsid w:val="68123978"/>
    <w:rsid w:val="68164A44"/>
    <w:rsid w:val="68183DB4"/>
    <w:rsid w:val="68191A91"/>
    <w:rsid w:val="681A7329"/>
    <w:rsid w:val="681A7B2C"/>
    <w:rsid w:val="681B464D"/>
    <w:rsid w:val="681C5653"/>
    <w:rsid w:val="681F5143"/>
    <w:rsid w:val="681F6961"/>
    <w:rsid w:val="682054F9"/>
    <w:rsid w:val="68212C69"/>
    <w:rsid w:val="68224C33"/>
    <w:rsid w:val="68297D70"/>
    <w:rsid w:val="682B7F8C"/>
    <w:rsid w:val="682E182A"/>
    <w:rsid w:val="6833299C"/>
    <w:rsid w:val="68373ED2"/>
    <w:rsid w:val="683A01CF"/>
    <w:rsid w:val="683A1F7D"/>
    <w:rsid w:val="683D4915"/>
    <w:rsid w:val="683D57FD"/>
    <w:rsid w:val="684150B9"/>
    <w:rsid w:val="68466B73"/>
    <w:rsid w:val="684828EC"/>
    <w:rsid w:val="68490412"/>
    <w:rsid w:val="684C04B5"/>
    <w:rsid w:val="68541CB5"/>
    <w:rsid w:val="68570D81"/>
    <w:rsid w:val="685968A7"/>
    <w:rsid w:val="685A5DC1"/>
    <w:rsid w:val="685C0145"/>
    <w:rsid w:val="68610A2F"/>
    <w:rsid w:val="686510E4"/>
    <w:rsid w:val="686A1C23"/>
    <w:rsid w:val="68721717"/>
    <w:rsid w:val="687234C5"/>
    <w:rsid w:val="687B0C38"/>
    <w:rsid w:val="687D7E1B"/>
    <w:rsid w:val="687F3E33"/>
    <w:rsid w:val="68805514"/>
    <w:rsid w:val="688078CF"/>
    <w:rsid w:val="688171D5"/>
    <w:rsid w:val="68833924"/>
    <w:rsid w:val="688A2F04"/>
    <w:rsid w:val="688B0A2A"/>
    <w:rsid w:val="688B44B8"/>
    <w:rsid w:val="68914293"/>
    <w:rsid w:val="68953657"/>
    <w:rsid w:val="68955405"/>
    <w:rsid w:val="68994EF5"/>
    <w:rsid w:val="689B6EBF"/>
    <w:rsid w:val="689E250C"/>
    <w:rsid w:val="689F6284"/>
    <w:rsid w:val="68A13DAA"/>
    <w:rsid w:val="68A33FC6"/>
    <w:rsid w:val="68A36A6C"/>
    <w:rsid w:val="68A57E7D"/>
    <w:rsid w:val="68A613C0"/>
    <w:rsid w:val="68A67612"/>
    <w:rsid w:val="68A839E0"/>
    <w:rsid w:val="68A84B24"/>
    <w:rsid w:val="68AA0EB0"/>
    <w:rsid w:val="68AA7FC8"/>
    <w:rsid w:val="68AD09A1"/>
    <w:rsid w:val="68AE0E91"/>
    <w:rsid w:val="68B03FED"/>
    <w:rsid w:val="68B2355C"/>
    <w:rsid w:val="68B30AF3"/>
    <w:rsid w:val="68B34305"/>
    <w:rsid w:val="68BC54D9"/>
    <w:rsid w:val="68BE495C"/>
    <w:rsid w:val="68C006D4"/>
    <w:rsid w:val="68C1444C"/>
    <w:rsid w:val="68C242CA"/>
    <w:rsid w:val="68C31F72"/>
    <w:rsid w:val="68C55CEA"/>
    <w:rsid w:val="68C56E8C"/>
    <w:rsid w:val="68C63810"/>
    <w:rsid w:val="68C857DA"/>
    <w:rsid w:val="68CA50AF"/>
    <w:rsid w:val="68CD1043"/>
    <w:rsid w:val="68CF175C"/>
    <w:rsid w:val="68D43ED1"/>
    <w:rsid w:val="68D979E8"/>
    <w:rsid w:val="68DB72BC"/>
    <w:rsid w:val="68DC4DE2"/>
    <w:rsid w:val="68E31C7D"/>
    <w:rsid w:val="68E343C2"/>
    <w:rsid w:val="68E36170"/>
    <w:rsid w:val="68E5022E"/>
    <w:rsid w:val="68E57D0D"/>
    <w:rsid w:val="68E64E12"/>
    <w:rsid w:val="68EC771B"/>
    <w:rsid w:val="68EF0FB9"/>
    <w:rsid w:val="68F00A95"/>
    <w:rsid w:val="68F14D31"/>
    <w:rsid w:val="68F55EA4"/>
    <w:rsid w:val="68FB5BB0"/>
    <w:rsid w:val="68FB795E"/>
    <w:rsid w:val="68FE744E"/>
    <w:rsid w:val="6905258B"/>
    <w:rsid w:val="6908207B"/>
    <w:rsid w:val="690D040B"/>
    <w:rsid w:val="690E58E3"/>
    <w:rsid w:val="690F51B7"/>
    <w:rsid w:val="69180510"/>
    <w:rsid w:val="69196036"/>
    <w:rsid w:val="69230C63"/>
    <w:rsid w:val="69236EB5"/>
    <w:rsid w:val="692C3FBB"/>
    <w:rsid w:val="692F717A"/>
    <w:rsid w:val="69310AF9"/>
    <w:rsid w:val="69392205"/>
    <w:rsid w:val="693C59F7"/>
    <w:rsid w:val="693D7F76"/>
    <w:rsid w:val="694110E9"/>
    <w:rsid w:val="69490210"/>
    <w:rsid w:val="694B0821"/>
    <w:rsid w:val="694C1F68"/>
    <w:rsid w:val="694E2071"/>
    <w:rsid w:val="694F1A58"/>
    <w:rsid w:val="694F3806"/>
    <w:rsid w:val="69535A05"/>
    <w:rsid w:val="695452C0"/>
    <w:rsid w:val="69562DE6"/>
    <w:rsid w:val="69575084"/>
    <w:rsid w:val="695847ED"/>
    <w:rsid w:val="69586B5E"/>
    <w:rsid w:val="695B21AB"/>
    <w:rsid w:val="695E1C9B"/>
    <w:rsid w:val="695E7EED"/>
    <w:rsid w:val="69603C65"/>
    <w:rsid w:val="69603DA2"/>
    <w:rsid w:val="696279DD"/>
    <w:rsid w:val="69684A2F"/>
    <w:rsid w:val="69692B1A"/>
    <w:rsid w:val="696A6892"/>
    <w:rsid w:val="696A6E60"/>
    <w:rsid w:val="696B34DB"/>
    <w:rsid w:val="697119CE"/>
    <w:rsid w:val="69715E72"/>
    <w:rsid w:val="697414BE"/>
    <w:rsid w:val="697A3B33"/>
    <w:rsid w:val="697B35E3"/>
    <w:rsid w:val="697F5FDF"/>
    <w:rsid w:val="69851833"/>
    <w:rsid w:val="69852275"/>
    <w:rsid w:val="698931BC"/>
    <w:rsid w:val="698A0CE2"/>
    <w:rsid w:val="698A5256"/>
    <w:rsid w:val="698C6808"/>
    <w:rsid w:val="698E2580"/>
    <w:rsid w:val="699E2456"/>
    <w:rsid w:val="69A078C8"/>
    <w:rsid w:val="69A2602B"/>
    <w:rsid w:val="69AE2C22"/>
    <w:rsid w:val="69B0699A"/>
    <w:rsid w:val="69B144C0"/>
    <w:rsid w:val="69B53FB1"/>
    <w:rsid w:val="69B55D5F"/>
    <w:rsid w:val="69BA15C7"/>
    <w:rsid w:val="69BA59A8"/>
    <w:rsid w:val="69BE2739"/>
    <w:rsid w:val="69C441F4"/>
    <w:rsid w:val="69C46CC3"/>
    <w:rsid w:val="69C67F6C"/>
    <w:rsid w:val="69C9180A"/>
    <w:rsid w:val="69CA3FC5"/>
    <w:rsid w:val="69CC12FA"/>
    <w:rsid w:val="69D0459A"/>
    <w:rsid w:val="69D16911"/>
    <w:rsid w:val="69D21180"/>
    <w:rsid w:val="69D72179"/>
    <w:rsid w:val="69DB153D"/>
    <w:rsid w:val="69DD7064"/>
    <w:rsid w:val="69DF4B8A"/>
    <w:rsid w:val="69E228CC"/>
    <w:rsid w:val="69E2467A"/>
    <w:rsid w:val="69E55F18"/>
    <w:rsid w:val="69E91EAC"/>
    <w:rsid w:val="69EA2A1E"/>
    <w:rsid w:val="69ED735F"/>
    <w:rsid w:val="69EE07EF"/>
    <w:rsid w:val="69F22593"/>
    <w:rsid w:val="69F30635"/>
    <w:rsid w:val="69F36887"/>
    <w:rsid w:val="69F61ED3"/>
    <w:rsid w:val="69FC345A"/>
    <w:rsid w:val="69FF522C"/>
    <w:rsid w:val="6A06480C"/>
    <w:rsid w:val="6A083F67"/>
    <w:rsid w:val="6A0942FC"/>
    <w:rsid w:val="6A0B3BD1"/>
    <w:rsid w:val="6A0B4E3E"/>
    <w:rsid w:val="6A0C7949"/>
    <w:rsid w:val="6A0D5B9B"/>
    <w:rsid w:val="6A164324"/>
    <w:rsid w:val="6A1707C7"/>
    <w:rsid w:val="6A197154"/>
    <w:rsid w:val="6A1C4030"/>
    <w:rsid w:val="6A22716C"/>
    <w:rsid w:val="6A2904FB"/>
    <w:rsid w:val="6A294057"/>
    <w:rsid w:val="6A2B4273"/>
    <w:rsid w:val="6A2F590D"/>
    <w:rsid w:val="6A30161E"/>
    <w:rsid w:val="6A3267B6"/>
    <w:rsid w:val="6A3273AF"/>
    <w:rsid w:val="6A330AD1"/>
    <w:rsid w:val="6A344B01"/>
    <w:rsid w:val="6A356EA0"/>
    <w:rsid w:val="6A372C18"/>
    <w:rsid w:val="6A383046"/>
    <w:rsid w:val="6A3A2708"/>
    <w:rsid w:val="6A3C3973"/>
    <w:rsid w:val="6A42336B"/>
    <w:rsid w:val="6A462E5B"/>
    <w:rsid w:val="6A470981"/>
    <w:rsid w:val="6A4B0471"/>
    <w:rsid w:val="6A4B06F6"/>
    <w:rsid w:val="6A4B221F"/>
    <w:rsid w:val="6A4B66C3"/>
    <w:rsid w:val="6A5601F1"/>
    <w:rsid w:val="6A575068"/>
    <w:rsid w:val="6A5A06B4"/>
    <w:rsid w:val="6A5B122C"/>
    <w:rsid w:val="6A5F61F1"/>
    <w:rsid w:val="6A627569"/>
    <w:rsid w:val="6A640209"/>
    <w:rsid w:val="6A647785"/>
    <w:rsid w:val="6A652FD8"/>
    <w:rsid w:val="6A6921D7"/>
    <w:rsid w:val="6A696B49"/>
    <w:rsid w:val="6A6A3122"/>
    <w:rsid w:val="6A731776"/>
    <w:rsid w:val="6A731A96"/>
    <w:rsid w:val="6A771266"/>
    <w:rsid w:val="6A796A9F"/>
    <w:rsid w:val="6A7A2B04"/>
    <w:rsid w:val="6A7C687C"/>
    <w:rsid w:val="6A7E25F5"/>
    <w:rsid w:val="6A7F6DE9"/>
    <w:rsid w:val="6A815C41"/>
    <w:rsid w:val="6A87412E"/>
    <w:rsid w:val="6A880A51"/>
    <w:rsid w:val="6A8A71EB"/>
    <w:rsid w:val="6A8B2B69"/>
    <w:rsid w:val="6A8B520E"/>
    <w:rsid w:val="6A8C0289"/>
    <w:rsid w:val="6A8E035E"/>
    <w:rsid w:val="6A902328"/>
    <w:rsid w:val="6A915674"/>
    <w:rsid w:val="6A9260A0"/>
    <w:rsid w:val="6A9513A7"/>
    <w:rsid w:val="6A9516EC"/>
    <w:rsid w:val="6A9736B6"/>
    <w:rsid w:val="6A995680"/>
    <w:rsid w:val="6A9C6F1F"/>
    <w:rsid w:val="6A9D7623"/>
    <w:rsid w:val="6A9E0AB3"/>
    <w:rsid w:val="6A9F0268"/>
    <w:rsid w:val="6AA03710"/>
    <w:rsid w:val="6AA15FA4"/>
    <w:rsid w:val="6AA302AD"/>
    <w:rsid w:val="6AA67245"/>
    <w:rsid w:val="6AA72412"/>
    <w:rsid w:val="6AA933EA"/>
    <w:rsid w:val="6AAB7162"/>
    <w:rsid w:val="6AAE1252"/>
    <w:rsid w:val="6AB06526"/>
    <w:rsid w:val="6AB37DC4"/>
    <w:rsid w:val="6AB627B0"/>
    <w:rsid w:val="6AB75B07"/>
    <w:rsid w:val="6ABB1172"/>
    <w:rsid w:val="6ABE50E7"/>
    <w:rsid w:val="6AC41A32"/>
    <w:rsid w:val="6AC55556"/>
    <w:rsid w:val="6AC65D4A"/>
    <w:rsid w:val="6AC672E6"/>
    <w:rsid w:val="6AC83870"/>
    <w:rsid w:val="6ACA583A"/>
    <w:rsid w:val="6ACC3B31"/>
    <w:rsid w:val="6ACF10A2"/>
    <w:rsid w:val="6AD05952"/>
    <w:rsid w:val="6AD12861"/>
    <w:rsid w:val="6AD246EE"/>
    <w:rsid w:val="6AD40467"/>
    <w:rsid w:val="6AD93CCF"/>
    <w:rsid w:val="6AD9565E"/>
    <w:rsid w:val="6ADA2581"/>
    <w:rsid w:val="6ADA35A3"/>
    <w:rsid w:val="6AE0505D"/>
    <w:rsid w:val="6AE14931"/>
    <w:rsid w:val="6AE61F48"/>
    <w:rsid w:val="6AE85CC0"/>
    <w:rsid w:val="6AE939C6"/>
    <w:rsid w:val="6AED1528"/>
    <w:rsid w:val="6AF02DC7"/>
    <w:rsid w:val="6AF117EA"/>
    <w:rsid w:val="6AF208ED"/>
    <w:rsid w:val="6AF723A7"/>
    <w:rsid w:val="6AFF300A"/>
    <w:rsid w:val="6B00125C"/>
    <w:rsid w:val="6B052831"/>
    <w:rsid w:val="6B056872"/>
    <w:rsid w:val="6B0A20DA"/>
    <w:rsid w:val="6B0B7984"/>
    <w:rsid w:val="6B0C5E52"/>
    <w:rsid w:val="6B0E1E52"/>
    <w:rsid w:val="6B0F3C40"/>
    <w:rsid w:val="6B0F4184"/>
    <w:rsid w:val="6B13750E"/>
    <w:rsid w:val="6B166CD1"/>
    <w:rsid w:val="6B1747F7"/>
    <w:rsid w:val="6B1B42E7"/>
    <w:rsid w:val="6B1B6FE7"/>
    <w:rsid w:val="6B217424"/>
    <w:rsid w:val="6B272C8C"/>
    <w:rsid w:val="6B286A04"/>
    <w:rsid w:val="6B2A277C"/>
    <w:rsid w:val="6B2D401B"/>
    <w:rsid w:val="6B322639"/>
    <w:rsid w:val="6B3358AF"/>
    <w:rsid w:val="6B347157"/>
    <w:rsid w:val="6B3540CB"/>
    <w:rsid w:val="6B364C7D"/>
    <w:rsid w:val="6B382646"/>
    <w:rsid w:val="6B397FBC"/>
    <w:rsid w:val="6B3A2BB1"/>
    <w:rsid w:val="6B3B6738"/>
    <w:rsid w:val="6B3F5706"/>
    <w:rsid w:val="6B4355EC"/>
    <w:rsid w:val="6B454B70"/>
    <w:rsid w:val="6B454EC0"/>
    <w:rsid w:val="6B472478"/>
    <w:rsid w:val="6B4C0889"/>
    <w:rsid w:val="6B4C44A1"/>
    <w:rsid w:val="6B4C48E8"/>
    <w:rsid w:val="6B4F21E3"/>
    <w:rsid w:val="6B4F5D3F"/>
    <w:rsid w:val="6B5363CE"/>
    <w:rsid w:val="6B5430AF"/>
    <w:rsid w:val="6B560E7C"/>
    <w:rsid w:val="6B56531F"/>
    <w:rsid w:val="6B581098"/>
    <w:rsid w:val="6B595750"/>
    <w:rsid w:val="6B596BBE"/>
    <w:rsid w:val="6B5E2426"/>
    <w:rsid w:val="6B60619E"/>
    <w:rsid w:val="6B655563"/>
    <w:rsid w:val="6B655B6D"/>
    <w:rsid w:val="6B657311"/>
    <w:rsid w:val="6B67752D"/>
    <w:rsid w:val="6B6C68F1"/>
    <w:rsid w:val="6B6F018F"/>
    <w:rsid w:val="6B7439F8"/>
    <w:rsid w:val="6B76151E"/>
    <w:rsid w:val="6B792DBC"/>
    <w:rsid w:val="6B7B2029"/>
    <w:rsid w:val="6B7B4D86"/>
    <w:rsid w:val="6B7F671C"/>
    <w:rsid w:val="6B824366"/>
    <w:rsid w:val="6B882371"/>
    <w:rsid w:val="6B882FFF"/>
    <w:rsid w:val="6B8D6867"/>
    <w:rsid w:val="6B8E4AB9"/>
    <w:rsid w:val="6B930322"/>
    <w:rsid w:val="6B9320D0"/>
    <w:rsid w:val="6B981494"/>
    <w:rsid w:val="6B985938"/>
    <w:rsid w:val="6B99345E"/>
    <w:rsid w:val="6B99520C"/>
    <w:rsid w:val="6B9B2D32"/>
    <w:rsid w:val="6B9D02DA"/>
    <w:rsid w:val="6B9D6AAA"/>
    <w:rsid w:val="6BA86459"/>
    <w:rsid w:val="6BAA319B"/>
    <w:rsid w:val="6BAC13E3"/>
    <w:rsid w:val="6BAC3191"/>
    <w:rsid w:val="6BAF4A30"/>
    <w:rsid w:val="6BAF4F71"/>
    <w:rsid w:val="6BB362CE"/>
    <w:rsid w:val="6BB43DF4"/>
    <w:rsid w:val="6BB64010"/>
    <w:rsid w:val="6BB6419C"/>
    <w:rsid w:val="6BB838E4"/>
    <w:rsid w:val="6BB9765C"/>
    <w:rsid w:val="6BBA3B00"/>
    <w:rsid w:val="6BBB5E21"/>
    <w:rsid w:val="6BBD0EFB"/>
    <w:rsid w:val="6BC404DB"/>
    <w:rsid w:val="6BC71D79"/>
    <w:rsid w:val="6BC73B27"/>
    <w:rsid w:val="6BCA186A"/>
    <w:rsid w:val="6BCE135A"/>
    <w:rsid w:val="6BCE3108"/>
    <w:rsid w:val="6BCF6E80"/>
    <w:rsid w:val="6BD10B8D"/>
    <w:rsid w:val="6BD12AD1"/>
    <w:rsid w:val="6BD502A9"/>
    <w:rsid w:val="6BD526E8"/>
    <w:rsid w:val="6BDD334B"/>
    <w:rsid w:val="6BE24E05"/>
    <w:rsid w:val="6BE70EF8"/>
    <w:rsid w:val="6BEA5A68"/>
    <w:rsid w:val="6BEB1F0C"/>
    <w:rsid w:val="6BF15048"/>
    <w:rsid w:val="6BF32B6E"/>
    <w:rsid w:val="6BF40694"/>
    <w:rsid w:val="6BF5165A"/>
    <w:rsid w:val="6BF568E6"/>
    <w:rsid w:val="6BF6440D"/>
    <w:rsid w:val="6BF95CAB"/>
    <w:rsid w:val="6BFA3EFD"/>
    <w:rsid w:val="6BFB7C75"/>
    <w:rsid w:val="6BFD1C3F"/>
    <w:rsid w:val="6C005EAC"/>
    <w:rsid w:val="6C044D7B"/>
    <w:rsid w:val="6C0B610A"/>
    <w:rsid w:val="6C0E1756"/>
    <w:rsid w:val="6C0E79A8"/>
    <w:rsid w:val="6C0F54CE"/>
    <w:rsid w:val="6C101972"/>
    <w:rsid w:val="6C136D6D"/>
    <w:rsid w:val="6C150D37"/>
    <w:rsid w:val="6C155E31"/>
    <w:rsid w:val="6C165A05"/>
    <w:rsid w:val="6C1F2D50"/>
    <w:rsid w:val="6C1F3963"/>
    <w:rsid w:val="6C1F6EE3"/>
    <w:rsid w:val="6C214EA2"/>
    <w:rsid w:val="6C21592D"/>
    <w:rsid w:val="6C223454"/>
    <w:rsid w:val="6C276CBC"/>
    <w:rsid w:val="6C296590"/>
    <w:rsid w:val="6C2A323C"/>
    <w:rsid w:val="6C2B2308"/>
    <w:rsid w:val="6C2B3654"/>
    <w:rsid w:val="6C2B67AC"/>
    <w:rsid w:val="6C2C6080"/>
    <w:rsid w:val="6C310227"/>
    <w:rsid w:val="6C33740F"/>
    <w:rsid w:val="6C360CAD"/>
    <w:rsid w:val="6C3867D3"/>
    <w:rsid w:val="6C3D028D"/>
    <w:rsid w:val="6C417D7E"/>
    <w:rsid w:val="6C44161C"/>
    <w:rsid w:val="6C4433CA"/>
    <w:rsid w:val="6C44786E"/>
    <w:rsid w:val="6C47110C"/>
    <w:rsid w:val="6C496C32"/>
    <w:rsid w:val="6C515AE7"/>
    <w:rsid w:val="6C560CAF"/>
    <w:rsid w:val="6C5A7FFE"/>
    <w:rsid w:val="6C5B6D25"/>
    <w:rsid w:val="6C5C1F0A"/>
    <w:rsid w:val="6C5E0930"/>
    <w:rsid w:val="6C5E2E70"/>
    <w:rsid w:val="6C5F6456"/>
    <w:rsid w:val="6C621AA2"/>
    <w:rsid w:val="6C627CF4"/>
    <w:rsid w:val="6C636C38"/>
    <w:rsid w:val="6C663340"/>
    <w:rsid w:val="6C6677E4"/>
    <w:rsid w:val="6C6770B8"/>
    <w:rsid w:val="6C6929DB"/>
    <w:rsid w:val="6C6E3DCF"/>
    <w:rsid w:val="6C6E6699"/>
    <w:rsid w:val="6C733CAF"/>
    <w:rsid w:val="6C735A5D"/>
    <w:rsid w:val="6C7A3290"/>
    <w:rsid w:val="6C7C1405"/>
    <w:rsid w:val="6C7F1DEC"/>
    <w:rsid w:val="6C7F4402"/>
    <w:rsid w:val="6C804DEF"/>
    <w:rsid w:val="6C81461E"/>
    <w:rsid w:val="6C835F4E"/>
    <w:rsid w:val="6C841A18"/>
    <w:rsid w:val="6C847C6A"/>
    <w:rsid w:val="6C856852"/>
    <w:rsid w:val="6C8934D3"/>
    <w:rsid w:val="6C8E6D3B"/>
    <w:rsid w:val="6C9102FF"/>
    <w:rsid w:val="6C9205D9"/>
    <w:rsid w:val="6C92218A"/>
    <w:rsid w:val="6C922387"/>
    <w:rsid w:val="6C9500C9"/>
    <w:rsid w:val="6C983716"/>
    <w:rsid w:val="6C9868F0"/>
    <w:rsid w:val="6C991968"/>
    <w:rsid w:val="6C9A748E"/>
    <w:rsid w:val="6C9C3206"/>
    <w:rsid w:val="6C9D3562"/>
    <w:rsid w:val="6C9F2CF6"/>
    <w:rsid w:val="6CA125CA"/>
    <w:rsid w:val="6CA34594"/>
    <w:rsid w:val="6CA4030D"/>
    <w:rsid w:val="6CAB3449"/>
    <w:rsid w:val="6CAE6A95"/>
    <w:rsid w:val="6CB06CB1"/>
    <w:rsid w:val="6CBC5656"/>
    <w:rsid w:val="6CC16DF1"/>
    <w:rsid w:val="6CC2270C"/>
    <w:rsid w:val="6CC51EB4"/>
    <w:rsid w:val="6CC664D5"/>
    <w:rsid w:val="6CCC33F6"/>
    <w:rsid w:val="6CD01102"/>
    <w:rsid w:val="6CD04C5E"/>
    <w:rsid w:val="6CD40BF2"/>
    <w:rsid w:val="6CDA5ADC"/>
    <w:rsid w:val="6CDB1509"/>
    <w:rsid w:val="6CDC7AA6"/>
    <w:rsid w:val="6CE150BD"/>
    <w:rsid w:val="6CE32BE3"/>
    <w:rsid w:val="6CE4695B"/>
    <w:rsid w:val="6CE64481"/>
    <w:rsid w:val="6CE66A13"/>
    <w:rsid w:val="6CE8644B"/>
    <w:rsid w:val="6CEB0E5F"/>
    <w:rsid w:val="6CEB120D"/>
    <w:rsid w:val="6CF52916"/>
    <w:rsid w:val="6CF63A92"/>
    <w:rsid w:val="6CF77777"/>
    <w:rsid w:val="6CFA1CDB"/>
    <w:rsid w:val="6CFA65F7"/>
    <w:rsid w:val="6CFE7A1D"/>
    <w:rsid w:val="6CFF0B45"/>
    <w:rsid w:val="6D003795"/>
    <w:rsid w:val="6D026DC6"/>
    <w:rsid w:val="6D0512FF"/>
    <w:rsid w:val="6D062D75"/>
    <w:rsid w:val="6D070FDD"/>
    <w:rsid w:val="6D0B038C"/>
    <w:rsid w:val="6D0B4F67"/>
    <w:rsid w:val="6D0D5EB2"/>
    <w:rsid w:val="6D125276"/>
    <w:rsid w:val="6D154D66"/>
    <w:rsid w:val="6D156B14"/>
    <w:rsid w:val="6D164870"/>
    <w:rsid w:val="6D194857"/>
    <w:rsid w:val="6D1C60F5"/>
    <w:rsid w:val="6D1E1E6D"/>
    <w:rsid w:val="6D21195D"/>
    <w:rsid w:val="6D237EC3"/>
    <w:rsid w:val="6D254FA9"/>
    <w:rsid w:val="6D267B26"/>
    <w:rsid w:val="6D276D15"/>
    <w:rsid w:val="6D282CEC"/>
    <w:rsid w:val="6D286848"/>
    <w:rsid w:val="6D2A6A64"/>
    <w:rsid w:val="6D2C1208"/>
    <w:rsid w:val="6D321474"/>
    <w:rsid w:val="6D350F65"/>
    <w:rsid w:val="6D374CDD"/>
    <w:rsid w:val="6D394EF9"/>
    <w:rsid w:val="6D3A657B"/>
    <w:rsid w:val="6D3C0545"/>
    <w:rsid w:val="6D3C1731"/>
    <w:rsid w:val="6D3E606B"/>
    <w:rsid w:val="6D435308"/>
    <w:rsid w:val="6D45389E"/>
    <w:rsid w:val="6D4549E6"/>
    <w:rsid w:val="6D4B0788"/>
    <w:rsid w:val="6D4B3F19"/>
    <w:rsid w:val="6D4D2752"/>
    <w:rsid w:val="6D4D6533"/>
    <w:rsid w:val="6D543AE1"/>
    <w:rsid w:val="6D55050F"/>
    <w:rsid w:val="6D5B09CB"/>
    <w:rsid w:val="6D5C4743"/>
    <w:rsid w:val="6D5D0BE7"/>
    <w:rsid w:val="6D605FE2"/>
    <w:rsid w:val="6D617FAC"/>
    <w:rsid w:val="6D673814"/>
    <w:rsid w:val="6D6A6E60"/>
    <w:rsid w:val="6D6D4BA2"/>
    <w:rsid w:val="6D723F67"/>
    <w:rsid w:val="6D741A8D"/>
    <w:rsid w:val="6D7766CE"/>
    <w:rsid w:val="6D780CD8"/>
    <w:rsid w:val="6D7B2E1B"/>
    <w:rsid w:val="6D8048D6"/>
    <w:rsid w:val="6D843973"/>
    <w:rsid w:val="6D864791"/>
    <w:rsid w:val="6D88378A"/>
    <w:rsid w:val="6D8A7502"/>
    <w:rsid w:val="6D8C14BB"/>
    <w:rsid w:val="6D8D2B4F"/>
    <w:rsid w:val="6D901B30"/>
    <w:rsid w:val="6D910891"/>
    <w:rsid w:val="6D91187F"/>
    <w:rsid w:val="6D997745"/>
    <w:rsid w:val="6D9A2D85"/>
    <w:rsid w:val="6D9C0FE4"/>
    <w:rsid w:val="6D9D5488"/>
    <w:rsid w:val="6DA0709F"/>
    <w:rsid w:val="6DA829C1"/>
    <w:rsid w:val="6DAB6738"/>
    <w:rsid w:val="6DAD4F9F"/>
    <w:rsid w:val="6DB157EC"/>
    <w:rsid w:val="6DB34098"/>
    <w:rsid w:val="6DB545B6"/>
    <w:rsid w:val="6DB85E1E"/>
    <w:rsid w:val="6DB93944"/>
    <w:rsid w:val="6DB9682B"/>
    <w:rsid w:val="6DBD1686"/>
    <w:rsid w:val="6DBE0F5A"/>
    <w:rsid w:val="6DC02C1E"/>
    <w:rsid w:val="6DC04CD2"/>
    <w:rsid w:val="6DC17AF6"/>
    <w:rsid w:val="6DC20A4A"/>
    <w:rsid w:val="6DC527AC"/>
    <w:rsid w:val="6DC9627D"/>
    <w:rsid w:val="6DCC7B1B"/>
    <w:rsid w:val="6DCF13B9"/>
    <w:rsid w:val="6DD137A9"/>
    <w:rsid w:val="6DD51ED2"/>
    <w:rsid w:val="6DD54C21"/>
    <w:rsid w:val="6DD62748"/>
    <w:rsid w:val="6DD86E68"/>
    <w:rsid w:val="6DD9192B"/>
    <w:rsid w:val="6DDA1931"/>
    <w:rsid w:val="6DDD5884"/>
    <w:rsid w:val="6DDD7632"/>
    <w:rsid w:val="6DDF4286"/>
    <w:rsid w:val="6DE07122"/>
    <w:rsid w:val="6DE210EC"/>
    <w:rsid w:val="6DE309C1"/>
    <w:rsid w:val="6DE33CF7"/>
    <w:rsid w:val="6DE9247B"/>
    <w:rsid w:val="6DE94229"/>
    <w:rsid w:val="6DEE2714"/>
    <w:rsid w:val="6DF130DE"/>
    <w:rsid w:val="6DF17581"/>
    <w:rsid w:val="6DF17859"/>
    <w:rsid w:val="6DF6759C"/>
    <w:rsid w:val="6DF826BE"/>
    <w:rsid w:val="6DF8446C"/>
    <w:rsid w:val="6DF901E4"/>
    <w:rsid w:val="6DF94A8D"/>
    <w:rsid w:val="6DFA4688"/>
    <w:rsid w:val="6DFB1424"/>
    <w:rsid w:val="6DFC5FDF"/>
    <w:rsid w:val="6DFD746F"/>
    <w:rsid w:val="6DFF3A4C"/>
    <w:rsid w:val="6E072901"/>
    <w:rsid w:val="6E0B4EFC"/>
    <w:rsid w:val="6E104395"/>
    <w:rsid w:val="6E105C5A"/>
    <w:rsid w:val="6E11552E"/>
    <w:rsid w:val="6E1B015A"/>
    <w:rsid w:val="6E1B281B"/>
    <w:rsid w:val="6E1D0376"/>
    <w:rsid w:val="6E1E7EE9"/>
    <w:rsid w:val="6E2039C3"/>
    <w:rsid w:val="6E217E67"/>
    <w:rsid w:val="6E22598D"/>
    <w:rsid w:val="6E22773B"/>
    <w:rsid w:val="6E2407C0"/>
    <w:rsid w:val="6E245261"/>
    <w:rsid w:val="6E256852"/>
    <w:rsid w:val="6E26547D"/>
    <w:rsid w:val="6E273AD0"/>
    <w:rsid w:val="6E296D1B"/>
    <w:rsid w:val="6E2B2A93"/>
    <w:rsid w:val="6E2C2368"/>
    <w:rsid w:val="6E2D3620"/>
    <w:rsid w:val="6E3A0F28"/>
    <w:rsid w:val="6E3A4A84"/>
    <w:rsid w:val="6E3E5D92"/>
    <w:rsid w:val="6E430122"/>
    <w:rsid w:val="6E430774"/>
    <w:rsid w:val="6E4375A0"/>
    <w:rsid w:val="6E493F8C"/>
    <w:rsid w:val="6E496F01"/>
    <w:rsid w:val="6E4E0530"/>
    <w:rsid w:val="6E4E22DE"/>
    <w:rsid w:val="6E4E6782"/>
    <w:rsid w:val="6E5024FA"/>
    <w:rsid w:val="6E511DCE"/>
    <w:rsid w:val="6E514CED"/>
    <w:rsid w:val="6E531FEA"/>
    <w:rsid w:val="6E5440E3"/>
    <w:rsid w:val="6E5518BE"/>
    <w:rsid w:val="6E587601"/>
    <w:rsid w:val="6E597DC9"/>
    <w:rsid w:val="6E5D4C17"/>
    <w:rsid w:val="6E5D69C5"/>
    <w:rsid w:val="6E5D6D8A"/>
    <w:rsid w:val="6E623FDB"/>
    <w:rsid w:val="6E625D89"/>
    <w:rsid w:val="6E645FA5"/>
    <w:rsid w:val="6E650E15"/>
    <w:rsid w:val="6E6935BC"/>
    <w:rsid w:val="6E6B2E90"/>
    <w:rsid w:val="6E76798E"/>
    <w:rsid w:val="6E786E93"/>
    <w:rsid w:val="6E79491A"/>
    <w:rsid w:val="6E7A1325"/>
    <w:rsid w:val="6E7B6E4B"/>
    <w:rsid w:val="6E7C32EF"/>
    <w:rsid w:val="6E810716"/>
    <w:rsid w:val="6E881C94"/>
    <w:rsid w:val="6E8F15D9"/>
    <w:rsid w:val="6E906D9A"/>
    <w:rsid w:val="6E91666F"/>
    <w:rsid w:val="6E985C4F"/>
    <w:rsid w:val="6E9D5013"/>
    <w:rsid w:val="6EA510B2"/>
    <w:rsid w:val="6EA939B8"/>
    <w:rsid w:val="6EAB7730"/>
    <w:rsid w:val="6EAE7221"/>
    <w:rsid w:val="6EB04D47"/>
    <w:rsid w:val="6EB4494B"/>
    <w:rsid w:val="6EB563D5"/>
    <w:rsid w:val="6EB74327"/>
    <w:rsid w:val="6EBA6F09"/>
    <w:rsid w:val="6EBD7464"/>
    <w:rsid w:val="6EBE3907"/>
    <w:rsid w:val="6EC407F2"/>
    <w:rsid w:val="6EC46A44"/>
    <w:rsid w:val="6EC72090"/>
    <w:rsid w:val="6EC802E2"/>
    <w:rsid w:val="6EC95E08"/>
    <w:rsid w:val="6ECA1007"/>
    <w:rsid w:val="6ECD58F9"/>
    <w:rsid w:val="6ECF6A6C"/>
    <w:rsid w:val="6ED079BA"/>
    <w:rsid w:val="6ED21161"/>
    <w:rsid w:val="6ED47830"/>
    <w:rsid w:val="6EDA0016"/>
    <w:rsid w:val="6EDC0332"/>
    <w:rsid w:val="6EDC5A42"/>
    <w:rsid w:val="6EDD3662"/>
    <w:rsid w:val="6EDE1721"/>
    <w:rsid w:val="6EDF562C"/>
    <w:rsid w:val="6EE3336E"/>
    <w:rsid w:val="6EED1FF5"/>
    <w:rsid w:val="6EED5F9B"/>
    <w:rsid w:val="6EF00976"/>
    <w:rsid w:val="6EF03395"/>
    <w:rsid w:val="6EF54E4F"/>
    <w:rsid w:val="6EFD5AB2"/>
    <w:rsid w:val="6EFF7A7C"/>
    <w:rsid w:val="6F06705D"/>
    <w:rsid w:val="6F067808"/>
    <w:rsid w:val="6F0D03EB"/>
    <w:rsid w:val="6F1057E5"/>
    <w:rsid w:val="6F126B79"/>
    <w:rsid w:val="6F152DFC"/>
    <w:rsid w:val="6F1928EC"/>
    <w:rsid w:val="6F1A6664"/>
    <w:rsid w:val="6F1B5073"/>
    <w:rsid w:val="6F1C1F3D"/>
    <w:rsid w:val="6F1E7F02"/>
    <w:rsid w:val="6F225983"/>
    <w:rsid w:val="6F2319BD"/>
    <w:rsid w:val="6F235519"/>
    <w:rsid w:val="6F241291"/>
    <w:rsid w:val="6F287F6F"/>
    <w:rsid w:val="6F2B261F"/>
    <w:rsid w:val="6F2D45E9"/>
    <w:rsid w:val="6F345978"/>
    <w:rsid w:val="6F353ABC"/>
    <w:rsid w:val="6F377625"/>
    <w:rsid w:val="6F3911E0"/>
    <w:rsid w:val="6F394D3C"/>
    <w:rsid w:val="6F3C7069"/>
    <w:rsid w:val="6F3E0FA3"/>
    <w:rsid w:val="6F3E2352"/>
    <w:rsid w:val="6F3E67F6"/>
    <w:rsid w:val="6F410779"/>
    <w:rsid w:val="6F433E0D"/>
    <w:rsid w:val="6F437969"/>
    <w:rsid w:val="6F451933"/>
    <w:rsid w:val="6F467459"/>
    <w:rsid w:val="6F4A6F49"/>
    <w:rsid w:val="6F4B0F13"/>
    <w:rsid w:val="6F4B4A6F"/>
    <w:rsid w:val="6F4D4C8B"/>
    <w:rsid w:val="6F4F5ED5"/>
    <w:rsid w:val="6F4F7C8F"/>
    <w:rsid w:val="6F525DFE"/>
    <w:rsid w:val="6F571666"/>
    <w:rsid w:val="6F5B1156"/>
    <w:rsid w:val="6F5C0A2B"/>
    <w:rsid w:val="6F5D2C01"/>
    <w:rsid w:val="6F5E1E54"/>
    <w:rsid w:val="6F6049BF"/>
    <w:rsid w:val="6F60676D"/>
    <w:rsid w:val="6F6124E5"/>
    <w:rsid w:val="6F616041"/>
    <w:rsid w:val="6F644787"/>
    <w:rsid w:val="6F655527"/>
    <w:rsid w:val="6F672FA0"/>
    <w:rsid w:val="6F673B85"/>
    <w:rsid w:val="6F6D491A"/>
    <w:rsid w:val="6F72517F"/>
    <w:rsid w:val="6F725BBB"/>
    <w:rsid w:val="6F745D74"/>
    <w:rsid w:val="6F7530AC"/>
    <w:rsid w:val="6F7904EA"/>
    <w:rsid w:val="6F7F743C"/>
    <w:rsid w:val="6F854B87"/>
    <w:rsid w:val="6F885CC3"/>
    <w:rsid w:val="6F8B1310"/>
    <w:rsid w:val="6F8F1B70"/>
    <w:rsid w:val="6F9208F0"/>
    <w:rsid w:val="6F934682"/>
    <w:rsid w:val="6F956912"/>
    <w:rsid w:val="6F9C351D"/>
    <w:rsid w:val="6F9D176F"/>
    <w:rsid w:val="6FA0300D"/>
    <w:rsid w:val="6FA13904"/>
    <w:rsid w:val="6FA279E0"/>
    <w:rsid w:val="6FA36659"/>
    <w:rsid w:val="6FA80114"/>
    <w:rsid w:val="6FAC19B2"/>
    <w:rsid w:val="6FAF4FFE"/>
    <w:rsid w:val="6FB03B79"/>
    <w:rsid w:val="6FB12BB4"/>
    <w:rsid w:val="6FB371D3"/>
    <w:rsid w:val="6FB72105"/>
    <w:rsid w:val="6FB95B4E"/>
    <w:rsid w:val="6FC0720B"/>
    <w:rsid w:val="6FC247B9"/>
    <w:rsid w:val="6FC50CC6"/>
    <w:rsid w:val="6FC7298F"/>
    <w:rsid w:val="6FC767EC"/>
    <w:rsid w:val="6FCB2765"/>
    <w:rsid w:val="6FCC795E"/>
    <w:rsid w:val="6FD11419"/>
    <w:rsid w:val="6FD20CED"/>
    <w:rsid w:val="6FD311BE"/>
    <w:rsid w:val="6FD42CB7"/>
    <w:rsid w:val="6FDB2297"/>
    <w:rsid w:val="6FDD7DBD"/>
    <w:rsid w:val="6FDF69AC"/>
    <w:rsid w:val="6FE27A2C"/>
    <w:rsid w:val="6FE3114C"/>
    <w:rsid w:val="6FE50A20"/>
    <w:rsid w:val="6FE543B9"/>
    <w:rsid w:val="6FE85244"/>
    <w:rsid w:val="6FEA072C"/>
    <w:rsid w:val="6FEA102B"/>
    <w:rsid w:val="6FEA28FC"/>
    <w:rsid w:val="6FED0079"/>
    <w:rsid w:val="6FED5B27"/>
    <w:rsid w:val="6FEE1FCA"/>
    <w:rsid w:val="6FEF2BB1"/>
    <w:rsid w:val="6FF31222"/>
    <w:rsid w:val="6FF375E1"/>
    <w:rsid w:val="6FF84BF7"/>
    <w:rsid w:val="6FF869A5"/>
    <w:rsid w:val="6FFA3B3C"/>
    <w:rsid w:val="6FFC5590"/>
    <w:rsid w:val="6FFD3FBC"/>
    <w:rsid w:val="70003AAC"/>
    <w:rsid w:val="70054690"/>
    <w:rsid w:val="70066957"/>
    <w:rsid w:val="70076BE8"/>
    <w:rsid w:val="700C2451"/>
    <w:rsid w:val="700C27C9"/>
    <w:rsid w:val="70115CB9"/>
    <w:rsid w:val="701337DF"/>
    <w:rsid w:val="70175A87"/>
    <w:rsid w:val="70186826"/>
    <w:rsid w:val="701D4BDE"/>
    <w:rsid w:val="70205EFC"/>
    <w:rsid w:val="70221C74"/>
    <w:rsid w:val="7023779A"/>
    <w:rsid w:val="702459EC"/>
    <w:rsid w:val="702754DC"/>
    <w:rsid w:val="702C2AF3"/>
    <w:rsid w:val="702E0844"/>
    <w:rsid w:val="702E3539"/>
    <w:rsid w:val="702F4391"/>
    <w:rsid w:val="70301DA3"/>
    <w:rsid w:val="70313C65"/>
    <w:rsid w:val="70334C37"/>
    <w:rsid w:val="703419A7"/>
    <w:rsid w:val="70343755"/>
    <w:rsid w:val="7036571F"/>
    <w:rsid w:val="703674CE"/>
    <w:rsid w:val="70383246"/>
    <w:rsid w:val="7040034C"/>
    <w:rsid w:val="704020FA"/>
    <w:rsid w:val="70441BEA"/>
    <w:rsid w:val="70473489"/>
    <w:rsid w:val="70497201"/>
    <w:rsid w:val="704A4D27"/>
    <w:rsid w:val="704C0A9F"/>
    <w:rsid w:val="704D7E21"/>
    <w:rsid w:val="704E09C0"/>
    <w:rsid w:val="705160B5"/>
    <w:rsid w:val="70531E2E"/>
    <w:rsid w:val="70545BA6"/>
    <w:rsid w:val="705855A7"/>
    <w:rsid w:val="70585696"/>
    <w:rsid w:val="70593891"/>
    <w:rsid w:val="705D0EFE"/>
    <w:rsid w:val="705F5229"/>
    <w:rsid w:val="706202C3"/>
    <w:rsid w:val="70696F3D"/>
    <w:rsid w:val="706A63CD"/>
    <w:rsid w:val="706C2EEF"/>
    <w:rsid w:val="706D1DD0"/>
    <w:rsid w:val="706D7810"/>
    <w:rsid w:val="706E6C67"/>
    <w:rsid w:val="707052E7"/>
    <w:rsid w:val="70710506"/>
    <w:rsid w:val="70716FD7"/>
    <w:rsid w:val="707359D8"/>
    <w:rsid w:val="70746E68"/>
    <w:rsid w:val="707502F8"/>
    <w:rsid w:val="7075449A"/>
    <w:rsid w:val="707A560C"/>
    <w:rsid w:val="707B3132"/>
    <w:rsid w:val="707C1064"/>
    <w:rsid w:val="707D334E"/>
    <w:rsid w:val="70820965"/>
    <w:rsid w:val="70840239"/>
    <w:rsid w:val="70856B87"/>
    <w:rsid w:val="708E25E0"/>
    <w:rsid w:val="708E2E66"/>
    <w:rsid w:val="708E730A"/>
    <w:rsid w:val="708F219B"/>
    <w:rsid w:val="708F6BDE"/>
    <w:rsid w:val="70935816"/>
    <w:rsid w:val="70960BA9"/>
    <w:rsid w:val="70986DE0"/>
    <w:rsid w:val="709A133F"/>
    <w:rsid w:val="709A3F00"/>
    <w:rsid w:val="709A5CAE"/>
    <w:rsid w:val="709B2013"/>
    <w:rsid w:val="709B291A"/>
    <w:rsid w:val="70A1528F"/>
    <w:rsid w:val="70AB4A96"/>
    <w:rsid w:val="70AC7790"/>
    <w:rsid w:val="70AE3B56"/>
    <w:rsid w:val="70B30B1E"/>
    <w:rsid w:val="70B34FC2"/>
    <w:rsid w:val="70B35B86"/>
    <w:rsid w:val="70B36D70"/>
    <w:rsid w:val="70B623BC"/>
    <w:rsid w:val="70B701E7"/>
    <w:rsid w:val="70B76860"/>
    <w:rsid w:val="70BC644D"/>
    <w:rsid w:val="70BD7386"/>
    <w:rsid w:val="70BD7BEF"/>
    <w:rsid w:val="70C42D2B"/>
    <w:rsid w:val="70C8281B"/>
    <w:rsid w:val="70CC398E"/>
    <w:rsid w:val="70D171F6"/>
    <w:rsid w:val="70D32F6E"/>
    <w:rsid w:val="70D34D1C"/>
    <w:rsid w:val="70D527EE"/>
    <w:rsid w:val="70D94A29"/>
    <w:rsid w:val="70DF5DB7"/>
    <w:rsid w:val="70E1568B"/>
    <w:rsid w:val="70E231B1"/>
    <w:rsid w:val="70E31A2D"/>
    <w:rsid w:val="70E7115A"/>
    <w:rsid w:val="70EB650A"/>
    <w:rsid w:val="70EE100C"/>
    <w:rsid w:val="70EE5FFA"/>
    <w:rsid w:val="70F27898"/>
    <w:rsid w:val="70F30660"/>
    <w:rsid w:val="70F80C27"/>
    <w:rsid w:val="70F829D5"/>
    <w:rsid w:val="70F84783"/>
    <w:rsid w:val="70FA7115"/>
    <w:rsid w:val="7104581E"/>
    <w:rsid w:val="710851C5"/>
    <w:rsid w:val="71092E34"/>
    <w:rsid w:val="710A276A"/>
    <w:rsid w:val="710A55F5"/>
    <w:rsid w:val="710D720A"/>
    <w:rsid w:val="7113780F"/>
    <w:rsid w:val="71186BD3"/>
    <w:rsid w:val="711A753D"/>
    <w:rsid w:val="71285068"/>
    <w:rsid w:val="712B33A4"/>
    <w:rsid w:val="712D491D"/>
    <w:rsid w:val="71311217"/>
    <w:rsid w:val="713559D7"/>
    <w:rsid w:val="713567A7"/>
    <w:rsid w:val="7137174F"/>
    <w:rsid w:val="713779A1"/>
    <w:rsid w:val="713954C7"/>
    <w:rsid w:val="713A6300"/>
    <w:rsid w:val="713E2ADE"/>
    <w:rsid w:val="713F0604"/>
    <w:rsid w:val="714025F2"/>
    <w:rsid w:val="71410FFA"/>
    <w:rsid w:val="71436346"/>
    <w:rsid w:val="71494FDF"/>
    <w:rsid w:val="71500A63"/>
    <w:rsid w:val="715045BF"/>
    <w:rsid w:val="71505959"/>
    <w:rsid w:val="71530876"/>
    <w:rsid w:val="71535E5D"/>
    <w:rsid w:val="71537D77"/>
    <w:rsid w:val="71541EF8"/>
    <w:rsid w:val="715916C6"/>
    <w:rsid w:val="715A543E"/>
    <w:rsid w:val="715B3690"/>
    <w:rsid w:val="715B5300"/>
    <w:rsid w:val="715D3781"/>
    <w:rsid w:val="715F4BD7"/>
    <w:rsid w:val="716370C7"/>
    <w:rsid w:val="71692DEE"/>
    <w:rsid w:val="71695F16"/>
    <w:rsid w:val="716A5681"/>
    <w:rsid w:val="716A6CEF"/>
    <w:rsid w:val="716B13F9"/>
    <w:rsid w:val="716C66CF"/>
    <w:rsid w:val="71702252"/>
    <w:rsid w:val="71722787"/>
    <w:rsid w:val="717958C4"/>
    <w:rsid w:val="717C41F3"/>
    <w:rsid w:val="717E2EDA"/>
    <w:rsid w:val="718575C1"/>
    <w:rsid w:val="718C1A9B"/>
    <w:rsid w:val="718D136F"/>
    <w:rsid w:val="718E4C5A"/>
    <w:rsid w:val="71902C0D"/>
    <w:rsid w:val="71922E29"/>
    <w:rsid w:val="719454B4"/>
    <w:rsid w:val="71946BA2"/>
    <w:rsid w:val="71950224"/>
    <w:rsid w:val="719A3A8C"/>
    <w:rsid w:val="719B7F30"/>
    <w:rsid w:val="719C15B2"/>
    <w:rsid w:val="719E17CE"/>
    <w:rsid w:val="719E474F"/>
    <w:rsid w:val="719E532A"/>
    <w:rsid w:val="71A06D61"/>
    <w:rsid w:val="71A4680E"/>
    <w:rsid w:val="71A67840"/>
    <w:rsid w:val="71A861A9"/>
    <w:rsid w:val="71AB48B1"/>
    <w:rsid w:val="71B11484"/>
    <w:rsid w:val="71B11502"/>
    <w:rsid w:val="71B132B0"/>
    <w:rsid w:val="71B20DD6"/>
    <w:rsid w:val="71B52674"/>
    <w:rsid w:val="71BB5EDC"/>
    <w:rsid w:val="71BD7E79"/>
    <w:rsid w:val="71C14B7C"/>
    <w:rsid w:val="71C254BD"/>
    <w:rsid w:val="71C57D04"/>
    <w:rsid w:val="71C6373E"/>
    <w:rsid w:val="71CC00E9"/>
    <w:rsid w:val="71CD28E5"/>
    <w:rsid w:val="71CD79BE"/>
    <w:rsid w:val="71D27F8A"/>
    <w:rsid w:val="71D46F9E"/>
    <w:rsid w:val="71DF0378"/>
    <w:rsid w:val="71E06A73"/>
    <w:rsid w:val="71E74F23"/>
    <w:rsid w:val="71ED21B3"/>
    <w:rsid w:val="71EF202A"/>
    <w:rsid w:val="71F744C6"/>
    <w:rsid w:val="71F907B3"/>
    <w:rsid w:val="71F960CF"/>
    <w:rsid w:val="71FD64F5"/>
    <w:rsid w:val="720158B9"/>
    <w:rsid w:val="72035AD5"/>
    <w:rsid w:val="72037681"/>
    <w:rsid w:val="7204559A"/>
    <w:rsid w:val="7208370E"/>
    <w:rsid w:val="72084E9A"/>
    <w:rsid w:val="72090091"/>
    <w:rsid w:val="720B7CDC"/>
    <w:rsid w:val="720C2BDC"/>
    <w:rsid w:val="720F7FD6"/>
    <w:rsid w:val="72113D47"/>
    <w:rsid w:val="72135089"/>
    <w:rsid w:val="7214383E"/>
    <w:rsid w:val="72144E11"/>
    <w:rsid w:val="721455EC"/>
    <w:rsid w:val="72165809"/>
    <w:rsid w:val="721675B7"/>
    <w:rsid w:val="72203F91"/>
    <w:rsid w:val="72206F55"/>
    <w:rsid w:val="72226347"/>
    <w:rsid w:val="72232B8E"/>
    <w:rsid w:val="72247F25"/>
    <w:rsid w:val="72255A4C"/>
    <w:rsid w:val="722731C5"/>
    <w:rsid w:val="72281680"/>
    <w:rsid w:val="722D66AE"/>
    <w:rsid w:val="7231619E"/>
    <w:rsid w:val="723549BE"/>
    <w:rsid w:val="723B0DCB"/>
    <w:rsid w:val="723D2D95"/>
    <w:rsid w:val="723D4B43"/>
    <w:rsid w:val="723E2669"/>
    <w:rsid w:val="7243340D"/>
    <w:rsid w:val="72435ED2"/>
    <w:rsid w:val="72457E9C"/>
    <w:rsid w:val="72464F43"/>
    <w:rsid w:val="724759C2"/>
    <w:rsid w:val="7249040E"/>
    <w:rsid w:val="7249798C"/>
    <w:rsid w:val="724A3704"/>
    <w:rsid w:val="724C2FD8"/>
    <w:rsid w:val="724C4D86"/>
    <w:rsid w:val="724D0645"/>
    <w:rsid w:val="724D0AFE"/>
    <w:rsid w:val="724F7474"/>
    <w:rsid w:val="725037AD"/>
    <w:rsid w:val="72516841"/>
    <w:rsid w:val="72563E57"/>
    <w:rsid w:val="725A3947"/>
    <w:rsid w:val="725B76BF"/>
    <w:rsid w:val="725E2D0C"/>
    <w:rsid w:val="725F12F5"/>
    <w:rsid w:val="726059C5"/>
    <w:rsid w:val="72620A4E"/>
    <w:rsid w:val="72655E48"/>
    <w:rsid w:val="72677E12"/>
    <w:rsid w:val="726B1116"/>
    <w:rsid w:val="726F4F19"/>
    <w:rsid w:val="726F6CC7"/>
    <w:rsid w:val="7271666B"/>
    <w:rsid w:val="72750781"/>
    <w:rsid w:val="7275721E"/>
    <w:rsid w:val="72760055"/>
    <w:rsid w:val="727A5D97"/>
    <w:rsid w:val="727A7B45"/>
    <w:rsid w:val="72842772"/>
    <w:rsid w:val="728564EA"/>
    <w:rsid w:val="72862DE7"/>
    <w:rsid w:val="728C7879"/>
    <w:rsid w:val="728E091D"/>
    <w:rsid w:val="728F1117"/>
    <w:rsid w:val="72914E8F"/>
    <w:rsid w:val="729329B5"/>
    <w:rsid w:val="72952BD1"/>
    <w:rsid w:val="7295497F"/>
    <w:rsid w:val="7297664B"/>
    <w:rsid w:val="729F0A0A"/>
    <w:rsid w:val="72A050D2"/>
    <w:rsid w:val="72A17E94"/>
    <w:rsid w:val="72A42EE3"/>
    <w:rsid w:val="72A468A0"/>
    <w:rsid w:val="72A526E9"/>
    <w:rsid w:val="72A746B3"/>
    <w:rsid w:val="72A9042B"/>
    <w:rsid w:val="72A9418F"/>
    <w:rsid w:val="72A9667D"/>
    <w:rsid w:val="72AB5F51"/>
    <w:rsid w:val="72B172DF"/>
    <w:rsid w:val="72B868C0"/>
    <w:rsid w:val="72B90194"/>
    <w:rsid w:val="72BB0EC2"/>
    <w:rsid w:val="72BF41FF"/>
    <w:rsid w:val="72C131B2"/>
    <w:rsid w:val="72C214EC"/>
    <w:rsid w:val="72C332A1"/>
    <w:rsid w:val="72C41448"/>
    <w:rsid w:val="72C60FDD"/>
    <w:rsid w:val="72C76912"/>
    <w:rsid w:val="72C94629"/>
    <w:rsid w:val="72CC32D7"/>
    <w:rsid w:val="72CD414D"/>
    <w:rsid w:val="72D52FCE"/>
    <w:rsid w:val="72D57472"/>
    <w:rsid w:val="72D82ABE"/>
    <w:rsid w:val="72DA3A73"/>
    <w:rsid w:val="72DA6836"/>
    <w:rsid w:val="72DF0101"/>
    <w:rsid w:val="72DF3FAB"/>
    <w:rsid w:val="72DF5BFA"/>
    <w:rsid w:val="72E651DB"/>
    <w:rsid w:val="72E74AAF"/>
    <w:rsid w:val="72E96A79"/>
    <w:rsid w:val="72EC6569"/>
    <w:rsid w:val="72F31907"/>
    <w:rsid w:val="72F53670"/>
    <w:rsid w:val="72F71196"/>
    <w:rsid w:val="72F773E8"/>
    <w:rsid w:val="72F96DCD"/>
    <w:rsid w:val="72FA74C9"/>
    <w:rsid w:val="72FB055A"/>
    <w:rsid w:val="72FC49FE"/>
    <w:rsid w:val="72FC60A4"/>
    <w:rsid w:val="72FD42D3"/>
    <w:rsid w:val="730247A7"/>
    <w:rsid w:val="73027B3B"/>
    <w:rsid w:val="7306263C"/>
    <w:rsid w:val="730833A3"/>
    <w:rsid w:val="730A5070"/>
    <w:rsid w:val="731735E6"/>
    <w:rsid w:val="731A30D6"/>
    <w:rsid w:val="731C0BFD"/>
    <w:rsid w:val="731F5D5E"/>
    <w:rsid w:val="73221F8B"/>
    <w:rsid w:val="7327064F"/>
    <w:rsid w:val="732E03B5"/>
    <w:rsid w:val="732E6B82"/>
    <w:rsid w:val="73311AF4"/>
    <w:rsid w:val="733207B2"/>
    <w:rsid w:val="733221CE"/>
    <w:rsid w:val="733817AF"/>
    <w:rsid w:val="73397A01"/>
    <w:rsid w:val="733A72D5"/>
    <w:rsid w:val="733C304D"/>
    <w:rsid w:val="733C4DFB"/>
    <w:rsid w:val="733F2B3D"/>
    <w:rsid w:val="734048F7"/>
    <w:rsid w:val="73426189"/>
    <w:rsid w:val="7344489A"/>
    <w:rsid w:val="7349576A"/>
    <w:rsid w:val="734A7BDE"/>
    <w:rsid w:val="734D46FF"/>
    <w:rsid w:val="734E2D80"/>
    <w:rsid w:val="734E4B2E"/>
    <w:rsid w:val="7350457E"/>
    <w:rsid w:val="73522870"/>
    <w:rsid w:val="73530396"/>
    <w:rsid w:val="735465E8"/>
    <w:rsid w:val="735635E4"/>
    <w:rsid w:val="73591E51"/>
    <w:rsid w:val="7359395E"/>
    <w:rsid w:val="735E1215"/>
    <w:rsid w:val="735E1E53"/>
    <w:rsid w:val="73621E2E"/>
    <w:rsid w:val="736305DA"/>
    <w:rsid w:val="73644352"/>
    <w:rsid w:val="736E6F7E"/>
    <w:rsid w:val="736F5257"/>
    <w:rsid w:val="73797DFD"/>
    <w:rsid w:val="737E150A"/>
    <w:rsid w:val="737F73DD"/>
    <w:rsid w:val="7383282E"/>
    <w:rsid w:val="73852C46"/>
    <w:rsid w:val="7386076C"/>
    <w:rsid w:val="738F520D"/>
    <w:rsid w:val="738F5872"/>
    <w:rsid w:val="7395275D"/>
    <w:rsid w:val="7398711B"/>
    <w:rsid w:val="739C3AEB"/>
    <w:rsid w:val="739C6BE4"/>
    <w:rsid w:val="739F58FB"/>
    <w:rsid w:val="73A115C0"/>
    <w:rsid w:val="73A56E44"/>
    <w:rsid w:val="73A66718"/>
    <w:rsid w:val="73A756ED"/>
    <w:rsid w:val="73A82490"/>
    <w:rsid w:val="73AB1F81"/>
    <w:rsid w:val="73B13A3B"/>
    <w:rsid w:val="73B452D9"/>
    <w:rsid w:val="73B726D3"/>
    <w:rsid w:val="73B90AB8"/>
    <w:rsid w:val="73B928EF"/>
    <w:rsid w:val="73BF31E9"/>
    <w:rsid w:val="73C05A2C"/>
    <w:rsid w:val="73C13552"/>
    <w:rsid w:val="73C3376E"/>
    <w:rsid w:val="73C87D5A"/>
    <w:rsid w:val="73CA68AB"/>
    <w:rsid w:val="73CC2623"/>
    <w:rsid w:val="73D01393"/>
    <w:rsid w:val="73D028F7"/>
    <w:rsid w:val="73D239B1"/>
    <w:rsid w:val="73D43285"/>
    <w:rsid w:val="73D72D76"/>
    <w:rsid w:val="73DB3B7B"/>
    <w:rsid w:val="73DC213A"/>
    <w:rsid w:val="73E11809"/>
    <w:rsid w:val="73E32748"/>
    <w:rsid w:val="73E55492"/>
    <w:rsid w:val="73E56634"/>
    <w:rsid w:val="73EA3012"/>
    <w:rsid w:val="73ED07EB"/>
    <w:rsid w:val="73EF6311"/>
    <w:rsid w:val="73F12089"/>
    <w:rsid w:val="73F27BAF"/>
    <w:rsid w:val="73F61F09"/>
    <w:rsid w:val="73F749B8"/>
    <w:rsid w:val="73F85DBE"/>
    <w:rsid w:val="73F97190"/>
    <w:rsid w:val="73FA536F"/>
    <w:rsid w:val="74014590"/>
    <w:rsid w:val="74017DF2"/>
    <w:rsid w:val="74031DBD"/>
    <w:rsid w:val="74033B6B"/>
    <w:rsid w:val="74082FD3"/>
    <w:rsid w:val="740C48D9"/>
    <w:rsid w:val="74116287"/>
    <w:rsid w:val="74122000"/>
    <w:rsid w:val="741A3431"/>
    <w:rsid w:val="741B5358"/>
    <w:rsid w:val="741E793C"/>
    <w:rsid w:val="7420296E"/>
    <w:rsid w:val="74213FF1"/>
    <w:rsid w:val="742400E9"/>
    <w:rsid w:val="74270EB4"/>
    <w:rsid w:val="742835D1"/>
    <w:rsid w:val="742A10F7"/>
    <w:rsid w:val="742E4F45"/>
    <w:rsid w:val="742F18D2"/>
    <w:rsid w:val="74324450"/>
    <w:rsid w:val="743326A2"/>
    <w:rsid w:val="743331FD"/>
    <w:rsid w:val="74335F8F"/>
    <w:rsid w:val="7434641A"/>
    <w:rsid w:val="74381A66"/>
    <w:rsid w:val="7439758C"/>
    <w:rsid w:val="743C0E2B"/>
    <w:rsid w:val="743D707D"/>
    <w:rsid w:val="74404DBF"/>
    <w:rsid w:val="74410A17"/>
    <w:rsid w:val="744523D5"/>
    <w:rsid w:val="74457850"/>
    <w:rsid w:val="74487DCD"/>
    <w:rsid w:val="744C72C0"/>
    <w:rsid w:val="74542534"/>
    <w:rsid w:val="7456013E"/>
    <w:rsid w:val="74566390"/>
    <w:rsid w:val="74575C64"/>
    <w:rsid w:val="74581754"/>
    <w:rsid w:val="74597CAA"/>
    <w:rsid w:val="745C6B24"/>
    <w:rsid w:val="745E6FF3"/>
    <w:rsid w:val="74600FBD"/>
    <w:rsid w:val="74607B7D"/>
    <w:rsid w:val="74631ADE"/>
    <w:rsid w:val="74640AAD"/>
    <w:rsid w:val="746565D3"/>
    <w:rsid w:val="74675EA7"/>
    <w:rsid w:val="746A5998"/>
    <w:rsid w:val="746D092B"/>
    <w:rsid w:val="746D7236"/>
    <w:rsid w:val="74723222"/>
    <w:rsid w:val="74734539"/>
    <w:rsid w:val="74746816"/>
    <w:rsid w:val="7476301D"/>
    <w:rsid w:val="74784559"/>
    <w:rsid w:val="74793E2D"/>
    <w:rsid w:val="747C2324"/>
    <w:rsid w:val="747F61D2"/>
    <w:rsid w:val="74806E03"/>
    <w:rsid w:val="74821A87"/>
    <w:rsid w:val="748527D2"/>
    <w:rsid w:val="748B3716"/>
    <w:rsid w:val="748C1DB2"/>
    <w:rsid w:val="748C590E"/>
    <w:rsid w:val="748D49CD"/>
    <w:rsid w:val="7494275B"/>
    <w:rsid w:val="74980757"/>
    <w:rsid w:val="74987F0D"/>
    <w:rsid w:val="7499002B"/>
    <w:rsid w:val="749B1FF5"/>
    <w:rsid w:val="749B5C86"/>
    <w:rsid w:val="749D6880"/>
    <w:rsid w:val="749D7B1B"/>
    <w:rsid w:val="749E5EC1"/>
    <w:rsid w:val="749F7D37"/>
    <w:rsid w:val="74A138CF"/>
    <w:rsid w:val="74A41C2E"/>
    <w:rsid w:val="74A50BEC"/>
    <w:rsid w:val="74A52E74"/>
    <w:rsid w:val="74AB2123"/>
    <w:rsid w:val="74AC35B3"/>
    <w:rsid w:val="74AC4202"/>
    <w:rsid w:val="74AE3AD6"/>
    <w:rsid w:val="74AE4B4E"/>
    <w:rsid w:val="74B135C7"/>
    <w:rsid w:val="74B314A3"/>
    <w:rsid w:val="74B64406"/>
    <w:rsid w:val="74B94727"/>
    <w:rsid w:val="74BA31C7"/>
    <w:rsid w:val="74BB4445"/>
    <w:rsid w:val="74C351B8"/>
    <w:rsid w:val="74C4779E"/>
    <w:rsid w:val="74C7103C"/>
    <w:rsid w:val="74CB28DA"/>
    <w:rsid w:val="74CC2B9D"/>
    <w:rsid w:val="74D07EF1"/>
    <w:rsid w:val="74D15A17"/>
    <w:rsid w:val="74D472B5"/>
    <w:rsid w:val="74D72C6A"/>
    <w:rsid w:val="74D97E42"/>
    <w:rsid w:val="74DD6779"/>
    <w:rsid w:val="74DE3871"/>
    <w:rsid w:val="74DE444F"/>
    <w:rsid w:val="74DF1EE2"/>
    <w:rsid w:val="74E042F3"/>
    <w:rsid w:val="74E05C5A"/>
    <w:rsid w:val="74E221F2"/>
    <w:rsid w:val="74E24DC3"/>
    <w:rsid w:val="74E25E76"/>
    <w:rsid w:val="74E92D60"/>
    <w:rsid w:val="74E97204"/>
    <w:rsid w:val="74EC45FF"/>
    <w:rsid w:val="74F33BDF"/>
    <w:rsid w:val="74F87447"/>
    <w:rsid w:val="74FC2045"/>
    <w:rsid w:val="74FD4A5E"/>
    <w:rsid w:val="74FF2584"/>
    <w:rsid w:val="7501454E"/>
    <w:rsid w:val="75071439"/>
    <w:rsid w:val="750D03A6"/>
    <w:rsid w:val="750D643F"/>
    <w:rsid w:val="75120509"/>
    <w:rsid w:val="75184E92"/>
    <w:rsid w:val="751A5610"/>
    <w:rsid w:val="751F6782"/>
    <w:rsid w:val="7521074C"/>
    <w:rsid w:val="752161F5"/>
    <w:rsid w:val="75241FEA"/>
    <w:rsid w:val="75273889"/>
    <w:rsid w:val="752975C2"/>
    <w:rsid w:val="752B3379"/>
    <w:rsid w:val="752B5127"/>
    <w:rsid w:val="752C70F1"/>
    <w:rsid w:val="752D7D55"/>
    <w:rsid w:val="752F1C88"/>
    <w:rsid w:val="7530273D"/>
    <w:rsid w:val="7532211D"/>
    <w:rsid w:val="75357D54"/>
    <w:rsid w:val="75394CD8"/>
    <w:rsid w:val="753C7416"/>
    <w:rsid w:val="753F0BD2"/>
    <w:rsid w:val="753F6E24"/>
    <w:rsid w:val="75412B9C"/>
    <w:rsid w:val="75466405"/>
    <w:rsid w:val="754937FF"/>
    <w:rsid w:val="754B0089"/>
    <w:rsid w:val="754D1541"/>
    <w:rsid w:val="754D7793"/>
    <w:rsid w:val="754E52B9"/>
    <w:rsid w:val="755C3532"/>
    <w:rsid w:val="755D72AA"/>
    <w:rsid w:val="75617FF5"/>
    <w:rsid w:val="75662603"/>
    <w:rsid w:val="75695C4F"/>
    <w:rsid w:val="756B19C7"/>
    <w:rsid w:val="756E14B8"/>
    <w:rsid w:val="75703448"/>
    <w:rsid w:val="75703482"/>
    <w:rsid w:val="75733D9B"/>
    <w:rsid w:val="75734D20"/>
    <w:rsid w:val="757765BE"/>
    <w:rsid w:val="75792336"/>
    <w:rsid w:val="757B16F4"/>
    <w:rsid w:val="757C3BD5"/>
    <w:rsid w:val="757C7B01"/>
    <w:rsid w:val="75812037"/>
    <w:rsid w:val="7581743D"/>
    <w:rsid w:val="75826D11"/>
    <w:rsid w:val="758B084F"/>
    <w:rsid w:val="758D193E"/>
    <w:rsid w:val="758D75E2"/>
    <w:rsid w:val="758E56B6"/>
    <w:rsid w:val="758F1B5A"/>
    <w:rsid w:val="7591430D"/>
    <w:rsid w:val="7592164A"/>
    <w:rsid w:val="75950E36"/>
    <w:rsid w:val="75970A0E"/>
    <w:rsid w:val="75986327"/>
    <w:rsid w:val="75986535"/>
    <w:rsid w:val="75990B37"/>
    <w:rsid w:val="759A04FF"/>
    <w:rsid w:val="759C4277"/>
    <w:rsid w:val="759C7DD3"/>
    <w:rsid w:val="759F4EC0"/>
    <w:rsid w:val="75A35605"/>
    <w:rsid w:val="75A90742"/>
    <w:rsid w:val="75AA17D7"/>
    <w:rsid w:val="75AD1FE0"/>
    <w:rsid w:val="75AD3D8E"/>
    <w:rsid w:val="75B44541"/>
    <w:rsid w:val="75B55C49"/>
    <w:rsid w:val="75BC0475"/>
    <w:rsid w:val="75BE0ADD"/>
    <w:rsid w:val="75BF1D13"/>
    <w:rsid w:val="75C17839"/>
    <w:rsid w:val="75C31803"/>
    <w:rsid w:val="75C67E24"/>
    <w:rsid w:val="75C74A70"/>
    <w:rsid w:val="75CA04F1"/>
    <w:rsid w:val="75D25EEA"/>
    <w:rsid w:val="75D27948"/>
    <w:rsid w:val="75D43A11"/>
    <w:rsid w:val="75D4756D"/>
    <w:rsid w:val="75D67789"/>
    <w:rsid w:val="75D83BE9"/>
    <w:rsid w:val="75D91F21"/>
    <w:rsid w:val="75E8126A"/>
    <w:rsid w:val="75E83B07"/>
    <w:rsid w:val="75E92E7A"/>
    <w:rsid w:val="75EA6D90"/>
    <w:rsid w:val="75EF0F06"/>
    <w:rsid w:val="75F06371"/>
    <w:rsid w:val="75F23E97"/>
    <w:rsid w:val="75F61BD9"/>
    <w:rsid w:val="75FA1B5D"/>
    <w:rsid w:val="75FE45EA"/>
    <w:rsid w:val="760342F6"/>
    <w:rsid w:val="760D47C2"/>
    <w:rsid w:val="7610431D"/>
    <w:rsid w:val="7613626B"/>
    <w:rsid w:val="76157B85"/>
    <w:rsid w:val="761734C3"/>
    <w:rsid w:val="761A7D40"/>
    <w:rsid w:val="761C7166"/>
    <w:rsid w:val="7620086F"/>
    <w:rsid w:val="76206C56"/>
    <w:rsid w:val="762229CE"/>
    <w:rsid w:val="762F4F34"/>
    <w:rsid w:val="76312C11"/>
    <w:rsid w:val="76341118"/>
    <w:rsid w:val="76361FD5"/>
    <w:rsid w:val="76362DEA"/>
    <w:rsid w:val="76366479"/>
    <w:rsid w:val="763A6170"/>
    <w:rsid w:val="763B3A90"/>
    <w:rsid w:val="763F1FF4"/>
    <w:rsid w:val="76432944"/>
    <w:rsid w:val="76465F91"/>
    <w:rsid w:val="76472434"/>
    <w:rsid w:val="764D19B8"/>
    <w:rsid w:val="7651022E"/>
    <w:rsid w:val="765D4A31"/>
    <w:rsid w:val="765E152C"/>
    <w:rsid w:val="765E777E"/>
    <w:rsid w:val="766270D3"/>
    <w:rsid w:val="7662726E"/>
    <w:rsid w:val="766823AB"/>
    <w:rsid w:val="766905FD"/>
    <w:rsid w:val="766C59F7"/>
    <w:rsid w:val="766E5C13"/>
    <w:rsid w:val="767057F7"/>
    <w:rsid w:val="76736211"/>
    <w:rsid w:val="767945B8"/>
    <w:rsid w:val="767A350B"/>
    <w:rsid w:val="767B0330"/>
    <w:rsid w:val="767E008B"/>
    <w:rsid w:val="767E397C"/>
    <w:rsid w:val="7680271B"/>
    <w:rsid w:val="76830F93"/>
    <w:rsid w:val="768371E5"/>
    <w:rsid w:val="76880357"/>
    <w:rsid w:val="768834B1"/>
    <w:rsid w:val="7688510D"/>
    <w:rsid w:val="768C7E47"/>
    <w:rsid w:val="76927701"/>
    <w:rsid w:val="76930B91"/>
    <w:rsid w:val="769413F2"/>
    <w:rsid w:val="76944F4E"/>
    <w:rsid w:val="76950F22"/>
    <w:rsid w:val="76956082"/>
    <w:rsid w:val="76982666"/>
    <w:rsid w:val="769A6A08"/>
    <w:rsid w:val="769B008A"/>
    <w:rsid w:val="769B452E"/>
    <w:rsid w:val="769D3E02"/>
    <w:rsid w:val="769F401E"/>
    <w:rsid w:val="76A038F3"/>
    <w:rsid w:val="76A258BD"/>
    <w:rsid w:val="76A333E3"/>
    <w:rsid w:val="76A34A08"/>
    <w:rsid w:val="76A553AD"/>
    <w:rsid w:val="76AA4771"/>
    <w:rsid w:val="76AB19E8"/>
    <w:rsid w:val="76AE24B4"/>
    <w:rsid w:val="76BD44A5"/>
    <w:rsid w:val="76BF7180"/>
    <w:rsid w:val="76C27D0D"/>
    <w:rsid w:val="76C515AB"/>
    <w:rsid w:val="76C70E7F"/>
    <w:rsid w:val="76C75323"/>
    <w:rsid w:val="76CE1958"/>
    <w:rsid w:val="76CE1B2D"/>
    <w:rsid w:val="76D717A6"/>
    <w:rsid w:val="76DB2B7D"/>
    <w:rsid w:val="76DE441B"/>
    <w:rsid w:val="76DE4877"/>
    <w:rsid w:val="76E025B6"/>
    <w:rsid w:val="76E6765B"/>
    <w:rsid w:val="76E9529A"/>
    <w:rsid w:val="76E97048"/>
    <w:rsid w:val="76EA1012"/>
    <w:rsid w:val="76EA2DC0"/>
    <w:rsid w:val="76ED1FB3"/>
    <w:rsid w:val="76F404D5"/>
    <w:rsid w:val="76F61765"/>
    <w:rsid w:val="76F62D49"/>
    <w:rsid w:val="76F65C09"/>
    <w:rsid w:val="76FD2AF3"/>
    <w:rsid w:val="770562E1"/>
    <w:rsid w:val="77091498"/>
    <w:rsid w:val="770E0AD4"/>
    <w:rsid w:val="77101B8D"/>
    <w:rsid w:val="77111884"/>
    <w:rsid w:val="77112A42"/>
    <w:rsid w:val="77132317"/>
    <w:rsid w:val="771542E1"/>
    <w:rsid w:val="771D36E6"/>
    <w:rsid w:val="771D4F43"/>
    <w:rsid w:val="771F319A"/>
    <w:rsid w:val="77244524"/>
    <w:rsid w:val="77265B4F"/>
    <w:rsid w:val="77274B25"/>
    <w:rsid w:val="77291B3A"/>
    <w:rsid w:val="77297EB7"/>
    <w:rsid w:val="772C5186"/>
    <w:rsid w:val="772D6C40"/>
    <w:rsid w:val="772E7150"/>
    <w:rsid w:val="77316C41"/>
    <w:rsid w:val="7735567E"/>
    <w:rsid w:val="773603CD"/>
    <w:rsid w:val="77387FCF"/>
    <w:rsid w:val="773A3D47"/>
    <w:rsid w:val="773C186D"/>
    <w:rsid w:val="773D3837"/>
    <w:rsid w:val="77420E4E"/>
    <w:rsid w:val="77426B90"/>
    <w:rsid w:val="77476464"/>
    <w:rsid w:val="774938EF"/>
    <w:rsid w:val="77493F8A"/>
    <w:rsid w:val="774B7D02"/>
    <w:rsid w:val="775947BB"/>
    <w:rsid w:val="77597468"/>
    <w:rsid w:val="775F555C"/>
    <w:rsid w:val="77613082"/>
    <w:rsid w:val="7762586D"/>
    <w:rsid w:val="7763329E"/>
    <w:rsid w:val="776B3F01"/>
    <w:rsid w:val="776E1C43"/>
    <w:rsid w:val="77707E71"/>
    <w:rsid w:val="77735147"/>
    <w:rsid w:val="77762421"/>
    <w:rsid w:val="77796881"/>
    <w:rsid w:val="777B66C5"/>
    <w:rsid w:val="77811976"/>
    <w:rsid w:val="77844FC2"/>
    <w:rsid w:val="77846CDF"/>
    <w:rsid w:val="77846D70"/>
    <w:rsid w:val="778C5F09"/>
    <w:rsid w:val="779276DF"/>
    <w:rsid w:val="77972F48"/>
    <w:rsid w:val="77976AA4"/>
    <w:rsid w:val="779B51B3"/>
    <w:rsid w:val="779C40BA"/>
    <w:rsid w:val="779E0807"/>
    <w:rsid w:val="77A15B74"/>
    <w:rsid w:val="77AB254F"/>
    <w:rsid w:val="77AD4519"/>
    <w:rsid w:val="77AF64E3"/>
    <w:rsid w:val="77B5517C"/>
    <w:rsid w:val="77B6195A"/>
    <w:rsid w:val="77B72606"/>
    <w:rsid w:val="77B83A96"/>
    <w:rsid w:val="77BA09E4"/>
    <w:rsid w:val="77BA0F87"/>
    <w:rsid w:val="77BC650A"/>
    <w:rsid w:val="77C32BA6"/>
    <w:rsid w:val="77C41863"/>
    <w:rsid w:val="77C74756"/>
    <w:rsid w:val="77CD4BBB"/>
    <w:rsid w:val="77CE4652"/>
    <w:rsid w:val="77D136FF"/>
    <w:rsid w:val="77D777E8"/>
    <w:rsid w:val="77D93560"/>
    <w:rsid w:val="77D94BF9"/>
    <w:rsid w:val="77DD12B0"/>
    <w:rsid w:val="77DE2925"/>
    <w:rsid w:val="77E421DC"/>
    <w:rsid w:val="77E43CB3"/>
    <w:rsid w:val="77E76882"/>
    <w:rsid w:val="77E77FA4"/>
    <w:rsid w:val="77EA751B"/>
    <w:rsid w:val="77ED2DFA"/>
    <w:rsid w:val="77F17064"/>
    <w:rsid w:val="77FB0E29"/>
    <w:rsid w:val="77FE6B23"/>
    <w:rsid w:val="77FF666B"/>
    <w:rsid w:val="780103C1"/>
    <w:rsid w:val="78016613"/>
    <w:rsid w:val="780600CD"/>
    <w:rsid w:val="7808397C"/>
    <w:rsid w:val="780B1240"/>
    <w:rsid w:val="780D4FB8"/>
    <w:rsid w:val="780E6CED"/>
    <w:rsid w:val="780F09F4"/>
    <w:rsid w:val="78104469"/>
    <w:rsid w:val="781225CE"/>
    <w:rsid w:val="78146346"/>
    <w:rsid w:val="78160310"/>
    <w:rsid w:val="78174088"/>
    <w:rsid w:val="78186399"/>
    <w:rsid w:val="781A1483"/>
    <w:rsid w:val="78252301"/>
    <w:rsid w:val="782A7918"/>
    <w:rsid w:val="782B18E2"/>
    <w:rsid w:val="782B3690"/>
    <w:rsid w:val="7831514A"/>
    <w:rsid w:val="78324A1E"/>
    <w:rsid w:val="78342545"/>
    <w:rsid w:val="78395DAD"/>
    <w:rsid w:val="783A7A6C"/>
    <w:rsid w:val="783C1535"/>
    <w:rsid w:val="783C50DD"/>
    <w:rsid w:val="783C764B"/>
    <w:rsid w:val="783E7541"/>
    <w:rsid w:val="78405348"/>
    <w:rsid w:val="78434743"/>
    <w:rsid w:val="78454752"/>
    <w:rsid w:val="78476AB5"/>
    <w:rsid w:val="784A0690"/>
    <w:rsid w:val="784F02E1"/>
    <w:rsid w:val="784F737E"/>
    <w:rsid w:val="78511348"/>
    <w:rsid w:val="7851759A"/>
    <w:rsid w:val="785229A8"/>
    <w:rsid w:val="785250C1"/>
    <w:rsid w:val="78564BB1"/>
    <w:rsid w:val="785901FD"/>
    <w:rsid w:val="7859644F"/>
    <w:rsid w:val="785B21C7"/>
    <w:rsid w:val="785F0F7A"/>
    <w:rsid w:val="786170B2"/>
    <w:rsid w:val="786A41B8"/>
    <w:rsid w:val="786B1CDE"/>
    <w:rsid w:val="786C6182"/>
    <w:rsid w:val="786C7F30"/>
    <w:rsid w:val="7870237F"/>
    <w:rsid w:val="78760DAF"/>
    <w:rsid w:val="787646DC"/>
    <w:rsid w:val="78793171"/>
    <w:rsid w:val="787943FB"/>
    <w:rsid w:val="787B4617"/>
    <w:rsid w:val="787D20B0"/>
    <w:rsid w:val="787E5EB6"/>
    <w:rsid w:val="787F02DF"/>
    <w:rsid w:val="788039DC"/>
    <w:rsid w:val="78810287"/>
    <w:rsid w:val="78811502"/>
    <w:rsid w:val="7881167C"/>
    <w:rsid w:val="78824593"/>
    <w:rsid w:val="78827754"/>
    <w:rsid w:val="78917997"/>
    <w:rsid w:val="7892370F"/>
    <w:rsid w:val="78964FAD"/>
    <w:rsid w:val="789C4F47"/>
    <w:rsid w:val="789D40D9"/>
    <w:rsid w:val="78A11715"/>
    <w:rsid w:val="78A3591C"/>
    <w:rsid w:val="78A37DFC"/>
    <w:rsid w:val="78A90480"/>
    <w:rsid w:val="78AC0BE6"/>
    <w:rsid w:val="78AC2A23"/>
    <w:rsid w:val="78B1554E"/>
    <w:rsid w:val="78B43685"/>
    <w:rsid w:val="78B74F24"/>
    <w:rsid w:val="78BB3E42"/>
    <w:rsid w:val="78BB4A14"/>
    <w:rsid w:val="78BD078C"/>
    <w:rsid w:val="78C23FF4"/>
    <w:rsid w:val="78C31B1A"/>
    <w:rsid w:val="78C7785D"/>
    <w:rsid w:val="78CA5CC7"/>
    <w:rsid w:val="78CC351E"/>
    <w:rsid w:val="78CC6C21"/>
    <w:rsid w:val="78CE0BEB"/>
    <w:rsid w:val="78D3079A"/>
    <w:rsid w:val="78D35BBD"/>
    <w:rsid w:val="78D36201"/>
    <w:rsid w:val="78D37FAF"/>
    <w:rsid w:val="78D646F6"/>
    <w:rsid w:val="78D87EA4"/>
    <w:rsid w:val="78D9133E"/>
    <w:rsid w:val="78DA7590"/>
    <w:rsid w:val="78DB58DC"/>
    <w:rsid w:val="78DD498A"/>
    <w:rsid w:val="78DF4BA6"/>
    <w:rsid w:val="78E20A03"/>
    <w:rsid w:val="78E22B8B"/>
    <w:rsid w:val="78E30EC4"/>
    <w:rsid w:val="78E55F35"/>
    <w:rsid w:val="78E8315E"/>
    <w:rsid w:val="78EC2E1F"/>
    <w:rsid w:val="78F02F79"/>
    <w:rsid w:val="78F10436"/>
    <w:rsid w:val="78F11DE6"/>
    <w:rsid w:val="78F26670"/>
    <w:rsid w:val="78F817C4"/>
    <w:rsid w:val="78F9201C"/>
    <w:rsid w:val="78FA19E0"/>
    <w:rsid w:val="78FD0B56"/>
    <w:rsid w:val="78FF0DA4"/>
    <w:rsid w:val="79002D6F"/>
    <w:rsid w:val="7904104F"/>
    <w:rsid w:val="790463BB"/>
    <w:rsid w:val="79055E20"/>
    <w:rsid w:val="790836D0"/>
    <w:rsid w:val="790939D1"/>
    <w:rsid w:val="790C526F"/>
    <w:rsid w:val="790D1571"/>
    <w:rsid w:val="790F182A"/>
    <w:rsid w:val="79122B54"/>
    <w:rsid w:val="791650FE"/>
    <w:rsid w:val="79175833"/>
    <w:rsid w:val="79181E66"/>
    <w:rsid w:val="791956FD"/>
    <w:rsid w:val="791D747D"/>
    <w:rsid w:val="79206F6D"/>
    <w:rsid w:val="792142CD"/>
    <w:rsid w:val="7924080B"/>
    <w:rsid w:val="79244A8E"/>
    <w:rsid w:val="79246A5D"/>
    <w:rsid w:val="79255085"/>
    <w:rsid w:val="79297BCF"/>
    <w:rsid w:val="792A1B99"/>
    <w:rsid w:val="792A243A"/>
    <w:rsid w:val="792B2493"/>
    <w:rsid w:val="792C3B64"/>
    <w:rsid w:val="792C4CC9"/>
    <w:rsid w:val="792F0F5E"/>
    <w:rsid w:val="79312F28"/>
    <w:rsid w:val="79330A4E"/>
    <w:rsid w:val="79346574"/>
    <w:rsid w:val="79352A18"/>
    <w:rsid w:val="7936053E"/>
    <w:rsid w:val="79365798"/>
    <w:rsid w:val="793A1DDD"/>
    <w:rsid w:val="793B7903"/>
    <w:rsid w:val="7940316B"/>
    <w:rsid w:val="79404F19"/>
    <w:rsid w:val="794063F1"/>
    <w:rsid w:val="794252D9"/>
    <w:rsid w:val="79442C5B"/>
    <w:rsid w:val="79450781"/>
    <w:rsid w:val="79490AB5"/>
    <w:rsid w:val="794C38BE"/>
    <w:rsid w:val="79507900"/>
    <w:rsid w:val="795310AA"/>
    <w:rsid w:val="79571D0E"/>
    <w:rsid w:val="79586707"/>
    <w:rsid w:val="79594081"/>
    <w:rsid w:val="795C1D84"/>
    <w:rsid w:val="795E1D44"/>
    <w:rsid w:val="796055BB"/>
    <w:rsid w:val="79667075"/>
    <w:rsid w:val="79674B9C"/>
    <w:rsid w:val="796926C2"/>
    <w:rsid w:val="79694470"/>
    <w:rsid w:val="796D289A"/>
    <w:rsid w:val="796E46DA"/>
    <w:rsid w:val="79717E77"/>
    <w:rsid w:val="79752E15"/>
    <w:rsid w:val="79761652"/>
    <w:rsid w:val="79780B57"/>
    <w:rsid w:val="797950B4"/>
    <w:rsid w:val="797B41A3"/>
    <w:rsid w:val="797C0647"/>
    <w:rsid w:val="797D43BF"/>
    <w:rsid w:val="797E7C8C"/>
    <w:rsid w:val="797F0137"/>
    <w:rsid w:val="798020FD"/>
    <w:rsid w:val="79811327"/>
    <w:rsid w:val="798219D5"/>
    <w:rsid w:val="79856DD0"/>
    <w:rsid w:val="79865022"/>
    <w:rsid w:val="79894B12"/>
    <w:rsid w:val="798B6ADC"/>
    <w:rsid w:val="798C5D24"/>
    <w:rsid w:val="798D4602"/>
    <w:rsid w:val="798E037A"/>
    <w:rsid w:val="798E2128"/>
    <w:rsid w:val="798E279D"/>
    <w:rsid w:val="798E3ED6"/>
    <w:rsid w:val="799055DF"/>
    <w:rsid w:val="79905EA0"/>
    <w:rsid w:val="79935991"/>
    <w:rsid w:val="79951709"/>
    <w:rsid w:val="79952B92"/>
    <w:rsid w:val="79974728"/>
    <w:rsid w:val="79983E20"/>
    <w:rsid w:val="79986B03"/>
    <w:rsid w:val="799D05BD"/>
    <w:rsid w:val="799D236B"/>
    <w:rsid w:val="79A11E5C"/>
    <w:rsid w:val="79A71C89"/>
    <w:rsid w:val="79AC0800"/>
    <w:rsid w:val="79AE0B68"/>
    <w:rsid w:val="79B3393D"/>
    <w:rsid w:val="79B43D9D"/>
    <w:rsid w:val="79B61ECB"/>
    <w:rsid w:val="79B74AA6"/>
    <w:rsid w:val="79B778D1"/>
    <w:rsid w:val="79B86634"/>
    <w:rsid w:val="79BA2F1D"/>
    <w:rsid w:val="79BF22E2"/>
    <w:rsid w:val="79C03F87"/>
    <w:rsid w:val="79C124FE"/>
    <w:rsid w:val="79CD0EA3"/>
    <w:rsid w:val="79D42231"/>
    <w:rsid w:val="79D45972"/>
    <w:rsid w:val="79D744BA"/>
    <w:rsid w:val="79D815F5"/>
    <w:rsid w:val="79DB76E8"/>
    <w:rsid w:val="79DC10E6"/>
    <w:rsid w:val="79E104AA"/>
    <w:rsid w:val="79E157E7"/>
    <w:rsid w:val="79E70CF9"/>
    <w:rsid w:val="79E93803"/>
    <w:rsid w:val="79EA65F3"/>
    <w:rsid w:val="79EB224B"/>
    <w:rsid w:val="79ED50A1"/>
    <w:rsid w:val="79EF706B"/>
    <w:rsid w:val="79F04553"/>
    <w:rsid w:val="79F0693F"/>
    <w:rsid w:val="79F150AA"/>
    <w:rsid w:val="79F20909"/>
    <w:rsid w:val="79F44681"/>
    <w:rsid w:val="79F521A7"/>
    <w:rsid w:val="79F62EF9"/>
    <w:rsid w:val="79FA77BE"/>
    <w:rsid w:val="79FB1D40"/>
    <w:rsid w:val="79FC7092"/>
    <w:rsid w:val="7A013C8D"/>
    <w:rsid w:val="7A066163"/>
    <w:rsid w:val="7A0B19CB"/>
    <w:rsid w:val="7A0D129F"/>
    <w:rsid w:val="7A122D59"/>
    <w:rsid w:val="7A137FC7"/>
    <w:rsid w:val="7A186A8B"/>
    <w:rsid w:val="7A1E16FE"/>
    <w:rsid w:val="7A1F0FD2"/>
    <w:rsid w:val="7A214D4A"/>
    <w:rsid w:val="7A22231A"/>
    <w:rsid w:val="7A24780B"/>
    <w:rsid w:val="7A274CFC"/>
    <w:rsid w:val="7A293BFF"/>
    <w:rsid w:val="7A2A3180"/>
    <w:rsid w:val="7A2B3E1B"/>
    <w:rsid w:val="7A2B5BC9"/>
    <w:rsid w:val="7A316DFD"/>
    <w:rsid w:val="7A326F58"/>
    <w:rsid w:val="7A344A7E"/>
    <w:rsid w:val="7A356A48"/>
    <w:rsid w:val="7A364017"/>
    <w:rsid w:val="7A392094"/>
    <w:rsid w:val="7A3A5E0C"/>
    <w:rsid w:val="7A3B22B0"/>
    <w:rsid w:val="7A401675"/>
    <w:rsid w:val="7A444E4A"/>
    <w:rsid w:val="7A48677B"/>
    <w:rsid w:val="7A4B626B"/>
    <w:rsid w:val="7A4C55E3"/>
    <w:rsid w:val="7A504D36"/>
    <w:rsid w:val="7A5073DE"/>
    <w:rsid w:val="7A523156"/>
    <w:rsid w:val="7A5427A8"/>
    <w:rsid w:val="7A592736"/>
    <w:rsid w:val="7A5A200A"/>
    <w:rsid w:val="7A5C5D83"/>
    <w:rsid w:val="7A5E1AFB"/>
    <w:rsid w:val="7A665F33"/>
    <w:rsid w:val="7A6660F8"/>
    <w:rsid w:val="7A666C01"/>
    <w:rsid w:val="7A6B1967"/>
    <w:rsid w:val="7A6D48C0"/>
    <w:rsid w:val="7A6F3D08"/>
    <w:rsid w:val="7A70182E"/>
    <w:rsid w:val="7A715CD2"/>
    <w:rsid w:val="7A7C3632"/>
    <w:rsid w:val="7A7C6425"/>
    <w:rsid w:val="7A7E03EF"/>
    <w:rsid w:val="7A7F18A6"/>
    <w:rsid w:val="7A8265E1"/>
    <w:rsid w:val="7A8377B3"/>
    <w:rsid w:val="7A8772A3"/>
    <w:rsid w:val="7A886B78"/>
    <w:rsid w:val="7A8A6D94"/>
    <w:rsid w:val="7A8B5A6A"/>
    <w:rsid w:val="7A8C2A1A"/>
    <w:rsid w:val="7A8C2B0C"/>
    <w:rsid w:val="7A8D23E0"/>
    <w:rsid w:val="7A8F43AA"/>
    <w:rsid w:val="7A903C7E"/>
    <w:rsid w:val="7A94376E"/>
    <w:rsid w:val="7A965738"/>
    <w:rsid w:val="7A996FD7"/>
    <w:rsid w:val="7A9B4AFD"/>
    <w:rsid w:val="7A9C0EEA"/>
    <w:rsid w:val="7A9C2623"/>
    <w:rsid w:val="7AA15E8B"/>
    <w:rsid w:val="7AA339B1"/>
    <w:rsid w:val="7AA53BCD"/>
    <w:rsid w:val="7AA73F26"/>
    <w:rsid w:val="7AAA2F92"/>
    <w:rsid w:val="7AAC6D0A"/>
    <w:rsid w:val="7AAF05A8"/>
    <w:rsid w:val="7AB01E15"/>
    <w:rsid w:val="7AB07CD4"/>
    <w:rsid w:val="7AB21E46"/>
    <w:rsid w:val="7AB37F0E"/>
    <w:rsid w:val="7AB45BBF"/>
    <w:rsid w:val="7AB636E5"/>
    <w:rsid w:val="7AB67B89"/>
    <w:rsid w:val="7AB756AF"/>
    <w:rsid w:val="7AB84E03"/>
    <w:rsid w:val="7AB94F83"/>
    <w:rsid w:val="7ABB519F"/>
    <w:rsid w:val="7AC027B5"/>
    <w:rsid w:val="7AC322A6"/>
    <w:rsid w:val="7AC57DCC"/>
    <w:rsid w:val="7ACD6C80"/>
    <w:rsid w:val="7ACE4ED2"/>
    <w:rsid w:val="7ACF47A6"/>
    <w:rsid w:val="7ACF5D34"/>
    <w:rsid w:val="7AD04DF9"/>
    <w:rsid w:val="7AD47448"/>
    <w:rsid w:val="7AD93877"/>
    <w:rsid w:val="7ADF6323"/>
    <w:rsid w:val="7AE2097E"/>
    <w:rsid w:val="7AE475C4"/>
    <w:rsid w:val="7AE63625"/>
    <w:rsid w:val="7AE75F94"/>
    <w:rsid w:val="7AE9497B"/>
    <w:rsid w:val="7AED10D1"/>
    <w:rsid w:val="7AEF309B"/>
    <w:rsid w:val="7AEF6BF7"/>
    <w:rsid w:val="7AF10BC1"/>
    <w:rsid w:val="7AF631D6"/>
    <w:rsid w:val="7AF75AAB"/>
    <w:rsid w:val="7AF842F9"/>
    <w:rsid w:val="7AFA2D33"/>
    <w:rsid w:val="7B0E1773"/>
    <w:rsid w:val="7B0F5208"/>
    <w:rsid w:val="7B0F7299"/>
    <w:rsid w:val="7B1112A8"/>
    <w:rsid w:val="7B1448AF"/>
    <w:rsid w:val="7B14665D"/>
    <w:rsid w:val="7B191EC6"/>
    <w:rsid w:val="7B193C74"/>
    <w:rsid w:val="7B1D5512"/>
    <w:rsid w:val="7B252618"/>
    <w:rsid w:val="7B2745E3"/>
    <w:rsid w:val="7B2C3224"/>
    <w:rsid w:val="7B362A78"/>
    <w:rsid w:val="7B3650A3"/>
    <w:rsid w:val="7B3B410F"/>
    <w:rsid w:val="7B3D7962"/>
    <w:rsid w:val="7B3F066D"/>
    <w:rsid w:val="7B42766E"/>
    <w:rsid w:val="7B43689E"/>
    <w:rsid w:val="7B4738E3"/>
    <w:rsid w:val="7B486307"/>
    <w:rsid w:val="7B4A02D1"/>
    <w:rsid w:val="7B4A207F"/>
    <w:rsid w:val="7B4D01D8"/>
    <w:rsid w:val="7B4E1B6F"/>
    <w:rsid w:val="7B4E6013"/>
    <w:rsid w:val="7B4F7695"/>
    <w:rsid w:val="7B512CCA"/>
    <w:rsid w:val="7B51340D"/>
    <w:rsid w:val="7B520E10"/>
    <w:rsid w:val="7B537186"/>
    <w:rsid w:val="7B561A28"/>
    <w:rsid w:val="7B5770BD"/>
    <w:rsid w:val="7B58479C"/>
    <w:rsid w:val="7B5E1E17"/>
    <w:rsid w:val="7B5E43AD"/>
    <w:rsid w:val="7B611E27"/>
    <w:rsid w:val="7B66335D"/>
    <w:rsid w:val="7B670E83"/>
    <w:rsid w:val="7B686D42"/>
    <w:rsid w:val="7B6969A9"/>
    <w:rsid w:val="7B6A54D9"/>
    <w:rsid w:val="7B727A53"/>
    <w:rsid w:val="7B7470FC"/>
    <w:rsid w:val="7B7974B6"/>
    <w:rsid w:val="7B7A0FC8"/>
    <w:rsid w:val="7B7D06A6"/>
    <w:rsid w:val="7B7F61CD"/>
    <w:rsid w:val="7B825CBD"/>
    <w:rsid w:val="7B841746"/>
    <w:rsid w:val="7B886713"/>
    <w:rsid w:val="7B8B207E"/>
    <w:rsid w:val="7B8B4B71"/>
    <w:rsid w:val="7B8D7AD7"/>
    <w:rsid w:val="7B925FE7"/>
    <w:rsid w:val="7B9652C4"/>
    <w:rsid w:val="7B966861"/>
    <w:rsid w:val="7B971768"/>
    <w:rsid w:val="7B98103C"/>
    <w:rsid w:val="7B9A3A6E"/>
    <w:rsid w:val="7B9A4DB4"/>
    <w:rsid w:val="7B9C6D7F"/>
    <w:rsid w:val="7B9D6653"/>
    <w:rsid w:val="7B9F061D"/>
    <w:rsid w:val="7B9F5824"/>
    <w:rsid w:val="7BA14395"/>
    <w:rsid w:val="7BA2010D"/>
    <w:rsid w:val="7BA53E28"/>
    <w:rsid w:val="7BA63759"/>
    <w:rsid w:val="7BA94FF8"/>
    <w:rsid w:val="7BAC542E"/>
    <w:rsid w:val="7BAD0F8C"/>
    <w:rsid w:val="7BB35E76"/>
    <w:rsid w:val="7BB57CD1"/>
    <w:rsid w:val="7BB75966"/>
    <w:rsid w:val="7BB816DF"/>
    <w:rsid w:val="7BBC1AD5"/>
    <w:rsid w:val="7BBF2A6D"/>
    <w:rsid w:val="7BC25D04"/>
    <w:rsid w:val="7BC938EC"/>
    <w:rsid w:val="7BC97D95"/>
    <w:rsid w:val="7BCD6162"/>
    <w:rsid w:val="7BD302C6"/>
    <w:rsid w:val="7BD3786A"/>
    <w:rsid w:val="7BD61B65"/>
    <w:rsid w:val="7BD76009"/>
    <w:rsid w:val="7BD858DD"/>
    <w:rsid w:val="7BD965DC"/>
    <w:rsid w:val="7BDC717B"/>
    <w:rsid w:val="7BE55C9F"/>
    <w:rsid w:val="7BE6624C"/>
    <w:rsid w:val="7BE90488"/>
    <w:rsid w:val="7BE92C4E"/>
    <w:rsid w:val="7BEB3862"/>
    <w:rsid w:val="7BEE3352"/>
    <w:rsid w:val="7BEE6EAE"/>
    <w:rsid w:val="7BFA3C79"/>
    <w:rsid w:val="7BFC15CB"/>
    <w:rsid w:val="7C0045FA"/>
    <w:rsid w:val="7C06069C"/>
    <w:rsid w:val="7C075F3B"/>
    <w:rsid w:val="7C084414"/>
    <w:rsid w:val="7C093CE8"/>
    <w:rsid w:val="7C1032C9"/>
    <w:rsid w:val="7C1508DF"/>
    <w:rsid w:val="7C174418"/>
    <w:rsid w:val="7C176405"/>
    <w:rsid w:val="7C1B0ED7"/>
    <w:rsid w:val="7C217284"/>
    <w:rsid w:val="7C246915"/>
    <w:rsid w:val="7C262AEC"/>
    <w:rsid w:val="7C321AEA"/>
    <w:rsid w:val="7C3242A6"/>
    <w:rsid w:val="7C330D65"/>
    <w:rsid w:val="7C336FB7"/>
    <w:rsid w:val="7C362E56"/>
    <w:rsid w:val="7C376AA7"/>
    <w:rsid w:val="7C3945CD"/>
    <w:rsid w:val="7C3A0345"/>
    <w:rsid w:val="7C3C40BE"/>
    <w:rsid w:val="7C3E526E"/>
    <w:rsid w:val="7C3E6D39"/>
    <w:rsid w:val="7C3F3BAE"/>
    <w:rsid w:val="7C4411C4"/>
    <w:rsid w:val="7C460A98"/>
    <w:rsid w:val="7C464F3C"/>
    <w:rsid w:val="7C466CEA"/>
    <w:rsid w:val="7C491437"/>
    <w:rsid w:val="7C4C69A8"/>
    <w:rsid w:val="7C4F3DF1"/>
    <w:rsid w:val="7C5076B5"/>
    <w:rsid w:val="7C55517F"/>
    <w:rsid w:val="7C605FFE"/>
    <w:rsid w:val="7C611D76"/>
    <w:rsid w:val="7C622F4D"/>
    <w:rsid w:val="7C633D33"/>
    <w:rsid w:val="7C63789C"/>
    <w:rsid w:val="7C644183"/>
    <w:rsid w:val="7C653614"/>
    <w:rsid w:val="7C656D9B"/>
    <w:rsid w:val="7C6F6241"/>
    <w:rsid w:val="7C725D31"/>
    <w:rsid w:val="7C730E76"/>
    <w:rsid w:val="7C743857"/>
    <w:rsid w:val="7C76154A"/>
    <w:rsid w:val="7C7B7C1A"/>
    <w:rsid w:val="7C7C270C"/>
    <w:rsid w:val="7C7C44BA"/>
    <w:rsid w:val="7C7F3FAA"/>
    <w:rsid w:val="7C8021FC"/>
    <w:rsid w:val="7C815F74"/>
    <w:rsid w:val="7C8617DD"/>
    <w:rsid w:val="7C876A78"/>
    <w:rsid w:val="7C896BD7"/>
    <w:rsid w:val="7C8D3F98"/>
    <w:rsid w:val="7C923CDE"/>
    <w:rsid w:val="7C943EFA"/>
    <w:rsid w:val="7C950E2A"/>
    <w:rsid w:val="7C952014"/>
    <w:rsid w:val="7C95557C"/>
    <w:rsid w:val="7C9663A3"/>
    <w:rsid w:val="7C98391B"/>
    <w:rsid w:val="7C9C6796"/>
    <w:rsid w:val="7CA07B72"/>
    <w:rsid w:val="7CA30566"/>
    <w:rsid w:val="7CA57EB5"/>
    <w:rsid w:val="7CA67789"/>
    <w:rsid w:val="7CA83501"/>
    <w:rsid w:val="7CB023B6"/>
    <w:rsid w:val="7CB1685A"/>
    <w:rsid w:val="7CB50DE1"/>
    <w:rsid w:val="7CB63E70"/>
    <w:rsid w:val="7CB65C1E"/>
    <w:rsid w:val="7CB9570E"/>
    <w:rsid w:val="7CBC0D5A"/>
    <w:rsid w:val="7CC12815"/>
    <w:rsid w:val="7CC145C3"/>
    <w:rsid w:val="7CC16371"/>
    <w:rsid w:val="7CC74D90"/>
    <w:rsid w:val="7CC83BA3"/>
    <w:rsid w:val="7CCA3477"/>
    <w:rsid w:val="7CCB74A0"/>
    <w:rsid w:val="7CCF0A8E"/>
    <w:rsid w:val="7CCF4C6B"/>
    <w:rsid w:val="7CD10CAA"/>
    <w:rsid w:val="7CD16601"/>
    <w:rsid w:val="7CD2057E"/>
    <w:rsid w:val="7CD460A4"/>
    <w:rsid w:val="7CDA315F"/>
    <w:rsid w:val="7CDB37F5"/>
    <w:rsid w:val="7CDE5175"/>
    <w:rsid w:val="7CE107C1"/>
    <w:rsid w:val="7CE26411"/>
    <w:rsid w:val="7CE502B1"/>
    <w:rsid w:val="7CE56503"/>
    <w:rsid w:val="7CE65DD7"/>
    <w:rsid w:val="7CE7227B"/>
    <w:rsid w:val="7CE928E5"/>
    <w:rsid w:val="7CEA2CFB"/>
    <w:rsid w:val="7CEC1640"/>
    <w:rsid w:val="7CED360A"/>
    <w:rsid w:val="7CF229CE"/>
    <w:rsid w:val="7CF25884"/>
    <w:rsid w:val="7CF36423"/>
    <w:rsid w:val="7CF404F4"/>
    <w:rsid w:val="7CF42436"/>
    <w:rsid w:val="7CF624BE"/>
    <w:rsid w:val="7CF93D5D"/>
    <w:rsid w:val="7CF95B0B"/>
    <w:rsid w:val="7CFB1883"/>
    <w:rsid w:val="7CFD1A9F"/>
    <w:rsid w:val="7CFD215E"/>
    <w:rsid w:val="7CFE75C5"/>
    <w:rsid w:val="7D0239FF"/>
    <w:rsid w:val="7D034BDB"/>
    <w:rsid w:val="7D0428EB"/>
    <w:rsid w:val="7D0467C0"/>
    <w:rsid w:val="7D080444"/>
    <w:rsid w:val="7D0A41BC"/>
    <w:rsid w:val="7D0D15B6"/>
    <w:rsid w:val="7D0E1EA7"/>
    <w:rsid w:val="7D0E2B49"/>
    <w:rsid w:val="7D114683"/>
    <w:rsid w:val="7D115EA6"/>
    <w:rsid w:val="7D130900"/>
    <w:rsid w:val="7D142945"/>
    <w:rsid w:val="7D1961AD"/>
    <w:rsid w:val="7D1D3EEF"/>
    <w:rsid w:val="7D1E37C3"/>
    <w:rsid w:val="7D221505"/>
    <w:rsid w:val="7D225061"/>
    <w:rsid w:val="7D23702C"/>
    <w:rsid w:val="7D242BDB"/>
    <w:rsid w:val="7D266C3C"/>
    <w:rsid w:val="7D2708CA"/>
    <w:rsid w:val="7D284642"/>
    <w:rsid w:val="7D2B623C"/>
    <w:rsid w:val="7D2D1C58"/>
    <w:rsid w:val="7D3134F6"/>
    <w:rsid w:val="7D33726F"/>
    <w:rsid w:val="7D344D95"/>
    <w:rsid w:val="7D37575A"/>
    <w:rsid w:val="7D380D29"/>
    <w:rsid w:val="7D384885"/>
    <w:rsid w:val="7D3F0F24"/>
    <w:rsid w:val="7D4274B2"/>
    <w:rsid w:val="7D44147C"/>
    <w:rsid w:val="7D495EEB"/>
    <w:rsid w:val="7D4A0A5C"/>
    <w:rsid w:val="7D4E22FA"/>
    <w:rsid w:val="7D513B99"/>
    <w:rsid w:val="7D52346D"/>
    <w:rsid w:val="7D580A83"/>
    <w:rsid w:val="7D5B4A17"/>
    <w:rsid w:val="7D5B67C5"/>
    <w:rsid w:val="7D5E40CD"/>
    <w:rsid w:val="7D605B8A"/>
    <w:rsid w:val="7D63567A"/>
    <w:rsid w:val="7D6438CC"/>
    <w:rsid w:val="7D6531A0"/>
    <w:rsid w:val="7D6609C0"/>
    <w:rsid w:val="7D676F18"/>
    <w:rsid w:val="7D693BED"/>
    <w:rsid w:val="7D694C7C"/>
    <w:rsid w:val="7D6C2781"/>
    <w:rsid w:val="7D6F2271"/>
    <w:rsid w:val="7D6F6EF5"/>
    <w:rsid w:val="7D705BFF"/>
    <w:rsid w:val="7D711B45"/>
    <w:rsid w:val="7D755AD9"/>
    <w:rsid w:val="7D7635FF"/>
    <w:rsid w:val="7D7A1991"/>
    <w:rsid w:val="7D7D04EA"/>
    <w:rsid w:val="7D80622C"/>
    <w:rsid w:val="7D824B7F"/>
    <w:rsid w:val="7D8636B9"/>
    <w:rsid w:val="7D871368"/>
    <w:rsid w:val="7D873368"/>
    <w:rsid w:val="7D8950E1"/>
    <w:rsid w:val="7D8F0799"/>
    <w:rsid w:val="7D944F65"/>
    <w:rsid w:val="7D9558DE"/>
    <w:rsid w:val="7D957F29"/>
    <w:rsid w:val="7D965A4F"/>
    <w:rsid w:val="7D983576"/>
    <w:rsid w:val="7D9B1B39"/>
    <w:rsid w:val="7D9D293A"/>
    <w:rsid w:val="7D9D6DDE"/>
    <w:rsid w:val="7DA0067C"/>
    <w:rsid w:val="7DA41F1A"/>
    <w:rsid w:val="7DA44071"/>
    <w:rsid w:val="7DA57A41"/>
    <w:rsid w:val="7DA61F6B"/>
    <w:rsid w:val="7DA95783"/>
    <w:rsid w:val="7DB06B11"/>
    <w:rsid w:val="7DB3215D"/>
    <w:rsid w:val="7DB639FC"/>
    <w:rsid w:val="7DB92447"/>
    <w:rsid w:val="7DBF0B02"/>
    <w:rsid w:val="7DC10D1E"/>
    <w:rsid w:val="7DC474A6"/>
    <w:rsid w:val="7DC51888"/>
    <w:rsid w:val="7DC600E3"/>
    <w:rsid w:val="7DC66335"/>
    <w:rsid w:val="7DC92BE0"/>
    <w:rsid w:val="7DCC76C3"/>
    <w:rsid w:val="7DCE51E9"/>
    <w:rsid w:val="7DD30A52"/>
    <w:rsid w:val="7DD37B87"/>
    <w:rsid w:val="7DD44EEC"/>
    <w:rsid w:val="7DD722F0"/>
    <w:rsid w:val="7DD81BC4"/>
    <w:rsid w:val="7DD86068"/>
    <w:rsid w:val="7DDA1DE0"/>
    <w:rsid w:val="7DDC2D72"/>
    <w:rsid w:val="7DDD71DA"/>
    <w:rsid w:val="7DDE34B5"/>
    <w:rsid w:val="7DDF2F52"/>
    <w:rsid w:val="7DE16466"/>
    <w:rsid w:val="7DE60785"/>
    <w:rsid w:val="7DE67D76"/>
    <w:rsid w:val="7DEB7B49"/>
    <w:rsid w:val="7DF12C86"/>
    <w:rsid w:val="7DF34C50"/>
    <w:rsid w:val="7DF42479"/>
    <w:rsid w:val="7DFA5FDE"/>
    <w:rsid w:val="7E052BDE"/>
    <w:rsid w:val="7E0724A9"/>
    <w:rsid w:val="7E096221"/>
    <w:rsid w:val="7E097B4D"/>
    <w:rsid w:val="7E0B440B"/>
    <w:rsid w:val="7E1075B0"/>
    <w:rsid w:val="7E132BFC"/>
    <w:rsid w:val="7E1370A0"/>
    <w:rsid w:val="7E1532BF"/>
    <w:rsid w:val="7E183771"/>
    <w:rsid w:val="7E192908"/>
    <w:rsid w:val="7E1B52D0"/>
    <w:rsid w:val="7E1B5633"/>
    <w:rsid w:val="7E1D624C"/>
    <w:rsid w:val="7E2117BD"/>
    <w:rsid w:val="7E235535"/>
    <w:rsid w:val="7E24305B"/>
    <w:rsid w:val="7E244E09"/>
    <w:rsid w:val="7E246BF6"/>
    <w:rsid w:val="7E290672"/>
    <w:rsid w:val="7E2E5C88"/>
    <w:rsid w:val="7E325778"/>
    <w:rsid w:val="7E327526"/>
    <w:rsid w:val="7E374B3D"/>
    <w:rsid w:val="7E3C65F7"/>
    <w:rsid w:val="7E3C666E"/>
    <w:rsid w:val="7E3E37D9"/>
    <w:rsid w:val="7E3E411D"/>
    <w:rsid w:val="7E4215D3"/>
    <w:rsid w:val="7E4436FD"/>
    <w:rsid w:val="7E446934"/>
    <w:rsid w:val="7E461224"/>
    <w:rsid w:val="7E4C610E"/>
    <w:rsid w:val="7E4D6024"/>
    <w:rsid w:val="7E4E04C2"/>
    <w:rsid w:val="7E4E1E86"/>
    <w:rsid w:val="7E4F01CD"/>
    <w:rsid w:val="7E50377C"/>
    <w:rsid w:val="7E5637D7"/>
    <w:rsid w:val="7E573431"/>
    <w:rsid w:val="7E58122B"/>
    <w:rsid w:val="7E5C45A3"/>
    <w:rsid w:val="7E5E1C1A"/>
    <w:rsid w:val="7E5F4093"/>
    <w:rsid w:val="7E5F7640"/>
    <w:rsid w:val="7E6727AA"/>
    <w:rsid w:val="7E6873EC"/>
    <w:rsid w:val="7E6A112B"/>
    <w:rsid w:val="7E6D1E3F"/>
    <w:rsid w:val="7E6D67B0"/>
    <w:rsid w:val="7E74056B"/>
    <w:rsid w:val="7E751B09"/>
    <w:rsid w:val="7E762DB4"/>
    <w:rsid w:val="7E7713DD"/>
    <w:rsid w:val="7E7A0ECD"/>
    <w:rsid w:val="7E7B3C1E"/>
    <w:rsid w:val="7E7C69F3"/>
    <w:rsid w:val="7E7E276B"/>
    <w:rsid w:val="7E8104AE"/>
    <w:rsid w:val="7E81225C"/>
    <w:rsid w:val="7E830842"/>
    <w:rsid w:val="7E834226"/>
    <w:rsid w:val="7E851D4C"/>
    <w:rsid w:val="7E857F9E"/>
    <w:rsid w:val="7E8769F7"/>
    <w:rsid w:val="7E8B30DA"/>
    <w:rsid w:val="7E8D6E52"/>
    <w:rsid w:val="7E9401E1"/>
    <w:rsid w:val="7E9417C7"/>
    <w:rsid w:val="7E983A4D"/>
    <w:rsid w:val="7E991289"/>
    <w:rsid w:val="7E9F0934"/>
    <w:rsid w:val="7EA30424"/>
    <w:rsid w:val="7EA33FDE"/>
    <w:rsid w:val="7EA40AE0"/>
    <w:rsid w:val="7EA47CF8"/>
    <w:rsid w:val="7EAB552B"/>
    <w:rsid w:val="7EAD3051"/>
    <w:rsid w:val="7EB264E4"/>
    <w:rsid w:val="7EB443DF"/>
    <w:rsid w:val="7EB51F05"/>
    <w:rsid w:val="7EB56F67"/>
    <w:rsid w:val="7EB77A2B"/>
    <w:rsid w:val="7EB837A6"/>
    <w:rsid w:val="7EBB6578"/>
    <w:rsid w:val="7EBE7F49"/>
    <w:rsid w:val="7EC00FD6"/>
    <w:rsid w:val="7EC21002"/>
    <w:rsid w:val="7EC42148"/>
    <w:rsid w:val="7EC65EC0"/>
    <w:rsid w:val="7EC860DC"/>
    <w:rsid w:val="7ECB797B"/>
    <w:rsid w:val="7ECD36F3"/>
    <w:rsid w:val="7ECD724F"/>
    <w:rsid w:val="7ED455CC"/>
    <w:rsid w:val="7ED607F9"/>
    <w:rsid w:val="7ED71E7C"/>
    <w:rsid w:val="7ED92098"/>
    <w:rsid w:val="7EDE145C"/>
    <w:rsid w:val="7EDE40B7"/>
    <w:rsid w:val="7EE40DA4"/>
    <w:rsid w:val="7EE527EB"/>
    <w:rsid w:val="7EEA6053"/>
    <w:rsid w:val="7EED5B43"/>
    <w:rsid w:val="7EF13B6B"/>
    <w:rsid w:val="7EF42A2E"/>
    <w:rsid w:val="7EF70770"/>
    <w:rsid w:val="7EF7251E"/>
    <w:rsid w:val="7EF742CC"/>
    <w:rsid w:val="7F010848"/>
    <w:rsid w:val="7F0709B3"/>
    <w:rsid w:val="7F08472B"/>
    <w:rsid w:val="7F0A6D29"/>
    <w:rsid w:val="7F0B7D77"/>
    <w:rsid w:val="7F0C5FC9"/>
    <w:rsid w:val="7F0D7F93"/>
    <w:rsid w:val="7F10538E"/>
    <w:rsid w:val="7F1629A4"/>
    <w:rsid w:val="7F1950C0"/>
    <w:rsid w:val="7F1B1B92"/>
    <w:rsid w:val="7F1B7FBA"/>
    <w:rsid w:val="7F1D2468"/>
    <w:rsid w:val="7F243B3B"/>
    <w:rsid w:val="7F250E39"/>
    <w:rsid w:val="7F255072"/>
    <w:rsid w:val="7F264BB1"/>
    <w:rsid w:val="7F2D7CEE"/>
    <w:rsid w:val="7F2F7F0A"/>
    <w:rsid w:val="7F3124A9"/>
    <w:rsid w:val="7F315A30"/>
    <w:rsid w:val="7F361298"/>
    <w:rsid w:val="7F364DF4"/>
    <w:rsid w:val="7F3E639F"/>
    <w:rsid w:val="7F405C73"/>
    <w:rsid w:val="7F4219EB"/>
    <w:rsid w:val="7F427C3D"/>
    <w:rsid w:val="7F435763"/>
    <w:rsid w:val="7F477001"/>
    <w:rsid w:val="7F4C021D"/>
    <w:rsid w:val="7F4C0ABC"/>
    <w:rsid w:val="7F4C286A"/>
    <w:rsid w:val="7F4C4618"/>
    <w:rsid w:val="7F561998"/>
    <w:rsid w:val="7F565ECA"/>
    <w:rsid w:val="7F597551"/>
    <w:rsid w:val="7F5D4E94"/>
    <w:rsid w:val="7F5E434B"/>
    <w:rsid w:val="7F623E3B"/>
    <w:rsid w:val="7F625BE9"/>
    <w:rsid w:val="7F673200"/>
    <w:rsid w:val="7F6851CA"/>
    <w:rsid w:val="7F69341C"/>
    <w:rsid w:val="7F6A2CF0"/>
    <w:rsid w:val="7F6C2F0C"/>
    <w:rsid w:val="7F6C6A68"/>
    <w:rsid w:val="7F6C7F6E"/>
    <w:rsid w:val="7F6F6558"/>
    <w:rsid w:val="7F71407E"/>
    <w:rsid w:val="7F73429A"/>
    <w:rsid w:val="7F775DA9"/>
    <w:rsid w:val="7F78540D"/>
    <w:rsid w:val="7F7A0869"/>
    <w:rsid w:val="7F7B314F"/>
    <w:rsid w:val="7F7D0C75"/>
    <w:rsid w:val="7F7D2A23"/>
    <w:rsid w:val="7F7E49ED"/>
    <w:rsid w:val="7F7F7177"/>
    <w:rsid w:val="7F855D7C"/>
    <w:rsid w:val="7F88735E"/>
    <w:rsid w:val="7F8906EA"/>
    <w:rsid w:val="7F8C72AD"/>
    <w:rsid w:val="7F8F09A8"/>
    <w:rsid w:val="7F916650"/>
    <w:rsid w:val="7F9935D5"/>
    <w:rsid w:val="7F9D1317"/>
    <w:rsid w:val="7F9E7405"/>
    <w:rsid w:val="7F9F508F"/>
    <w:rsid w:val="7F9F59E6"/>
    <w:rsid w:val="7FA06711"/>
    <w:rsid w:val="7FA12C09"/>
    <w:rsid w:val="7FA16445"/>
    <w:rsid w:val="7FA206DC"/>
    <w:rsid w:val="7FA2692E"/>
    <w:rsid w:val="7FA321BF"/>
    <w:rsid w:val="7FA44454"/>
    <w:rsid w:val="7FA44DC6"/>
    <w:rsid w:val="7FA53D28"/>
    <w:rsid w:val="7FA91A6A"/>
    <w:rsid w:val="7FA96067"/>
    <w:rsid w:val="7FA97CBC"/>
    <w:rsid w:val="7FAD3CE1"/>
    <w:rsid w:val="7FB126CD"/>
    <w:rsid w:val="7FB64187"/>
    <w:rsid w:val="7FB65328"/>
    <w:rsid w:val="7FB83A5B"/>
    <w:rsid w:val="7FB87EFF"/>
    <w:rsid w:val="7FBE40A5"/>
    <w:rsid w:val="7FBE43E0"/>
    <w:rsid w:val="7FC00B62"/>
    <w:rsid w:val="7FC37379"/>
    <w:rsid w:val="7FC70142"/>
    <w:rsid w:val="7FC76394"/>
    <w:rsid w:val="7FC95C68"/>
    <w:rsid w:val="7FCB5E84"/>
    <w:rsid w:val="7FCC0579"/>
    <w:rsid w:val="7FCC39AA"/>
    <w:rsid w:val="7FCE0C2C"/>
    <w:rsid w:val="7FCE327F"/>
    <w:rsid w:val="7FD05249"/>
    <w:rsid w:val="7FD14B1D"/>
    <w:rsid w:val="7FD5285F"/>
    <w:rsid w:val="7FD75C1F"/>
    <w:rsid w:val="7FDB04BF"/>
    <w:rsid w:val="7FDC6736"/>
    <w:rsid w:val="7FDF527F"/>
    <w:rsid w:val="7FE17456"/>
    <w:rsid w:val="7FE47E50"/>
    <w:rsid w:val="7FE707E4"/>
    <w:rsid w:val="7FE80BDA"/>
    <w:rsid w:val="7FE9455C"/>
    <w:rsid w:val="7FEA3E31"/>
    <w:rsid w:val="7FEE3921"/>
    <w:rsid w:val="7FF57F11"/>
    <w:rsid w:val="7FF75AFE"/>
    <w:rsid w:val="7FF7723F"/>
    <w:rsid w:val="7FF802FC"/>
    <w:rsid w:val="7FF85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nhideWhenUsed="0" w:uiPriority="0" w:semiHidden="0" w:name="heading 3" w:locked="1"/>
    <w:lsdException w:qFormat="1" w:unhideWhenUsed="0" w:uiPriority="99"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ocked="1"/>
    <w:lsdException w:qFormat="1"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qFormat="1" w:unhideWhenUsed="0" w:uiPriority="0" w:semiHidden="0" w:name="toc 6" w:locked="1"/>
    <w:lsdException w:unhideWhenUsed="0" w:uiPriority="0" w:semiHidden="0" w:name="toc 7" w:locked="1"/>
    <w:lsdException w:unhideWhenUsed="0" w:uiPriority="0" w:semiHidden="0" w:name="toc 8" w:locked="1"/>
    <w:lsdException w:qFormat="1" w:unhideWhenUsed="0" w:uiPriority="39" w:semiHidden="0" w:name="toc 9" w:locked="1"/>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ocked="1"/>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name="Message Header"/>
    <w:lsdException w:qFormat="1" w:unhideWhenUsed="0" w:uiPriority="0"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141"/>
    <w:autoRedefine/>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1"/>
    <w:link w:val="142"/>
    <w:autoRedefine/>
    <w:qFormat/>
    <w:locked/>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autoRedefine/>
    <w:qFormat/>
    <w:locked/>
    <w:uiPriority w:val="0"/>
    <w:pPr>
      <w:numPr>
        <w:ilvl w:val="2"/>
        <w:numId w:val="1"/>
      </w:numPr>
      <w:spacing w:before="50" w:beforeLines="50"/>
      <w:ind w:left="0" w:firstLine="0"/>
      <w:jc w:val="left"/>
      <w:outlineLvl w:val="2"/>
    </w:pPr>
    <w:rPr>
      <w:b/>
      <w:sz w:val="28"/>
    </w:rPr>
  </w:style>
  <w:style w:type="paragraph" w:styleId="6">
    <w:name w:val="heading 4"/>
    <w:basedOn w:val="1"/>
    <w:next w:val="1"/>
    <w:autoRedefine/>
    <w:qFormat/>
    <w:locked/>
    <w:uiPriority w:val="99"/>
    <w:pPr>
      <w:keepNext/>
      <w:keepLines/>
      <w:numPr>
        <w:ilvl w:val="3"/>
        <w:numId w:val="1"/>
      </w:numPr>
      <w:ind w:left="0" w:firstLine="0"/>
      <w:jc w:val="left"/>
      <w:outlineLvl w:val="3"/>
    </w:pPr>
    <w:rPr>
      <w:b/>
      <w:bCs/>
      <w:szCs w:val="28"/>
    </w:rPr>
  </w:style>
  <w:style w:type="character" w:default="1" w:styleId="37">
    <w:name w:val="Default Paragraph Font"/>
    <w:autoRedefine/>
    <w:semiHidden/>
    <w:unhideWhenUsed/>
    <w:qFormat/>
    <w:uiPriority w:val="1"/>
  </w:style>
  <w:style w:type="table" w:default="1" w:styleId="35">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No Spacing"/>
    <w:autoRedefine/>
    <w:qFormat/>
    <w:uiPriority w:val="1"/>
    <w:pPr>
      <w:widowControl w:val="0"/>
      <w:jc w:val="center"/>
    </w:pPr>
    <w:rPr>
      <w:rFonts w:ascii="Times New Roman" w:hAnsi="Times New Roman" w:eastAsia="宋体" w:cs="Times New Roman"/>
      <w:kern w:val="2"/>
      <w:sz w:val="21"/>
      <w:szCs w:val="22"/>
      <w:lang w:val="en-US" w:eastAsia="zh-CN" w:bidi="ar-SA"/>
    </w:rPr>
  </w:style>
  <w:style w:type="paragraph" w:styleId="7">
    <w:name w:val="Normal Indent"/>
    <w:basedOn w:val="1"/>
    <w:next w:val="8"/>
    <w:autoRedefine/>
    <w:qFormat/>
    <w:uiPriority w:val="0"/>
    <w:pPr>
      <w:spacing w:line="460" w:lineRule="atLeast"/>
      <w:ind w:firstLine="420"/>
    </w:pPr>
    <w:rPr>
      <w:szCs w:val="20"/>
    </w:rPr>
  </w:style>
  <w:style w:type="paragraph" w:styleId="8">
    <w:name w:val="Body Text First Indent 2"/>
    <w:basedOn w:val="9"/>
    <w:next w:val="1"/>
    <w:autoRedefine/>
    <w:qFormat/>
    <w:uiPriority w:val="0"/>
    <w:pPr>
      <w:ind w:firstLine="420" w:firstLineChars="200"/>
    </w:pPr>
    <w:rPr>
      <w:szCs w:val="22"/>
    </w:rPr>
  </w:style>
  <w:style w:type="paragraph" w:styleId="9">
    <w:name w:val="Body Text Indent"/>
    <w:basedOn w:val="1"/>
    <w:next w:val="10"/>
    <w:link w:val="57"/>
    <w:autoRedefine/>
    <w:semiHidden/>
    <w:qFormat/>
    <w:uiPriority w:val="0"/>
    <w:pPr>
      <w:spacing w:after="120"/>
      <w:ind w:left="420" w:leftChars="200"/>
    </w:pPr>
  </w:style>
  <w:style w:type="paragraph" w:customStyle="1" w:styleId="10">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11">
    <w:name w:val="caption"/>
    <w:basedOn w:val="1"/>
    <w:next w:val="1"/>
    <w:autoRedefine/>
    <w:qFormat/>
    <w:locked/>
    <w:uiPriority w:val="0"/>
    <w:rPr>
      <w:rFonts w:ascii="Arial" w:hAnsi="Arial" w:eastAsia="黑体"/>
      <w:sz w:val="20"/>
      <w:szCs w:val="20"/>
    </w:rPr>
  </w:style>
  <w:style w:type="paragraph" w:styleId="12">
    <w:name w:val="annotation text"/>
    <w:basedOn w:val="1"/>
    <w:link w:val="55"/>
    <w:autoRedefine/>
    <w:semiHidden/>
    <w:qFormat/>
    <w:uiPriority w:val="0"/>
    <w:pPr>
      <w:jc w:val="left"/>
    </w:pPr>
    <w:rPr>
      <w:kern w:val="0"/>
      <w:sz w:val="20"/>
    </w:rPr>
  </w:style>
  <w:style w:type="paragraph" w:styleId="13">
    <w:name w:val="Body Text"/>
    <w:basedOn w:val="1"/>
    <w:link w:val="56"/>
    <w:autoRedefine/>
    <w:qFormat/>
    <w:uiPriority w:val="0"/>
    <w:pPr>
      <w:widowControl/>
      <w:snapToGrid w:val="0"/>
      <w:spacing w:before="60" w:after="160" w:line="259" w:lineRule="auto"/>
      <w:ind w:right="113"/>
    </w:pPr>
    <w:rPr>
      <w:kern w:val="0"/>
      <w:sz w:val="18"/>
      <w:szCs w:val="18"/>
    </w:rPr>
  </w:style>
  <w:style w:type="paragraph" w:styleId="14">
    <w:name w:val="Block Text"/>
    <w:basedOn w:val="1"/>
    <w:next w:val="1"/>
    <w:autoRedefine/>
    <w:qFormat/>
    <w:uiPriority w:val="0"/>
    <w:pPr>
      <w:spacing w:line="240" w:lineRule="auto"/>
      <w:ind w:left="113" w:right="113" w:firstLine="3584"/>
      <w:jc w:val="center"/>
    </w:pPr>
  </w:style>
  <w:style w:type="paragraph" w:styleId="15">
    <w:name w:val="Plain Text"/>
    <w:basedOn w:val="1"/>
    <w:autoRedefine/>
    <w:qFormat/>
    <w:uiPriority w:val="0"/>
    <w:rPr>
      <w:rFonts w:ascii="宋体" w:hAnsi="Courier New" w:cs="Courier New"/>
      <w:szCs w:val="21"/>
    </w:rPr>
  </w:style>
  <w:style w:type="paragraph" w:styleId="16">
    <w:name w:val="Date"/>
    <w:basedOn w:val="1"/>
    <w:next w:val="1"/>
    <w:link w:val="58"/>
    <w:autoRedefine/>
    <w:qFormat/>
    <w:uiPriority w:val="0"/>
    <w:pPr>
      <w:ind w:left="100" w:leftChars="2500"/>
    </w:pPr>
    <w:rPr>
      <w:kern w:val="0"/>
      <w:sz w:val="20"/>
    </w:rPr>
  </w:style>
  <w:style w:type="paragraph" w:styleId="17">
    <w:name w:val="Body Text Indent 2"/>
    <w:basedOn w:val="1"/>
    <w:next w:val="1"/>
    <w:autoRedefine/>
    <w:qFormat/>
    <w:uiPriority w:val="0"/>
    <w:pPr>
      <w:spacing w:after="120" w:line="480" w:lineRule="auto"/>
      <w:ind w:left="420" w:leftChars="200"/>
    </w:pPr>
  </w:style>
  <w:style w:type="paragraph" w:styleId="18">
    <w:name w:val="Balloon Text"/>
    <w:basedOn w:val="1"/>
    <w:next w:val="14"/>
    <w:link w:val="59"/>
    <w:autoRedefine/>
    <w:semiHidden/>
    <w:qFormat/>
    <w:uiPriority w:val="0"/>
    <w:rPr>
      <w:sz w:val="18"/>
      <w:szCs w:val="18"/>
    </w:rPr>
  </w:style>
  <w:style w:type="paragraph" w:styleId="19">
    <w:name w:val="footer"/>
    <w:basedOn w:val="1"/>
    <w:next w:val="15"/>
    <w:link w:val="60"/>
    <w:autoRedefine/>
    <w:qFormat/>
    <w:uiPriority w:val="0"/>
    <w:pPr>
      <w:tabs>
        <w:tab w:val="center" w:pos="4153"/>
        <w:tab w:val="right" w:pos="8306"/>
      </w:tabs>
      <w:snapToGrid w:val="0"/>
      <w:jc w:val="left"/>
    </w:pPr>
    <w:rPr>
      <w:sz w:val="18"/>
      <w:szCs w:val="18"/>
    </w:rPr>
  </w:style>
  <w:style w:type="paragraph" w:styleId="20">
    <w:name w:val="header"/>
    <w:basedOn w:val="1"/>
    <w:link w:val="61"/>
    <w:autoRedefine/>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locked/>
    <w:uiPriority w:val="0"/>
    <w:pPr>
      <w:spacing w:line="360" w:lineRule="auto"/>
    </w:pPr>
    <w:rPr>
      <w:b/>
      <w:sz w:val="24"/>
    </w:rPr>
  </w:style>
  <w:style w:type="paragraph" w:styleId="22">
    <w:name w:val="List"/>
    <w:basedOn w:val="1"/>
    <w:autoRedefine/>
    <w:qFormat/>
    <w:uiPriority w:val="0"/>
    <w:pPr>
      <w:ind w:left="200" w:hanging="200" w:hangingChars="200"/>
    </w:pPr>
  </w:style>
  <w:style w:type="paragraph" w:styleId="23">
    <w:name w:val="toc 6"/>
    <w:basedOn w:val="1"/>
    <w:next w:val="1"/>
    <w:autoRedefine/>
    <w:qFormat/>
    <w:locked/>
    <w:uiPriority w:val="0"/>
    <w:pPr>
      <w:ind w:left="2100" w:leftChars="1000"/>
    </w:pPr>
  </w:style>
  <w:style w:type="paragraph" w:styleId="24">
    <w:name w:val="Body Text Indent 3"/>
    <w:basedOn w:val="1"/>
    <w:autoRedefine/>
    <w:qFormat/>
    <w:uiPriority w:val="0"/>
    <w:pPr>
      <w:spacing w:after="120"/>
      <w:ind w:left="420" w:leftChars="200"/>
    </w:pPr>
    <w:rPr>
      <w:sz w:val="16"/>
      <w:szCs w:val="16"/>
    </w:rPr>
  </w:style>
  <w:style w:type="paragraph" w:styleId="25">
    <w:name w:val="table of figures"/>
    <w:basedOn w:val="1"/>
    <w:next w:val="1"/>
    <w:autoRedefine/>
    <w:qFormat/>
    <w:uiPriority w:val="0"/>
    <w:pPr>
      <w:autoSpaceDE w:val="0"/>
      <w:autoSpaceDN w:val="0"/>
      <w:spacing w:line="360" w:lineRule="auto"/>
      <w:ind w:left="200" w:leftChars="200" w:hanging="200" w:hangingChars="200"/>
    </w:pPr>
    <w:rPr>
      <w:sz w:val="28"/>
      <w:szCs w:val="20"/>
    </w:rPr>
  </w:style>
  <w:style w:type="paragraph" w:styleId="26">
    <w:name w:val="toc 2"/>
    <w:basedOn w:val="1"/>
    <w:next w:val="1"/>
    <w:autoRedefine/>
    <w:unhideWhenUsed/>
    <w:qFormat/>
    <w:locked/>
    <w:uiPriority w:val="39"/>
    <w:pPr>
      <w:ind w:left="420" w:leftChars="200"/>
    </w:pPr>
    <w:rPr>
      <w:rFonts w:ascii="Calibri" w:hAnsi="Calibri"/>
    </w:rPr>
  </w:style>
  <w:style w:type="paragraph" w:styleId="27">
    <w:name w:val="toc 9"/>
    <w:basedOn w:val="1"/>
    <w:next w:val="1"/>
    <w:autoRedefine/>
    <w:qFormat/>
    <w:locked/>
    <w:uiPriority w:val="39"/>
    <w:pPr>
      <w:ind w:left="1680"/>
    </w:pPr>
    <w:rPr>
      <w:sz w:val="18"/>
    </w:rPr>
  </w:style>
  <w:style w:type="paragraph" w:styleId="28">
    <w:name w:val="Body Text 2"/>
    <w:basedOn w:val="1"/>
    <w:autoRedefine/>
    <w:unhideWhenUsed/>
    <w:qFormat/>
    <w:uiPriority w:val="0"/>
    <w:rPr>
      <w:sz w:val="24"/>
    </w:rPr>
  </w:style>
  <w:style w:type="paragraph" w:styleId="29">
    <w:name w:val="Message Header"/>
    <w:basedOn w:val="1"/>
    <w:autoRedefine/>
    <w:semiHidden/>
    <w:qFormat/>
    <w:uiPriority w:val="0"/>
    <w:pPr>
      <w:widowControl/>
      <w:pBdr>
        <w:top w:val="single" w:color="auto" w:sz="6" w:space="1"/>
        <w:left w:val="single" w:color="auto" w:sz="6" w:space="1"/>
        <w:bottom w:val="single" w:color="auto" w:sz="6" w:space="1"/>
        <w:right w:val="single" w:color="auto" w:sz="6" w:space="1"/>
      </w:pBdr>
      <w:shd w:val="pct20" w:color="auto" w:fill="auto"/>
      <w:spacing w:line="520" w:lineRule="exact"/>
      <w:ind w:left="1080" w:leftChars="500" w:hanging="1080" w:hangingChars="500"/>
    </w:pPr>
    <w:rPr>
      <w:rFonts w:ascii="Arial" w:hAnsi="Arial" w:cs="Arial"/>
      <w:bCs/>
      <w:kern w:val="0"/>
      <w:sz w:val="24"/>
    </w:rPr>
  </w:style>
  <w:style w:type="paragraph" w:styleId="30">
    <w:name w:val="Normal (Web)"/>
    <w:basedOn w:val="1"/>
    <w:link w:val="62"/>
    <w:autoRedefine/>
    <w:qFormat/>
    <w:uiPriority w:val="0"/>
    <w:pPr>
      <w:widowControl/>
      <w:spacing w:before="100" w:beforeAutospacing="1" w:after="100" w:afterAutospacing="1"/>
      <w:jc w:val="left"/>
    </w:pPr>
    <w:rPr>
      <w:rFonts w:ascii="宋体" w:hAnsi="宋体"/>
      <w:kern w:val="0"/>
      <w:sz w:val="24"/>
    </w:rPr>
  </w:style>
  <w:style w:type="paragraph" w:styleId="31">
    <w:name w:val="Title"/>
    <w:basedOn w:val="1"/>
    <w:next w:val="1"/>
    <w:autoRedefine/>
    <w:qFormat/>
    <w:locked/>
    <w:uiPriority w:val="0"/>
    <w:pPr>
      <w:adjustRightInd w:val="0"/>
      <w:snapToGrid w:val="0"/>
      <w:spacing w:line="480" w:lineRule="exact"/>
      <w:ind w:firstLine="560" w:firstLineChars="200"/>
    </w:pPr>
    <w:rPr>
      <w:rFonts w:ascii="仿宋_GB2312" w:eastAsia="仿宋_GB2312"/>
      <w:color w:val="000000"/>
      <w:sz w:val="28"/>
      <w:szCs w:val="28"/>
    </w:rPr>
  </w:style>
  <w:style w:type="paragraph" w:styleId="32">
    <w:name w:val="annotation subject"/>
    <w:basedOn w:val="12"/>
    <w:next w:val="12"/>
    <w:link w:val="63"/>
    <w:autoRedefine/>
    <w:semiHidden/>
    <w:qFormat/>
    <w:uiPriority w:val="0"/>
    <w:rPr>
      <w:b/>
      <w:bCs/>
    </w:rPr>
  </w:style>
  <w:style w:type="paragraph" w:styleId="33">
    <w:name w:val="Body Text First Indent"/>
    <w:basedOn w:val="13"/>
    <w:next w:val="34"/>
    <w:autoRedefine/>
    <w:qFormat/>
    <w:uiPriority w:val="0"/>
    <w:pPr>
      <w:ind w:firstLine="420" w:firstLineChars="100"/>
    </w:pPr>
  </w:style>
  <w:style w:type="paragraph" w:customStyle="1" w:styleId="34">
    <w:name w:val="样式 正文首行缩进 + 首行缩进:  2 字符1"/>
    <w:basedOn w:val="33"/>
    <w:next w:val="21"/>
    <w:autoRedefine/>
    <w:qFormat/>
    <w:uiPriority w:val="0"/>
    <w:pPr>
      <w:spacing w:line="360" w:lineRule="auto"/>
      <w:ind w:firstLine="480" w:firstLineChars="200"/>
    </w:pPr>
    <w:rPr>
      <w:sz w:val="24"/>
    </w:rPr>
  </w:style>
  <w:style w:type="table" w:styleId="36">
    <w:name w:val="Table Grid"/>
    <w:basedOn w:val="3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autoRedefine/>
    <w:qFormat/>
    <w:locked/>
    <w:uiPriority w:val="0"/>
    <w:rPr>
      <w:b/>
    </w:rPr>
  </w:style>
  <w:style w:type="character" w:styleId="39">
    <w:name w:val="page number"/>
    <w:basedOn w:val="37"/>
    <w:autoRedefine/>
    <w:qFormat/>
    <w:uiPriority w:val="0"/>
    <w:rPr>
      <w:rFonts w:hint="default" w:ascii="Times New Roman" w:hAnsi="Times New Roman" w:cs="Times New Roman"/>
    </w:rPr>
  </w:style>
  <w:style w:type="character" w:styleId="40">
    <w:name w:val="FollowedHyperlink"/>
    <w:basedOn w:val="37"/>
    <w:autoRedefine/>
    <w:qFormat/>
    <w:uiPriority w:val="0"/>
    <w:rPr>
      <w:color w:val="185ECF"/>
      <w:u w:val="none"/>
    </w:rPr>
  </w:style>
  <w:style w:type="character" w:styleId="41">
    <w:name w:val="Emphasis"/>
    <w:autoRedefine/>
    <w:qFormat/>
    <w:locked/>
    <w:uiPriority w:val="0"/>
    <w:rPr>
      <w:i/>
    </w:rPr>
  </w:style>
  <w:style w:type="character" w:styleId="42">
    <w:name w:val="Hyperlink"/>
    <w:autoRedefine/>
    <w:qFormat/>
    <w:uiPriority w:val="0"/>
    <w:rPr>
      <w:color w:val="0000FF"/>
      <w:u w:val="single"/>
    </w:rPr>
  </w:style>
  <w:style w:type="character" w:styleId="43">
    <w:name w:val="annotation reference"/>
    <w:basedOn w:val="37"/>
    <w:autoRedefine/>
    <w:semiHidden/>
    <w:qFormat/>
    <w:uiPriority w:val="0"/>
    <w:rPr>
      <w:sz w:val="21"/>
    </w:rPr>
  </w:style>
  <w:style w:type="paragraph" w:customStyle="1" w:styleId="44">
    <w:name w:val="Normal (Web)1"/>
    <w:basedOn w:val="1"/>
    <w:next w:val="45"/>
    <w:autoRedefine/>
    <w:qFormat/>
    <w:uiPriority w:val="0"/>
    <w:pPr>
      <w:widowControl/>
    </w:pPr>
    <w:rPr>
      <w:rFonts w:ascii="宋体"/>
      <w:sz w:val="24"/>
      <w:szCs w:val="21"/>
    </w:rPr>
  </w:style>
  <w:style w:type="paragraph" w:customStyle="1" w:styleId="45">
    <w:name w:val="Date1"/>
    <w:basedOn w:val="1"/>
    <w:next w:val="1"/>
    <w:autoRedefine/>
    <w:qFormat/>
    <w:uiPriority w:val="0"/>
    <w:pPr>
      <w:ind w:left="2500" w:leftChars="2500"/>
    </w:pPr>
  </w:style>
  <w:style w:type="paragraph" w:customStyle="1" w:styleId="46">
    <w:name w:val="样式5"/>
    <w:basedOn w:val="1"/>
    <w:autoRedefine/>
    <w:qFormat/>
    <w:uiPriority w:val="0"/>
    <w:pPr>
      <w:spacing w:line="380" w:lineRule="exact"/>
      <w:ind w:firstLine="566" w:firstLineChars="202"/>
    </w:pPr>
    <w:rPr>
      <w:rFonts w:eastAsia="华文行楷"/>
    </w:rPr>
  </w:style>
  <w:style w:type="paragraph" w:customStyle="1" w:styleId="47">
    <w:name w:val="样式 正文文本缩进 + 行距: 1.5 倍行距"/>
    <w:basedOn w:val="1"/>
    <w:qFormat/>
    <w:uiPriority w:val="0"/>
    <w:pPr>
      <w:spacing w:after="120" w:line="360" w:lineRule="auto"/>
      <w:ind w:left="90" w:leftChars="32" w:firstLine="560" w:firstLineChars="200"/>
    </w:pPr>
    <w:rPr>
      <w:rFonts w:cs="宋体"/>
      <w:sz w:val="24"/>
    </w:rPr>
  </w:style>
  <w:style w:type="paragraph" w:customStyle="1" w:styleId="48">
    <w:name w:val="BodyText1I"/>
    <w:basedOn w:val="49"/>
    <w:qFormat/>
    <w:uiPriority w:val="0"/>
    <w:pPr>
      <w:ind w:firstLine="420" w:firstLineChars="100"/>
    </w:pPr>
  </w:style>
  <w:style w:type="paragraph" w:customStyle="1" w:styleId="49">
    <w:name w:val="BodyText"/>
    <w:basedOn w:val="1"/>
    <w:autoRedefine/>
    <w:qFormat/>
    <w:uiPriority w:val="0"/>
    <w:pPr>
      <w:textAlignment w:val="baseline"/>
    </w:pPr>
    <w:rPr>
      <w:rFonts w:ascii="宋体" w:hAnsi="宋体"/>
      <w:szCs w:val="21"/>
    </w:rPr>
  </w:style>
  <w:style w:type="paragraph" w:customStyle="1" w:styleId="50">
    <w:name w:val="xl27"/>
    <w:basedOn w:val="1"/>
    <w:autoRedefine/>
    <w:qFormat/>
    <w:uiPriority w:val="99"/>
    <w:pPr>
      <w:widowControl/>
      <w:pBdr>
        <w:top w:val="single" w:color="auto" w:sz="8" w:space="0"/>
        <w:left w:val="single" w:color="auto" w:sz="8" w:space="0"/>
        <w:right w:val="single" w:color="auto" w:sz="8" w:space="0"/>
      </w:pBdr>
      <w:spacing w:before="100" w:beforeAutospacing="1" w:after="100" w:afterAutospacing="1"/>
      <w:jc w:val="center"/>
    </w:pPr>
    <w:rPr>
      <w:rFonts w:ascii="Arial Unicode MS" w:hAnsi="Arial Unicode MS" w:eastAsia="Arial Unicode MS"/>
      <w:sz w:val="22"/>
      <w:szCs w:val="22"/>
    </w:rPr>
  </w:style>
  <w:style w:type="paragraph" w:customStyle="1" w:styleId="51">
    <w:name w:val="_Style 4"/>
    <w:autoRedefine/>
    <w:qFormat/>
    <w:uiPriority w:val="1"/>
    <w:pPr>
      <w:widowControl w:val="0"/>
      <w:jc w:val="both"/>
    </w:pPr>
    <w:rPr>
      <w:rFonts w:ascii="Calibri" w:hAnsi="Calibri" w:eastAsia="仿宋_GB2312" w:cs="Times New Roman"/>
      <w:kern w:val="2"/>
      <w:sz w:val="24"/>
      <w:szCs w:val="22"/>
      <w:lang w:val="en-US" w:eastAsia="zh-CN" w:bidi="ar-SA"/>
    </w:rPr>
  </w:style>
  <w:style w:type="paragraph" w:customStyle="1" w:styleId="52">
    <w:name w:val="内容"/>
    <w:basedOn w:val="1"/>
    <w:autoRedefine/>
    <w:qFormat/>
    <w:uiPriority w:val="0"/>
    <w:pPr>
      <w:spacing w:beforeLines="50" w:afterLines="50"/>
      <w:ind w:firstLine="200" w:firstLineChars="200"/>
    </w:pPr>
    <w:rPr>
      <w:color w:val="000000"/>
      <w:sz w:val="24"/>
    </w:rPr>
  </w:style>
  <w:style w:type="paragraph" w:customStyle="1" w:styleId="53">
    <w:name w:val="Default"/>
    <w:basedOn w:val="54"/>
    <w:autoRedefine/>
    <w:qFormat/>
    <w:uiPriority w:val="0"/>
    <w:pPr>
      <w:widowControl w:val="0"/>
      <w:autoSpaceDE w:val="0"/>
      <w:autoSpaceDN w:val="0"/>
    </w:pPr>
    <w:rPr>
      <w:color w:val="000000"/>
    </w:rPr>
  </w:style>
  <w:style w:type="paragraph" w:customStyle="1" w:styleId="54">
    <w:name w:val="纯文本1"/>
    <w:autoRedefine/>
    <w:qFormat/>
    <w:uiPriority w:val="0"/>
    <w:pPr>
      <w:adjustRightInd w:val="0"/>
      <w:jc w:val="center"/>
      <w:textAlignment w:val="baseline"/>
    </w:pPr>
    <w:rPr>
      <w:rFonts w:ascii="宋体" w:hAnsi="Courier New" w:eastAsia="宋体" w:cs="Times New Roman"/>
      <w:sz w:val="24"/>
      <w:lang w:val="en-US" w:eastAsia="zh-CN" w:bidi="ar-SA"/>
    </w:rPr>
  </w:style>
  <w:style w:type="character" w:customStyle="1" w:styleId="55">
    <w:name w:val="批注文字 字符"/>
    <w:link w:val="12"/>
    <w:autoRedefine/>
    <w:qFormat/>
    <w:locked/>
    <w:uiPriority w:val="0"/>
    <w:rPr>
      <w:rFonts w:ascii="Times New Roman" w:hAnsi="Times New Roman" w:eastAsia="宋体"/>
      <w:sz w:val="24"/>
    </w:rPr>
  </w:style>
  <w:style w:type="character" w:customStyle="1" w:styleId="56">
    <w:name w:val="正文文本 字符"/>
    <w:link w:val="13"/>
    <w:autoRedefine/>
    <w:qFormat/>
    <w:locked/>
    <w:uiPriority w:val="0"/>
    <w:rPr>
      <w:sz w:val="18"/>
    </w:rPr>
  </w:style>
  <w:style w:type="character" w:customStyle="1" w:styleId="57">
    <w:name w:val="正文文本缩进 字符"/>
    <w:link w:val="9"/>
    <w:autoRedefine/>
    <w:semiHidden/>
    <w:qFormat/>
    <w:locked/>
    <w:uiPriority w:val="0"/>
    <w:rPr>
      <w:rFonts w:ascii="Times New Roman" w:hAnsi="Times New Roman" w:eastAsia="宋体" w:cs="Times New Roman"/>
      <w:sz w:val="24"/>
      <w:szCs w:val="24"/>
    </w:rPr>
  </w:style>
  <w:style w:type="character" w:customStyle="1" w:styleId="58">
    <w:name w:val="日期 字符1"/>
    <w:link w:val="16"/>
    <w:autoRedefine/>
    <w:qFormat/>
    <w:locked/>
    <w:uiPriority w:val="0"/>
    <w:rPr>
      <w:rFonts w:ascii="Times New Roman" w:hAnsi="Times New Roman" w:eastAsia="宋体"/>
      <w:sz w:val="24"/>
    </w:rPr>
  </w:style>
  <w:style w:type="character" w:customStyle="1" w:styleId="59">
    <w:name w:val="批注框文本 字符"/>
    <w:link w:val="18"/>
    <w:autoRedefine/>
    <w:semiHidden/>
    <w:qFormat/>
    <w:locked/>
    <w:uiPriority w:val="0"/>
    <w:rPr>
      <w:rFonts w:ascii="Times New Roman" w:hAnsi="Times New Roman" w:eastAsia="宋体" w:cs="Times New Roman"/>
      <w:sz w:val="18"/>
      <w:szCs w:val="18"/>
    </w:rPr>
  </w:style>
  <w:style w:type="character" w:customStyle="1" w:styleId="60">
    <w:name w:val="页脚 字符"/>
    <w:link w:val="19"/>
    <w:autoRedefine/>
    <w:qFormat/>
    <w:locked/>
    <w:uiPriority w:val="0"/>
    <w:rPr>
      <w:rFonts w:cs="Times New Roman"/>
      <w:sz w:val="18"/>
      <w:szCs w:val="18"/>
    </w:rPr>
  </w:style>
  <w:style w:type="character" w:customStyle="1" w:styleId="61">
    <w:name w:val="页眉 字符1"/>
    <w:link w:val="20"/>
    <w:autoRedefine/>
    <w:qFormat/>
    <w:locked/>
    <w:uiPriority w:val="0"/>
    <w:rPr>
      <w:rFonts w:cs="Times New Roman"/>
      <w:sz w:val="18"/>
      <w:szCs w:val="18"/>
    </w:rPr>
  </w:style>
  <w:style w:type="character" w:customStyle="1" w:styleId="62">
    <w:name w:val="普通(网站) 字符"/>
    <w:link w:val="30"/>
    <w:autoRedefine/>
    <w:qFormat/>
    <w:locked/>
    <w:uiPriority w:val="0"/>
    <w:rPr>
      <w:rFonts w:ascii="宋体" w:hAnsi="宋体" w:eastAsia="宋体"/>
      <w:sz w:val="24"/>
    </w:rPr>
  </w:style>
  <w:style w:type="character" w:customStyle="1" w:styleId="63">
    <w:name w:val="批注主题 字符"/>
    <w:link w:val="32"/>
    <w:autoRedefine/>
    <w:semiHidden/>
    <w:qFormat/>
    <w:locked/>
    <w:uiPriority w:val="0"/>
    <w:rPr>
      <w:rFonts w:cs="Times New Roman"/>
      <w:b/>
      <w:bCs/>
      <w:kern w:val="2"/>
      <w:szCs w:val="24"/>
    </w:rPr>
  </w:style>
  <w:style w:type="character" w:customStyle="1" w:styleId="64">
    <w:name w:val="页眉 字符"/>
    <w:autoRedefine/>
    <w:qFormat/>
    <w:uiPriority w:val="0"/>
    <w:rPr>
      <w:rFonts w:hint="default" w:ascii="Calibri" w:hAnsi="Calibri" w:cs="Calibri"/>
    </w:rPr>
  </w:style>
  <w:style w:type="character" w:customStyle="1" w:styleId="65">
    <w:name w:val="普通(网站) Char"/>
    <w:autoRedefine/>
    <w:qFormat/>
    <w:locked/>
    <w:uiPriority w:val="0"/>
    <w:rPr>
      <w:rFonts w:ascii="宋体" w:hAnsi="宋体" w:eastAsia="宋体"/>
      <w:sz w:val="24"/>
    </w:rPr>
  </w:style>
  <w:style w:type="character" w:customStyle="1" w:styleId="66">
    <w:name w:val="日期 字符"/>
    <w:autoRedefine/>
    <w:semiHidden/>
    <w:qFormat/>
    <w:uiPriority w:val="0"/>
    <w:rPr>
      <w:rFonts w:ascii="Times New Roman" w:hAnsi="Times New Roman" w:eastAsia="宋体" w:cs="Times New Roman"/>
      <w:sz w:val="24"/>
      <w:szCs w:val="24"/>
    </w:rPr>
  </w:style>
  <w:style w:type="character" w:customStyle="1" w:styleId="67">
    <w:name w:val="批注文字 字符1"/>
    <w:autoRedefine/>
    <w:semiHidden/>
    <w:qFormat/>
    <w:uiPriority w:val="0"/>
    <w:rPr>
      <w:rFonts w:ascii="Times New Roman" w:hAnsi="Times New Roman" w:eastAsia="宋体" w:cs="Times New Roman"/>
      <w:sz w:val="24"/>
      <w:szCs w:val="24"/>
    </w:rPr>
  </w:style>
  <w:style w:type="character" w:customStyle="1" w:styleId="68">
    <w:name w:val="正文文本 字符1"/>
    <w:autoRedefine/>
    <w:semiHidden/>
    <w:qFormat/>
    <w:uiPriority w:val="0"/>
    <w:rPr>
      <w:rFonts w:ascii="Times New Roman" w:hAnsi="Times New Roman" w:eastAsia="宋体" w:cs="Times New Roman"/>
      <w:sz w:val="24"/>
      <w:szCs w:val="24"/>
    </w:rPr>
  </w:style>
  <w:style w:type="character" w:customStyle="1" w:styleId="69">
    <w:name w:val="表格 Char"/>
    <w:link w:val="70"/>
    <w:autoRedefine/>
    <w:qFormat/>
    <w:locked/>
    <w:uiPriority w:val="0"/>
    <w:rPr>
      <w:rFonts w:ascii="宋体"/>
      <w:sz w:val="21"/>
    </w:rPr>
  </w:style>
  <w:style w:type="paragraph" w:customStyle="1" w:styleId="70">
    <w:name w:val="表格"/>
    <w:basedOn w:val="7"/>
    <w:next w:val="1"/>
    <w:link w:val="69"/>
    <w:autoRedefine/>
    <w:qFormat/>
    <w:uiPriority w:val="0"/>
    <w:pPr>
      <w:adjustRightInd w:val="0"/>
      <w:snapToGrid w:val="0"/>
      <w:spacing w:beforeLines="10" w:afterLines="10" w:line="259" w:lineRule="auto"/>
      <w:jc w:val="center"/>
    </w:pPr>
    <w:rPr>
      <w:rFonts w:ascii="宋体"/>
      <w:kern w:val="0"/>
      <w:sz w:val="20"/>
      <w:szCs w:val="21"/>
    </w:rPr>
  </w:style>
  <w:style w:type="character" w:customStyle="1" w:styleId="71">
    <w:name w:val="apple-converted-space"/>
    <w:autoRedefine/>
    <w:qFormat/>
    <w:uiPriority w:val="0"/>
    <w:rPr>
      <w:rFonts w:hint="default" w:ascii="Times New Roman" w:hAnsi="Times New Roman" w:cs="Times New Roman"/>
    </w:rPr>
  </w:style>
  <w:style w:type="paragraph" w:customStyle="1" w:styleId="72">
    <w:name w:val="样式 标题 1 + 首行缩进:  2 字符"/>
    <w:basedOn w:val="2"/>
    <w:autoRedefine/>
    <w:qFormat/>
    <w:uiPriority w:val="0"/>
    <w:pPr>
      <w:spacing w:before="0" w:after="0" w:line="720" w:lineRule="auto"/>
      <w:ind w:firstLine="200" w:firstLineChars="200"/>
      <w:jc w:val="center"/>
    </w:pPr>
    <w:rPr>
      <w:rFonts w:ascii="黑体" w:cs="宋体"/>
      <w:kern w:val="2"/>
      <w:sz w:val="36"/>
      <w:szCs w:val="20"/>
    </w:rPr>
  </w:style>
  <w:style w:type="paragraph" w:customStyle="1" w:styleId="73">
    <w:name w:val="报告表正文"/>
    <w:basedOn w:val="1"/>
    <w:autoRedefine/>
    <w:qFormat/>
    <w:uiPriority w:val="0"/>
    <w:pPr>
      <w:adjustRightInd w:val="0"/>
      <w:spacing w:line="312" w:lineRule="auto"/>
      <w:ind w:left="113" w:right="113" w:firstLine="482"/>
      <w:jc w:val="left"/>
      <w:textAlignment w:val="baseline"/>
    </w:pPr>
    <w:rPr>
      <w:kern w:val="0"/>
      <w:sz w:val="24"/>
    </w:rPr>
  </w:style>
  <w:style w:type="paragraph" w:customStyle="1" w:styleId="74">
    <w:name w:val="表格标题"/>
    <w:basedOn w:val="75"/>
    <w:next w:val="1"/>
    <w:autoRedefine/>
    <w:qFormat/>
    <w:uiPriority w:val="0"/>
    <w:pPr>
      <w:tabs>
        <w:tab w:val="left" w:pos="5400"/>
      </w:tabs>
      <w:spacing w:before="156" w:beforeLines="50" w:after="156" w:afterLines="50" w:line="400" w:lineRule="exact"/>
      <w:jc w:val="center"/>
    </w:pPr>
    <w:rPr>
      <w:rFonts w:ascii="黑体" w:hAnsi="宋体" w:eastAsia="黑体"/>
      <w:color w:val="000000"/>
      <w:spacing w:val="4"/>
      <w:sz w:val="24"/>
    </w:rPr>
  </w:style>
  <w:style w:type="paragraph" w:customStyle="1" w:styleId="75">
    <w:name w:val="报告书正文"/>
    <w:basedOn w:val="1"/>
    <w:autoRedefine/>
    <w:qFormat/>
    <w:uiPriority w:val="0"/>
    <w:pPr>
      <w:adjustRightInd w:val="0"/>
      <w:snapToGrid w:val="0"/>
      <w:spacing w:line="360" w:lineRule="auto"/>
      <w:ind w:firstLine="425"/>
      <w:textAlignment w:val="baseline"/>
    </w:pPr>
    <w:rPr>
      <w:rFonts w:ascii="Arial" w:hAnsi="Arial"/>
      <w:kern w:val="0"/>
      <w:sz w:val="24"/>
    </w:rPr>
  </w:style>
  <w:style w:type="paragraph" w:customStyle="1" w:styleId="76">
    <w:name w:val="【表头】"/>
    <w:basedOn w:val="77"/>
    <w:autoRedefine/>
    <w:qFormat/>
    <w:uiPriority w:val="0"/>
    <w:pPr>
      <w:spacing w:line="460" w:lineRule="exact"/>
      <w:jc w:val="center"/>
    </w:pPr>
    <w:rPr>
      <w:rFonts w:eastAsia="黑体"/>
      <w:sz w:val="24"/>
    </w:rPr>
  </w:style>
  <w:style w:type="paragraph" w:customStyle="1" w:styleId="77">
    <w:name w:val="0"/>
    <w:basedOn w:val="1"/>
    <w:autoRedefine/>
    <w:qFormat/>
    <w:uiPriority w:val="99"/>
    <w:pPr>
      <w:widowControl/>
      <w:snapToGrid w:val="0"/>
      <w:jc w:val="left"/>
    </w:pPr>
    <w:rPr>
      <w:rFonts w:ascii="宋体"/>
      <w:kern w:val="0"/>
      <w:sz w:val="20"/>
      <w:szCs w:val="20"/>
    </w:rPr>
  </w:style>
  <w:style w:type="paragraph" w:customStyle="1" w:styleId="78">
    <w:name w:val="【正文】"/>
    <w:basedOn w:val="1"/>
    <w:next w:val="29"/>
    <w:autoRedefine/>
    <w:qFormat/>
    <w:uiPriority w:val="0"/>
    <w:pPr>
      <w:spacing w:line="440" w:lineRule="exact"/>
      <w:ind w:firstLine="544"/>
    </w:pPr>
    <w:rPr>
      <w:rFonts w:cs="宋体"/>
      <w:szCs w:val="20"/>
    </w:rPr>
  </w:style>
  <w:style w:type="paragraph" w:customStyle="1" w:styleId="79">
    <w:name w:val="正文00"/>
    <w:basedOn w:val="1"/>
    <w:autoRedefine/>
    <w:qFormat/>
    <w:uiPriority w:val="0"/>
    <w:pPr>
      <w:widowControl/>
      <w:spacing w:line="425" w:lineRule="atLeast"/>
      <w:ind w:left="107" w:leftChars="51" w:right="124" w:rightChars="59" w:firstLine="480"/>
      <w:textAlignment w:val="baseline"/>
    </w:pPr>
    <w:rPr>
      <w:rFonts w:ascii="Calibri"/>
      <w:sz w:val="28"/>
    </w:rPr>
  </w:style>
  <w:style w:type="paragraph" w:customStyle="1" w:styleId="80">
    <w:name w:val="表头"/>
    <w:basedOn w:val="26"/>
    <w:next w:val="15"/>
    <w:autoRedefine/>
    <w:qFormat/>
    <w:uiPriority w:val="0"/>
    <w:rPr>
      <w:rFonts w:eastAsia="黑体"/>
    </w:rPr>
  </w:style>
  <w:style w:type="paragraph" w:customStyle="1" w:styleId="81">
    <w:name w:val="样式4"/>
    <w:basedOn w:val="13"/>
    <w:autoRedefine/>
    <w:qFormat/>
    <w:uiPriority w:val="0"/>
    <w:pPr>
      <w:adjustRightInd w:val="0"/>
      <w:jc w:val="center"/>
    </w:pPr>
    <w:rPr>
      <w:sz w:val="24"/>
    </w:rPr>
  </w:style>
  <w:style w:type="paragraph" w:customStyle="1" w:styleId="82">
    <w:name w:val="Table Paragraph"/>
    <w:basedOn w:val="1"/>
    <w:autoRedefine/>
    <w:unhideWhenUsed/>
    <w:qFormat/>
    <w:uiPriority w:val="1"/>
    <w:rPr>
      <w:sz w:val="24"/>
    </w:rPr>
  </w:style>
  <w:style w:type="paragraph" w:customStyle="1" w:styleId="83">
    <w:name w:val="煤炭资源普查报告格式"/>
    <w:basedOn w:val="1"/>
    <w:autoRedefine/>
    <w:qFormat/>
    <w:uiPriority w:val="0"/>
    <w:pPr>
      <w:spacing w:line="500" w:lineRule="exact"/>
    </w:pPr>
  </w:style>
  <w:style w:type="paragraph" w:customStyle="1" w:styleId="84">
    <w:name w:val="表头文字"/>
    <w:basedOn w:val="1"/>
    <w:autoRedefine/>
    <w:qFormat/>
    <w:uiPriority w:val="0"/>
    <w:pPr>
      <w:adjustRightInd w:val="0"/>
      <w:jc w:val="center"/>
    </w:pPr>
    <w:rPr>
      <w:sz w:val="28"/>
      <w:szCs w:val="20"/>
    </w:rPr>
  </w:style>
  <w:style w:type="paragraph" w:customStyle="1" w:styleId="85">
    <w:name w:val="标题4"/>
    <w:basedOn w:val="79"/>
    <w:autoRedefine/>
    <w:qFormat/>
    <w:uiPriority w:val="0"/>
    <w:pPr>
      <w:ind w:left="51" w:right="59" w:firstLine="100" w:firstLineChars="100"/>
    </w:pPr>
    <w:rPr>
      <w:b/>
    </w:rPr>
  </w:style>
  <w:style w:type="paragraph" w:customStyle="1" w:styleId="86">
    <w:name w:val="正文----------------"/>
    <w:basedOn w:val="1"/>
    <w:autoRedefine/>
    <w:qFormat/>
    <w:uiPriority w:val="0"/>
    <w:pPr>
      <w:spacing w:line="440" w:lineRule="exact"/>
      <w:ind w:firstLine="544" w:firstLineChars="200"/>
    </w:pPr>
    <w:rPr>
      <w:rFonts w:ascii="Calibri" w:cs="宋体"/>
      <w:spacing w:val="16"/>
      <w:szCs w:val="20"/>
    </w:rPr>
  </w:style>
  <w:style w:type="paragraph" w:customStyle="1" w:styleId="87">
    <w:name w:val="表文"/>
    <w:basedOn w:val="1"/>
    <w:autoRedefine/>
    <w:qFormat/>
    <w:uiPriority w:val="0"/>
    <w:pPr>
      <w:tabs>
        <w:tab w:val="left" w:pos="6480"/>
      </w:tabs>
      <w:spacing w:line="360" w:lineRule="exact"/>
    </w:pPr>
    <w:rPr>
      <w:rFonts w:ascii="宋体" w:hAnsi="宋体"/>
      <w:sz w:val="24"/>
    </w:rPr>
  </w:style>
  <w:style w:type="paragraph" w:customStyle="1" w:styleId="88">
    <w:name w:val="表格文字"/>
    <w:basedOn w:val="1"/>
    <w:link w:val="154"/>
    <w:autoRedefine/>
    <w:qFormat/>
    <w:uiPriority w:val="0"/>
    <w:pPr>
      <w:jc w:val="center"/>
    </w:pPr>
    <w:rPr>
      <w:rFonts w:ascii="new times roma" w:hAnsi="new times roma"/>
    </w:rPr>
  </w:style>
  <w:style w:type="paragraph" w:customStyle="1" w:styleId="89">
    <w:name w:val="表格内容"/>
    <w:basedOn w:val="90"/>
    <w:autoRedefine/>
    <w:qFormat/>
    <w:uiPriority w:val="0"/>
    <w:pPr>
      <w:spacing w:line="240" w:lineRule="exact"/>
    </w:pPr>
    <w:rPr>
      <w:snapToGrid w:val="0"/>
      <w:color w:val="FF0000"/>
      <w:kern w:val="0"/>
      <w:sz w:val="21"/>
      <w:szCs w:val="21"/>
    </w:rPr>
  </w:style>
  <w:style w:type="paragraph" w:customStyle="1" w:styleId="90">
    <w:name w:val="封皮-证书编号"/>
    <w:basedOn w:val="1"/>
    <w:autoRedefine/>
    <w:qFormat/>
    <w:uiPriority w:val="0"/>
    <w:pPr>
      <w:jc w:val="center"/>
    </w:pPr>
    <w:rPr>
      <w:rFonts w:eastAsia="黑体"/>
      <w:sz w:val="28"/>
    </w:rPr>
  </w:style>
  <w:style w:type="paragraph" w:customStyle="1" w:styleId="91">
    <w:name w:val="普通(网站)2"/>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92">
    <w:name w:val="表头-------------"/>
    <w:basedOn w:val="1"/>
    <w:autoRedefine/>
    <w:qFormat/>
    <w:uiPriority w:val="0"/>
    <w:pPr>
      <w:spacing w:line="460" w:lineRule="exact"/>
      <w:jc w:val="center"/>
    </w:pPr>
    <w:rPr>
      <w:rFonts w:ascii="Calibri" w:eastAsia="黑体" w:cs="宋体"/>
      <w:szCs w:val="20"/>
    </w:rPr>
  </w:style>
  <w:style w:type="paragraph" w:customStyle="1" w:styleId="93">
    <w:name w:val="正文01"/>
    <w:basedOn w:val="1"/>
    <w:autoRedefine/>
    <w:qFormat/>
    <w:uiPriority w:val="0"/>
    <w:pPr>
      <w:spacing w:before="60" w:line="460" w:lineRule="exact"/>
      <w:ind w:firstLine="200" w:firstLineChars="200"/>
    </w:pPr>
    <w:rPr>
      <w:snapToGrid w:val="0"/>
      <w:kern w:val="0"/>
      <w:sz w:val="24"/>
    </w:rPr>
  </w:style>
  <w:style w:type="paragraph" w:customStyle="1" w:styleId="94">
    <w:name w:val="样式 正文文字-1 + 首行缩进:  2.1 字符1"/>
    <w:basedOn w:val="95"/>
    <w:autoRedefine/>
    <w:qFormat/>
    <w:uiPriority w:val="0"/>
    <w:pPr>
      <w:spacing w:line="440" w:lineRule="exact"/>
      <w:ind w:firstLine="210"/>
    </w:pPr>
    <w:rPr>
      <w:rFonts w:cs="宋体"/>
      <w:szCs w:val="20"/>
    </w:rPr>
  </w:style>
  <w:style w:type="paragraph" w:customStyle="1" w:styleId="95">
    <w:name w:val="正文文字-1 Char"/>
    <w:autoRedefine/>
    <w:qFormat/>
    <w:uiPriority w:val="0"/>
    <w:pPr>
      <w:widowControl w:val="0"/>
      <w:spacing w:before="120" w:after="120" w:line="480" w:lineRule="exact"/>
      <w:ind w:firstLine="588" w:firstLineChars="210"/>
      <w:jc w:val="both"/>
    </w:pPr>
    <w:rPr>
      <w:rFonts w:ascii="Times New Roman" w:hAnsi="Times New Roman" w:eastAsia="宋体" w:cs="Times New Roman"/>
      <w:kern w:val="2"/>
      <w:sz w:val="24"/>
      <w:szCs w:val="24"/>
      <w:lang w:val="en-US" w:eastAsia="zh-CN" w:bidi="ar-SA"/>
    </w:rPr>
  </w:style>
  <w:style w:type="paragraph" w:customStyle="1" w:styleId="96">
    <w:name w:val="表格正文"/>
    <w:basedOn w:val="1"/>
    <w:next w:val="1"/>
    <w:autoRedefine/>
    <w:qFormat/>
    <w:uiPriority w:val="0"/>
    <w:pPr>
      <w:spacing w:line="360" w:lineRule="exact"/>
      <w:ind w:firstLine="640" w:firstLineChars="200"/>
      <w:jc w:val="center"/>
    </w:pPr>
    <w:rPr>
      <w:sz w:val="28"/>
      <w:szCs w:val="28"/>
    </w:rPr>
  </w:style>
  <w:style w:type="paragraph" w:customStyle="1" w:styleId="97">
    <w:name w:val="Table caption|1"/>
    <w:basedOn w:val="1"/>
    <w:autoRedefine/>
    <w:qFormat/>
    <w:uiPriority w:val="0"/>
    <w:rPr>
      <w:rFonts w:ascii="宋体" w:hAnsi="宋体" w:cs="宋体"/>
      <w:sz w:val="13"/>
      <w:szCs w:val="13"/>
      <w:lang w:val="zh-TW" w:eastAsia="zh-TW" w:bidi="zh-TW"/>
    </w:rPr>
  </w:style>
  <w:style w:type="paragraph" w:customStyle="1" w:styleId="98">
    <w:name w:val="正文样式1"/>
    <w:basedOn w:val="1"/>
    <w:autoRedefine/>
    <w:qFormat/>
    <w:uiPriority w:val="0"/>
    <w:pPr>
      <w:adjustRightInd w:val="0"/>
      <w:spacing w:line="288" w:lineRule="auto"/>
      <w:ind w:firstLine="360" w:firstLineChars="150"/>
      <w:textAlignment w:val="baseline"/>
    </w:pPr>
    <w:rPr>
      <w:kern w:val="0"/>
      <w:sz w:val="24"/>
      <w:szCs w:val="20"/>
    </w:rPr>
  </w:style>
  <w:style w:type="paragraph" w:customStyle="1" w:styleId="99">
    <w:name w:val="正文_14"/>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00">
    <w:name w:val="正文_15"/>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101">
    <w:name w:val="List Paragraph"/>
    <w:basedOn w:val="1"/>
    <w:autoRedefine/>
    <w:qFormat/>
    <w:uiPriority w:val="34"/>
    <w:pPr>
      <w:ind w:firstLine="420" w:firstLineChars="200"/>
    </w:pPr>
    <w:rPr>
      <w:szCs w:val="22"/>
    </w:rPr>
  </w:style>
  <w:style w:type="paragraph" w:customStyle="1" w:styleId="102">
    <w:name w:val="表中字"/>
    <w:autoRedefine/>
    <w:qFormat/>
    <w:uiPriority w:val="0"/>
    <w:pPr>
      <w:jc w:val="center"/>
    </w:pPr>
    <w:rPr>
      <w:rFonts w:ascii="Times New Roman" w:hAnsi="Times New Roman" w:eastAsia="宋体" w:cs="Times New Roman"/>
      <w:kern w:val="2"/>
      <w:sz w:val="21"/>
      <w:szCs w:val="22"/>
      <w:lang w:val="zh-CN" w:eastAsia="zh-CN" w:bidi="ar-SA"/>
    </w:rPr>
  </w:style>
  <w:style w:type="paragraph" w:customStyle="1" w:styleId="103">
    <w:name w:val="样式 Times New Roman 五号 居中1"/>
    <w:basedOn w:val="1"/>
    <w:autoRedefine/>
    <w:qFormat/>
    <w:uiPriority w:val="0"/>
    <w:pPr>
      <w:jc w:val="center"/>
    </w:pPr>
    <w:rPr>
      <w:rFonts w:cs="宋体"/>
      <w:szCs w:val="20"/>
    </w:rPr>
  </w:style>
  <w:style w:type="paragraph" w:customStyle="1" w:styleId="104">
    <w:name w:val="_Style 3"/>
    <w:basedOn w:val="1"/>
    <w:autoRedefine/>
    <w:qFormat/>
    <w:uiPriority w:val="34"/>
    <w:pPr>
      <w:ind w:firstLine="420" w:firstLineChars="200"/>
    </w:pPr>
    <w:rPr>
      <w:rFonts w:ascii="Calibri" w:hAnsi="Calibri"/>
      <w:szCs w:val="22"/>
    </w:rPr>
  </w:style>
  <w:style w:type="paragraph" w:customStyle="1" w:styleId="105">
    <w:name w:val="表1"/>
    <w:next w:val="1"/>
    <w:autoRedefine/>
    <w:qFormat/>
    <w:uiPriority w:val="0"/>
    <w:pPr>
      <w:adjustRightInd w:val="0"/>
      <w:snapToGrid w:val="0"/>
      <w:jc w:val="center"/>
    </w:pPr>
    <w:rPr>
      <w:rFonts w:ascii="宋体" w:hAnsi="Times New Roman" w:eastAsia="宋体" w:cs="Times New Roman"/>
      <w:sz w:val="21"/>
      <w:lang w:val="en-US" w:eastAsia="zh-CN" w:bidi="ar-SA"/>
    </w:rPr>
  </w:style>
  <w:style w:type="paragraph" w:customStyle="1" w:styleId="106">
    <w:name w:val="Body text|4"/>
    <w:basedOn w:val="1"/>
    <w:autoRedefine/>
    <w:qFormat/>
    <w:uiPriority w:val="0"/>
    <w:pPr>
      <w:spacing w:line="434" w:lineRule="auto"/>
      <w:ind w:firstLine="500"/>
    </w:pPr>
    <w:rPr>
      <w:color w:val="FF0000"/>
    </w:rPr>
  </w:style>
  <w:style w:type="paragraph" w:customStyle="1" w:styleId="107">
    <w:name w:val="Body text|1"/>
    <w:basedOn w:val="1"/>
    <w:autoRedefine/>
    <w:qFormat/>
    <w:uiPriority w:val="0"/>
    <w:pPr>
      <w:spacing w:line="480" w:lineRule="auto"/>
      <w:ind w:firstLine="400"/>
    </w:pPr>
    <w:rPr>
      <w:rFonts w:ascii="宋体" w:hAnsi="宋体" w:cs="宋体"/>
      <w:sz w:val="22"/>
      <w:szCs w:val="22"/>
      <w:lang w:val="zh-TW" w:eastAsia="zh-TW" w:bidi="zh-TW"/>
    </w:rPr>
  </w:style>
  <w:style w:type="paragraph" w:customStyle="1" w:styleId="108">
    <w:name w:val="Other|1"/>
    <w:basedOn w:val="1"/>
    <w:autoRedefine/>
    <w:qFormat/>
    <w:uiPriority w:val="0"/>
    <w:pPr>
      <w:jc w:val="center"/>
    </w:pPr>
    <w:rPr>
      <w:rFonts w:ascii="宋体" w:hAnsi="宋体" w:cs="宋体"/>
      <w:sz w:val="20"/>
      <w:szCs w:val="20"/>
      <w:lang w:val="zh-TW" w:eastAsia="zh-TW" w:bidi="zh-TW"/>
    </w:rPr>
  </w:style>
  <w:style w:type="paragraph" w:customStyle="1" w:styleId="109">
    <w:name w:val="首行缩进表格正文"/>
    <w:basedOn w:val="1"/>
    <w:autoRedefine/>
    <w:qFormat/>
    <w:uiPriority w:val="0"/>
    <w:pPr>
      <w:spacing w:line="360" w:lineRule="auto"/>
      <w:ind w:firstLine="720" w:firstLineChars="200"/>
      <w:jc w:val="left"/>
    </w:pPr>
  </w:style>
  <w:style w:type="paragraph" w:customStyle="1" w:styleId="110">
    <w:name w:val="C首行缩进正文"/>
    <w:basedOn w:val="78"/>
    <w:autoRedefine/>
    <w:qFormat/>
    <w:uiPriority w:val="0"/>
    <w:pPr>
      <w:spacing w:line="360" w:lineRule="auto"/>
      <w:ind w:firstLine="200"/>
    </w:pPr>
    <w:rPr>
      <w:color w:val="000000"/>
    </w:rPr>
  </w:style>
  <w:style w:type="paragraph" w:customStyle="1" w:styleId="111">
    <w:name w:val="C【表中文字】-"/>
    <w:basedOn w:val="1"/>
    <w:autoRedefine/>
    <w:qFormat/>
    <w:uiPriority w:val="0"/>
    <w:pPr>
      <w:adjustRightInd w:val="0"/>
      <w:snapToGrid w:val="0"/>
      <w:jc w:val="center"/>
    </w:pPr>
    <w:rPr>
      <w:kern w:val="0"/>
      <w:szCs w:val="20"/>
    </w:rPr>
  </w:style>
  <w:style w:type="paragraph" w:customStyle="1" w:styleId="112">
    <w:name w:val="正文_6"/>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13">
    <w:name w:val="11111"/>
    <w:basedOn w:val="1"/>
    <w:next w:val="1"/>
    <w:autoRedefine/>
    <w:qFormat/>
    <w:uiPriority w:val="0"/>
    <w:pPr>
      <w:spacing w:line="360" w:lineRule="auto"/>
      <w:ind w:firstLine="200" w:firstLineChars="200"/>
    </w:pPr>
    <w:rPr>
      <w:rFonts w:hAnsi="宋体" w:cs="宋体"/>
    </w:rPr>
  </w:style>
  <w:style w:type="character" w:customStyle="1" w:styleId="114">
    <w:name w:val="chakan"/>
    <w:basedOn w:val="37"/>
    <w:autoRedefine/>
    <w:qFormat/>
    <w:uiPriority w:val="0"/>
    <w:rPr>
      <w:color w:val="0064EA"/>
    </w:rPr>
  </w:style>
  <w:style w:type="character" w:customStyle="1" w:styleId="115">
    <w:name w:val="checkbox2"/>
    <w:basedOn w:val="37"/>
    <w:autoRedefine/>
    <w:qFormat/>
    <w:uiPriority w:val="0"/>
  </w:style>
  <w:style w:type="character" w:customStyle="1" w:styleId="116">
    <w:name w:val="shenbao"/>
    <w:basedOn w:val="37"/>
    <w:autoRedefine/>
    <w:qFormat/>
    <w:uiPriority w:val="0"/>
    <w:rPr>
      <w:color w:val="EF6334"/>
    </w:rPr>
  </w:style>
  <w:style w:type="character" w:customStyle="1" w:styleId="117">
    <w:name w:val="checkbox"/>
    <w:basedOn w:val="37"/>
    <w:autoRedefine/>
    <w:qFormat/>
    <w:uiPriority w:val="0"/>
  </w:style>
  <w:style w:type="paragraph" w:customStyle="1" w:styleId="118">
    <w:name w:val="表中"/>
    <w:basedOn w:val="1"/>
    <w:autoRedefine/>
    <w:qFormat/>
    <w:uiPriority w:val="0"/>
    <w:pPr>
      <w:spacing w:line="240" w:lineRule="exact"/>
    </w:pPr>
    <w:rPr>
      <w:szCs w:val="21"/>
    </w:rPr>
  </w:style>
  <w:style w:type="paragraph" w:customStyle="1" w:styleId="119">
    <w:name w:val="TOC2"/>
    <w:basedOn w:val="1"/>
    <w:next w:val="1"/>
    <w:autoRedefine/>
    <w:qFormat/>
    <w:uiPriority w:val="0"/>
    <w:pPr>
      <w:widowControl/>
      <w:spacing w:after="100" w:line="276" w:lineRule="auto"/>
      <w:ind w:left="220"/>
      <w:jc w:val="left"/>
      <w:textAlignment w:val="baseline"/>
    </w:pPr>
    <w:rPr>
      <w:rFonts w:ascii="Calibri" w:hAnsi="Calibri"/>
      <w:kern w:val="0"/>
      <w:sz w:val="22"/>
      <w:szCs w:val="22"/>
    </w:rPr>
  </w:style>
  <w:style w:type="paragraph" w:customStyle="1" w:styleId="120">
    <w:name w:val="中文报告书样式"/>
    <w:basedOn w:val="1"/>
    <w:autoRedefine/>
    <w:qFormat/>
    <w:uiPriority w:val="0"/>
    <w:pPr>
      <w:adjustRightInd w:val="0"/>
      <w:spacing w:line="480" w:lineRule="atLeast"/>
      <w:ind w:firstLine="482"/>
      <w:textAlignment w:val="baseline"/>
    </w:pPr>
    <w:rPr>
      <w:kern w:val="24"/>
      <w:szCs w:val="20"/>
    </w:rPr>
  </w:style>
  <w:style w:type="paragraph" w:customStyle="1" w:styleId="121">
    <w:name w:val="UserStyle_0"/>
    <w:basedOn w:val="122"/>
    <w:next w:val="123"/>
    <w:autoRedefine/>
    <w:qFormat/>
    <w:uiPriority w:val="0"/>
    <w:pPr>
      <w:spacing w:line="360" w:lineRule="auto"/>
      <w:ind w:firstLine="480" w:firstLineChars="200"/>
    </w:pPr>
    <w:rPr>
      <w:rFonts w:ascii="Calibri" w:hAnsi="Calibri"/>
      <w:sz w:val="24"/>
      <w:szCs w:val="22"/>
    </w:rPr>
  </w:style>
  <w:style w:type="paragraph" w:customStyle="1" w:styleId="122">
    <w:name w:val="UserStyle_1"/>
    <w:basedOn w:val="1"/>
    <w:next w:val="1"/>
    <w:autoRedefine/>
    <w:qFormat/>
    <w:uiPriority w:val="0"/>
    <w:pPr>
      <w:spacing w:after="120"/>
      <w:textAlignment w:val="baseline"/>
    </w:pPr>
  </w:style>
  <w:style w:type="paragraph" w:customStyle="1" w:styleId="123">
    <w:name w:val="TOC1"/>
    <w:basedOn w:val="1"/>
    <w:next w:val="1"/>
    <w:autoRedefine/>
    <w:qFormat/>
    <w:uiPriority w:val="0"/>
    <w:pPr>
      <w:spacing w:line="360" w:lineRule="auto"/>
      <w:textAlignment w:val="baseline"/>
    </w:pPr>
    <w:rPr>
      <w:rFonts w:ascii="Calibri" w:hAnsi="Calibri"/>
      <w:b/>
      <w:sz w:val="24"/>
      <w:szCs w:val="22"/>
    </w:rPr>
  </w:style>
  <w:style w:type="character" w:customStyle="1" w:styleId="124">
    <w:name w:val="NormalCharacter"/>
    <w:autoRedefine/>
    <w:qFormat/>
    <w:uiPriority w:val="0"/>
    <w:rPr>
      <w:kern w:val="2"/>
      <w:sz w:val="21"/>
      <w:szCs w:val="24"/>
      <w:lang w:val="en-US" w:eastAsia="zh-CN" w:bidi="ar-SA"/>
    </w:rPr>
  </w:style>
  <w:style w:type="paragraph" w:customStyle="1" w:styleId="125">
    <w:name w:val="表头1"/>
    <w:basedOn w:val="126"/>
    <w:next w:val="1"/>
    <w:autoRedefine/>
    <w:qFormat/>
    <w:uiPriority w:val="0"/>
    <w:pPr>
      <w:spacing w:before="120" w:beforeLines="50"/>
    </w:pPr>
  </w:style>
  <w:style w:type="paragraph" w:customStyle="1" w:styleId="126">
    <w:name w:val="文华表标题"/>
    <w:basedOn w:val="127"/>
    <w:autoRedefine/>
    <w:qFormat/>
    <w:uiPriority w:val="0"/>
    <w:pPr>
      <w:spacing w:line="240" w:lineRule="auto"/>
      <w:ind w:firstLine="0"/>
      <w:jc w:val="center"/>
    </w:pPr>
    <w:rPr>
      <w:rFonts w:eastAsia="黑体"/>
    </w:rPr>
  </w:style>
  <w:style w:type="paragraph" w:customStyle="1" w:styleId="127">
    <w:name w:val="文华表正文"/>
    <w:basedOn w:val="73"/>
    <w:autoRedefine/>
    <w:qFormat/>
    <w:uiPriority w:val="0"/>
  </w:style>
  <w:style w:type="paragraph" w:customStyle="1" w:styleId="128">
    <w:name w:val="xl25"/>
    <w:basedOn w:val="1"/>
    <w:autoRedefine/>
    <w:qFormat/>
    <w:uiPriority w:val="0"/>
    <w:pPr>
      <w:widowControl/>
      <w:pBdr>
        <w:bottom w:val="single" w:color="auto" w:sz="4" w:space="0"/>
        <w:right w:val="single" w:color="auto" w:sz="4" w:space="0"/>
      </w:pBdr>
      <w:spacing w:before="100" w:beforeAutospacing="1" w:after="100" w:afterAutospacing="1"/>
    </w:pPr>
    <w:rPr>
      <w:kern w:val="0"/>
      <w:szCs w:val="21"/>
    </w:rPr>
  </w:style>
  <w:style w:type="paragraph" w:customStyle="1" w:styleId="129">
    <w:name w:val="xl36"/>
    <w:basedOn w:val="1"/>
    <w:autoRedefine/>
    <w:qFormat/>
    <w:uiPriority w:val="0"/>
    <w:pPr>
      <w:widowControl/>
      <w:pBdr>
        <w:left w:val="single" w:color="auto" w:sz="4" w:space="0"/>
        <w:right w:val="single" w:color="auto" w:sz="4" w:space="0"/>
      </w:pBdr>
      <w:spacing w:before="100" w:beforeAutospacing="1" w:after="100" w:afterAutospacing="1"/>
      <w:jc w:val="center"/>
      <w:textAlignment w:val="top"/>
    </w:pPr>
    <w:rPr>
      <w:kern w:val="0"/>
      <w:sz w:val="24"/>
    </w:rPr>
  </w:style>
  <w:style w:type="paragraph" w:customStyle="1" w:styleId="130">
    <w:name w:val="文华表1级标题1"/>
    <w:basedOn w:val="2"/>
    <w:next w:val="131"/>
    <w:autoRedefine/>
    <w:qFormat/>
    <w:uiPriority w:val="0"/>
    <w:pPr>
      <w:keepNext w:val="0"/>
    </w:pPr>
    <w:rPr>
      <w:kern w:val="4"/>
      <w:sz w:val="28"/>
    </w:rPr>
  </w:style>
  <w:style w:type="paragraph" w:customStyle="1" w:styleId="131">
    <w:name w:val="文本正文"/>
    <w:basedOn w:val="1"/>
    <w:autoRedefine/>
    <w:qFormat/>
    <w:uiPriority w:val="0"/>
    <w:pPr>
      <w:spacing w:line="360" w:lineRule="auto"/>
      <w:ind w:firstLine="480" w:firstLineChars="200"/>
    </w:pPr>
    <w:rPr>
      <w:rFonts w:ascii="Calibri" w:hAnsi="Calibri"/>
      <w:sz w:val="24"/>
    </w:rPr>
  </w:style>
  <w:style w:type="paragraph" w:customStyle="1" w:styleId="132">
    <w:name w:val="zxzx书正文"/>
    <w:basedOn w:val="1"/>
    <w:autoRedefine/>
    <w:qFormat/>
    <w:uiPriority w:val="0"/>
    <w:pPr>
      <w:widowControl/>
      <w:spacing w:line="440" w:lineRule="exact"/>
      <w:ind w:firstLine="880" w:firstLineChars="200"/>
      <w:jc w:val="left"/>
    </w:pPr>
    <w:rPr>
      <w:sz w:val="24"/>
    </w:rPr>
  </w:style>
  <w:style w:type="paragraph" w:customStyle="1" w:styleId="133">
    <w:name w:val="正文--环评"/>
    <w:basedOn w:val="1"/>
    <w:autoRedefine/>
    <w:qFormat/>
    <w:uiPriority w:val="0"/>
    <w:pPr>
      <w:spacing w:line="360" w:lineRule="auto"/>
      <w:ind w:firstLine="480" w:firstLineChars="200"/>
    </w:pPr>
    <w:rPr>
      <w:rFonts w:cs="宋体"/>
      <w:color w:val="000000"/>
      <w:spacing w:val="0"/>
      <w:sz w:val="24"/>
    </w:rPr>
  </w:style>
  <w:style w:type="paragraph" w:customStyle="1" w:styleId="134">
    <w:name w:val="表中文字（工大）"/>
    <w:basedOn w:val="1"/>
    <w:autoRedefine/>
    <w:qFormat/>
    <w:uiPriority w:val="0"/>
    <w:pPr>
      <w:spacing w:line="440" w:lineRule="exact"/>
      <w:jc w:val="center"/>
    </w:pPr>
    <w:rPr>
      <w:sz w:val="21"/>
      <w:szCs w:val="20"/>
    </w:rPr>
  </w:style>
  <w:style w:type="character" w:customStyle="1" w:styleId="135">
    <w:name w:val="font11"/>
    <w:basedOn w:val="37"/>
    <w:autoRedefine/>
    <w:qFormat/>
    <w:uiPriority w:val="0"/>
    <w:rPr>
      <w:rFonts w:hint="default" w:ascii="Times New Roman" w:hAnsi="Times New Roman" w:cs="Times New Roman"/>
      <w:color w:val="000000"/>
      <w:sz w:val="18"/>
      <w:szCs w:val="18"/>
      <w:u w:val="none"/>
    </w:rPr>
  </w:style>
  <w:style w:type="character" w:customStyle="1" w:styleId="136">
    <w:name w:val="font21"/>
    <w:basedOn w:val="37"/>
    <w:autoRedefine/>
    <w:qFormat/>
    <w:uiPriority w:val="0"/>
    <w:rPr>
      <w:rFonts w:hint="eastAsia" w:ascii="宋体" w:hAnsi="宋体" w:eastAsia="宋体" w:cs="宋体"/>
      <w:color w:val="000000"/>
      <w:sz w:val="18"/>
      <w:szCs w:val="18"/>
      <w:u w:val="none"/>
    </w:rPr>
  </w:style>
  <w:style w:type="paragraph" w:customStyle="1" w:styleId="137">
    <w:name w:val="文本框样式"/>
    <w:basedOn w:val="1"/>
    <w:autoRedefine/>
    <w:qFormat/>
    <w:uiPriority w:val="0"/>
    <w:pPr>
      <w:spacing w:line="240" w:lineRule="auto"/>
      <w:ind w:firstLine="0" w:firstLineChars="0"/>
      <w:jc w:val="center"/>
    </w:pPr>
    <w:rPr>
      <w:sz w:val="21"/>
    </w:rPr>
  </w:style>
  <w:style w:type="paragraph" w:customStyle="1" w:styleId="138">
    <w:name w:val="表"/>
    <w:autoRedefine/>
    <w:qFormat/>
    <w:uiPriority w:val="0"/>
    <w:pPr>
      <w:spacing w:line="440" w:lineRule="exact"/>
      <w:ind w:firstLine="200" w:firstLineChars="200"/>
      <w:jc w:val="both"/>
    </w:pPr>
    <w:rPr>
      <w:rFonts w:ascii="Calibri" w:hAnsi="Calibri" w:eastAsia="宋体" w:cs="Times New Roman"/>
      <w:sz w:val="24"/>
      <w:lang w:val="en-US" w:eastAsia="zh-CN" w:bidi="ar-SA"/>
    </w:rPr>
  </w:style>
  <w:style w:type="paragraph" w:customStyle="1" w:styleId="139">
    <w:name w:val="cucd-0"/>
    <w:autoRedefine/>
    <w:qFormat/>
    <w:uiPriority w:val="0"/>
    <w:pPr>
      <w:numPr>
        <w:ilvl w:val="0"/>
        <w:numId w:val="2"/>
      </w:numPr>
      <w:tabs>
        <w:tab w:val="left" w:pos="3485"/>
      </w:tabs>
      <w:spacing w:line="360" w:lineRule="auto"/>
    </w:pPr>
    <w:rPr>
      <w:rFonts w:ascii="Times New Roman" w:hAnsi="Times New Roman" w:eastAsia="宋体" w:cs="Times New Roman"/>
      <w:kern w:val="2"/>
      <w:sz w:val="24"/>
      <w:szCs w:val="24"/>
      <w:lang w:val="en-US" w:eastAsia="zh-CN" w:bidi="ar-SA"/>
    </w:rPr>
  </w:style>
  <w:style w:type="paragraph" w:customStyle="1" w:styleId="140">
    <w:name w:val="段落正文"/>
    <w:basedOn w:val="1"/>
    <w:autoRedefine/>
    <w:qFormat/>
    <w:uiPriority w:val="0"/>
    <w:pPr>
      <w:widowControl w:val="0"/>
      <w:spacing w:line="500" w:lineRule="atLeast"/>
    </w:pPr>
    <w:rPr>
      <w:rFonts w:eastAsia="仿宋_GB2312"/>
      <w:szCs w:val="28"/>
    </w:rPr>
  </w:style>
  <w:style w:type="character" w:customStyle="1" w:styleId="141">
    <w:name w:val="标题 1 Char1"/>
    <w:link w:val="2"/>
    <w:autoRedefine/>
    <w:qFormat/>
    <w:uiPriority w:val="0"/>
    <w:rPr>
      <w:rFonts w:eastAsia="黑体"/>
      <w:b/>
      <w:bCs/>
      <w:color w:val="000000"/>
      <w:kern w:val="44"/>
      <w:sz w:val="30"/>
      <w:szCs w:val="30"/>
    </w:rPr>
  </w:style>
  <w:style w:type="character" w:customStyle="1" w:styleId="142">
    <w:name w:val="标题 2 Char"/>
    <w:link w:val="4"/>
    <w:autoRedefine/>
    <w:qFormat/>
    <w:uiPriority w:val="0"/>
    <w:rPr>
      <w:rFonts w:ascii="Arial" w:hAnsi="Arial" w:eastAsia="黑体"/>
      <w:b/>
      <w:bCs/>
      <w:sz w:val="32"/>
      <w:szCs w:val="32"/>
    </w:rPr>
  </w:style>
  <w:style w:type="paragraph" w:customStyle="1" w:styleId="143">
    <w:name w:val="表体"/>
    <w:basedOn w:val="1"/>
    <w:autoRedefine/>
    <w:qFormat/>
    <w:uiPriority w:val="0"/>
    <w:pPr>
      <w:spacing w:line="240" w:lineRule="auto"/>
    </w:pPr>
    <w:rPr>
      <w:sz w:val="21"/>
      <w:szCs w:val="21"/>
    </w:rPr>
  </w:style>
  <w:style w:type="paragraph" w:customStyle="1" w:styleId="144">
    <w:name w:val="Char Char Char Char Char Char Char2"/>
    <w:basedOn w:val="1"/>
    <w:autoRedefine/>
    <w:qFormat/>
    <w:uiPriority w:val="0"/>
    <w:pPr>
      <w:snapToGrid w:val="0"/>
      <w:spacing w:line="360" w:lineRule="auto"/>
      <w:ind w:firstLine="529" w:firstLineChars="200"/>
    </w:pPr>
  </w:style>
  <w:style w:type="paragraph" w:customStyle="1" w:styleId="145">
    <w:name w:val="表格题目"/>
    <w:basedOn w:val="1"/>
    <w:autoRedefine/>
    <w:qFormat/>
    <w:uiPriority w:val="0"/>
    <w:pPr>
      <w:spacing w:line="240" w:lineRule="atLeast"/>
      <w:jc w:val="center"/>
    </w:pPr>
    <w:rPr>
      <w:rFonts w:ascii="黑体" w:hAnsi="宋体" w:eastAsia="黑体"/>
      <w:sz w:val="24"/>
    </w:rPr>
  </w:style>
  <w:style w:type="table" w:customStyle="1" w:styleId="146">
    <w:name w:val="Table Normal"/>
    <w:autoRedefine/>
    <w:semiHidden/>
    <w:unhideWhenUsed/>
    <w:qFormat/>
    <w:uiPriority w:val="0"/>
    <w:tblPr>
      <w:tblCellMar>
        <w:top w:w="0" w:type="dxa"/>
        <w:left w:w="0" w:type="dxa"/>
        <w:bottom w:w="0" w:type="dxa"/>
        <w:right w:w="0" w:type="dxa"/>
      </w:tblCellMar>
    </w:tblPr>
  </w:style>
  <w:style w:type="character" w:customStyle="1" w:styleId="147">
    <w:name w:val="正文（首行缩进两字） Char"/>
    <w:autoRedefine/>
    <w:qFormat/>
    <w:uiPriority w:val="0"/>
    <w:rPr>
      <w:rFonts w:eastAsia="宋体"/>
      <w:kern w:val="2"/>
      <w:sz w:val="24"/>
      <w:lang w:val="en-US" w:eastAsia="zh-CN"/>
    </w:rPr>
  </w:style>
  <w:style w:type="paragraph" w:customStyle="1" w:styleId="148">
    <w:name w:val="表中文字"/>
    <w:basedOn w:val="1"/>
    <w:autoRedefine/>
    <w:qFormat/>
    <w:uiPriority w:val="0"/>
    <w:pPr>
      <w:jc w:val="center"/>
    </w:pPr>
    <w:rPr>
      <w:szCs w:val="20"/>
    </w:rPr>
  </w:style>
  <w:style w:type="paragraph" w:customStyle="1" w:styleId="149">
    <w:name w:val="正文格式"/>
    <w:basedOn w:val="1"/>
    <w:next w:val="1"/>
    <w:autoRedefine/>
    <w:qFormat/>
    <w:uiPriority w:val="0"/>
    <w:pPr>
      <w:spacing w:line="360" w:lineRule="auto"/>
      <w:ind w:firstLine="482"/>
    </w:pPr>
  </w:style>
  <w:style w:type="paragraph" w:customStyle="1" w:styleId="150">
    <w:name w:val="Table Text"/>
    <w:basedOn w:val="1"/>
    <w:autoRedefine/>
    <w:semiHidden/>
    <w:qFormat/>
    <w:uiPriority w:val="0"/>
    <w:rPr>
      <w:rFonts w:ascii="宋体" w:hAnsi="宋体" w:eastAsia="宋体" w:cs="宋体"/>
      <w:sz w:val="24"/>
      <w:szCs w:val="24"/>
      <w:lang w:val="en-US" w:eastAsia="en-US" w:bidi="ar-SA"/>
    </w:rPr>
  </w:style>
  <w:style w:type="paragraph" w:customStyle="1" w:styleId="151">
    <w:name w:val="【表中文字】"/>
    <w:basedOn w:val="152"/>
    <w:autoRedefine/>
    <w:qFormat/>
    <w:uiPriority w:val="0"/>
    <w:pPr>
      <w:jc w:val="center"/>
    </w:pPr>
    <w:rPr>
      <w:kern w:val="0"/>
      <w:szCs w:val="20"/>
    </w:rPr>
  </w:style>
  <w:style w:type="paragraph" w:customStyle="1" w:styleId="152">
    <w:name w:val=".表1-1-1内容"/>
    <w:basedOn w:val="1"/>
    <w:autoRedefine/>
    <w:qFormat/>
    <w:uiPriority w:val="0"/>
    <w:pPr>
      <w:spacing w:line="300" w:lineRule="exact"/>
      <w:jc w:val="center"/>
    </w:pPr>
    <w:rPr>
      <w:kern w:val="0"/>
      <w:szCs w:val="21"/>
    </w:rPr>
  </w:style>
  <w:style w:type="paragraph" w:customStyle="1" w:styleId="153">
    <w:name w:val="a正文"/>
    <w:basedOn w:val="149"/>
    <w:autoRedefine/>
    <w:qFormat/>
    <w:uiPriority w:val="0"/>
    <w:pPr>
      <w:spacing w:line="520" w:lineRule="exact"/>
      <w:ind w:firstLine="200" w:firstLineChars="200"/>
    </w:pPr>
    <w:rPr>
      <w:kern w:val="0"/>
      <w:szCs w:val="21"/>
    </w:rPr>
  </w:style>
  <w:style w:type="character" w:customStyle="1" w:styleId="154">
    <w:name w:val="表格文字 Char"/>
    <w:link w:val="88"/>
    <w:autoRedefine/>
    <w:qFormat/>
    <w:uiPriority w:val="0"/>
    <w:rPr>
      <w:rFonts w:ascii="new times roma" w:hAnsi="new times roma"/>
    </w:rPr>
  </w:style>
  <w:style w:type="paragraph" w:customStyle="1" w:styleId="155">
    <w:name w:val="表表头"/>
    <w:basedOn w:val="1"/>
    <w:autoRedefine/>
    <w:qFormat/>
    <w:uiPriority w:val="0"/>
    <w:pPr>
      <w:jc w:val="center"/>
    </w:pPr>
    <w:rPr>
      <w:rFonts w:ascii="Calibri" w:hAnsi="Calibri" w:eastAsia="黑体"/>
    </w:rPr>
  </w:style>
  <w:style w:type="paragraph" w:customStyle="1" w:styleId="156">
    <w:name w:val="列出段落1"/>
    <w:basedOn w:val="1"/>
    <w:autoRedefine/>
    <w:qFormat/>
    <w:uiPriority w:val="0"/>
    <w:pPr>
      <w:ind w:firstLine="420" w:firstLineChars="200"/>
    </w:pPr>
  </w:style>
  <w:style w:type="paragraph" w:customStyle="1" w:styleId="157">
    <w:name w:val="盂县"/>
    <w:basedOn w:val="1"/>
    <w:autoRedefine/>
    <w:qFormat/>
    <w:uiPriority w:val="0"/>
    <w:pPr>
      <w:adjustRightInd w:val="0"/>
      <w:snapToGrid w:val="0"/>
      <w:spacing w:line="312" w:lineRule="auto"/>
      <w:ind w:firstLine="560" w:firstLineChars="200"/>
    </w:pPr>
    <w:rPr>
      <w:sz w:val="28"/>
    </w:rPr>
  </w:style>
  <w:style w:type="paragraph" w:customStyle="1" w:styleId="158">
    <w:name w:val="首行缩进正文"/>
    <w:basedOn w:val="78"/>
    <w:autoRedefine/>
    <w:qFormat/>
    <w:uiPriority w:val="0"/>
    <w:rPr>
      <w:sz w:val="21"/>
    </w:rPr>
  </w:style>
  <w:style w:type="paragraph" w:customStyle="1" w:styleId="159">
    <w:name w:val="【表中文字】-"/>
    <w:basedOn w:val="1"/>
    <w:autoRedefine/>
    <w:qFormat/>
    <w:uiPriority w:val="0"/>
    <w:pPr>
      <w:adjustRightInd w:val="0"/>
      <w:snapToGrid w:val="0"/>
      <w:jc w:val="center"/>
    </w:pPr>
    <w:rPr>
      <w:kern w:val="0"/>
      <w:sz w:val="18"/>
      <w:szCs w:val="20"/>
    </w:rPr>
  </w:style>
  <w:style w:type="paragraph" w:customStyle="1" w:styleId="160">
    <w:name w:val="样式 正文缩进正文缩进2正文缩进 Char Char正文缩进 Char Char Char Char正文缩进 Char ..."/>
    <w:basedOn w:val="7"/>
    <w:autoRedefine/>
    <w:qFormat/>
    <w:uiPriority w:val="0"/>
    <w:pPr>
      <w:spacing w:line="240" w:lineRule="auto"/>
      <w:ind w:firstLine="0" w:firstLineChars="0"/>
    </w:pPr>
    <w:rPr>
      <w:rFonts w:ascii="Times New Roman" w:hAnsi="Times New Roman" w:eastAsia="宋体" w:cs="Times New Roman"/>
      <w:w w:val="80"/>
      <w:sz w:val="18"/>
      <w:szCs w:val="15"/>
    </w:rPr>
  </w:style>
  <w:style w:type="paragraph" w:customStyle="1" w:styleId="161">
    <w:name w:val="a表格标题"/>
    <w:basedOn w:val="1"/>
    <w:autoRedefine/>
    <w:qFormat/>
    <w:uiPriority w:val="0"/>
    <w:pPr>
      <w:widowControl/>
      <w:spacing w:line="360" w:lineRule="auto"/>
      <w:jc w:val="center"/>
    </w:pPr>
    <w:rPr>
      <w:b/>
      <w:kern w:val="0"/>
      <w:szCs w:val="21"/>
    </w:rPr>
  </w:style>
  <w:style w:type="paragraph" w:customStyle="1" w:styleId="162">
    <w:name w:val="正文缩进1"/>
    <w:basedOn w:val="1"/>
    <w:autoRedefine/>
    <w:qFormat/>
    <w:uiPriority w:val="0"/>
    <w:pPr>
      <w:ind w:firstLine="420"/>
    </w:pPr>
    <w:rPr>
      <w:rFonts w:eastAsia="宋体"/>
      <w:sz w:val="28"/>
    </w:rPr>
  </w:style>
  <w:style w:type="paragraph" w:customStyle="1" w:styleId="163">
    <w:name w:val="正文标题"/>
    <w:basedOn w:val="1"/>
    <w:link w:val="164"/>
    <w:autoRedefine/>
    <w:qFormat/>
    <w:uiPriority w:val="0"/>
    <w:pPr>
      <w:spacing w:before="100" w:beforeLines="100" w:beforeAutospacing="0" w:after="100" w:afterLines="100"/>
      <w:jc w:val="center"/>
    </w:pPr>
    <w:rPr>
      <w:rFonts w:ascii="Times New Roman" w:hAnsi="Times New Roman" w:eastAsia="黑体"/>
      <w:sz w:val="30"/>
    </w:rPr>
  </w:style>
  <w:style w:type="character" w:customStyle="1" w:styleId="164">
    <w:name w:val="正文标题 Char"/>
    <w:link w:val="163"/>
    <w:autoRedefine/>
    <w:qFormat/>
    <w:uiPriority w:val="0"/>
    <w:rPr>
      <w:rFonts w:ascii="Times New Roman" w:hAnsi="Times New Roman" w:eastAsia="黑体"/>
      <w:sz w:val="30"/>
    </w:rPr>
  </w:style>
  <w:style w:type="paragraph" w:customStyle="1" w:styleId="165">
    <w:name w:val=".."/>
    <w:basedOn w:val="1"/>
    <w:next w:val="1"/>
    <w:autoRedefine/>
    <w:qFormat/>
    <w:uiPriority w:val="0"/>
    <w:pPr>
      <w:autoSpaceDE w:val="0"/>
      <w:autoSpaceDN w:val="0"/>
      <w:adjustRightInd w:val="0"/>
      <w:snapToGrid w:val="0"/>
      <w:jc w:val="left"/>
    </w:pPr>
    <w:rPr>
      <w:rFonts w:ascii="DF Kai Shu" w:hAnsi="Times New Roman" w:eastAsia="DF Kai Shu" w:cs="Times New Roman"/>
      <w:kern w:val="0"/>
      <w:sz w:val="24"/>
      <w:szCs w:val="24"/>
    </w:rPr>
  </w:style>
  <w:style w:type="paragraph" w:customStyle="1" w:styleId="166">
    <w:name w:val="低行距图表文字"/>
    <w:basedOn w:val="1"/>
    <w:autoRedefine/>
    <w:qFormat/>
    <w:uiPriority w:val="99"/>
    <w:pPr>
      <w:spacing w:line="240" w:lineRule="exact"/>
      <w:jc w:val="center"/>
    </w:pPr>
    <w:rPr>
      <w:rFonts w:ascii="仿宋_GB2312" w:hAnsi="仿宋_GB2312" w:eastAsia="仿宋_GB2312" w:cs="Times New Roman"/>
      <w:szCs w:val="21"/>
    </w:rPr>
  </w:style>
  <w:style w:type="paragraph" w:customStyle="1" w:styleId="167">
    <w:name w:val="表格内"/>
    <w:basedOn w:val="1"/>
    <w:autoRedefine/>
    <w:qFormat/>
    <w:uiPriority w:val="0"/>
    <w:pPr>
      <w:spacing w:line="360" w:lineRule="exact"/>
      <w:jc w:val="center"/>
    </w:pPr>
    <w:rPr>
      <w:rFonts w:eastAsia="Times New Roman"/>
      <w:sz w:val="21"/>
      <w:szCs w:val="21"/>
    </w:rPr>
  </w:style>
  <w:style w:type="paragraph" w:customStyle="1" w:styleId="168">
    <w:name w:val="二级无标题条"/>
    <w:basedOn w:val="1"/>
    <w:autoRedefine/>
    <w:qFormat/>
    <w:uiPriority w:val="0"/>
    <w:pPr>
      <w:jc w:val="center"/>
    </w:pPr>
    <w:rPr>
      <w:rFonts w:ascii="Times New Roman" w:hAnsi="Times New Roman" w:eastAsia="宋体" w:cs="Times New Roman"/>
      <w:sz w:val="24"/>
      <w:szCs w:val="20"/>
    </w:rPr>
  </w:style>
  <w:style w:type="paragraph" w:customStyle="1" w:styleId="169">
    <w:name w:val="封面项目名称"/>
    <w:basedOn w:val="1"/>
    <w:qFormat/>
    <w:uiPriority w:val="0"/>
    <w:pPr>
      <w:jc w:val="center"/>
    </w:pPr>
    <w:rPr>
      <w:rFonts w:ascii="Times New Roman" w:hAnsi="Times New Roman" w:eastAsia="仿宋_GB2312"/>
      <w:sz w:val="36"/>
    </w:rPr>
  </w:style>
  <w:style w:type="character" w:customStyle="1" w:styleId="170">
    <w:name w:val="font112"/>
    <w:qFormat/>
    <w:uiPriority w:val="0"/>
    <w:rPr>
      <w:rFonts w:hint="default" w:ascii="Times New Roman" w:hAnsi="Times New Roman" w:cs="Times New Roman"/>
      <w:color w:val="000000"/>
      <w:sz w:val="21"/>
      <w:szCs w:val="21"/>
      <w:u w:val="none"/>
      <w:vertAlign w:val="subscript"/>
    </w:rPr>
  </w:style>
  <w:style w:type="character" w:customStyle="1" w:styleId="171">
    <w:name w:val="font61"/>
    <w:basedOn w:val="37"/>
    <w:autoRedefine/>
    <w:qFormat/>
    <w:uiPriority w:val="0"/>
    <w:rPr>
      <w:rFonts w:hint="default" w:ascii="Times New Roman" w:hAnsi="Times New Roman" w:cs="Times New Roman"/>
      <w:color w:val="0000FF"/>
      <w:sz w:val="18"/>
      <w:szCs w:val="18"/>
      <w:u w:val="none"/>
      <w:vertAlign w:val="subscript"/>
    </w:rPr>
  </w:style>
  <w:style w:type="character" w:customStyle="1" w:styleId="172">
    <w:name w:val="font41"/>
    <w:basedOn w:val="37"/>
    <w:autoRedefine/>
    <w:qFormat/>
    <w:uiPriority w:val="0"/>
    <w:rPr>
      <w:rFonts w:hint="eastAsia" w:ascii="宋体" w:hAnsi="宋体" w:eastAsia="宋体" w:cs="宋体"/>
      <w:b/>
      <w:bCs/>
      <w:color w:val="0000FF"/>
      <w:sz w:val="18"/>
      <w:szCs w:val="18"/>
      <w:u w:val="none"/>
    </w:rPr>
  </w:style>
  <w:style w:type="paragraph" w:customStyle="1" w:styleId="173">
    <w:name w:val="..正文"/>
    <w:basedOn w:val="1"/>
    <w:qFormat/>
    <w:uiPriority w:val="0"/>
    <w:pPr>
      <w:spacing w:line="520" w:lineRule="exact"/>
      <w:ind w:firstLine="200" w:firstLineChars="200"/>
    </w:pPr>
    <w:rPr>
      <w:kern w:val="0"/>
      <w:sz w:val="24"/>
    </w:rPr>
  </w:style>
  <w:style w:type="paragraph" w:customStyle="1" w:styleId="174">
    <w:name w:val="- 页码 -"/>
    <w:qFormat/>
    <w:uiPriority w:val="0"/>
    <w:pPr>
      <w:widowControl w:val="0"/>
      <w:spacing w:line="360" w:lineRule="auto"/>
      <w:ind w:firstLine="200" w:firstLineChars="200"/>
      <w:jc w:val="both"/>
    </w:pPr>
    <w:rPr>
      <w:rFonts w:ascii="Times New Roman" w:hAnsi="Times New Roman" w:eastAsia="宋体" w:cs="Times New Roman"/>
      <w:kern w:val="2"/>
      <w:sz w:val="24"/>
      <w:lang w:val="en-US" w:eastAsia="zh-CN" w:bidi="ar-SA"/>
    </w:rPr>
  </w:style>
  <w:style w:type="paragraph" w:customStyle="1" w:styleId="175">
    <w:name w:val="+正文"/>
    <w:basedOn w:val="1"/>
    <w:qFormat/>
    <w:uiPriority w:val="0"/>
    <w:pPr>
      <w:spacing w:line="360" w:lineRule="auto"/>
      <w:ind w:firstLine="200" w:firstLineChars="200"/>
    </w:pPr>
    <w:rPr>
      <w:sz w:val="28"/>
      <w:szCs w:val="28"/>
    </w:rPr>
  </w:style>
  <w:style w:type="paragraph" w:customStyle="1" w:styleId="176">
    <w:name w:val="表标题1"/>
    <w:basedOn w:val="1"/>
    <w:qFormat/>
    <w:uiPriority w:val="0"/>
    <w:pPr>
      <w:adjustRightInd w:val="0"/>
      <w:snapToGrid w:val="0"/>
      <w:ind w:firstLine="0" w:firstLineChars="0"/>
      <w:jc w:val="center"/>
    </w:pPr>
    <w:rPr>
      <w:rFonts w:ascii="宋体" w:hAnsi="宋体"/>
      <w:b/>
      <w:szCs w:val="20"/>
    </w:rPr>
  </w:style>
  <w:style w:type="paragraph" w:customStyle="1" w:styleId="177">
    <w:name w:val="神-安表格"/>
    <w:basedOn w:val="1"/>
    <w:qFormat/>
    <w:uiPriority w:val="0"/>
    <w:pPr>
      <w:adjustRightInd w:val="0"/>
      <w:snapToGrid w:val="0"/>
      <w:jc w:val="center"/>
    </w:pPr>
    <w:rPr>
      <w:rFonts w:ascii="Times New Roman" w:hAnsi="Times New Roman" w:eastAsia="宋体" w:cs="Times New Roman"/>
      <w:color w:val="000000"/>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9" Type="http://schemas.openxmlformats.org/officeDocument/2006/relationships/fontTable" Target="fontTable.xml"/><Relationship Id="rId88" Type="http://schemas.openxmlformats.org/officeDocument/2006/relationships/numbering" Target="numbering.xml"/><Relationship Id="rId87" Type="http://schemas.openxmlformats.org/officeDocument/2006/relationships/customXml" Target="../customXml/item1.xml"/><Relationship Id="rId86" Type="http://schemas.openxmlformats.org/officeDocument/2006/relationships/image" Target="media/image68.emf"/><Relationship Id="rId85" Type="http://schemas.openxmlformats.org/officeDocument/2006/relationships/oleObject" Target="embeddings/oleObject6.bin"/><Relationship Id="rId84" Type="http://schemas.openxmlformats.org/officeDocument/2006/relationships/image" Target="media/image67.emf"/><Relationship Id="rId83" Type="http://schemas.openxmlformats.org/officeDocument/2006/relationships/oleObject" Target="embeddings/oleObject5.bin"/><Relationship Id="rId82" Type="http://schemas.openxmlformats.org/officeDocument/2006/relationships/image" Target="media/image66.png"/><Relationship Id="rId81" Type="http://schemas.openxmlformats.org/officeDocument/2006/relationships/image" Target="media/image65.png"/><Relationship Id="rId80" Type="http://schemas.openxmlformats.org/officeDocument/2006/relationships/image" Target="media/image64.png"/><Relationship Id="rId8" Type="http://schemas.openxmlformats.org/officeDocument/2006/relationships/footer" Target="footer5.xml"/><Relationship Id="rId79" Type="http://schemas.openxmlformats.org/officeDocument/2006/relationships/image" Target="media/image63.png"/><Relationship Id="rId78" Type="http://schemas.openxmlformats.org/officeDocument/2006/relationships/image" Target="media/image62.png"/><Relationship Id="rId77" Type="http://schemas.openxmlformats.org/officeDocument/2006/relationships/image" Target="media/image61.png"/><Relationship Id="rId76" Type="http://schemas.openxmlformats.org/officeDocument/2006/relationships/image" Target="media/image60.png"/><Relationship Id="rId75" Type="http://schemas.openxmlformats.org/officeDocument/2006/relationships/image" Target="media/image59.png"/><Relationship Id="rId74" Type="http://schemas.openxmlformats.org/officeDocument/2006/relationships/image" Target="media/image58.png"/><Relationship Id="rId73" Type="http://schemas.openxmlformats.org/officeDocument/2006/relationships/image" Target="media/image57.png"/><Relationship Id="rId72" Type="http://schemas.openxmlformats.org/officeDocument/2006/relationships/image" Target="media/image56.png"/><Relationship Id="rId71" Type="http://schemas.openxmlformats.org/officeDocument/2006/relationships/image" Target="media/image55.png"/><Relationship Id="rId70" Type="http://schemas.openxmlformats.org/officeDocument/2006/relationships/image" Target="media/image54.png"/><Relationship Id="rId7" Type="http://schemas.openxmlformats.org/officeDocument/2006/relationships/header" Target="header1.xml"/><Relationship Id="rId69" Type="http://schemas.openxmlformats.org/officeDocument/2006/relationships/image" Target="media/image53.png"/><Relationship Id="rId68" Type="http://schemas.openxmlformats.org/officeDocument/2006/relationships/image" Target="media/image52.png"/><Relationship Id="rId67" Type="http://schemas.openxmlformats.org/officeDocument/2006/relationships/image" Target="media/image51.png"/><Relationship Id="rId66" Type="http://schemas.openxmlformats.org/officeDocument/2006/relationships/image" Target="media/image50.emf"/><Relationship Id="rId65" Type="http://schemas.openxmlformats.org/officeDocument/2006/relationships/oleObject" Target="embeddings/oleObject4.bin"/><Relationship Id="rId64" Type="http://schemas.openxmlformats.org/officeDocument/2006/relationships/image" Target="media/image49.png"/><Relationship Id="rId63" Type="http://schemas.openxmlformats.org/officeDocument/2006/relationships/image" Target="media/image48.png"/><Relationship Id="rId62" Type="http://schemas.openxmlformats.org/officeDocument/2006/relationships/image" Target="media/image47.png"/><Relationship Id="rId61" Type="http://schemas.openxmlformats.org/officeDocument/2006/relationships/image" Target="media/image46.png"/><Relationship Id="rId60" Type="http://schemas.openxmlformats.org/officeDocument/2006/relationships/image" Target="media/image45.png"/><Relationship Id="rId6" Type="http://schemas.openxmlformats.org/officeDocument/2006/relationships/footer" Target="footer4.xml"/><Relationship Id="rId59" Type="http://schemas.openxmlformats.org/officeDocument/2006/relationships/image" Target="media/image44.png"/><Relationship Id="rId58" Type="http://schemas.openxmlformats.org/officeDocument/2006/relationships/image" Target="media/image43.png"/><Relationship Id="rId57" Type="http://schemas.openxmlformats.org/officeDocument/2006/relationships/image" Target="media/image42.png"/><Relationship Id="rId56" Type="http://schemas.openxmlformats.org/officeDocument/2006/relationships/image" Target="media/image41.png"/><Relationship Id="rId55" Type="http://schemas.openxmlformats.org/officeDocument/2006/relationships/image" Target="media/image40.png"/><Relationship Id="rId54" Type="http://schemas.openxmlformats.org/officeDocument/2006/relationships/image" Target="media/image39.png"/><Relationship Id="rId53" Type="http://schemas.openxmlformats.org/officeDocument/2006/relationships/image" Target="media/image38.png"/><Relationship Id="rId52" Type="http://schemas.openxmlformats.org/officeDocument/2006/relationships/image" Target="media/image37.png"/><Relationship Id="rId51" Type="http://schemas.openxmlformats.org/officeDocument/2006/relationships/image" Target="media/image36.png"/><Relationship Id="rId50" Type="http://schemas.openxmlformats.org/officeDocument/2006/relationships/image" Target="media/image35.png"/><Relationship Id="rId5" Type="http://schemas.openxmlformats.org/officeDocument/2006/relationships/footer" Target="footer3.xml"/><Relationship Id="rId49" Type="http://schemas.openxmlformats.org/officeDocument/2006/relationships/image" Target="media/image34.png"/><Relationship Id="rId48" Type="http://schemas.openxmlformats.org/officeDocument/2006/relationships/image" Target="media/image33.png"/><Relationship Id="rId47" Type="http://schemas.openxmlformats.org/officeDocument/2006/relationships/image" Target="media/image32.png"/><Relationship Id="rId46" Type="http://schemas.openxmlformats.org/officeDocument/2006/relationships/image" Target="media/image31.png"/><Relationship Id="rId45" Type="http://schemas.openxmlformats.org/officeDocument/2006/relationships/image" Target="media/image30.png"/><Relationship Id="rId44" Type="http://schemas.openxmlformats.org/officeDocument/2006/relationships/image" Target="media/image29.png"/><Relationship Id="rId43" Type="http://schemas.openxmlformats.org/officeDocument/2006/relationships/image" Target="media/image28.png"/><Relationship Id="rId42" Type="http://schemas.openxmlformats.org/officeDocument/2006/relationships/image" Target="media/image27.png"/><Relationship Id="rId41" Type="http://schemas.openxmlformats.org/officeDocument/2006/relationships/image" Target="media/image26.png"/><Relationship Id="rId40" Type="http://schemas.openxmlformats.org/officeDocument/2006/relationships/image" Target="media/image25.png"/><Relationship Id="rId4" Type="http://schemas.openxmlformats.org/officeDocument/2006/relationships/footer" Target="footer2.xml"/><Relationship Id="rId39" Type="http://schemas.openxmlformats.org/officeDocument/2006/relationships/image" Target="media/image24.png"/><Relationship Id="rId38" Type="http://schemas.openxmlformats.org/officeDocument/2006/relationships/image" Target="media/image23.png"/><Relationship Id="rId37" Type="http://schemas.openxmlformats.org/officeDocument/2006/relationships/image" Target="media/image22.png"/><Relationship Id="rId36" Type="http://schemas.openxmlformats.org/officeDocument/2006/relationships/image" Target="media/image21.png"/><Relationship Id="rId35" Type="http://schemas.openxmlformats.org/officeDocument/2006/relationships/image" Target="media/image20.png"/><Relationship Id="rId34" Type="http://schemas.openxmlformats.org/officeDocument/2006/relationships/image" Target="media/image19.png"/><Relationship Id="rId33" Type="http://schemas.openxmlformats.org/officeDocument/2006/relationships/image" Target="media/image18.png"/><Relationship Id="rId32" Type="http://schemas.openxmlformats.org/officeDocument/2006/relationships/image" Target="media/image17.png"/><Relationship Id="rId31" Type="http://schemas.openxmlformats.org/officeDocument/2006/relationships/image" Target="media/image16.png"/><Relationship Id="rId30" Type="http://schemas.openxmlformats.org/officeDocument/2006/relationships/image" Target="media/image15.png"/><Relationship Id="rId3" Type="http://schemas.openxmlformats.org/officeDocument/2006/relationships/footer" Target="footer1.xml"/><Relationship Id="rId29" Type="http://schemas.openxmlformats.org/officeDocument/2006/relationships/image" Target="media/image14.png"/><Relationship Id="rId28" Type="http://schemas.openxmlformats.org/officeDocument/2006/relationships/image" Target="media/image13.png"/><Relationship Id="rId27" Type="http://schemas.openxmlformats.org/officeDocument/2006/relationships/image" Target="media/image12.jpeg"/><Relationship Id="rId26" Type="http://schemas.openxmlformats.org/officeDocument/2006/relationships/image" Target="media/image11.jpeg"/><Relationship Id="rId25" Type="http://schemas.openxmlformats.org/officeDocument/2006/relationships/image" Target="media/image10.jpeg"/><Relationship Id="rId24" Type="http://schemas.openxmlformats.org/officeDocument/2006/relationships/image" Target="media/image9.jpeg"/><Relationship Id="rId23" Type="http://schemas.openxmlformats.org/officeDocument/2006/relationships/image" Target="media/image8.jpeg"/><Relationship Id="rId22" Type="http://schemas.openxmlformats.org/officeDocument/2006/relationships/image" Target="media/image7.png"/><Relationship Id="rId21" Type="http://schemas.openxmlformats.org/officeDocument/2006/relationships/image" Target="media/image6.emf"/><Relationship Id="rId20" Type="http://schemas.openxmlformats.org/officeDocument/2006/relationships/oleObject" Target="embeddings/oleObject3.bin"/><Relationship Id="rId2" Type="http://schemas.openxmlformats.org/officeDocument/2006/relationships/settings" Target="settings.xml"/><Relationship Id="rId19" Type="http://schemas.openxmlformats.org/officeDocument/2006/relationships/image" Target="media/image5.emf"/><Relationship Id="rId18" Type="http://schemas.openxmlformats.org/officeDocument/2006/relationships/oleObject" Target="embeddings/oleObject2.bin"/><Relationship Id="rId17" Type="http://schemas.openxmlformats.org/officeDocument/2006/relationships/image" Target="media/image4.emf"/><Relationship Id="rId16" Type="http://schemas.openxmlformats.org/officeDocument/2006/relationships/oleObject" Target="embeddings/oleObject1.bin"/><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Manager>Yu</Manager>
  <Company>-</Company>
  <Pages>126</Pages>
  <Words>46245</Words>
  <Characters>60159</Characters>
  <Lines>1</Lines>
  <Paragraphs>1</Paragraphs>
  <TotalTime>10</TotalTime>
  <ScaleCrop>false</ScaleCrop>
  <LinksUpToDate>false</LinksUpToDate>
  <CharactersWithSpaces>60781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2020-12-24T01:42:00Z</dcterms:created>
  <dc:creator>Yu</dc:creator>
  <cp:lastModifiedBy>高宇</cp:lastModifiedBy>
  <cp:lastPrinted>2021-09-16T08:57:00Z</cp:lastPrinted>
  <dcterms:modified xsi:type="dcterms:W3CDTF">2026-07-29T07:09:48Z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1C56F6CD9B894C118C3CC0966112FA35_13</vt:lpwstr>
  </property>
  <property fmtid="{D5CDD505-2E9C-101B-9397-08002B2CF9AE}" pid="4" name="KSOTemplateDocerSaveRecord">
    <vt:lpwstr>eyJoZGlkIjoiMDNmNGZiNzQwYWEyZDYyMzg1NTk2NzdiMjM1MGU0NzQiLCJ1c2VySWQiOiIxNDQ2Njk4ODcwIn0=</vt:lpwstr>
  </property>
</Properties>
</file>