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424B2">
      <w:pPr>
        <w:rPr>
          <w:rFonts w:hint="default" w:ascii="Times New Roman" w:hAnsi="Times New Roman" w:eastAsia="仿宋_GB2312" w:cs="Times New Roman"/>
          <w:color w:val="auto"/>
          <w:sz w:val="36"/>
          <w:szCs w:val="36"/>
          <w:highlight w:val="none"/>
        </w:rPr>
      </w:pPr>
    </w:p>
    <w:p w14:paraId="52E00E15">
      <w:pPr>
        <w:rPr>
          <w:rFonts w:hint="default" w:ascii="Times New Roman" w:hAnsi="Times New Roman" w:eastAsia="仿宋_GB2312" w:cs="Times New Roman"/>
          <w:color w:val="auto"/>
          <w:sz w:val="36"/>
          <w:szCs w:val="36"/>
          <w:highlight w:val="none"/>
        </w:rPr>
      </w:pPr>
    </w:p>
    <w:p w14:paraId="410A1AE0">
      <w:pPr>
        <w:pStyle w:val="11"/>
        <w:rPr>
          <w:rFonts w:hint="default" w:ascii="Times New Roman" w:hAnsi="Times New Roman" w:eastAsia="仿宋_GB2312" w:cs="Times New Roman"/>
          <w:color w:val="auto"/>
          <w:sz w:val="36"/>
          <w:szCs w:val="36"/>
          <w:highlight w:val="none"/>
        </w:rPr>
      </w:pPr>
    </w:p>
    <w:p w14:paraId="5EEC85CA">
      <w:pPr>
        <w:pStyle w:val="18"/>
        <w:numPr>
          <w:ilvl w:val="0"/>
          <w:numId w:val="0"/>
        </w:numPr>
        <w:ind w:left="1680" w:leftChars="0"/>
        <w:rPr>
          <w:rFonts w:hint="default"/>
          <w:color w:val="auto"/>
          <w:highlight w:val="none"/>
        </w:rPr>
      </w:pPr>
    </w:p>
    <w:p w14:paraId="44B12FF2">
      <w:pPr>
        <w:rPr>
          <w:rFonts w:hint="default" w:ascii="Times New Roman" w:hAnsi="Times New Roman" w:eastAsia="仿宋_GB2312" w:cs="Times New Roman"/>
          <w:color w:val="auto"/>
          <w:sz w:val="36"/>
          <w:szCs w:val="36"/>
          <w:highlight w:val="none"/>
        </w:rPr>
      </w:pPr>
    </w:p>
    <w:p w14:paraId="5E19194E">
      <w:pPr>
        <w:rPr>
          <w:rFonts w:hint="default" w:ascii="Times New Roman" w:hAnsi="Times New Roman" w:eastAsia="仿宋_GB2312" w:cs="Times New Roman"/>
          <w:color w:val="auto"/>
          <w:sz w:val="36"/>
          <w:szCs w:val="36"/>
          <w:highlight w:val="none"/>
        </w:rPr>
      </w:pPr>
    </w:p>
    <w:p w14:paraId="3C3D4573">
      <w:pPr>
        <w:adjustRightInd w:val="0"/>
        <w:snapToGrid w:val="0"/>
        <w:jc w:val="center"/>
        <w:outlineLvl w:val="0"/>
        <w:rPr>
          <w:rFonts w:hint="default" w:ascii="Times New Roman" w:hAnsi="Times New Roman" w:eastAsia="方正小标宋_GBK" w:cs="Times New Roman"/>
          <w:bCs/>
          <w:color w:val="auto"/>
          <w:sz w:val="72"/>
          <w:szCs w:val="72"/>
          <w:highlight w:val="none"/>
        </w:rPr>
      </w:pPr>
      <w:bookmarkStart w:id="0" w:name="_Toc14600"/>
      <w:bookmarkStart w:id="1" w:name="_Toc19746"/>
      <w:bookmarkStart w:id="2" w:name="_Toc5124"/>
      <w:bookmarkStart w:id="3" w:name="_Toc24499"/>
      <w:bookmarkStart w:id="4" w:name="_Toc31170"/>
      <w:bookmarkStart w:id="5" w:name="_Toc20575"/>
      <w:r>
        <w:rPr>
          <w:rFonts w:hint="default" w:ascii="Times New Roman" w:hAnsi="Times New Roman" w:eastAsia="方正小标宋_GBK" w:cs="Times New Roman"/>
          <w:bCs/>
          <w:color w:val="auto"/>
          <w:sz w:val="72"/>
          <w:szCs w:val="72"/>
          <w:highlight w:val="none"/>
        </w:rPr>
        <w:t>建设项目环境影响报告表</w:t>
      </w:r>
      <w:bookmarkEnd w:id="0"/>
      <w:bookmarkEnd w:id="1"/>
      <w:bookmarkEnd w:id="2"/>
      <w:bookmarkEnd w:id="3"/>
      <w:bookmarkEnd w:id="4"/>
      <w:bookmarkEnd w:id="5"/>
    </w:p>
    <w:p w14:paraId="440E73A0">
      <w:pPr>
        <w:adjustRightInd w:val="0"/>
        <w:snapToGrid w:val="0"/>
        <w:spacing w:beforeLines="80"/>
        <w:jc w:val="center"/>
        <w:rPr>
          <w:rFonts w:hint="default" w:ascii="Times New Roman" w:hAnsi="Times New Roman" w:eastAsia="楷体_GB2312" w:cs="Times New Roman"/>
          <w:color w:val="auto"/>
          <w:kern w:val="44"/>
          <w:sz w:val="44"/>
          <w:szCs w:val="44"/>
          <w:highlight w:val="none"/>
        </w:rPr>
      </w:pPr>
      <w:r>
        <w:rPr>
          <w:rFonts w:hint="default" w:ascii="Times New Roman" w:hAnsi="Times New Roman" w:eastAsia="楷体_GB2312" w:cs="Times New Roman"/>
          <w:bCs/>
          <w:color w:val="auto"/>
          <w:sz w:val="48"/>
          <w:szCs w:val="48"/>
          <w:highlight w:val="none"/>
        </w:rPr>
        <w:t xml:space="preserve">（污染影响类）                           </w:t>
      </w:r>
    </w:p>
    <w:p w14:paraId="50A9829E">
      <w:pPr>
        <w:jc w:val="center"/>
        <w:rPr>
          <w:rFonts w:hint="default" w:ascii="Times New Roman" w:hAnsi="Times New Roman" w:eastAsia="仿宋" w:cs="Times New Roman"/>
          <w:color w:val="auto"/>
          <w:sz w:val="52"/>
          <w:szCs w:val="52"/>
          <w:highlight w:val="none"/>
        </w:rPr>
      </w:pPr>
      <w:r>
        <w:rPr>
          <w:rFonts w:hint="default" w:ascii="Times New Roman" w:hAnsi="Times New Roman" w:eastAsia="仿宋" w:cs="Times New Roman"/>
          <w:color w:val="auto"/>
          <w:sz w:val="52"/>
          <w:szCs w:val="52"/>
          <w:highlight w:val="none"/>
        </w:rPr>
        <w:t xml:space="preserve">                                                                             </w:t>
      </w:r>
    </w:p>
    <w:p w14:paraId="1FA11942">
      <w:pPr>
        <w:ind w:firstLine="1040"/>
        <w:rPr>
          <w:rFonts w:hint="default" w:ascii="Times New Roman" w:hAnsi="Times New Roman" w:eastAsia="仿宋" w:cs="Times New Roman"/>
          <w:color w:val="auto"/>
          <w:sz w:val="28"/>
          <w:szCs w:val="28"/>
          <w:highlight w:val="none"/>
        </w:rPr>
      </w:pPr>
    </w:p>
    <w:p w14:paraId="01B6D43A">
      <w:pPr>
        <w:ind w:firstLine="1040"/>
        <w:rPr>
          <w:rFonts w:hint="eastAsia" w:ascii="Times New Roman" w:hAnsi="Times New Roman" w:eastAsia="仿宋" w:cs="Times New Roman"/>
          <w:color w:val="auto"/>
          <w:sz w:val="44"/>
          <w:szCs w:val="44"/>
          <w:highlight w:val="none"/>
          <w:lang w:eastAsia="zh-CN"/>
        </w:rPr>
      </w:pPr>
      <w:r>
        <w:rPr>
          <w:rFonts w:hint="default" w:ascii="Times New Roman" w:hAnsi="Times New Roman" w:eastAsia="仿宋" w:cs="Times New Roman"/>
          <w:color w:val="auto"/>
          <w:sz w:val="44"/>
          <w:szCs w:val="44"/>
          <w:highlight w:val="none"/>
        </w:rPr>
        <w:t xml:space="preserve">         </w:t>
      </w:r>
    </w:p>
    <w:p w14:paraId="5ECED084">
      <w:pPr>
        <w:ind w:firstLine="1040"/>
        <w:rPr>
          <w:rFonts w:hint="default" w:ascii="Times New Roman" w:hAnsi="Times New Roman" w:eastAsia="仿宋" w:cs="Times New Roman"/>
          <w:color w:val="auto"/>
          <w:sz w:val="44"/>
          <w:szCs w:val="44"/>
          <w:highlight w:val="none"/>
        </w:rPr>
      </w:pPr>
      <w:r>
        <w:rPr>
          <w:rFonts w:hint="default" w:ascii="Times New Roman" w:hAnsi="Times New Roman" w:eastAsia="仿宋" w:cs="Times New Roman"/>
          <w:color w:val="auto"/>
          <w:sz w:val="44"/>
          <w:szCs w:val="44"/>
          <w:highlight w:val="none"/>
        </w:rPr>
        <w:t xml:space="preserve">                                 </w:t>
      </w:r>
    </w:p>
    <w:p w14:paraId="2F756695">
      <w:pPr>
        <w:pStyle w:val="11"/>
        <w:rPr>
          <w:rFonts w:hint="default" w:ascii="Times New Roman" w:hAnsi="Times New Roman" w:eastAsia="仿宋_GB2312" w:cs="Times New Roman"/>
          <w:color w:val="auto"/>
          <w:sz w:val="36"/>
          <w:szCs w:val="36"/>
          <w:highlight w:val="none"/>
        </w:rPr>
      </w:pPr>
    </w:p>
    <w:p w14:paraId="76987530">
      <w:pPr>
        <w:pStyle w:val="18"/>
        <w:numPr>
          <w:ilvl w:val="0"/>
          <w:numId w:val="0"/>
        </w:numPr>
        <w:ind w:left="1680" w:leftChars="0"/>
        <w:rPr>
          <w:rFonts w:hint="default" w:ascii="Times New Roman" w:hAnsi="Times New Roman" w:cs="Times New Roman"/>
          <w:color w:val="auto"/>
          <w:highlight w:val="none"/>
        </w:rPr>
      </w:pPr>
    </w:p>
    <w:p w14:paraId="2BD323F4">
      <w:pPr>
        <w:keepNext w:val="0"/>
        <w:keepLines w:val="0"/>
        <w:pageBreakBefore w:val="0"/>
        <w:widowControl w:val="0"/>
        <w:kinsoku/>
        <w:wordWrap/>
        <w:overflowPunct/>
        <w:topLinePunct w:val="0"/>
        <w:autoSpaceDE/>
        <w:autoSpaceDN/>
        <w:bidi w:val="0"/>
        <w:adjustRightInd w:val="0"/>
        <w:snapToGrid w:val="0"/>
        <w:spacing w:line="360" w:lineRule="auto"/>
        <w:ind w:left="2039" w:leftChars="171" w:hanging="1680" w:hangingChars="800"/>
        <w:textAlignment w:val="auto"/>
        <w:rPr>
          <w:rFonts w:hint="default" w:ascii="Times New Roman" w:hAnsi="Times New Roman" w:eastAsia="仿宋_GB2312" w:cs="Times New Roman"/>
          <w:color w:val="auto"/>
          <w:sz w:val="36"/>
          <w:szCs w:val="36"/>
          <w:highlight w:val="none"/>
          <w:u w:val="single"/>
          <w:lang w:val="en-US" w:eastAsia="zh-CN"/>
        </w:rPr>
      </w:pPr>
      <w:r>
        <w:rPr>
          <w:color w:val="auto"/>
        </w:rPr>
        <w:drawing>
          <wp:anchor distT="0" distB="0" distL="114300" distR="114300" simplePos="0" relativeHeight="251698176" behindDoc="1" locked="0" layoutInCell="1" allowOverlap="1">
            <wp:simplePos x="0" y="0"/>
            <wp:positionH relativeFrom="column">
              <wp:posOffset>3792220</wp:posOffset>
            </wp:positionH>
            <wp:positionV relativeFrom="paragraph">
              <wp:posOffset>178435</wp:posOffset>
            </wp:positionV>
            <wp:extent cx="1457325" cy="1447800"/>
            <wp:effectExtent l="0" t="0" r="9525" b="0"/>
            <wp:wrapNone/>
            <wp:docPr id="1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7"/>
                    <pic:cNvPicPr>
                      <a:picLocks noChangeAspect="1"/>
                    </pic:cNvPicPr>
                  </pic:nvPicPr>
                  <pic:blipFill>
                    <a:blip r:embed="rId9"/>
                    <a:stretch>
                      <a:fillRect/>
                    </a:stretch>
                  </pic:blipFill>
                  <pic:spPr>
                    <a:xfrm>
                      <a:off x="0" y="0"/>
                      <a:ext cx="1457325" cy="1447800"/>
                    </a:xfrm>
                    <a:prstGeom prst="rect">
                      <a:avLst/>
                    </a:prstGeom>
                    <a:noFill/>
                    <a:ln>
                      <a:noFill/>
                    </a:ln>
                  </pic:spPr>
                </pic:pic>
              </a:graphicData>
            </a:graphic>
          </wp:anchor>
        </w:drawing>
      </w:r>
      <w:r>
        <w:rPr>
          <w:rFonts w:hint="default" w:ascii="Times New Roman" w:hAnsi="Times New Roman" w:eastAsia="仿宋_GB2312" w:cs="Times New Roman"/>
          <w:color w:val="auto"/>
          <w:sz w:val="36"/>
          <w:szCs w:val="36"/>
          <w:highlight w:val="none"/>
        </w:rPr>
        <w:t>项目名称：</w:t>
      </w:r>
      <w:r>
        <w:rPr>
          <w:rFonts w:hint="eastAsia" w:eastAsia="仿宋_GB2312" w:cs="Times New Roman"/>
          <w:color w:val="auto"/>
          <w:sz w:val="36"/>
          <w:szCs w:val="36"/>
          <w:highlight w:val="none"/>
          <w:u w:val="single"/>
          <w:lang w:val="en-US" w:eastAsia="zh-CN"/>
        </w:rPr>
        <w:t>鸡西市宝全煤炭销售有限公司储煤场建设项目</w:t>
      </w:r>
      <w:r>
        <w:rPr>
          <w:rFonts w:hint="default" w:ascii="Times New Roman" w:hAnsi="Times New Roman" w:eastAsia="仿宋_GB2312" w:cs="Times New Roman"/>
          <w:color w:val="auto"/>
          <w:sz w:val="36"/>
          <w:szCs w:val="36"/>
          <w:highlight w:val="none"/>
          <w:u w:val="single"/>
          <w:lang w:val="en-US" w:eastAsia="zh-CN"/>
        </w:rPr>
        <w:t xml:space="preserve">                               </w:t>
      </w:r>
    </w:p>
    <w:p w14:paraId="0D4F9F5B">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建设单位（盖章）：</w:t>
      </w:r>
      <w:r>
        <w:rPr>
          <w:rFonts w:hint="eastAsia" w:eastAsia="仿宋_GB2312" w:cs="Times New Roman"/>
          <w:color w:val="auto"/>
          <w:sz w:val="36"/>
          <w:szCs w:val="36"/>
          <w:highlight w:val="none"/>
          <w:u w:val="single"/>
          <w:lang w:val="en-US" w:eastAsia="zh-CN"/>
        </w:rPr>
        <w:t>鸡西市宝全煤炭销售有限公司</w:t>
      </w:r>
      <w:r>
        <w:rPr>
          <w:rFonts w:hint="default" w:ascii="Times New Roman" w:hAnsi="Times New Roman" w:eastAsia="仿宋_GB2312" w:cs="Times New Roman"/>
          <w:color w:val="auto"/>
          <w:sz w:val="36"/>
          <w:szCs w:val="36"/>
          <w:highlight w:val="none"/>
          <w:u w:val="single"/>
          <w:lang w:val="en-US" w:eastAsia="zh-CN"/>
        </w:rPr>
        <w:t xml:space="preserve">     </w:t>
      </w:r>
    </w:p>
    <w:p w14:paraId="00B8A132">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default" w:ascii="Times New Roman" w:hAnsi="Times New Roman" w:eastAsia="仿宋_GB2312" w:cs="Times New Roman"/>
          <w:color w:val="auto"/>
          <w:sz w:val="10"/>
          <w:szCs w:val="10"/>
          <w:highlight w:val="none"/>
          <w:u w:val="single"/>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rPr>
        <w:t>202</w:t>
      </w:r>
      <w:r>
        <w:rPr>
          <w:rFonts w:hint="eastAsia" w:eastAsia="仿宋_GB2312" w:cs="Times New Roman"/>
          <w:color w:val="auto"/>
          <w:sz w:val="36"/>
          <w:szCs w:val="36"/>
          <w:highlight w:val="none"/>
          <w:u w:val="single"/>
          <w:lang w:val="en-US" w:eastAsia="zh-CN"/>
        </w:rPr>
        <w:t>5</w:t>
      </w:r>
      <w:r>
        <w:rPr>
          <w:rFonts w:hint="default" w:ascii="Times New Roman" w:hAnsi="Times New Roman" w:eastAsia="仿宋_GB2312" w:cs="Times New Roman"/>
          <w:color w:val="auto"/>
          <w:sz w:val="36"/>
          <w:szCs w:val="36"/>
          <w:highlight w:val="none"/>
          <w:u w:val="single"/>
        </w:rPr>
        <w:t>年</w:t>
      </w:r>
      <w:r>
        <w:rPr>
          <w:rFonts w:hint="eastAsia" w:eastAsia="仿宋_GB2312" w:cs="Times New Roman"/>
          <w:color w:val="auto"/>
          <w:sz w:val="36"/>
          <w:szCs w:val="36"/>
          <w:highlight w:val="none"/>
          <w:u w:val="single"/>
          <w:lang w:val="en-US" w:eastAsia="zh-CN"/>
        </w:rPr>
        <w:t>8</w:t>
      </w:r>
      <w:r>
        <w:rPr>
          <w:rFonts w:hint="default" w:ascii="Times New Roman" w:hAnsi="Times New Roman" w:eastAsia="仿宋_GB2312" w:cs="Times New Roman"/>
          <w:color w:val="auto"/>
          <w:sz w:val="36"/>
          <w:szCs w:val="36"/>
          <w:highlight w:val="none"/>
          <w:u w:val="single"/>
        </w:rPr>
        <w:t xml:space="preserve">月        </w:t>
      </w:r>
      <w:r>
        <w:rPr>
          <w:rFonts w:hint="default" w:ascii="Times New Roman" w:hAnsi="Times New Roman" w:eastAsia="仿宋_GB2312" w:cs="Times New Roman"/>
          <w:color w:val="auto"/>
          <w:sz w:val="10"/>
          <w:szCs w:val="10"/>
          <w:highlight w:val="none"/>
          <w:u w:val="single"/>
        </w:rPr>
        <w:t xml:space="preserve">                                                                  </w:t>
      </w:r>
    </w:p>
    <w:p w14:paraId="67B1AEF0">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bookmarkStart w:id="6" w:name="_Hlk57884087"/>
    </w:p>
    <w:bookmarkEnd w:id="6"/>
    <w:p w14:paraId="09604F31">
      <w:pPr>
        <w:pStyle w:val="18"/>
        <w:numPr>
          <w:ilvl w:val="0"/>
          <w:numId w:val="0"/>
        </w:numPr>
        <w:rPr>
          <w:rFonts w:hint="default" w:ascii="Times New Roman" w:hAnsi="Times New Roman" w:eastAsia="仿宋_GB2312" w:cs="Times New Roman"/>
          <w:color w:val="auto"/>
          <w:sz w:val="36"/>
          <w:szCs w:val="36"/>
          <w:highlight w:val="none"/>
        </w:rPr>
      </w:pPr>
    </w:p>
    <w:p w14:paraId="0AC53C3D">
      <w:pPr>
        <w:pStyle w:val="18"/>
        <w:numPr>
          <w:ilvl w:val="0"/>
          <w:numId w:val="0"/>
        </w:numPr>
        <w:rPr>
          <w:rFonts w:hint="default" w:ascii="Times New Roman" w:hAnsi="Times New Roman" w:eastAsia="仿宋_GB2312" w:cs="Times New Roman"/>
          <w:color w:val="auto"/>
          <w:sz w:val="36"/>
          <w:szCs w:val="36"/>
          <w:highlight w:val="none"/>
        </w:rPr>
      </w:pPr>
    </w:p>
    <w:p w14:paraId="702A7CD5">
      <w:pPr>
        <w:adjustRightInd w:val="0"/>
        <w:snapToGrid w:val="0"/>
        <w:spacing w:line="288" w:lineRule="auto"/>
        <w:jc w:val="center"/>
        <w:rPr>
          <w:rFonts w:hint="default" w:ascii="Times New Roman" w:hAnsi="Times New Roman" w:eastAsia="楷体_GB2312" w:cs="Times New Roman"/>
          <w:color w:val="auto"/>
          <w:sz w:val="36"/>
          <w:szCs w:val="36"/>
          <w:highlight w:val="none"/>
        </w:rPr>
        <w:sectPr>
          <w:footerReference r:id="rId4" w:type="first"/>
          <w:footerReference r:id="rId3"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r>
        <w:rPr>
          <w:rFonts w:hint="default" w:ascii="Times New Roman" w:hAnsi="Times New Roman" w:eastAsia="楷体_GB2312" w:cs="Times New Roman"/>
          <w:color w:val="auto"/>
          <w:sz w:val="36"/>
          <w:szCs w:val="36"/>
          <w:highlight w:val="none"/>
        </w:rPr>
        <w:t>中华人民共和国生态环境部制</w:t>
      </w:r>
    </w:p>
    <w:p w14:paraId="74CB13B6">
      <w:pPr>
        <w:pStyle w:val="11"/>
        <w:rPr>
          <w:rFonts w:hint="eastAsia" w:eastAsia="宋体"/>
          <w:color w:val="auto"/>
          <w:lang w:eastAsia="zh-CN"/>
        </w:rPr>
        <w:sectPr>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eastAsia="宋体"/>
          <w:color w:val="auto"/>
          <w:lang w:eastAsia="zh-CN"/>
        </w:rPr>
        <w:drawing>
          <wp:anchor distT="0" distB="0" distL="114300" distR="114300" simplePos="0" relativeHeight="251697152" behindDoc="0" locked="0" layoutInCell="1" allowOverlap="1">
            <wp:simplePos x="0" y="0"/>
            <wp:positionH relativeFrom="column">
              <wp:posOffset>-1113155</wp:posOffset>
            </wp:positionH>
            <wp:positionV relativeFrom="paragraph">
              <wp:posOffset>-914400</wp:posOffset>
            </wp:positionV>
            <wp:extent cx="7531100" cy="10659745"/>
            <wp:effectExtent l="0" t="0" r="12700" b="8255"/>
            <wp:wrapNone/>
            <wp:docPr id="98" name="图片 98" descr="鸡西市宝全煤炭销售有限公司储煤场建设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鸡西市宝全煤炭销售有限公司储煤场建设项目_01"/>
                    <pic:cNvPicPr>
                      <a:picLocks noChangeAspect="1"/>
                    </pic:cNvPicPr>
                  </pic:nvPicPr>
                  <pic:blipFill>
                    <a:blip r:embed="rId10"/>
                    <a:stretch>
                      <a:fillRect/>
                    </a:stretch>
                  </pic:blipFill>
                  <pic:spPr>
                    <a:xfrm>
                      <a:off x="0" y="0"/>
                      <a:ext cx="7531100" cy="10659745"/>
                    </a:xfrm>
                    <a:prstGeom prst="rect">
                      <a:avLst/>
                    </a:prstGeom>
                  </pic:spPr>
                </pic:pic>
              </a:graphicData>
            </a:graphic>
          </wp:anchor>
        </w:drawing>
      </w:r>
    </w:p>
    <w:p w14:paraId="62AEDD96">
      <w:pPr>
        <w:keepNext w:val="0"/>
        <w:keepLines w:val="0"/>
        <w:pageBreakBefore w:val="0"/>
        <w:kinsoku/>
        <w:wordWrap/>
        <w:overflowPunct/>
        <w:topLinePunct w:val="0"/>
        <w:autoSpaceDE/>
        <w:autoSpaceDN/>
        <w:bidi w:val="0"/>
        <w:adjustRightInd/>
        <w:spacing w:line="336" w:lineRule="auto"/>
        <w:ind w:right="0"/>
        <w:jc w:val="center"/>
        <w:textAlignment w:val="auto"/>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目 录</w:t>
      </w:r>
    </w:p>
    <w:p w14:paraId="06122B13">
      <w:pPr>
        <w:pStyle w:val="11"/>
        <w:keepNext w:val="0"/>
        <w:keepLines w:val="0"/>
        <w:pageBreakBefore w:val="0"/>
        <w:kinsoku/>
        <w:wordWrap/>
        <w:overflowPunct/>
        <w:topLinePunct w:val="0"/>
        <w:autoSpaceDE/>
        <w:autoSpaceDN/>
        <w:bidi w:val="0"/>
        <w:adjustRightInd/>
        <w:spacing w:before="0" w:after="0" w:line="336" w:lineRule="auto"/>
        <w:ind w:right="0"/>
        <w:textAlignment w:val="auto"/>
        <w:rPr>
          <w:rFonts w:hint="default" w:ascii="Times New Roman" w:hAnsi="Times New Roman" w:cs="Times New Roman"/>
          <w:color w:val="auto"/>
          <w:highlight w:val="none"/>
        </w:rPr>
      </w:pPr>
    </w:p>
    <w:p w14:paraId="3609DBA2">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TOC \o "1-1" \h \u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_Toc26962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一、建设项目基本情况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_Toc26962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46753E8A">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_Toc25643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二、建设项目工程分析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_Toc25643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0FAD315F">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_Toc4837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三、区域环境质量现状、环境保护目标及评价标准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_Toc4837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14F9AFFF">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_Toc18487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四、主要环境影响和保护措施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_Toc18487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75C3380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_Toc9974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五、 环境保护措施监督检查清单</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_Toc9974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7C252D66">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_Toc27592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snapToGrid w:val="0"/>
          <w:color w:val="auto"/>
          <w:sz w:val="24"/>
          <w:szCs w:val="24"/>
          <w:highlight w:val="none"/>
        </w:rPr>
        <w:t>六、结论与建议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_Toc27592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fldChar w:fldCharType="end"/>
      </w:r>
    </w:p>
    <w:p w14:paraId="276A07F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p>
    <w:p w14:paraId="71E20D3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附表</w:t>
      </w:r>
    </w:p>
    <w:p w14:paraId="420262C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_Toc8850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bCs/>
          <w:color w:val="auto"/>
          <w:sz w:val="24"/>
          <w:szCs w:val="24"/>
          <w:highlight w:val="none"/>
        </w:rPr>
        <w:t>附表</w:t>
      </w:r>
      <w:r>
        <w:rPr>
          <w:rFonts w:hint="eastAsia"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rPr>
        <w:t xml:space="preserve"> 建设项目污染物排放量汇总表</w:t>
      </w:r>
      <w:r>
        <w:rPr>
          <w:rFonts w:hint="default" w:ascii="Times New Roman" w:hAnsi="Times New Roman" w:eastAsia="宋体" w:cs="Times New Roman"/>
          <w:color w:val="auto"/>
          <w:sz w:val="24"/>
          <w:szCs w:val="24"/>
          <w:highlight w:val="none"/>
        </w:rPr>
        <w:fldChar w:fldCharType="end"/>
      </w:r>
    </w:p>
    <w:p w14:paraId="59D9E129">
      <w:pPr>
        <w:pStyle w:val="22"/>
        <w:keepNext w:val="0"/>
        <w:keepLines w:val="0"/>
        <w:pageBreakBefore w:val="0"/>
        <w:tabs>
          <w:tab w:val="left" w:pos="5468"/>
          <w:tab w:val="clear" w:pos="9060"/>
        </w:tabs>
        <w:kinsoku/>
        <w:wordWrap/>
        <w:overflowPunct/>
        <w:topLinePunct w:val="0"/>
        <w:autoSpaceDE/>
        <w:autoSpaceDN/>
        <w:bidi w:val="0"/>
        <w:adjustRightInd/>
        <w:spacing w:line="336" w:lineRule="auto"/>
        <w:ind w:right="0"/>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ab/>
      </w:r>
    </w:p>
    <w:p w14:paraId="5AD009AF">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eastAsia="zh-CN"/>
        </w:rPr>
        <w:t>附图</w:t>
      </w:r>
    </w:p>
    <w:p w14:paraId="71D25FAB">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_Toc17578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bCs/>
          <w:color w:val="auto"/>
          <w:sz w:val="24"/>
          <w:szCs w:val="24"/>
          <w:highlight w:val="none"/>
        </w:rPr>
        <w:t xml:space="preserve">附图1 </w:t>
      </w:r>
      <w:r>
        <w:rPr>
          <w:rFonts w:hint="default" w:ascii="Times New Roman" w:hAnsi="Times New Roman" w:eastAsia="宋体" w:cs="Times New Roman"/>
          <w:bCs/>
          <w:color w:val="auto"/>
          <w:sz w:val="24"/>
          <w:szCs w:val="24"/>
          <w:highlight w:val="none"/>
          <w:lang w:eastAsia="zh-CN"/>
        </w:rPr>
        <w:t>鸡西市环境</w:t>
      </w:r>
      <w:r>
        <w:rPr>
          <w:rFonts w:hint="default" w:ascii="Times New Roman" w:hAnsi="Times New Roman" w:eastAsia="宋体" w:cs="Times New Roman"/>
          <w:bCs/>
          <w:color w:val="auto"/>
          <w:sz w:val="24"/>
          <w:szCs w:val="24"/>
          <w:highlight w:val="none"/>
        </w:rPr>
        <w:t>管控单元分布图</w:t>
      </w:r>
      <w:r>
        <w:rPr>
          <w:rFonts w:hint="default" w:ascii="Times New Roman" w:hAnsi="Times New Roman" w:eastAsia="宋体" w:cs="Times New Roman"/>
          <w:color w:val="auto"/>
          <w:sz w:val="24"/>
          <w:szCs w:val="24"/>
          <w:highlight w:val="none"/>
        </w:rPr>
        <w:fldChar w:fldCharType="end"/>
      </w:r>
    </w:p>
    <w:p w14:paraId="25046A3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_Toc15524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bCs/>
          <w:color w:val="auto"/>
          <w:sz w:val="24"/>
          <w:szCs w:val="24"/>
          <w:highlight w:val="none"/>
        </w:rPr>
        <w:t>附图2地理位置</w:t>
      </w:r>
      <w:r>
        <w:rPr>
          <w:rFonts w:hint="default" w:ascii="Times New Roman" w:hAnsi="Times New Roman" w:eastAsia="宋体" w:cs="Times New Roman"/>
          <w:bCs/>
          <w:color w:val="auto"/>
          <w:sz w:val="24"/>
          <w:szCs w:val="24"/>
          <w:highlight w:val="none"/>
          <w:lang w:eastAsia="zh-CN"/>
        </w:rPr>
        <w:t>图</w:t>
      </w:r>
      <w:r>
        <w:rPr>
          <w:rFonts w:hint="default" w:ascii="Times New Roman" w:hAnsi="Times New Roman" w:eastAsia="宋体" w:cs="Times New Roman"/>
          <w:color w:val="auto"/>
          <w:sz w:val="24"/>
          <w:szCs w:val="24"/>
          <w:highlight w:val="none"/>
        </w:rPr>
        <w:fldChar w:fldCharType="end"/>
      </w:r>
    </w:p>
    <w:p w14:paraId="3C21E0D1">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_Toc11346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 xml:space="preserve">附图3 </w:t>
      </w:r>
      <w:r>
        <w:rPr>
          <w:rFonts w:hint="default" w:ascii="Times New Roman" w:hAnsi="Times New Roman" w:eastAsia="宋体" w:cs="Times New Roman"/>
          <w:color w:val="auto"/>
          <w:sz w:val="24"/>
          <w:szCs w:val="24"/>
          <w:highlight w:val="none"/>
          <w:lang w:val="en-US" w:eastAsia="zh-CN"/>
        </w:rPr>
        <w:t>鸡西市中心城区声环境功能区划分图</w:t>
      </w:r>
    </w:p>
    <w:p w14:paraId="1499771F">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附图</w:t>
      </w:r>
      <w:r>
        <w:rPr>
          <w:rFonts w:hint="eastAsia" w:ascii="Times New Roman" w:hAnsi="Times New Roman" w:cs="Times New Roman"/>
          <w:color w:val="auto"/>
          <w:sz w:val="24"/>
          <w:szCs w:val="24"/>
          <w:highlight w:val="none"/>
          <w:lang w:val="en-US" w:eastAsia="zh-CN"/>
        </w:rPr>
        <w:t xml:space="preserve">4 </w:t>
      </w:r>
      <w:r>
        <w:rPr>
          <w:rFonts w:hint="default" w:ascii="Times New Roman" w:hAnsi="Times New Roman" w:eastAsia="宋体" w:cs="Times New Roman"/>
          <w:color w:val="auto"/>
          <w:sz w:val="24"/>
          <w:szCs w:val="24"/>
          <w:highlight w:val="none"/>
        </w:rPr>
        <w:t>周边关系照片</w:t>
      </w:r>
      <w:r>
        <w:rPr>
          <w:rFonts w:hint="default" w:ascii="Times New Roman" w:hAnsi="Times New Roman" w:eastAsia="宋体" w:cs="Times New Roman"/>
          <w:color w:val="auto"/>
          <w:sz w:val="24"/>
          <w:szCs w:val="24"/>
          <w:highlight w:val="none"/>
        </w:rPr>
        <w:fldChar w:fldCharType="end"/>
      </w:r>
    </w:p>
    <w:p w14:paraId="475E41CF">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_Toc16131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附图</w:t>
      </w:r>
      <w:r>
        <w:rPr>
          <w:rFonts w:hint="eastAsia"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平面布置</w:t>
      </w:r>
      <w:r>
        <w:rPr>
          <w:rFonts w:hint="default" w:ascii="Times New Roman" w:hAnsi="Times New Roman" w:eastAsia="宋体" w:cs="Times New Roman"/>
          <w:color w:val="auto"/>
          <w:sz w:val="24"/>
          <w:szCs w:val="24"/>
          <w:highlight w:val="none"/>
          <w:lang w:eastAsia="zh-CN"/>
        </w:rPr>
        <w:t>图</w:t>
      </w:r>
      <w:r>
        <w:rPr>
          <w:rFonts w:hint="default" w:ascii="Times New Roman" w:hAnsi="Times New Roman" w:eastAsia="宋体" w:cs="Times New Roman"/>
          <w:color w:val="auto"/>
          <w:sz w:val="24"/>
          <w:szCs w:val="24"/>
          <w:highlight w:val="none"/>
        </w:rPr>
        <w:fldChar w:fldCharType="end"/>
      </w:r>
    </w:p>
    <w:p w14:paraId="4AA498F4">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_Toc655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bCs/>
          <w:color w:val="auto"/>
          <w:sz w:val="24"/>
          <w:szCs w:val="24"/>
          <w:highlight w:val="none"/>
        </w:rPr>
        <w:t>附图</w:t>
      </w:r>
      <w:r>
        <w:rPr>
          <w:rFonts w:hint="eastAsia" w:ascii="Times New Roman" w:hAnsi="Times New Roman" w:cs="Times New Roman"/>
          <w:bCs/>
          <w:color w:val="auto"/>
          <w:sz w:val="24"/>
          <w:szCs w:val="24"/>
          <w:highlight w:val="none"/>
          <w:lang w:val="en-US" w:eastAsia="zh-CN"/>
        </w:rPr>
        <w:t>6</w:t>
      </w:r>
      <w:r>
        <w:rPr>
          <w:rFonts w:hint="default" w:ascii="Times New Roman" w:hAnsi="Times New Roman" w:eastAsia="宋体" w:cs="Times New Roman"/>
          <w:color w:val="auto"/>
          <w:sz w:val="24"/>
          <w:szCs w:val="24"/>
          <w:highlight w:val="none"/>
        </w:rPr>
        <w:fldChar w:fldCharType="end"/>
      </w:r>
      <w:r>
        <w:rPr>
          <w:rFonts w:hint="eastAsia" w:ascii="Times New Roman" w:hAnsi="Times New Roman" w:cs="Times New Roman"/>
          <w:color w:val="auto"/>
          <w:sz w:val="24"/>
          <w:szCs w:val="24"/>
          <w:highlight w:val="none"/>
          <w:lang w:val="en-US" w:eastAsia="zh-CN"/>
        </w:rPr>
        <w:t xml:space="preserve"> 引用环境空气质量现状监测点位与本项目位置关系图</w:t>
      </w:r>
    </w:p>
    <w:p w14:paraId="4656826D">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_Toc17023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bCs/>
          <w:color w:val="auto"/>
          <w:sz w:val="24"/>
          <w:szCs w:val="24"/>
          <w:highlight w:val="none"/>
        </w:rPr>
        <w:t>附图</w:t>
      </w:r>
      <w:r>
        <w:rPr>
          <w:rFonts w:hint="eastAsia" w:cs="Times New Roman"/>
          <w:bCs/>
          <w:color w:val="auto"/>
          <w:sz w:val="24"/>
          <w:szCs w:val="24"/>
          <w:highlight w:val="none"/>
          <w:lang w:val="en-US" w:eastAsia="zh-CN"/>
        </w:rPr>
        <w:t>7</w:t>
      </w:r>
      <w:r>
        <w:rPr>
          <w:rFonts w:hint="default" w:ascii="Times New Roman" w:hAnsi="Times New Roman" w:eastAsia="宋体" w:cs="Times New Roman"/>
          <w:bCs/>
          <w:color w:val="auto"/>
          <w:sz w:val="24"/>
          <w:szCs w:val="24"/>
          <w:highlight w:val="none"/>
        </w:rPr>
        <w:t xml:space="preserve"> </w:t>
      </w:r>
      <w:r>
        <w:rPr>
          <w:rFonts w:hint="default" w:ascii="Times New Roman" w:hAnsi="Times New Roman" w:eastAsia="宋体" w:cs="Times New Roman"/>
          <w:bCs/>
          <w:color w:val="auto"/>
          <w:kern w:val="21"/>
          <w:sz w:val="24"/>
          <w:szCs w:val="24"/>
          <w:highlight w:val="none"/>
        </w:rPr>
        <w:t>评价范围及环境敏感目标示意图</w:t>
      </w:r>
      <w:r>
        <w:rPr>
          <w:rFonts w:hint="default" w:ascii="Times New Roman" w:hAnsi="Times New Roman" w:eastAsia="宋体" w:cs="Times New Roman"/>
          <w:color w:val="auto"/>
          <w:sz w:val="24"/>
          <w:szCs w:val="24"/>
          <w:highlight w:val="none"/>
        </w:rPr>
        <w:fldChar w:fldCharType="end"/>
      </w:r>
    </w:p>
    <w:p w14:paraId="308A5D47">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fldChar w:fldCharType="begin"/>
      </w:r>
      <w:r>
        <w:rPr>
          <w:rFonts w:hint="default" w:ascii="Times New Roman" w:hAnsi="Times New Roman" w:eastAsia="宋体" w:cs="Times New Roman"/>
          <w:color w:val="auto"/>
          <w:sz w:val="24"/>
          <w:szCs w:val="24"/>
          <w:highlight w:val="none"/>
          <w:lang w:eastAsia="zh-CN"/>
        </w:rPr>
        <w:instrText xml:space="preserve"> HYPERLINK \l _Toc24246 </w:instrText>
      </w:r>
      <w:r>
        <w:rPr>
          <w:rFonts w:hint="default" w:ascii="Times New Roman" w:hAnsi="Times New Roman" w:eastAsia="宋体" w:cs="Times New Roman"/>
          <w:color w:val="auto"/>
          <w:sz w:val="24"/>
          <w:szCs w:val="24"/>
          <w:highlight w:val="none"/>
          <w:lang w:eastAsia="zh-CN"/>
        </w:rPr>
        <w:fldChar w:fldCharType="separate"/>
      </w:r>
      <w:r>
        <w:rPr>
          <w:rFonts w:hint="default" w:ascii="Times New Roman" w:hAnsi="Times New Roman" w:eastAsia="宋体" w:cs="Times New Roman"/>
          <w:color w:val="auto"/>
          <w:sz w:val="24"/>
          <w:szCs w:val="24"/>
          <w:highlight w:val="none"/>
          <w:lang w:eastAsia="zh-CN"/>
        </w:rPr>
        <w:t>附图</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eastAsia="zh-CN"/>
        </w:rPr>
        <w:t xml:space="preserve"> 分区防渗图</w:t>
      </w:r>
      <w:r>
        <w:rPr>
          <w:rFonts w:hint="default" w:ascii="Times New Roman" w:hAnsi="Times New Roman" w:eastAsia="宋体" w:cs="Times New Roman"/>
          <w:color w:val="auto"/>
          <w:sz w:val="24"/>
          <w:szCs w:val="24"/>
          <w:highlight w:val="none"/>
          <w:lang w:eastAsia="zh-CN"/>
        </w:rPr>
        <w:fldChar w:fldCharType="end"/>
      </w:r>
    </w:p>
    <w:p w14:paraId="65C3D96E">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附图</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 xml:space="preserve"> 本项目500m范围内全部搬迁现场照片</w:t>
      </w:r>
    </w:p>
    <w:p w14:paraId="6F2A4285">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b/>
          <w:bCs/>
          <w:color w:val="auto"/>
          <w:sz w:val="24"/>
          <w:szCs w:val="24"/>
          <w:highlight w:val="none"/>
          <w:lang w:val="en-US" w:eastAsia="zh-CN"/>
        </w:rPr>
      </w:pPr>
    </w:p>
    <w:p w14:paraId="49A4E775">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附件</w:t>
      </w:r>
    </w:p>
    <w:p w14:paraId="370A6C47">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_Toc25212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 xml:space="preserve">附件1 </w:t>
      </w:r>
      <w:r>
        <w:rPr>
          <w:rFonts w:hint="default" w:ascii="Times New Roman" w:hAnsi="Times New Roman" w:eastAsia="宋体" w:cs="Times New Roman"/>
          <w:color w:val="auto"/>
          <w:sz w:val="24"/>
          <w:szCs w:val="24"/>
          <w:highlight w:val="none"/>
          <w:lang w:eastAsia="zh-CN"/>
        </w:rPr>
        <w:t>营业执照</w:t>
      </w:r>
      <w:r>
        <w:rPr>
          <w:rFonts w:hint="default" w:ascii="Times New Roman" w:hAnsi="Times New Roman" w:eastAsia="宋体" w:cs="Times New Roman"/>
          <w:color w:val="auto"/>
          <w:sz w:val="24"/>
          <w:szCs w:val="24"/>
          <w:highlight w:val="none"/>
        </w:rPr>
        <w:fldChar w:fldCharType="end"/>
      </w:r>
    </w:p>
    <w:p w14:paraId="1C3023D7">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附件</w:t>
      </w:r>
      <w:r>
        <w:rPr>
          <w:rFonts w:hint="default" w:ascii="Times New Roman" w:hAnsi="Times New Roman" w:eastAsia="宋体" w:cs="Times New Roman"/>
          <w:color w:val="auto"/>
          <w:sz w:val="24"/>
          <w:szCs w:val="24"/>
          <w:highlight w:val="none"/>
          <w:lang w:val="en-US" w:eastAsia="zh-CN"/>
        </w:rPr>
        <w:t>2 用地性质证明</w:t>
      </w:r>
    </w:p>
    <w:p w14:paraId="54F94FB4">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附件</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土地租赁协议书</w:t>
      </w:r>
    </w:p>
    <w:p w14:paraId="6789A458">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附件4 生活污水委托处置协议</w:t>
      </w:r>
    </w:p>
    <w:p w14:paraId="2B570E0A">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\l _Toc12124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附件</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lang w:eastAsia="zh-CN"/>
        </w:rPr>
        <w:t>引用</w:t>
      </w:r>
      <w:r>
        <w:rPr>
          <w:rFonts w:hint="default" w:ascii="Times New Roman" w:hAnsi="Times New Roman" w:eastAsia="宋体" w:cs="Times New Roman"/>
          <w:color w:val="auto"/>
          <w:sz w:val="24"/>
          <w:szCs w:val="24"/>
          <w:highlight w:val="none"/>
        </w:rPr>
        <w:t>检测报告</w:t>
      </w:r>
      <w:r>
        <w:rPr>
          <w:rFonts w:hint="default" w:ascii="Times New Roman" w:hAnsi="Times New Roman" w:eastAsia="宋体" w:cs="Times New Roman"/>
          <w:color w:val="auto"/>
          <w:sz w:val="24"/>
          <w:szCs w:val="24"/>
          <w:highlight w:val="none"/>
        </w:rPr>
        <w:fldChar w:fldCharType="end"/>
      </w:r>
    </w:p>
    <w:p w14:paraId="6E03DD50">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附件</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 xml:space="preserve"> 生态环境分区管控分析报告 </w:t>
      </w:r>
    </w:p>
    <w:p w14:paraId="2A91EEFC">
      <w:pPr>
        <w:pStyle w:val="22"/>
        <w:keepNext w:val="0"/>
        <w:keepLines w:val="0"/>
        <w:pageBreakBefore w:val="0"/>
        <w:tabs>
          <w:tab w:val="right" w:leader="dot" w:pos="8306"/>
          <w:tab w:val="clear" w:pos="9060"/>
        </w:tabs>
        <w:kinsoku/>
        <w:wordWrap/>
        <w:overflowPunct/>
        <w:topLinePunct w:val="0"/>
        <w:autoSpaceDE/>
        <w:autoSpaceDN/>
        <w:bidi w:val="0"/>
        <w:adjustRightInd/>
        <w:spacing w:line="336" w:lineRule="auto"/>
        <w:ind w:right="0"/>
        <w:textAlignment w:val="auto"/>
        <w:rPr>
          <w:rFonts w:hint="default" w:ascii="Times New Roman" w:hAnsi="Times New Roman" w:eastAsia="宋体" w:cs="Times New Roman"/>
          <w:color w:val="auto"/>
          <w:sz w:val="24"/>
          <w:szCs w:val="24"/>
          <w:highlight w:val="none"/>
        </w:rPr>
      </w:pPr>
    </w:p>
    <w:p w14:paraId="4662E628">
      <w:pPr>
        <w:pStyle w:val="18"/>
        <w:keepNext w:val="0"/>
        <w:keepLines w:val="0"/>
        <w:pageBreakBefore w:val="0"/>
        <w:numPr>
          <w:ilvl w:val="0"/>
          <w:numId w:val="0"/>
        </w:numPr>
        <w:kinsoku/>
        <w:wordWrap/>
        <w:overflowPunct/>
        <w:topLinePunct w:val="0"/>
        <w:autoSpaceDE/>
        <w:autoSpaceDN/>
        <w:bidi w:val="0"/>
        <w:adjustRightInd/>
        <w:spacing w:line="336" w:lineRule="auto"/>
        <w:ind w:right="0"/>
        <w:textAlignment w:val="auto"/>
        <w:rPr>
          <w:rFonts w:hint="default" w:ascii="Times New Roman" w:hAnsi="Times New Roman" w:cs="Times New Roman"/>
          <w:b w:val="0"/>
          <w:bCs w:val="0"/>
          <w:color w:val="auto"/>
          <w:sz w:val="24"/>
          <w:highlight w:val="none"/>
          <w:lang w:val="en-US" w:eastAsia="zh-CN"/>
        </w:rPr>
      </w:pPr>
      <w:r>
        <w:rPr>
          <w:rFonts w:hint="default" w:ascii="Times New Roman" w:hAnsi="Times New Roman" w:eastAsia="宋体" w:cs="Times New Roman"/>
          <w:color w:val="auto"/>
          <w:sz w:val="24"/>
          <w:szCs w:val="24"/>
          <w:highlight w:val="none"/>
        </w:rPr>
        <w:fldChar w:fldCharType="end"/>
      </w:r>
    </w:p>
    <w:p w14:paraId="27CB25CC">
      <w:pPr>
        <w:spacing w:line="360" w:lineRule="auto"/>
        <w:rPr>
          <w:rFonts w:hint="eastAsia" w:ascii="Times New Roman" w:hAnsi="Times New Roman" w:eastAsia="宋体" w:cs="Times New Roman"/>
          <w:b w:val="0"/>
          <w:bCs w:val="0"/>
          <w:color w:val="auto"/>
          <w:sz w:val="24"/>
          <w:highlight w:val="none"/>
          <w:lang w:eastAsia="zh-CN"/>
        </w:rPr>
        <w:sectPr>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5DB3500C">
      <w:pPr>
        <w:pStyle w:val="27"/>
        <w:jc w:val="center"/>
        <w:outlineLvl w:val="0"/>
        <w:rPr>
          <w:rFonts w:hint="default" w:ascii="Times New Roman" w:hAnsi="Times New Roman" w:eastAsia="黑体" w:cs="Times New Roman"/>
          <w:snapToGrid w:val="0"/>
          <w:color w:val="auto"/>
          <w:sz w:val="30"/>
          <w:szCs w:val="30"/>
          <w:highlight w:val="none"/>
        </w:rPr>
      </w:pPr>
      <w:bookmarkStart w:id="7" w:name="_Toc26962"/>
      <w:r>
        <w:rPr>
          <w:rFonts w:hint="default" w:ascii="Times New Roman" w:hAnsi="Times New Roman" w:eastAsia="黑体" w:cs="Times New Roman"/>
          <w:snapToGrid w:val="0"/>
          <w:color w:val="auto"/>
          <w:sz w:val="30"/>
          <w:szCs w:val="30"/>
          <w:highlight w:val="none"/>
        </w:rPr>
        <w:t>一、建设项目基本情况</w:t>
      </w:r>
      <w:bookmarkEnd w:id="7"/>
    </w:p>
    <w:tbl>
      <w:tblPr>
        <w:tblStyle w:val="31"/>
        <w:tblW w:w="52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00"/>
        <w:gridCol w:w="2441"/>
        <w:gridCol w:w="1897"/>
        <w:gridCol w:w="2891"/>
      </w:tblGrid>
      <w:tr w14:paraId="4E723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906" w:type="pct"/>
            <w:tcMar>
              <w:top w:w="16" w:type="dxa"/>
              <w:left w:w="16" w:type="dxa"/>
              <w:right w:w="16" w:type="dxa"/>
            </w:tcMar>
            <w:vAlign w:val="center"/>
          </w:tcPr>
          <w:p w14:paraId="723DD72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4093" w:type="pct"/>
            <w:gridSpan w:val="3"/>
            <w:vAlign w:val="center"/>
          </w:tcPr>
          <w:p w14:paraId="68782606">
            <w:pPr>
              <w:adjustRightInd w:val="0"/>
              <w:snapToGrid w:val="0"/>
              <w:jc w:val="center"/>
              <w:rPr>
                <w:rFonts w:hint="default" w:ascii="Times New Roman" w:hAnsi="Times New Roman" w:cs="Times New Roman"/>
                <w:color w:val="auto"/>
                <w:sz w:val="24"/>
                <w:highlight w:val="none"/>
              </w:rPr>
            </w:pPr>
            <w:r>
              <w:rPr>
                <w:rFonts w:hint="eastAsia" w:cs="Times New Roman"/>
                <w:color w:val="auto"/>
                <w:sz w:val="24"/>
                <w:highlight w:val="none"/>
                <w:lang w:val="en-US" w:eastAsia="zh-CN"/>
              </w:rPr>
              <w:t>鸡西市宝全煤炭销售有限公司储煤场建设项目</w:t>
            </w:r>
          </w:p>
        </w:tc>
      </w:tr>
      <w:tr w14:paraId="7ED05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906" w:type="pct"/>
            <w:tcMar>
              <w:top w:w="16" w:type="dxa"/>
              <w:left w:w="16" w:type="dxa"/>
              <w:right w:w="16" w:type="dxa"/>
            </w:tcMar>
            <w:vAlign w:val="center"/>
          </w:tcPr>
          <w:p w14:paraId="334A3A7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4093" w:type="pct"/>
            <w:gridSpan w:val="3"/>
            <w:vAlign w:val="center"/>
          </w:tcPr>
          <w:p w14:paraId="1663322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w:t>
            </w:r>
          </w:p>
        </w:tc>
      </w:tr>
      <w:tr w14:paraId="62EA6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906" w:type="pct"/>
            <w:tcMar>
              <w:top w:w="16" w:type="dxa"/>
              <w:left w:w="16" w:type="dxa"/>
              <w:right w:w="16" w:type="dxa"/>
            </w:tcMar>
            <w:vAlign w:val="center"/>
          </w:tcPr>
          <w:p w14:paraId="7E5C280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1382" w:type="pct"/>
            <w:vAlign w:val="center"/>
          </w:tcPr>
          <w:p w14:paraId="2615FE84">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李宝全</w:t>
            </w:r>
          </w:p>
        </w:tc>
        <w:tc>
          <w:tcPr>
            <w:tcW w:w="1074" w:type="pct"/>
            <w:vAlign w:val="center"/>
          </w:tcPr>
          <w:p w14:paraId="1ABBDFE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联系方式</w:t>
            </w:r>
          </w:p>
        </w:tc>
        <w:tc>
          <w:tcPr>
            <w:tcW w:w="1637" w:type="pct"/>
            <w:vAlign w:val="center"/>
          </w:tcPr>
          <w:p w14:paraId="528C914F">
            <w:pPr>
              <w:adjustRightInd w:val="0"/>
              <w:snapToGrid w:val="0"/>
              <w:jc w:val="center"/>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lang w:val="en-US"/>
              </w:rPr>
              <w:t>13945837847</w:t>
            </w:r>
          </w:p>
        </w:tc>
      </w:tr>
      <w:tr w14:paraId="751AC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906" w:type="pct"/>
            <w:tcMar>
              <w:top w:w="16" w:type="dxa"/>
              <w:left w:w="16" w:type="dxa"/>
              <w:right w:w="16" w:type="dxa"/>
            </w:tcMar>
            <w:vAlign w:val="center"/>
          </w:tcPr>
          <w:p w14:paraId="289FC2B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4093" w:type="pct"/>
            <w:gridSpan w:val="3"/>
            <w:vAlign w:val="center"/>
          </w:tcPr>
          <w:p w14:paraId="29801621">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zh-CN" w:eastAsia="zh-CN"/>
              </w:rPr>
              <w:t>黑龙江省鸡西市恒山区红旗乡民乐村004乡道北侧</w:t>
            </w:r>
          </w:p>
        </w:tc>
      </w:tr>
      <w:tr w14:paraId="092E6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906" w:type="pct"/>
            <w:tcMar>
              <w:top w:w="16" w:type="dxa"/>
              <w:left w:w="16" w:type="dxa"/>
              <w:right w:w="16" w:type="dxa"/>
            </w:tcMar>
            <w:vAlign w:val="center"/>
          </w:tcPr>
          <w:p w14:paraId="0D29D83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4093" w:type="pct"/>
            <w:gridSpan w:val="3"/>
            <w:vAlign w:val="center"/>
          </w:tcPr>
          <w:p w14:paraId="1D43F516">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1</w:t>
            </w:r>
            <w:r>
              <w:rPr>
                <w:rFonts w:hint="default" w:ascii="Times New Roman" w:hAnsi="Times New Roman" w:cs="Times New Roman"/>
                <w:color w:val="auto"/>
                <w:sz w:val="24"/>
                <w:highlight w:val="none"/>
                <w:u w:val="single"/>
                <w:lang w:val="en-US" w:eastAsia="zh-CN"/>
              </w:rPr>
              <w:t>30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5</w:t>
            </w:r>
            <w:r>
              <w:rPr>
                <w:rFonts w:hint="eastAsia" w:cs="Times New Roman"/>
                <w:color w:val="auto"/>
                <w:sz w:val="24"/>
                <w:highlight w:val="none"/>
                <w:u w:val="single"/>
                <w:lang w:val="en-US" w:eastAsia="zh-CN"/>
              </w:rPr>
              <w:t>5</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56.988</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秒，</w:t>
            </w:r>
            <w:r>
              <w:rPr>
                <w:rFonts w:hint="default" w:ascii="Times New Roman" w:hAnsi="Times New Roman" w:cs="Times New Roman"/>
                <w:color w:val="auto"/>
                <w:sz w:val="24"/>
                <w:highlight w:val="none"/>
                <w:u w:val="single"/>
              </w:rPr>
              <w:t xml:space="preserve"> 4</w:t>
            </w:r>
            <w:r>
              <w:rPr>
                <w:rFonts w:hint="default" w:ascii="Times New Roman" w:hAnsi="Times New Roman" w:cs="Times New Roman"/>
                <w:color w:val="auto"/>
                <w:sz w:val="24"/>
                <w:highlight w:val="none"/>
                <w:u w:val="single"/>
                <w:lang w:val="en-US" w:eastAsia="zh-CN"/>
              </w:rPr>
              <w:t>5</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13</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31.346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秒）</w:t>
            </w:r>
          </w:p>
        </w:tc>
      </w:tr>
      <w:tr w14:paraId="66266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4" w:hRule="atLeast"/>
          <w:jc w:val="center"/>
        </w:trPr>
        <w:tc>
          <w:tcPr>
            <w:tcW w:w="906" w:type="pct"/>
            <w:tcMar>
              <w:top w:w="16" w:type="dxa"/>
              <w:left w:w="16" w:type="dxa"/>
              <w:right w:w="16" w:type="dxa"/>
            </w:tcMar>
            <w:vAlign w:val="center"/>
          </w:tcPr>
          <w:p w14:paraId="485E02BE">
            <w:pPr>
              <w:keepNext w:val="0"/>
              <w:keepLines w:val="0"/>
              <w:pageBreakBefore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1933EF44">
            <w:pPr>
              <w:keepNext w:val="0"/>
              <w:keepLines w:val="0"/>
              <w:pageBreakBefore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1382" w:type="pct"/>
            <w:vAlign w:val="center"/>
          </w:tcPr>
          <w:p w14:paraId="527638E7">
            <w:pPr>
              <w:pStyle w:val="11"/>
              <w:keepNext w:val="0"/>
              <w:keepLines w:val="0"/>
              <w:pageBreakBefore w:val="0"/>
              <w:kinsoku/>
              <w:wordWrap/>
              <w:overflowPunct/>
              <w:topLinePunct w:val="0"/>
              <w:autoSpaceDE/>
              <w:autoSpaceDN/>
              <w:bidi w:val="0"/>
              <w:snapToGrid w:val="0"/>
              <w:spacing w:before="0" w:after="0" w:line="240" w:lineRule="auto"/>
              <w:ind w:right="0"/>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B0610</w:t>
            </w:r>
            <w:r>
              <w:rPr>
                <w:rFonts w:hint="default" w:ascii="Times New Roman" w:hAnsi="Times New Roman" w:eastAsia="宋体" w:cs="Times New Roman"/>
                <w:color w:val="auto"/>
                <w:sz w:val="24"/>
                <w:highlight w:val="none"/>
              </w:rPr>
              <w:t>烟煤和无烟煤开采洗选</w:t>
            </w:r>
          </w:p>
        </w:tc>
        <w:tc>
          <w:tcPr>
            <w:tcW w:w="1074" w:type="pct"/>
            <w:vAlign w:val="center"/>
          </w:tcPr>
          <w:p w14:paraId="3E687B96">
            <w:pPr>
              <w:adjustRightInd w:val="0"/>
              <w:snapToGrid w:val="0"/>
              <w:jc w:val="center"/>
              <w:rPr>
                <w:rFonts w:hint="default" w:ascii="Times New Roman" w:hAnsi="Times New Roman" w:cs="Times New Roman"/>
                <w:color w:val="auto"/>
                <w:kern w:val="0"/>
                <w:sz w:val="24"/>
                <w:highlight w:val="none"/>
              </w:rPr>
            </w:pPr>
            <w:bookmarkStart w:id="8" w:name="_Hlk49843745"/>
            <w:r>
              <w:rPr>
                <w:rFonts w:hint="default" w:ascii="Times New Roman" w:hAnsi="Times New Roman" w:cs="Times New Roman"/>
                <w:color w:val="auto"/>
                <w:kern w:val="0"/>
                <w:sz w:val="24"/>
                <w:highlight w:val="none"/>
              </w:rPr>
              <w:t>建设项目</w:t>
            </w:r>
          </w:p>
          <w:p w14:paraId="579DCDAB">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行业类别</w:t>
            </w:r>
            <w:bookmarkEnd w:id="8"/>
          </w:p>
        </w:tc>
        <w:tc>
          <w:tcPr>
            <w:tcW w:w="1637" w:type="pct"/>
            <w:vAlign w:val="center"/>
          </w:tcPr>
          <w:p w14:paraId="71411BF9">
            <w:pPr>
              <w:numPr>
                <w:ilvl w:val="0"/>
                <w:numId w:val="0"/>
              </w:num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四、</w:t>
            </w:r>
            <w:r>
              <w:rPr>
                <w:rFonts w:hint="default" w:ascii="Times New Roman" w:hAnsi="Times New Roman" w:eastAsia="宋体" w:cs="Times New Roman"/>
                <w:color w:val="auto"/>
                <w:sz w:val="24"/>
                <w:highlight w:val="none"/>
              </w:rPr>
              <w:t>煤炭开采和洗选业</w:t>
            </w:r>
            <w:r>
              <w:rPr>
                <w:rFonts w:hint="default"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06</w:t>
            </w:r>
          </w:p>
          <w:p w14:paraId="6DB41120">
            <w:pPr>
              <w:numPr>
                <w:ilvl w:val="0"/>
                <w:numId w:val="0"/>
              </w:numPr>
              <w:adjustRightInd w:val="0"/>
              <w:snapToGrid w:val="0"/>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烟煤和无烟煤开采洗选 061煤炭储存、集运</w:t>
            </w:r>
          </w:p>
        </w:tc>
      </w:tr>
      <w:tr w14:paraId="7C7C2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906" w:type="pct"/>
            <w:tcMar>
              <w:top w:w="16" w:type="dxa"/>
              <w:left w:w="16" w:type="dxa"/>
              <w:right w:w="16" w:type="dxa"/>
            </w:tcMar>
            <w:vAlign w:val="center"/>
          </w:tcPr>
          <w:p w14:paraId="6CF2B85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w:t>
            </w:r>
          </w:p>
        </w:tc>
        <w:tc>
          <w:tcPr>
            <w:tcW w:w="1382" w:type="pct"/>
            <w:vAlign w:val="center"/>
          </w:tcPr>
          <w:p w14:paraId="6E289A9B">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新建（迁建）</w:t>
            </w:r>
          </w:p>
          <w:p w14:paraId="1DB612A8">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改建</w:t>
            </w:r>
          </w:p>
          <w:p w14:paraId="3ED353F1">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扩建</w:t>
            </w:r>
          </w:p>
          <w:p w14:paraId="38DA30D8">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□技术改造</w:t>
            </w:r>
          </w:p>
        </w:tc>
        <w:tc>
          <w:tcPr>
            <w:tcW w:w="1074" w:type="pct"/>
            <w:vAlign w:val="center"/>
          </w:tcPr>
          <w:p w14:paraId="6BB6A3F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529619E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1637" w:type="pct"/>
            <w:vAlign w:val="center"/>
          </w:tcPr>
          <w:p w14:paraId="3EB28427">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☑首次申报项目             </w:t>
            </w:r>
          </w:p>
          <w:p w14:paraId="73C1B04A">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□不予批准后再次申报项目</w:t>
            </w:r>
          </w:p>
          <w:p w14:paraId="79D2FD2F">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□超五年重新审核项目     </w:t>
            </w:r>
          </w:p>
          <w:p w14:paraId="0B72450C">
            <w:pPr>
              <w:jc w:val="left"/>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重大变动重新报批项目</w:t>
            </w:r>
            <w:r>
              <w:rPr>
                <w:rFonts w:hint="default" w:ascii="Times New Roman" w:hAnsi="Times New Roman" w:cs="Times New Roman"/>
                <w:color w:val="auto"/>
                <w:sz w:val="24"/>
                <w:highlight w:val="none"/>
                <w:lang w:eastAsia="zh-CN"/>
              </w:rPr>
              <w:t>）</w:t>
            </w:r>
          </w:p>
        </w:tc>
      </w:tr>
      <w:tr w14:paraId="0A80F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61" w:hRule="atLeast"/>
          <w:jc w:val="center"/>
        </w:trPr>
        <w:tc>
          <w:tcPr>
            <w:tcW w:w="906" w:type="pct"/>
            <w:tcMar>
              <w:top w:w="16" w:type="dxa"/>
              <w:left w:w="16" w:type="dxa"/>
              <w:right w:w="16" w:type="dxa"/>
            </w:tcMar>
            <w:vAlign w:val="center"/>
          </w:tcPr>
          <w:p w14:paraId="5D37FAD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项目审批（核准/备案）部门（选填）</w:t>
            </w:r>
          </w:p>
        </w:tc>
        <w:tc>
          <w:tcPr>
            <w:tcW w:w="1382" w:type="pct"/>
            <w:vAlign w:val="center"/>
          </w:tcPr>
          <w:p w14:paraId="5925FD9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w:t>
            </w:r>
          </w:p>
        </w:tc>
        <w:tc>
          <w:tcPr>
            <w:tcW w:w="1074" w:type="pct"/>
            <w:vAlign w:val="center"/>
          </w:tcPr>
          <w:p w14:paraId="0760C83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584D501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备案）文号（选填）</w:t>
            </w:r>
          </w:p>
        </w:tc>
        <w:tc>
          <w:tcPr>
            <w:tcW w:w="1637" w:type="pct"/>
            <w:vAlign w:val="center"/>
          </w:tcPr>
          <w:p w14:paraId="40B13E92">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w:t>
            </w:r>
          </w:p>
        </w:tc>
      </w:tr>
      <w:tr w14:paraId="23826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7" w:hRule="atLeast"/>
          <w:jc w:val="center"/>
        </w:trPr>
        <w:tc>
          <w:tcPr>
            <w:tcW w:w="906" w:type="pct"/>
            <w:tcMar>
              <w:top w:w="16" w:type="dxa"/>
              <w:left w:w="16" w:type="dxa"/>
              <w:right w:w="16" w:type="dxa"/>
            </w:tcMar>
            <w:vAlign w:val="center"/>
          </w:tcPr>
          <w:p w14:paraId="70814D2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1382" w:type="pct"/>
            <w:vAlign w:val="center"/>
          </w:tcPr>
          <w:p w14:paraId="3B73B27D">
            <w:pPr>
              <w:adjustRightInd w:val="0"/>
              <w:snapToGrid w:val="0"/>
              <w:jc w:val="center"/>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150</w:t>
            </w:r>
          </w:p>
        </w:tc>
        <w:tc>
          <w:tcPr>
            <w:tcW w:w="1074" w:type="pct"/>
            <w:tcMar>
              <w:top w:w="16" w:type="dxa"/>
              <w:left w:w="16" w:type="dxa"/>
              <w:right w:w="16" w:type="dxa"/>
            </w:tcMar>
            <w:vAlign w:val="center"/>
          </w:tcPr>
          <w:p w14:paraId="6BE4CEA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1637" w:type="pct"/>
            <w:vAlign w:val="center"/>
          </w:tcPr>
          <w:p w14:paraId="3BBE1247">
            <w:pPr>
              <w:adjustRightInd w:val="0"/>
              <w:snapToGrid w:val="0"/>
              <w:jc w:val="center"/>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22</w:t>
            </w:r>
          </w:p>
        </w:tc>
      </w:tr>
      <w:tr w14:paraId="6AD7F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906" w:type="pct"/>
            <w:tcMar>
              <w:top w:w="16" w:type="dxa"/>
              <w:left w:w="16" w:type="dxa"/>
              <w:right w:w="16" w:type="dxa"/>
            </w:tcMar>
            <w:vAlign w:val="center"/>
          </w:tcPr>
          <w:p w14:paraId="3A12970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1382" w:type="pct"/>
            <w:vAlign w:val="center"/>
          </w:tcPr>
          <w:p w14:paraId="0B438A91">
            <w:pPr>
              <w:adjustRightInd w:val="0"/>
              <w:snapToGrid w:val="0"/>
              <w:jc w:val="center"/>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14.67</w:t>
            </w:r>
          </w:p>
        </w:tc>
        <w:tc>
          <w:tcPr>
            <w:tcW w:w="1074" w:type="pct"/>
            <w:tcMar>
              <w:top w:w="16" w:type="dxa"/>
              <w:left w:w="16" w:type="dxa"/>
              <w:right w:w="16" w:type="dxa"/>
            </w:tcMar>
            <w:vAlign w:val="center"/>
          </w:tcPr>
          <w:p w14:paraId="6CFB062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1637" w:type="pct"/>
            <w:vAlign w:val="center"/>
          </w:tcPr>
          <w:p w14:paraId="3108844E">
            <w:pPr>
              <w:adjustRightInd w:val="0"/>
              <w:snapToGrid w:val="0"/>
              <w:jc w:val="center"/>
              <w:rPr>
                <w:rFonts w:hint="default" w:ascii="Times New Roman" w:hAnsi="Times New Roman" w:cs="Times New Roman"/>
                <w:color w:val="auto"/>
                <w:sz w:val="24"/>
                <w:highlight w:val="none"/>
                <w:lang w:val="en-US"/>
              </w:rPr>
            </w:pPr>
            <w:r>
              <w:rPr>
                <w:rFonts w:hint="eastAsia" w:cs="Times New Roman"/>
                <w:color w:val="auto"/>
                <w:sz w:val="24"/>
                <w:highlight w:val="none"/>
                <w:lang w:val="en-US" w:eastAsia="zh-CN"/>
              </w:rPr>
              <w:t>2026年8月-2026年10月</w:t>
            </w:r>
          </w:p>
        </w:tc>
      </w:tr>
      <w:tr w14:paraId="3D42A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906" w:type="pct"/>
            <w:tcMar>
              <w:top w:w="16" w:type="dxa"/>
              <w:left w:w="16" w:type="dxa"/>
              <w:right w:w="16" w:type="dxa"/>
            </w:tcMar>
            <w:vAlign w:val="center"/>
          </w:tcPr>
          <w:p w14:paraId="1054CD8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1382" w:type="pct"/>
            <w:vAlign w:val="center"/>
          </w:tcPr>
          <w:p w14:paraId="024BB18C">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否</w:t>
            </w:r>
          </w:p>
          <w:p w14:paraId="3F774CE2">
            <w:pPr>
              <w:adjustRightInd w:val="0"/>
              <w:snapToGrid w:val="0"/>
              <w:ind w:left="720" w:hanging="720" w:hanging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w:t>
            </w:r>
            <w:r>
              <w:rPr>
                <w:rFonts w:hint="default" w:ascii="Times New Roman" w:hAnsi="Times New Roman" w:cs="Times New Roman"/>
                <w:color w:val="auto"/>
                <w:sz w:val="24"/>
                <w:highlight w:val="none"/>
                <w:u w:val="single"/>
              </w:rPr>
              <w:t xml:space="preserve">        </w:t>
            </w:r>
          </w:p>
        </w:tc>
        <w:tc>
          <w:tcPr>
            <w:tcW w:w="1074" w:type="pct"/>
            <w:tcMar>
              <w:top w:w="16" w:type="dxa"/>
              <w:left w:w="16" w:type="dxa"/>
              <w:right w:w="16" w:type="dxa"/>
            </w:tcMar>
            <w:vAlign w:val="center"/>
          </w:tcPr>
          <w:p w14:paraId="2FD41898">
            <w:pPr>
              <w:adjustRightInd w:val="0"/>
              <w:snapToGrid w:val="0"/>
              <w:jc w:val="center"/>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用地（用海）</w:t>
            </w:r>
          </w:p>
          <w:p w14:paraId="797EC6B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pacing w:val="-6"/>
                <w:sz w:val="24"/>
                <w:highlight w:val="none"/>
              </w:rPr>
              <w:t>面积（m</w:t>
            </w:r>
            <w:r>
              <w:rPr>
                <w:rFonts w:hint="default" w:ascii="Times New Roman" w:hAnsi="Times New Roman" w:cs="Times New Roman"/>
                <w:color w:val="auto"/>
                <w:spacing w:val="-6"/>
                <w:sz w:val="24"/>
                <w:highlight w:val="none"/>
                <w:vertAlign w:val="superscript"/>
              </w:rPr>
              <w:t>2</w:t>
            </w:r>
            <w:r>
              <w:rPr>
                <w:rFonts w:hint="default" w:ascii="Times New Roman" w:hAnsi="Times New Roman" w:cs="Times New Roman"/>
                <w:color w:val="auto"/>
                <w:spacing w:val="-6"/>
                <w:sz w:val="24"/>
                <w:highlight w:val="none"/>
              </w:rPr>
              <w:t>）</w:t>
            </w:r>
          </w:p>
        </w:tc>
        <w:tc>
          <w:tcPr>
            <w:tcW w:w="1637" w:type="pct"/>
            <w:vAlign w:val="center"/>
          </w:tcPr>
          <w:p w14:paraId="7C1DCCB7">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eastAsia="仿宋_GB2312" w:cs="Times New Roman"/>
                <w:color w:val="auto"/>
                <w:sz w:val="24"/>
                <w:highlight w:val="none"/>
                <w:lang w:val="en-US" w:eastAsia="zh-CN"/>
              </w:rPr>
              <w:t>12323</w:t>
            </w:r>
          </w:p>
        </w:tc>
      </w:tr>
      <w:tr w14:paraId="4009C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97" w:hRule="atLeast"/>
          <w:jc w:val="center"/>
        </w:trPr>
        <w:tc>
          <w:tcPr>
            <w:tcW w:w="906" w:type="pct"/>
            <w:vAlign w:val="center"/>
          </w:tcPr>
          <w:p w14:paraId="6EB29A44">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4093" w:type="pct"/>
            <w:gridSpan w:val="3"/>
            <w:vAlign w:val="center"/>
          </w:tcPr>
          <w:p w14:paraId="4FD2C2F8">
            <w:pPr>
              <w:adjustRightInd w:val="0"/>
              <w:snapToGrid w:val="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表1-1</w:t>
            </w:r>
            <w:r>
              <w:rPr>
                <w:rFonts w:hint="eastAsia" w:ascii="Times New Roman" w:hAnsi="Times New Roman" w:cs="Times New Roman"/>
                <w:b/>
                <w:bCs/>
                <w:color w:val="auto"/>
                <w:kern w:val="2"/>
                <w:sz w:val="21"/>
                <w:szCs w:val="21"/>
                <w:highlight w:val="none"/>
                <w:lang w:val="en-US" w:eastAsia="zh-CN" w:bidi="ar-SA"/>
              </w:rPr>
              <w:t xml:space="preserve"> </w:t>
            </w:r>
            <w:r>
              <w:rPr>
                <w:rFonts w:hint="eastAsia" w:ascii="Times New Roman" w:hAnsi="Times New Roman" w:eastAsia="宋体" w:cs="Times New Roman"/>
                <w:b/>
                <w:bCs/>
                <w:color w:val="auto"/>
                <w:kern w:val="2"/>
                <w:sz w:val="21"/>
                <w:szCs w:val="21"/>
                <w:highlight w:val="none"/>
                <w:lang w:val="en-US" w:eastAsia="zh-CN" w:bidi="ar-SA"/>
              </w:rPr>
              <w:t>专项设置原则表</w:t>
            </w:r>
          </w:p>
          <w:tbl>
            <w:tblPr>
              <w:tblStyle w:val="31"/>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982"/>
              <w:gridCol w:w="3162"/>
              <w:gridCol w:w="2866"/>
            </w:tblGrid>
            <w:tr w14:paraId="338472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70" w:hRule="atLeast"/>
                <w:jc w:val="center"/>
              </w:trPr>
              <w:tc>
                <w:tcPr>
                  <w:tcW w:w="700" w:type="pct"/>
                  <w:noWrap w:val="0"/>
                  <w:vAlign w:val="center"/>
                </w:tcPr>
                <w:p w14:paraId="29C35E2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专项评价的类别</w:t>
                  </w:r>
                </w:p>
              </w:tc>
              <w:tc>
                <w:tcPr>
                  <w:tcW w:w="2255" w:type="pct"/>
                  <w:noWrap w:val="0"/>
                  <w:vAlign w:val="center"/>
                </w:tcPr>
                <w:p w14:paraId="6D8D55E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设置原则</w:t>
                  </w:r>
                </w:p>
              </w:tc>
              <w:tc>
                <w:tcPr>
                  <w:tcW w:w="2044" w:type="pct"/>
                  <w:noWrap w:val="0"/>
                  <w:vAlign w:val="center"/>
                </w:tcPr>
                <w:p w14:paraId="7D98323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color w:val="auto"/>
                      <w:spacing w:val="0"/>
                      <w:kern w:val="21"/>
                      <w:sz w:val="21"/>
                      <w:szCs w:val="21"/>
                      <w:highlight w:val="none"/>
                    </w:rPr>
                  </w:pPr>
                  <w:r>
                    <w:rPr>
                      <w:rFonts w:hint="eastAsia" w:ascii="Times New Roman" w:hAnsi="Times New Roman" w:eastAsia="宋体" w:cs="Times New Roman"/>
                      <w:color w:val="auto"/>
                      <w:spacing w:val="0"/>
                      <w:kern w:val="21"/>
                      <w:sz w:val="21"/>
                      <w:szCs w:val="21"/>
                      <w:highlight w:val="none"/>
                    </w:rPr>
                    <w:t>是</w:t>
                  </w:r>
                  <w:r>
                    <w:rPr>
                      <w:rFonts w:ascii="Times New Roman" w:hAnsi="Times New Roman" w:eastAsia="宋体" w:cs="Times New Roman"/>
                      <w:color w:val="auto"/>
                      <w:spacing w:val="0"/>
                      <w:kern w:val="21"/>
                      <w:sz w:val="21"/>
                      <w:szCs w:val="21"/>
                      <w:highlight w:val="none"/>
                    </w:rPr>
                    <w:t>否设置</w:t>
                  </w:r>
                </w:p>
              </w:tc>
            </w:tr>
            <w:tr w14:paraId="7FC54A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74" w:hRule="atLeast"/>
                <w:jc w:val="center"/>
              </w:trPr>
              <w:tc>
                <w:tcPr>
                  <w:tcW w:w="700" w:type="pct"/>
                  <w:noWrap w:val="0"/>
                  <w:vAlign w:val="center"/>
                </w:tcPr>
                <w:p w14:paraId="234F028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大气</w:t>
                  </w:r>
                </w:p>
              </w:tc>
              <w:tc>
                <w:tcPr>
                  <w:tcW w:w="2255" w:type="pct"/>
                  <w:noWrap w:val="0"/>
                  <w:vAlign w:val="center"/>
                </w:tcPr>
                <w:p w14:paraId="08FDF13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排放废气含有毒有害污染物、二噁英、苯并[</w:t>
                  </w:r>
                  <w:r>
                    <w:rPr>
                      <w:rFonts w:ascii="Times New Roman" w:hAnsi="Times New Roman" w:eastAsia="宋体" w:cs="Times New Roman"/>
                      <w:i/>
                      <w:iCs/>
                      <w:color w:val="auto"/>
                      <w:spacing w:val="0"/>
                      <w:kern w:val="21"/>
                      <w:sz w:val="21"/>
                      <w:szCs w:val="21"/>
                      <w:highlight w:val="none"/>
                    </w:rPr>
                    <w:t>a</w:t>
                  </w:r>
                  <w:r>
                    <w:rPr>
                      <w:rFonts w:ascii="Times New Roman" w:hAnsi="Times New Roman" w:eastAsia="宋体" w:cs="Times New Roman"/>
                      <w:color w:val="auto"/>
                      <w:spacing w:val="0"/>
                      <w:kern w:val="21"/>
                      <w:sz w:val="21"/>
                      <w:szCs w:val="21"/>
                      <w:highlight w:val="none"/>
                    </w:rPr>
                    <w:t>]芘、氰化物、氯气且厂界外500米范围内有环境空气保护目标的建设项目</w:t>
                  </w:r>
                </w:p>
              </w:tc>
              <w:tc>
                <w:tcPr>
                  <w:tcW w:w="2044" w:type="pct"/>
                  <w:noWrap w:val="0"/>
                  <w:vAlign w:val="center"/>
                </w:tcPr>
                <w:p w14:paraId="6BD9925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color w:val="auto"/>
                      <w:spacing w:val="0"/>
                      <w:kern w:val="21"/>
                      <w:sz w:val="21"/>
                      <w:szCs w:val="21"/>
                      <w:highlight w:val="none"/>
                    </w:rPr>
                  </w:pPr>
                  <w:r>
                    <w:rPr>
                      <w:rFonts w:hint="eastAsia" w:ascii="Times New Roman" w:hAnsi="Times New Roman" w:eastAsia="宋体" w:cs="Times New Roman"/>
                      <w:color w:val="auto"/>
                      <w:spacing w:val="0"/>
                      <w:kern w:val="21"/>
                      <w:sz w:val="21"/>
                      <w:szCs w:val="21"/>
                      <w:highlight w:val="none"/>
                    </w:rPr>
                    <w:t>不</w:t>
                  </w:r>
                  <w:r>
                    <w:rPr>
                      <w:rFonts w:ascii="Times New Roman" w:hAnsi="Times New Roman" w:eastAsia="宋体" w:cs="Times New Roman"/>
                      <w:color w:val="auto"/>
                      <w:spacing w:val="0"/>
                      <w:kern w:val="21"/>
                      <w:sz w:val="21"/>
                      <w:szCs w:val="21"/>
                      <w:highlight w:val="none"/>
                    </w:rPr>
                    <w:t>设置</w:t>
                  </w:r>
                  <w:r>
                    <w:rPr>
                      <w:rFonts w:hint="eastAsia" w:ascii="Times New Roman" w:hAnsi="Times New Roman" w:eastAsia="宋体" w:cs="Times New Roman"/>
                      <w:color w:val="auto"/>
                      <w:spacing w:val="0"/>
                      <w:kern w:val="21"/>
                      <w:sz w:val="21"/>
                      <w:szCs w:val="21"/>
                      <w:highlight w:val="none"/>
                      <w:lang w:eastAsia="zh-CN"/>
                    </w:rPr>
                    <w:t>，</w:t>
                  </w:r>
                  <w:r>
                    <w:rPr>
                      <w:rFonts w:ascii="Times New Roman" w:hAnsi="Times New Roman" w:eastAsia="宋体" w:cs="Times New Roman"/>
                      <w:color w:val="auto"/>
                      <w:spacing w:val="0"/>
                      <w:kern w:val="21"/>
                      <w:sz w:val="21"/>
                      <w:szCs w:val="21"/>
                      <w:highlight w:val="none"/>
                    </w:rPr>
                    <w:t>项目排放废气</w:t>
                  </w:r>
                  <w:r>
                    <w:rPr>
                      <w:rFonts w:hint="eastAsia" w:ascii="Times New Roman" w:hAnsi="Times New Roman" w:eastAsia="宋体" w:cs="Times New Roman"/>
                      <w:color w:val="auto"/>
                      <w:spacing w:val="0"/>
                      <w:kern w:val="21"/>
                      <w:sz w:val="21"/>
                      <w:szCs w:val="21"/>
                      <w:highlight w:val="none"/>
                      <w:lang w:val="en-US" w:eastAsia="zh-CN"/>
                    </w:rPr>
                    <w:t>不</w:t>
                  </w:r>
                  <w:r>
                    <w:rPr>
                      <w:rFonts w:ascii="Times New Roman" w:hAnsi="Times New Roman" w:eastAsia="宋体" w:cs="Times New Roman"/>
                      <w:color w:val="auto"/>
                      <w:spacing w:val="0"/>
                      <w:kern w:val="21"/>
                      <w:sz w:val="21"/>
                      <w:szCs w:val="21"/>
                      <w:highlight w:val="none"/>
                    </w:rPr>
                    <w:t>含有毒有害污染物</w:t>
                  </w:r>
                  <w:r>
                    <w:rPr>
                      <w:rFonts w:hint="eastAsia" w:cs="Times New Roman"/>
                      <w:color w:val="auto"/>
                      <w:spacing w:val="0"/>
                      <w:kern w:val="21"/>
                      <w:sz w:val="21"/>
                      <w:szCs w:val="21"/>
                      <w:highlight w:val="none"/>
                      <w:lang w:eastAsia="zh-CN"/>
                    </w:rPr>
                    <w:t>，</w:t>
                  </w:r>
                  <w:r>
                    <w:rPr>
                      <w:rFonts w:hint="eastAsia" w:cs="Times New Roman"/>
                      <w:color w:val="auto"/>
                      <w:spacing w:val="0"/>
                      <w:kern w:val="21"/>
                      <w:sz w:val="21"/>
                      <w:szCs w:val="21"/>
                      <w:highlight w:val="none"/>
                      <w:lang w:eastAsia="zh-CN"/>
                    </w:rPr>
                    <w:t>项目厂界外500米范围内居民均已搬迁，无环境空气环境保护目标</w:t>
                  </w:r>
                </w:p>
              </w:tc>
            </w:tr>
            <w:tr w14:paraId="416238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700" w:type="pct"/>
                  <w:noWrap w:val="0"/>
                  <w:vAlign w:val="center"/>
                </w:tcPr>
                <w:p w14:paraId="79F3BD0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地表水</w:t>
                  </w:r>
                </w:p>
              </w:tc>
              <w:tc>
                <w:tcPr>
                  <w:tcW w:w="2255" w:type="pct"/>
                  <w:noWrap w:val="0"/>
                  <w:vAlign w:val="center"/>
                </w:tcPr>
                <w:p w14:paraId="0F9EA55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新增工业废水直排建设项目（槽罐车外送污水处理厂的除外）；新增废水直排的污水集中处理厂</w:t>
                  </w:r>
                </w:p>
              </w:tc>
              <w:tc>
                <w:tcPr>
                  <w:tcW w:w="2044" w:type="pct"/>
                  <w:noWrap w:val="0"/>
                  <w:vAlign w:val="center"/>
                </w:tcPr>
                <w:p w14:paraId="05F32BF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eastAsia" w:ascii="Times New Roman" w:hAnsi="Times New Roman" w:eastAsia="宋体" w:cs="Times New Roman"/>
                      <w:color w:val="auto"/>
                      <w:spacing w:val="0"/>
                      <w:kern w:val="21"/>
                      <w:sz w:val="21"/>
                      <w:szCs w:val="21"/>
                      <w:highlight w:val="none"/>
                    </w:rPr>
                    <w:t>不</w:t>
                  </w:r>
                  <w:r>
                    <w:rPr>
                      <w:rFonts w:ascii="Times New Roman" w:hAnsi="Times New Roman" w:eastAsia="宋体" w:cs="Times New Roman"/>
                      <w:color w:val="auto"/>
                      <w:spacing w:val="0"/>
                      <w:kern w:val="21"/>
                      <w:sz w:val="21"/>
                      <w:szCs w:val="21"/>
                      <w:highlight w:val="none"/>
                    </w:rPr>
                    <w:t>设置</w:t>
                  </w:r>
                  <w:r>
                    <w:rPr>
                      <w:rFonts w:hint="eastAsia" w:ascii="Times New Roman" w:hAnsi="Times New Roman" w:eastAsia="宋体" w:cs="Times New Roman"/>
                      <w:color w:val="auto"/>
                      <w:spacing w:val="0"/>
                      <w:kern w:val="21"/>
                      <w:sz w:val="21"/>
                      <w:szCs w:val="21"/>
                      <w:highlight w:val="none"/>
                      <w:lang w:eastAsia="zh-CN"/>
                    </w:rPr>
                    <w:t>，</w:t>
                  </w:r>
                  <w:r>
                    <w:rPr>
                      <w:rFonts w:hint="eastAsia" w:ascii="Times New Roman" w:hAnsi="Times New Roman" w:eastAsia="宋体" w:cs="Times New Roman"/>
                      <w:color w:val="auto"/>
                      <w:spacing w:val="0"/>
                      <w:kern w:val="21"/>
                      <w:sz w:val="21"/>
                      <w:szCs w:val="21"/>
                      <w:highlight w:val="none"/>
                      <w:lang w:val="en-US" w:eastAsia="zh-CN"/>
                    </w:rPr>
                    <w:t>项目不</w:t>
                  </w:r>
                  <w:r>
                    <w:rPr>
                      <w:rFonts w:ascii="Times New Roman" w:hAnsi="Times New Roman" w:eastAsia="宋体" w:cs="Times New Roman"/>
                      <w:color w:val="auto"/>
                      <w:spacing w:val="0"/>
                      <w:kern w:val="21"/>
                      <w:sz w:val="21"/>
                      <w:szCs w:val="21"/>
                      <w:highlight w:val="none"/>
                    </w:rPr>
                    <w:t>新增工业废水直排</w:t>
                  </w:r>
                </w:p>
              </w:tc>
            </w:tr>
            <w:tr w14:paraId="58E89E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700" w:type="pct"/>
                  <w:noWrap w:val="0"/>
                  <w:vAlign w:val="center"/>
                </w:tcPr>
                <w:p w14:paraId="43BAA23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环境风险</w:t>
                  </w:r>
                </w:p>
              </w:tc>
              <w:tc>
                <w:tcPr>
                  <w:tcW w:w="2255" w:type="pct"/>
                  <w:noWrap w:val="0"/>
                  <w:vAlign w:val="center"/>
                </w:tcPr>
                <w:p w14:paraId="4D553C5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有毒有害和易燃易爆危险物质存储量超过临界量的建设项目</w:t>
                  </w:r>
                </w:p>
              </w:tc>
              <w:tc>
                <w:tcPr>
                  <w:tcW w:w="2044" w:type="pct"/>
                  <w:noWrap w:val="0"/>
                  <w:vAlign w:val="center"/>
                </w:tcPr>
                <w:p w14:paraId="4A1ADC7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color w:val="auto"/>
                      <w:spacing w:val="0"/>
                      <w:kern w:val="21"/>
                      <w:sz w:val="21"/>
                      <w:szCs w:val="21"/>
                      <w:highlight w:val="none"/>
                    </w:rPr>
                  </w:pPr>
                  <w:r>
                    <w:rPr>
                      <w:rFonts w:hint="eastAsia" w:ascii="Times New Roman" w:hAnsi="Times New Roman" w:eastAsia="宋体" w:cs="Times New Roman"/>
                      <w:color w:val="auto"/>
                      <w:spacing w:val="0"/>
                      <w:kern w:val="21"/>
                      <w:sz w:val="21"/>
                      <w:szCs w:val="21"/>
                      <w:highlight w:val="none"/>
                    </w:rPr>
                    <w:t>不</w:t>
                  </w:r>
                  <w:r>
                    <w:rPr>
                      <w:rFonts w:ascii="Times New Roman" w:hAnsi="Times New Roman" w:eastAsia="宋体" w:cs="Times New Roman"/>
                      <w:color w:val="auto"/>
                      <w:spacing w:val="0"/>
                      <w:kern w:val="21"/>
                      <w:sz w:val="21"/>
                      <w:szCs w:val="21"/>
                      <w:highlight w:val="none"/>
                    </w:rPr>
                    <w:t>设置</w:t>
                  </w:r>
                  <w:r>
                    <w:rPr>
                      <w:rFonts w:hint="eastAsia" w:ascii="Times New Roman" w:hAnsi="Times New Roman" w:eastAsia="宋体" w:cs="Times New Roman"/>
                      <w:color w:val="auto"/>
                      <w:spacing w:val="0"/>
                      <w:kern w:val="21"/>
                      <w:sz w:val="21"/>
                      <w:szCs w:val="21"/>
                      <w:highlight w:val="none"/>
                      <w:lang w:eastAsia="zh-CN"/>
                    </w:rPr>
                    <w:t>，</w:t>
                  </w:r>
                  <w:r>
                    <w:rPr>
                      <w:rFonts w:ascii="Times New Roman" w:hAnsi="Times New Roman" w:eastAsia="宋体" w:cs="Times New Roman"/>
                      <w:color w:val="auto"/>
                      <w:spacing w:val="0"/>
                      <w:kern w:val="21"/>
                      <w:sz w:val="21"/>
                      <w:szCs w:val="21"/>
                      <w:highlight w:val="none"/>
                    </w:rPr>
                    <w:t>项</w:t>
                  </w:r>
                  <w:r>
                    <w:rPr>
                      <w:rFonts w:hint="eastAsia" w:ascii="Times New Roman" w:hAnsi="Times New Roman" w:cs="Times New Roman"/>
                      <w:color w:val="auto"/>
                      <w:spacing w:val="0"/>
                      <w:kern w:val="21"/>
                      <w:sz w:val="21"/>
                      <w:szCs w:val="21"/>
                      <w:highlight w:val="none"/>
                      <w:lang w:val="en-US" w:eastAsia="zh-CN"/>
                    </w:rPr>
                    <w:t>无</w:t>
                  </w:r>
                  <w:r>
                    <w:rPr>
                      <w:rFonts w:ascii="Times New Roman" w:hAnsi="Times New Roman" w:eastAsia="宋体" w:cs="Times New Roman"/>
                      <w:color w:val="auto"/>
                      <w:spacing w:val="0"/>
                      <w:kern w:val="21"/>
                      <w:sz w:val="21"/>
                      <w:szCs w:val="21"/>
                      <w:highlight w:val="none"/>
                    </w:rPr>
                    <w:t>有毒有害和易燃易爆危险物质</w:t>
                  </w:r>
                </w:p>
              </w:tc>
            </w:tr>
            <w:tr w14:paraId="56304A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700" w:type="pct"/>
                  <w:noWrap w:val="0"/>
                  <w:vAlign w:val="center"/>
                </w:tcPr>
                <w:p w14:paraId="6744CE7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生态</w:t>
                  </w:r>
                </w:p>
              </w:tc>
              <w:tc>
                <w:tcPr>
                  <w:tcW w:w="2255" w:type="pct"/>
                  <w:noWrap w:val="0"/>
                  <w:vAlign w:val="center"/>
                </w:tcPr>
                <w:p w14:paraId="69EAA11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取水口下游500米范围内有重要水生生物的自然产卵场、索饵场、越冬场和洄游通道的新增河道取水的污染类建设项目</w:t>
                  </w:r>
                </w:p>
              </w:tc>
              <w:tc>
                <w:tcPr>
                  <w:tcW w:w="2044" w:type="pct"/>
                  <w:noWrap w:val="0"/>
                  <w:vAlign w:val="center"/>
                </w:tcPr>
                <w:p w14:paraId="25F8F7B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pacing w:val="0"/>
                      <w:kern w:val="21"/>
                      <w:sz w:val="21"/>
                      <w:szCs w:val="21"/>
                      <w:highlight w:val="none"/>
                      <w:lang w:val="en-US"/>
                    </w:rPr>
                  </w:pPr>
                  <w:r>
                    <w:rPr>
                      <w:rFonts w:hint="eastAsia" w:ascii="Times New Roman" w:hAnsi="Times New Roman" w:eastAsia="宋体" w:cs="Times New Roman"/>
                      <w:color w:val="auto"/>
                      <w:spacing w:val="0"/>
                      <w:kern w:val="21"/>
                      <w:sz w:val="21"/>
                      <w:szCs w:val="21"/>
                      <w:highlight w:val="none"/>
                      <w:lang w:eastAsia="zh-CN"/>
                    </w:rPr>
                    <w:t>不设置</w:t>
                  </w:r>
                  <w:r>
                    <w:rPr>
                      <w:rFonts w:hint="eastAsia" w:cs="Times New Roman"/>
                      <w:color w:val="auto"/>
                      <w:spacing w:val="0"/>
                      <w:kern w:val="21"/>
                      <w:sz w:val="21"/>
                      <w:szCs w:val="21"/>
                      <w:highlight w:val="none"/>
                      <w:lang w:eastAsia="zh-CN"/>
                    </w:rPr>
                    <w:t>，</w:t>
                  </w:r>
                  <w:r>
                    <w:rPr>
                      <w:rFonts w:hint="eastAsia" w:cs="Times New Roman"/>
                      <w:color w:val="auto"/>
                      <w:spacing w:val="0"/>
                      <w:kern w:val="21"/>
                      <w:sz w:val="21"/>
                      <w:szCs w:val="21"/>
                      <w:highlight w:val="none"/>
                      <w:lang w:val="en-US" w:eastAsia="zh-CN"/>
                    </w:rPr>
                    <w:t>项目不属于</w:t>
                  </w:r>
                  <w:r>
                    <w:rPr>
                      <w:rFonts w:ascii="Times New Roman" w:hAnsi="Times New Roman" w:eastAsia="宋体" w:cs="Times New Roman"/>
                      <w:color w:val="auto"/>
                      <w:spacing w:val="0"/>
                      <w:kern w:val="21"/>
                      <w:sz w:val="21"/>
                      <w:szCs w:val="21"/>
                      <w:highlight w:val="none"/>
                    </w:rPr>
                    <w:t>新增河道取水的污染类建设项目</w:t>
                  </w:r>
                </w:p>
              </w:tc>
            </w:tr>
            <w:tr w14:paraId="11C945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7" w:hRule="atLeast"/>
                <w:jc w:val="center"/>
              </w:trPr>
              <w:tc>
                <w:tcPr>
                  <w:tcW w:w="700" w:type="pct"/>
                  <w:noWrap w:val="0"/>
                  <w:vAlign w:val="center"/>
                </w:tcPr>
                <w:p w14:paraId="34A4C6C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海洋</w:t>
                  </w:r>
                </w:p>
              </w:tc>
              <w:tc>
                <w:tcPr>
                  <w:tcW w:w="2255" w:type="pct"/>
                  <w:noWrap w:val="0"/>
                  <w:vAlign w:val="center"/>
                </w:tcPr>
                <w:p w14:paraId="58EADA4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ascii="Times New Roman" w:hAnsi="Times New Roman" w:eastAsia="宋体" w:cs="Times New Roman"/>
                      <w:color w:val="auto"/>
                      <w:spacing w:val="0"/>
                      <w:kern w:val="21"/>
                      <w:sz w:val="21"/>
                      <w:szCs w:val="21"/>
                      <w:highlight w:val="none"/>
                    </w:rPr>
                    <w:t>直接向海排放污染物的海洋工程建设项目</w:t>
                  </w:r>
                </w:p>
              </w:tc>
              <w:tc>
                <w:tcPr>
                  <w:tcW w:w="2044" w:type="pct"/>
                  <w:noWrap w:val="0"/>
                  <w:vAlign w:val="center"/>
                </w:tcPr>
                <w:p w14:paraId="06D20A5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pacing w:val="0"/>
                      <w:kern w:val="21"/>
                      <w:sz w:val="21"/>
                      <w:szCs w:val="21"/>
                      <w:highlight w:val="none"/>
                      <w:lang w:val="en-US"/>
                    </w:rPr>
                  </w:pPr>
                  <w:r>
                    <w:rPr>
                      <w:rFonts w:hint="eastAsia" w:ascii="Times New Roman" w:hAnsi="Times New Roman" w:eastAsia="宋体" w:cs="Times New Roman"/>
                      <w:color w:val="auto"/>
                      <w:spacing w:val="0"/>
                      <w:kern w:val="21"/>
                      <w:sz w:val="21"/>
                      <w:szCs w:val="21"/>
                      <w:highlight w:val="none"/>
                      <w:lang w:eastAsia="zh-CN"/>
                    </w:rPr>
                    <w:t>不设置</w:t>
                  </w:r>
                  <w:r>
                    <w:rPr>
                      <w:rFonts w:hint="eastAsia" w:cs="Times New Roman"/>
                      <w:color w:val="auto"/>
                      <w:spacing w:val="0"/>
                      <w:kern w:val="21"/>
                      <w:sz w:val="21"/>
                      <w:szCs w:val="21"/>
                      <w:highlight w:val="none"/>
                      <w:lang w:eastAsia="zh-CN"/>
                    </w:rPr>
                    <w:t>，</w:t>
                  </w:r>
                  <w:r>
                    <w:rPr>
                      <w:rFonts w:hint="eastAsia" w:cs="Times New Roman"/>
                      <w:color w:val="auto"/>
                      <w:spacing w:val="0"/>
                      <w:kern w:val="21"/>
                      <w:sz w:val="21"/>
                      <w:szCs w:val="21"/>
                      <w:highlight w:val="none"/>
                      <w:lang w:val="en-US" w:eastAsia="zh-CN"/>
                    </w:rPr>
                    <w:t>项目不属于海洋工程建设项目</w:t>
                  </w:r>
                </w:p>
              </w:tc>
            </w:tr>
            <w:tr w14:paraId="21E350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74" w:hRule="atLeast"/>
                <w:jc w:val="center"/>
              </w:trPr>
              <w:tc>
                <w:tcPr>
                  <w:tcW w:w="700" w:type="pct"/>
                  <w:noWrap w:val="0"/>
                  <w:vAlign w:val="center"/>
                </w:tcPr>
                <w:p w14:paraId="1D923AC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color w:val="auto"/>
                      <w:spacing w:val="0"/>
                      <w:kern w:val="21"/>
                      <w:sz w:val="21"/>
                      <w:szCs w:val="21"/>
                      <w:highlight w:val="none"/>
                      <w:lang w:eastAsia="zh-CN"/>
                    </w:rPr>
                  </w:pPr>
                  <w:r>
                    <w:rPr>
                      <w:rFonts w:hint="eastAsia" w:ascii="Times New Roman" w:hAnsi="Times New Roman" w:eastAsia="宋体" w:cs="Times New Roman"/>
                      <w:color w:val="auto"/>
                      <w:spacing w:val="0"/>
                      <w:kern w:val="21"/>
                      <w:sz w:val="21"/>
                      <w:szCs w:val="21"/>
                      <w:highlight w:val="none"/>
                      <w:lang w:eastAsia="zh-CN"/>
                    </w:rPr>
                    <w:t>地下水</w:t>
                  </w:r>
                </w:p>
              </w:tc>
              <w:tc>
                <w:tcPr>
                  <w:tcW w:w="2255" w:type="pct"/>
                  <w:noWrap w:val="0"/>
                  <w:vAlign w:val="center"/>
                </w:tcPr>
                <w:p w14:paraId="1A24C6F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color w:val="auto"/>
                      <w:spacing w:val="0"/>
                      <w:kern w:val="21"/>
                      <w:sz w:val="21"/>
                      <w:szCs w:val="21"/>
                      <w:highlight w:val="none"/>
                    </w:rPr>
                  </w:pPr>
                  <w:r>
                    <w:rPr>
                      <w:rFonts w:hint="eastAsia" w:ascii="Times New Roman" w:hAnsi="Times New Roman" w:eastAsia="宋体" w:cs="Times New Roman"/>
                      <w:color w:val="auto"/>
                      <w:spacing w:val="0"/>
                      <w:kern w:val="21"/>
                      <w:sz w:val="21"/>
                      <w:szCs w:val="21"/>
                      <w:highlight w:val="none"/>
                      <w:lang w:eastAsia="zh-CN"/>
                    </w:rPr>
                    <w:t>地下水原则上不开展专项评价，涉及集中式饮用水水源和热水、矿泉水、温泉等特殊地下水资源保护区的开展地下水专项评价工作</w:t>
                  </w:r>
                </w:p>
              </w:tc>
              <w:tc>
                <w:tcPr>
                  <w:tcW w:w="2044" w:type="pct"/>
                  <w:noWrap w:val="0"/>
                  <w:vAlign w:val="center"/>
                </w:tcPr>
                <w:p w14:paraId="7FCF06B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eastAsia" w:ascii="Times New Roman" w:hAnsi="Times New Roman" w:eastAsia="宋体" w:cs="Times New Roman"/>
                      <w:color w:val="auto"/>
                      <w:spacing w:val="0"/>
                      <w:kern w:val="21"/>
                      <w:sz w:val="21"/>
                      <w:szCs w:val="21"/>
                      <w:highlight w:val="none"/>
                      <w:lang w:eastAsia="zh-CN"/>
                    </w:rPr>
                    <w:t>不设置</w:t>
                  </w:r>
                  <w:r>
                    <w:rPr>
                      <w:rFonts w:hint="eastAsia" w:cs="Times New Roman"/>
                      <w:color w:val="auto"/>
                      <w:spacing w:val="0"/>
                      <w:kern w:val="21"/>
                      <w:sz w:val="21"/>
                      <w:szCs w:val="21"/>
                      <w:highlight w:val="none"/>
                      <w:lang w:eastAsia="zh-CN"/>
                    </w:rPr>
                    <w:t>，</w:t>
                  </w:r>
                  <w:r>
                    <w:rPr>
                      <w:rFonts w:hint="eastAsia" w:cs="Times New Roman"/>
                      <w:color w:val="auto"/>
                      <w:spacing w:val="0"/>
                      <w:kern w:val="21"/>
                      <w:sz w:val="21"/>
                      <w:szCs w:val="21"/>
                      <w:highlight w:val="none"/>
                      <w:lang w:val="en-US" w:eastAsia="zh-CN"/>
                    </w:rPr>
                    <w:t>项目不涉及</w:t>
                  </w:r>
                  <w:r>
                    <w:rPr>
                      <w:rFonts w:hint="eastAsia" w:ascii="Times New Roman" w:hAnsi="Times New Roman" w:eastAsia="宋体" w:cs="Times New Roman"/>
                      <w:color w:val="auto"/>
                      <w:spacing w:val="0"/>
                      <w:kern w:val="21"/>
                      <w:sz w:val="21"/>
                      <w:szCs w:val="21"/>
                      <w:highlight w:val="none"/>
                      <w:lang w:eastAsia="zh-CN"/>
                    </w:rPr>
                    <w:t>涉及集中式饮用水水源和热水、矿泉水、温泉等特殊地下水资源保护区</w:t>
                  </w:r>
                </w:p>
              </w:tc>
            </w:tr>
          </w:tbl>
          <w:p w14:paraId="6008B700">
            <w:pPr>
              <w:pStyle w:val="11"/>
              <w:tabs>
                <w:tab w:val="left" w:pos="3880"/>
              </w:tabs>
              <w:rPr>
                <w:rFonts w:hint="default" w:ascii="Times New Roman" w:hAnsi="Times New Roman" w:cs="Times New Roman"/>
                <w:color w:val="auto"/>
                <w:highlight w:val="none"/>
              </w:rPr>
            </w:pPr>
          </w:p>
        </w:tc>
      </w:tr>
      <w:tr w14:paraId="554CA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06" w:type="pct"/>
            <w:vAlign w:val="center"/>
          </w:tcPr>
          <w:p w14:paraId="2826C972">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4093" w:type="pct"/>
            <w:gridSpan w:val="3"/>
            <w:vAlign w:val="center"/>
          </w:tcPr>
          <w:p w14:paraId="17B20365">
            <w:pPr>
              <w:pStyle w:val="24"/>
              <w:ind w:left="0" w:leftChars="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r>
      <w:tr w14:paraId="3CD56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906" w:type="pct"/>
            <w:vAlign w:val="center"/>
          </w:tcPr>
          <w:p w14:paraId="7A05A96F">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规划环境影响评价情况</w:t>
            </w:r>
          </w:p>
        </w:tc>
        <w:tc>
          <w:tcPr>
            <w:tcW w:w="4093" w:type="pct"/>
            <w:gridSpan w:val="3"/>
            <w:vAlign w:val="center"/>
          </w:tcPr>
          <w:p w14:paraId="7D06C057">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p>
        </w:tc>
      </w:tr>
      <w:tr w14:paraId="3D372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906" w:type="pct"/>
            <w:vAlign w:val="center"/>
          </w:tcPr>
          <w:p w14:paraId="1AC001BA">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4093" w:type="pct"/>
            <w:gridSpan w:val="3"/>
            <w:vAlign w:val="center"/>
          </w:tcPr>
          <w:p w14:paraId="77CE685A">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p>
        </w:tc>
      </w:tr>
      <w:tr w14:paraId="62276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86" w:hRule="atLeast"/>
          <w:jc w:val="center"/>
        </w:trPr>
        <w:tc>
          <w:tcPr>
            <w:tcW w:w="906" w:type="pct"/>
            <w:vAlign w:val="center"/>
          </w:tcPr>
          <w:p w14:paraId="5E62940A">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其他符合性分析</w:t>
            </w:r>
          </w:p>
        </w:tc>
        <w:tc>
          <w:tcPr>
            <w:tcW w:w="4093" w:type="pct"/>
            <w:gridSpan w:val="3"/>
            <w:vAlign w:val="center"/>
          </w:tcPr>
          <w:p w14:paraId="6F4DA2BB">
            <w:pPr>
              <w:spacing w:line="360" w:lineRule="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1、</w:t>
            </w:r>
            <w:r>
              <w:rPr>
                <w:rFonts w:hint="default" w:ascii="Times New Roman" w:hAnsi="Times New Roman" w:cs="Times New Roman"/>
                <w:b/>
                <w:bCs/>
                <w:color w:val="auto"/>
                <w:kern w:val="0"/>
                <w:sz w:val="24"/>
                <w:highlight w:val="none"/>
                <w:lang w:val="en-US" w:eastAsia="zh-CN"/>
              </w:rPr>
              <w:t>生态环境分区管控符合性分析</w:t>
            </w:r>
          </w:p>
          <w:p w14:paraId="5732B07B">
            <w:pPr>
              <w:tabs>
                <w:tab w:val="left" w:pos="6480"/>
              </w:tabs>
              <w:autoSpaceDE w:val="0"/>
              <w:autoSpaceDN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根据《黑龙江省人民政府关于实施“三线一单”生态环境分区管控意见》（黑政发〔2020〕14号）、《鸡西市人民政府关于实施“三线一单”生态环境分区管控的意见》（鸡政发〔2021〕7号）、《鸡 </w:t>
            </w:r>
          </w:p>
          <w:p w14:paraId="51E0E875">
            <w:pPr>
              <w:tabs>
                <w:tab w:val="left" w:pos="6480"/>
              </w:tabs>
              <w:autoSpaceDE w:val="0"/>
              <w:autoSpaceDN w:val="0"/>
              <w:spacing w:line="360" w:lineRule="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西市生态环境准入清单》（2023年版）及《</w:t>
            </w:r>
            <w:r>
              <w:rPr>
                <w:rFonts w:hint="eastAsia" w:cs="Times New Roman"/>
                <w:color w:val="auto"/>
                <w:sz w:val="24"/>
                <w:highlight w:val="none"/>
                <w:lang w:val="en-US" w:eastAsia="zh-CN"/>
              </w:rPr>
              <w:t>鸡西市宝全煤炭销售有限公司储煤场建设项目</w:t>
            </w:r>
            <w:r>
              <w:rPr>
                <w:rFonts w:hint="default" w:ascii="Times New Roman" w:hAnsi="Times New Roman" w:eastAsia="宋体" w:cs="Times New Roman"/>
                <w:color w:val="auto"/>
                <w:sz w:val="24"/>
                <w:lang w:val="en-US" w:eastAsia="zh-CN"/>
              </w:rPr>
              <w:t>生态环境分区管控分析报告》，本项目所在环境管控单元为重点管控单元，本项目与“生态环境分区管控”符合性分析如下</w:t>
            </w:r>
            <w:r>
              <w:rPr>
                <w:rFonts w:hint="eastAsia" w:cs="Times New Roman"/>
                <w:color w:val="auto"/>
                <w:sz w:val="24"/>
                <w:lang w:val="en-US" w:eastAsia="zh-CN"/>
              </w:rPr>
              <w:t>。</w:t>
            </w:r>
          </w:p>
          <w:p w14:paraId="6DD5BE22">
            <w:pPr>
              <w:spacing w:line="288" w:lineRule="auto"/>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表1</w:t>
            </w:r>
            <w:r>
              <w:rPr>
                <w:rFonts w:hint="eastAsia" w:ascii="Times New Roman" w:hAnsi="Times New Roman" w:eastAsia="宋体" w:cs="Times New Roman"/>
                <w:b/>
                <w:bCs/>
                <w:color w:val="auto"/>
                <w:kern w:val="0"/>
                <w:szCs w:val="21"/>
                <w:lang w:val="en-US" w:eastAsia="zh-CN"/>
              </w:rPr>
              <w:t>-2</w:t>
            </w:r>
            <w:r>
              <w:rPr>
                <w:rFonts w:hint="default" w:ascii="Times New Roman" w:hAnsi="Times New Roman" w:eastAsia="宋体" w:cs="Times New Roman"/>
                <w:b/>
                <w:bCs/>
                <w:color w:val="auto"/>
                <w:kern w:val="0"/>
                <w:szCs w:val="21"/>
              </w:rPr>
              <w:t xml:space="preserve"> </w:t>
            </w:r>
            <w:r>
              <w:rPr>
                <w:rFonts w:hint="default" w:ascii="Times New Roman" w:hAnsi="Times New Roman" w:eastAsia="宋体" w:cs="Times New Roman"/>
                <w:b/>
                <w:bCs/>
                <w:color w:val="auto"/>
                <w:kern w:val="0"/>
                <w:szCs w:val="21"/>
                <w:lang w:val="en-US" w:eastAsia="zh-CN"/>
              </w:rPr>
              <w:t>项目与黑龙江省生态环境分区管控成果数据相交情况汇总表</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823"/>
              <w:gridCol w:w="1905"/>
              <w:gridCol w:w="645"/>
              <w:gridCol w:w="690"/>
              <w:gridCol w:w="675"/>
              <w:gridCol w:w="2276"/>
            </w:tblGrid>
            <w:tr w14:paraId="3E9CD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blHeader/>
                <w:jc w:val="center"/>
              </w:trPr>
              <w:tc>
                <w:tcPr>
                  <w:tcW w:w="586" w:type="pct"/>
                  <w:tcBorders>
                    <w:tl2br w:val="nil"/>
                    <w:tr2bl w:val="nil"/>
                  </w:tcBorders>
                  <w:noWrap w:val="0"/>
                  <w:tcMar>
                    <w:top w:w="15" w:type="dxa"/>
                    <w:left w:w="108" w:type="dxa"/>
                    <w:bottom w:w="15" w:type="dxa"/>
                    <w:right w:w="108" w:type="dxa"/>
                  </w:tcMar>
                  <w:vAlign w:val="center"/>
                </w:tcPr>
                <w:p w14:paraId="34909AB3">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zh-CN"/>
                    </w:rPr>
                  </w:pPr>
                  <w:r>
                    <w:rPr>
                      <w:rFonts w:hint="default" w:ascii="Times New Roman" w:hAnsi="Times New Roman" w:eastAsia="宋体" w:cs="Times New Roman"/>
                      <w:b/>
                      <w:bCs/>
                      <w:color w:val="auto"/>
                      <w:sz w:val="21"/>
                      <w:szCs w:val="21"/>
                      <w:highlight w:val="none"/>
                      <w:lang w:val="zh-CN"/>
                    </w:rPr>
                    <w:t>一级分类</w:t>
                  </w:r>
                </w:p>
              </w:tc>
              <w:tc>
                <w:tcPr>
                  <w:tcW w:w="1357" w:type="pct"/>
                  <w:tcBorders>
                    <w:tl2br w:val="nil"/>
                    <w:tr2bl w:val="nil"/>
                  </w:tcBorders>
                  <w:noWrap w:val="0"/>
                  <w:tcMar>
                    <w:top w:w="15" w:type="dxa"/>
                    <w:left w:w="108" w:type="dxa"/>
                    <w:bottom w:w="15" w:type="dxa"/>
                    <w:right w:w="108" w:type="dxa"/>
                  </w:tcMar>
                  <w:vAlign w:val="center"/>
                </w:tcPr>
                <w:p w14:paraId="26CC3BCC">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zh-CN"/>
                    </w:rPr>
                  </w:pPr>
                  <w:r>
                    <w:rPr>
                      <w:rFonts w:hint="default" w:ascii="Times New Roman" w:hAnsi="Times New Roman" w:eastAsia="宋体" w:cs="Times New Roman"/>
                      <w:b/>
                      <w:bCs/>
                      <w:color w:val="auto"/>
                      <w:sz w:val="21"/>
                      <w:szCs w:val="21"/>
                      <w:highlight w:val="none"/>
                      <w:lang w:val="zh-CN"/>
                    </w:rPr>
                    <w:t>二级分类</w:t>
                  </w:r>
                </w:p>
              </w:tc>
              <w:tc>
                <w:tcPr>
                  <w:tcW w:w="459" w:type="pct"/>
                  <w:tcBorders>
                    <w:tl2br w:val="nil"/>
                    <w:tr2bl w:val="nil"/>
                  </w:tcBorders>
                  <w:noWrap w:val="0"/>
                  <w:tcMar>
                    <w:top w:w="15" w:type="dxa"/>
                    <w:left w:w="108" w:type="dxa"/>
                    <w:bottom w:w="15" w:type="dxa"/>
                    <w:right w:w="108" w:type="dxa"/>
                  </w:tcMar>
                  <w:vAlign w:val="center"/>
                </w:tcPr>
                <w:p w14:paraId="6C30DF79">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zh-CN"/>
                    </w:rPr>
                  </w:pPr>
                  <w:r>
                    <w:rPr>
                      <w:rFonts w:hint="default" w:ascii="Times New Roman" w:hAnsi="Times New Roman" w:eastAsia="宋体" w:cs="Times New Roman"/>
                      <w:b/>
                      <w:bCs/>
                      <w:color w:val="auto"/>
                      <w:sz w:val="21"/>
                      <w:szCs w:val="21"/>
                      <w:highlight w:val="none"/>
                    </w:rPr>
                    <w:t>是否相交</w:t>
                  </w:r>
                </w:p>
              </w:tc>
              <w:tc>
                <w:tcPr>
                  <w:tcW w:w="491" w:type="pct"/>
                  <w:tcBorders>
                    <w:tl2br w:val="nil"/>
                    <w:tr2bl w:val="nil"/>
                  </w:tcBorders>
                  <w:noWrap w:val="0"/>
                  <w:tcMar>
                    <w:top w:w="15" w:type="dxa"/>
                    <w:left w:w="108" w:type="dxa"/>
                    <w:bottom w:w="15" w:type="dxa"/>
                    <w:right w:w="108" w:type="dxa"/>
                  </w:tcMar>
                  <w:vAlign w:val="center"/>
                </w:tcPr>
                <w:p w14:paraId="79F53A12">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zh-CN"/>
                    </w:rPr>
                  </w:pPr>
                  <w:r>
                    <w:rPr>
                      <w:rFonts w:hint="default" w:ascii="Times New Roman" w:hAnsi="Times New Roman" w:eastAsia="宋体" w:cs="Times New Roman"/>
                      <w:b/>
                      <w:bCs/>
                      <w:color w:val="auto"/>
                      <w:sz w:val="21"/>
                      <w:szCs w:val="21"/>
                      <w:highlight w:val="none"/>
                    </w:rPr>
                    <w:t>所属地市</w:t>
                  </w:r>
                </w:p>
              </w:tc>
              <w:tc>
                <w:tcPr>
                  <w:tcW w:w="481" w:type="pct"/>
                  <w:tcBorders>
                    <w:tl2br w:val="nil"/>
                    <w:tr2bl w:val="nil"/>
                  </w:tcBorders>
                  <w:noWrap w:val="0"/>
                  <w:tcMar>
                    <w:top w:w="15" w:type="dxa"/>
                    <w:left w:w="108" w:type="dxa"/>
                    <w:bottom w:w="15" w:type="dxa"/>
                    <w:right w:w="108" w:type="dxa"/>
                  </w:tcMar>
                  <w:vAlign w:val="center"/>
                </w:tcPr>
                <w:p w14:paraId="799035B8">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所属</w:t>
                  </w:r>
                </w:p>
                <w:p w14:paraId="121CD1CC">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zh-CN"/>
                    </w:rPr>
                  </w:pPr>
                  <w:r>
                    <w:rPr>
                      <w:rFonts w:hint="default" w:ascii="Times New Roman" w:hAnsi="Times New Roman" w:eastAsia="宋体" w:cs="Times New Roman"/>
                      <w:b/>
                      <w:bCs/>
                      <w:color w:val="auto"/>
                      <w:sz w:val="21"/>
                      <w:szCs w:val="21"/>
                      <w:highlight w:val="none"/>
                    </w:rPr>
                    <w:t>区县</w:t>
                  </w:r>
                </w:p>
              </w:tc>
              <w:tc>
                <w:tcPr>
                  <w:tcW w:w="1622" w:type="pct"/>
                  <w:tcBorders>
                    <w:tl2br w:val="nil"/>
                    <w:tr2bl w:val="nil"/>
                  </w:tcBorders>
                  <w:noWrap w:val="0"/>
                  <w:tcMar>
                    <w:top w:w="15" w:type="dxa"/>
                    <w:left w:w="108" w:type="dxa"/>
                    <w:bottom w:w="15" w:type="dxa"/>
                    <w:right w:w="108" w:type="dxa"/>
                  </w:tcMar>
                  <w:vAlign w:val="center"/>
                </w:tcPr>
                <w:p w14:paraId="2378D207">
                  <w:pPr>
                    <w:keepNext w:val="0"/>
                    <w:keepLines w:val="0"/>
                    <w:pageBreakBefore w:val="0"/>
                    <w:widowControl w:val="0"/>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zh-CN"/>
                    </w:rPr>
                    <w:t>相交</w:t>
                  </w:r>
                  <w:r>
                    <w:rPr>
                      <w:rFonts w:hint="default" w:ascii="Times New Roman" w:hAnsi="Times New Roman" w:eastAsia="宋体" w:cs="Times New Roman"/>
                      <w:b/>
                      <w:bCs/>
                      <w:color w:val="auto"/>
                      <w:sz w:val="21"/>
                      <w:szCs w:val="21"/>
                      <w:highlight w:val="none"/>
                      <w:lang w:val="en-US" w:eastAsia="zh-CN"/>
                    </w:rPr>
                    <w:t>单元名称</w:t>
                  </w:r>
                </w:p>
              </w:tc>
            </w:tr>
            <w:tr w14:paraId="37B832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86" w:type="pct"/>
                  <w:vMerge w:val="restart"/>
                  <w:tcBorders>
                    <w:tl2br w:val="nil"/>
                    <w:tr2bl w:val="nil"/>
                  </w:tcBorders>
                  <w:noWrap w:val="0"/>
                  <w:tcMar>
                    <w:top w:w="15" w:type="dxa"/>
                    <w:left w:w="108" w:type="dxa"/>
                    <w:bottom w:w="15" w:type="dxa"/>
                    <w:right w:w="108" w:type="dxa"/>
                  </w:tcMar>
                  <w:vAlign w:val="center"/>
                </w:tcPr>
                <w:p w14:paraId="7E96A35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pacing w:val="-4"/>
                      <w:sz w:val="21"/>
                      <w:szCs w:val="21"/>
                      <w:highlight w:val="none"/>
                    </w:rPr>
                    <w:t>环境质量</w:t>
                  </w:r>
                  <w:r>
                    <w:rPr>
                      <w:rFonts w:hint="default" w:ascii="Times New Roman" w:hAnsi="Times New Roman" w:eastAsia="宋体" w:cs="Times New Roman"/>
                      <w:color w:val="auto"/>
                      <w:spacing w:val="-10"/>
                      <w:sz w:val="21"/>
                      <w:szCs w:val="21"/>
                      <w:highlight w:val="none"/>
                    </w:rPr>
                    <w:t>底</w:t>
                  </w:r>
                  <w:r>
                    <w:rPr>
                      <w:rFonts w:hint="default" w:ascii="Times New Roman" w:hAnsi="Times New Roman" w:eastAsia="宋体" w:cs="Times New Roman"/>
                      <w:color w:val="auto"/>
                      <w:spacing w:val="-9"/>
                      <w:sz w:val="21"/>
                      <w:szCs w:val="21"/>
                      <w:highlight w:val="none"/>
                    </w:rPr>
                    <w:t>线</w:t>
                  </w:r>
                </w:p>
              </w:tc>
              <w:tc>
                <w:tcPr>
                  <w:tcW w:w="1357" w:type="pct"/>
                  <w:tcBorders>
                    <w:tl2br w:val="nil"/>
                    <w:tr2bl w:val="nil"/>
                  </w:tcBorders>
                  <w:noWrap w:val="0"/>
                  <w:tcMar>
                    <w:top w:w="15" w:type="dxa"/>
                    <w:left w:w="108" w:type="dxa"/>
                    <w:bottom w:w="15" w:type="dxa"/>
                    <w:right w:w="108" w:type="dxa"/>
                  </w:tcMar>
                  <w:vAlign w:val="center"/>
                </w:tcPr>
                <w:p w14:paraId="3997CC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水环境</w:t>
                  </w:r>
                  <w:r>
                    <w:rPr>
                      <w:rFonts w:hint="eastAsia" w:ascii="Times New Roman" w:hAnsi="Times New Roman" w:cs="Times New Roman"/>
                      <w:color w:val="auto"/>
                      <w:sz w:val="21"/>
                      <w:szCs w:val="21"/>
                      <w:highlight w:val="none"/>
                      <w:lang w:val="en-US" w:eastAsia="zh-CN"/>
                    </w:rPr>
                    <w:t>一般</w:t>
                  </w:r>
                  <w:r>
                    <w:rPr>
                      <w:rFonts w:hint="default" w:ascii="Times New Roman" w:hAnsi="Times New Roman" w:eastAsia="宋体" w:cs="Times New Roman"/>
                      <w:color w:val="auto"/>
                      <w:sz w:val="21"/>
                      <w:szCs w:val="21"/>
                      <w:highlight w:val="none"/>
                    </w:rPr>
                    <w:t>管控区</w:t>
                  </w:r>
                </w:p>
              </w:tc>
              <w:tc>
                <w:tcPr>
                  <w:tcW w:w="459" w:type="pct"/>
                  <w:tcBorders>
                    <w:tl2br w:val="nil"/>
                    <w:tr2bl w:val="nil"/>
                  </w:tcBorders>
                  <w:noWrap w:val="0"/>
                  <w:tcMar>
                    <w:top w:w="15" w:type="dxa"/>
                    <w:left w:w="108" w:type="dxa"/>
                    <w:bottom w:w="15" w:type="dxa"/>
                    <w:right w:w="108" w:type="dxa"/>
                  </w:tcMar>
                  <w:vAlign w:val="center"/>
                </w:tcPr>
                <w:p w14:paraId="25A87BB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是</w:t>
                  </w:r>
                </w:p>
              </w:tc>
              <w:tc>
                <w:tcPr>
                  <w:tcW w:w="491" w:type="pct"/>
                  <w:tcBorders>
                    <w:tl2br w:val="nil"/>
                    <w:tr2bl w:val="nil"/>
                  </w:tcBorders>
                  <w:noWrap w:val="0"/>
                  <w:tcMar>
                    <w:top w:w="15" w:type="dxa"/>
                    <w:left w:w="108" w:type="dxa"/>
                    <w:bottom w:w="15" w:type="dxa"/>
                    <w:right w:w="108" w:type="dxa"/>
                  </w:tcMar>
                  <w:vAlign w:val="center"/>
                </w:tcPr>
                <w:p w14:paraId="6A4714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鸡西市</w:t>
                  </w:r>
                </w:p>
              </w:tc>
              <w:tc>
                <w:tcPr>
                  <w:tcW w:w="481" w:type="pct"/>
                  <w:tcBorders>
                    <w:tl2br w:val="nil"/>
                    <w:tr2bl w:val="nil"/>
                  </w:tcBorders>
                  <w:noWrap w:val="0"/>
                  <w:tcMar>
                    <w:top w:w="15" w:type="dxa"/>
                    <w:left w:w="108" w:type="dxa"/>
                    <w:bottom w:w="15" w:type="dxa"/>
                    <w:right w:w="108" w:type="dxa"/>
                  </w:tcMar>
                  <w:vAlign w:val="center"/>
                </w:tcPr>
                <w:p w14:paraId="2AD104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eastAsia" w:ascii="Times New Roman" w:hAnsi="Times New Roman" w:cs="Times New Roman"/>
                      <w:color w:val="auto"/>
                      <w:sz w:val="21"/>
                      <w:szCs w:val="21"/>
                      <w:highlight w:val="none"/>
                      <w:lang w:val="en-US" w:eastAsia="zh-CN"/>
                    </w:rPr>
                    <w:t>恒山区</w:t>
                  </w:r>
                </w:p>
              </w:tc>
              <w:tc>
                <w:tcPr>
                  <w:tcW w:w="1622" w:type="pct"/>
                  <w:tcBorders>
                    <w:tl2br w:val="nil"/>
                    <w:tr2bl w:val="nil"/>
                  </w:tcBorders>
                  <w:noWrap w:val="0"/>
                  <w:tcMar>
                    <w:top w:w="15" w:type="dxa"/>
                    <w:left w:w="108" w:type="dxa"/>
                    <w:bottom w:w="15" w:type="dxa"/>
                    <w:right w:w="108" w:type="dxa"/>
                  </w:tcMar>
                  <w:vAlign w:val="center"/>
                </w:tcPr>
                <w:p w14:paraId="200C53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穆棱河知一桥恒山区2</w:t>
                  </w:r>
                </w:p>
              </w:tc>
            </w:tr>
            <w:tr w14:paraId="5A0B7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86" w:type="pct"/>
                  <w:vMerge w:val="continue"/>
                  <w:tcBorders>
                    <w:tl2br w:val="nil"/>
                    <w:tr2bl w:val="nil"/>
                  </w:tcBorders>
                  <w:noWrap w:val="0"/>
                  <w:tcMar>
                    <w:top w:w="15" w:type="dxa"/>
                    <w:left w:w="108" w:type="dxa"/>
                    <w:bottom w:w="15" w:type="dxa"/>
                    <w:right w:w="108" w:type="dxa"/>
                  </w:tcMar>
                  <w:vAlign w:val="center"/>
                </w:tcPr>
                <w:p w14:paraId="35C725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1357" w:type="pct"/>
                  <w:tcBorders>
                    <w:tl2br w:val="nil"/>
                    <w:tr2bl w:val="nil"/>
                  </w:tcBorders>
                  <w:noWrap w:val="0"/>
                  <w:tcMar>
                    <w:top w:w="15" w:type="dxa"/>
                    <w:left w:w="108" w:type="dxa"/>
                    <w:bottom w:w="15" w:type="dxa"/>
                    <w:right w:w="108" w:type="dxa"/>
                  </w:tcMar>
                  <w:vAlign w:val="center"/>
                </w:tcPr>
                <w:p w14:paraId="10ABF3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大气环境布局敏感重点管控区</w:t>
                  </w:r>
                </w:p>
              </w:tc>
              <w:tc>
                <w:tcPr>
                  <w:tcW w:w="459" w:type="pct"/>
                  <w:tcBorders>
                    <w:tl2br w:val="nil"/>
                    <w:tr2bl w:val="nil"/>
                  </w:tcBorders>
                  <w:noWrap w:val="0"/>
                  <w:tcMar>
                    <w:top w:w="15" w:type="dxa"/>
                    <w:left w:w="108" w:type="dxa"/>
                    <w:bottom w:w="15" w:type="dxa"/>
                    <w:right w:w="108" w:type="dxa"/>
                  </w:tcMar>
                  <w:vAlign w:val="center"/>
                </w:tcPr>
                <w:p w14:paraId="1A10D99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是</w:t>
                  </w:r>
                </w:p>
              </w:tc>
              <w:tc>
                <w:tcPr>
                  <w:tcW w:w="491" w:type="pct"/>
                  <w:tcBorders>
                    <w:tl2br w:val="nil"/>
                    <w:tr2bl w:val="nil"/>
                  </w:tcBorders>
                  <w:noWrap w:val="0"/>
                  <w:tcMar>
                    <w:top w:w="15" w:type="dxa"/>
                    <w:left w:w="108" w:type="dxa"/>
                    <w:bottom w:w="15" w:type="dxa"/>
                    <w:right w:w="108" w:type="dxa"/>
                  </w:tcMar>
                  <w:vAlign w:val="center"/>
                </w:tcPr>
                <w:p w14:paraId="001EBB1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鸡西市</w:t>
                  </w:r>
                </w:p>
              </w:tc>
              <w:tc>
                <w:tcPr>
                  <w:tcW w:w="481" w:type="pct"/>
                  <w:tcBorders>
                    <w:tl2br w:val="nil"/>
                    <w:tr2bl w:val="nil"/>
                  </w:tcBorders>
                  <w:noWrap w:val="0"/>
                  <w:tcMar>
                    <w:top w:w="15" w:type="dxa"/>
                    <w:left w:w="108" w:type="dxa"/>
                    <w:bottom w:w="15" w:type="dxa"/>
                    <w:right w:w="108" w:type="dxa"/>
                  </w:tcMar>
                  <w:vAlign w:val="center"/>
                </w:tcPr>
                <w:p w14:paraId="647A46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eastAsia" w:ascii="Times New Roman" w:hAnsi="Times New Roman" w:cs="Times New Roman"/>
                      <w:color w:val="auto"/>
                      <w:sz w:val="21"/>
                      <w:szCs w:val="21"/>
                      <w:highlight w:val="none"/>
                      <w:lang w:val="en-US" w:eastAsia="zh-CN"/>
                    </w:rPr>
                    <w:t>恒山区</w:t>
                  </w:r>
                </w:p>
              </w:tc>
              <w:tc>
                <w:tcPr>
                  <w:tcW w:w="1622" w:type="pct"/>
                  <w:tcBorders>
                    <w:tl2br w:val="nil"/>
                    <w:tr2bl w:val="nil"/>
                  </w:tcBorders>
                  <w:noWrap w:val="0"/>
                  <w:tcMar>
                    <w:top w:w="15" w:type="dxa"/>
                    <w:left w:w="108" w:type="dxa"/>
                    <w:bottom w:w="15" w:type="dxa"/>
                    <w:right w:w="108" w:type="dxa"/>
                  </w:tcMar>
                  <w:vAlign w:val="center"/>
                </w:tcPr>
                <w:p w14:paraId="3F258E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恒山区大气环境布局敏感重点管控区</w:t>
                  </w:r>
                </w:p>
              </w:tc>
            </w:tr>
            <w:tr w14:paraId="30C55F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86" w:type="pct"/>
                  <w:tcBorders>
                    <w:tl2br w:val="nil"/>
                    <w:tr2bl w:val="nil"/>
                  </w:tcBorders>
                  <w:noWrap w:val="0"/>
                  <w:tcMar>
                    <w:top w:w="15" w:type="dxa"/>
                    <w:left w:w="108" w:type="dxa"/>
                    <w:bottom w:w="15" w:type="dxa"/>
                    <w:right w:w="108" w:type="dxa"/>
                  </w:tcMar>
                  <w:vAlign w:val="center"/>
                </w:tcPr>
                <w:p w14:paraId="70BAB1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pacing w:val="-8"/>
                      <w:sz w:val="21"/>
                      <w:szCs w:val="21"/>
                      <w:highlight w:val="none"/>
                    </w:rPr>
                    <w:t>资</w:t>
                  </w:r>
                  <w:r>
                    <w:rPr>
                      <w:rFonts w:hint="default" w:ascii="Times New Roman" w:hAnsi="Times New Roman" w:eastAsia="宋体" w:cs="Times New Roman"/>
                      <w:color w:val="auto"/>
                      <w:spacing w:val="-7"/>
                      <w:sz w:val="21"/>
                      <w:szCs w:val="21"/>
                      <w:highlight w:val="none"/>
                    </w:rPr>
                    <w:t>源利用</w:t>
                  </w:r>
                  <w:r>
                    <w:rPr>
                      <w:rFonts w:hint="default" w:ascii="Times New Roman" w:hAnsi="Times New Roman" w:eastAsia="宋体" w:cs="Times New Roman"/>
                      <w:color w:val="auto"/>
                      <w:spacing w:val="-9"/>
                      <w:sz w:val="21"/>
                      <w:szCs w:val="21"/>
                      <w:highlight w:val="none"/>
                    </w:rPr>
                    <w:t>上线</w:t>
                  </w:r>
                </w:p>
              </w:tc>
              <w:tc>
                <w:tcPr>
                  <w:tcW w:w="1357" w:type="pct"/>
                  <w:tcBorders>
                    <w:tl2br w:val="nil"/>
                    <w:tr2bl w:val="nil"/>
                  </w:tcBorders>
                  <w:noWrap w:val="0"/>
                  <w:tcMar>
                    <w:top w:w="15" w:type="dxa"/>
                    <w:left w:w="108" w:type="dxa"/>
                    <w:bottom w:w="15" w:type="dxa"/>
                    <w:right w:w="108" w:type="dxa"/>
                  </w:tcMar>
                  <w:vAlign w:val="center"/>
                </w:tcPr>
                <w:p w14:paraId="23DE282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自然资源一般管控区</w:t>
                  </w:r>
                </w:p>
              </w:tc>
              <w:tc>
                <w:tcPr>
                  <w:tcW w:w="459" w:type="pct"/>
                  <w:tcBorders>
                    <w:tl2br w:val="nil"/>
                    <w:tr2bl w:val="nil"/>
                  </w:tcBorders>
                  <w:noWrap w:val="0"/>
                  <w:tcMar>
                    <w:top w:w="15" w:type="dxa"/>
                    <w:left w:w="108" w:type="dxa"/>
                    <w:bottom w:w="15" w:type="dxa"/>
                    <w:right w:w="108" w:type="dxa"/>
                  </w:tcMar>
                  <w:vAlign w:val="center"/>
                </w:tcPr>
                <w:p w14:paraId="79B856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是</w:t>
                  </w:r>
                </w:p>
              </w:tc>
              <w:tc>
                <w:tcPr>
                  <w:tcW w:w="491" w:type="pct"/>
                  <w:tcBorders>
                    <w:tl2br w:val="nil"/>
                    <w:tr2bl w:val="nil"/>
                  </w:tcBorders>
                  <w:noWrap w:val="0"/>
                  <w:tcMar>
                    <w:top w:w="15" w:type="dxa"/>
                    <w:left w:w="108" w:type="dxa"/>
                    <w:bottom w:w="15" w:type="dxa"/>
                    <w:right w:w="108" w:type="dxa"/>
                  </w:tcMar>
                  <w:vAlign w:val="center"/>
                </w:tcPr>
                <w:p w14:paraId="7EAA6F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鸡西市</w:t>
                  </w:r>
                </w:p>
              </w:tc>
              <w:tc>
                <w:tcPr>
                  <w:tcW w:w="481" w:type="pct"/>
                  <w:tcBorders>
                    <w:tl2br w:val="nil"/>
                    <w:tr2bl w:val="nil"/>
                  </w:tcBorders>
                  <w:noWrap w:val="0"/>
                  <w:tcMar>
                    <w:top w:w="15" w:type="dxa"/>
                    <w:left w:w="108" w:type="dxa"/>
                    <w:bottom w:w="15" w:type="dxa"/>
                    <w:right w:w="108" w:type="dxa"/>
                  </w:tcMar>
                  <w:vAlign w:val="center"/>
                </w:tcPr>
                <w:p w14:paraId="35585F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rPr>
                  </w:pPr>
                  <w:r>
                    <w:rPr>
                      <w:rFonts w:hint="eastAsia" w:ascii="Times New Roman" w:hAnsi="Times New Roman" w:cs="Times New Roman"/>
                      <w:color w:val="auto"/>
                      <w:sz w:val="21"/>
                      <w:szCs w:val="21"/>
                      <w:highlight w:val="none"/>
                      <w:lang w:val="en-US" w:eastAsia="zh-CN"/>
                    </w:rPr>
                    <w:t>恒山区</w:t>
                  </w:r>
                </w:p>
              </w:tc>
              <w:tc>
                <w:tcPr>
                  <w:tcW w:w="1622" w:type="pct"/>
                  <w:tcBorders>
                    <w:tl2br w:val="nil"/>
                    <w:tr2bl w:val="nil"/>
                  </w:tcBorders>
                  <w:noWrap w:val="0"/>
                  <w:tcMar>
                    <w:top w:w="15" w:type="dxa"/>
                    <w:left w:w="108" w:type="dxa"/>
                    <w:bottom w:w="15" w:type="dxa"/>
                    <w:right w:w="108" w:type="dxa"/>
                  </w:tcMar>
                  <w:vAlign w:val="center"/>
                </w:tcPr>
                <w:p w14:paraId="7FAD2A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恒山区自然资源一般管控区</w:t>
                  </w:r>
                </w:p>
              </w:tc>
            </w:tr>
            <w:tr w14:paraId="5BF051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86" w:type="pct"/>
                  <w:tcBorders>
                    <w:tl2br w:val="nil"/>
                    <w:tr2bl w:val="nil"/>
                  </w:tcBorders>
                  <w:noWrap w:val="0"/>
                  <w:tcMar>
                    <w:top w:w="15" w:type="dxa"/>
                    <w:left w:w="108" w:type="dxa"/>
                    <w:bottom w:w="15" w:type="dxa"/>
                    <w:right w:w="108" w:type="dxa"/>
                  </w:tcMar>
                  <w:vAlign w:val="center"/>
                </w:tcPr>
                <w:p w14:paraId="069D4A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pacing w:val="-4"/>
                      <w:sz w:val="21"/>
                      <w:szCs w:val="21"/>
                      <w:highlight w:val="none"/>
                    </w:rPr>
                    <w:t>环境管控</w:t>
                  </w:r>
                  <w:r>
                    <w:rPr>
                      <w:rFonts w:hint="default" w:ascii="Times New Roman" w:hAnsi="Times New Roman" w:eastAsia="宋体" w:cs="Times New Roman"/>
                      <w:color w:val="auto"/>
                      <w:spacing w:val="-11"/>
                      <w:sz w:val="21"/>
                      <w:szCs w:val="21"/>
                      <w:highlight w:val="none"/>
                    </w:rPr>
                    <w:t>单</w:t>
                  </w:r>
                  <w:r>
                    <w:rPr>
                      <w:rFonts w:hint="default" w:ascii="Times New Roman" w:hAnsi="Times New Roman" w:eastAsia="宋体" w:cs="Times New Roman"/>
                      <w:color w:val="auto"/>
                      <w:spacing w:val="-10"/>
                      <w:sz w:val="21"/>
                      <w:szCs w:val="21"/>
                      <w:highlight w:val="none"/>
                    </w:rPr>
                    <w:t>元</w:t>
                  </w:r>
                </w:p>
              </w:tc>
              <w:tc>
                <w:tcPr>
                  <w:tcW w:w="1357" w:type="pct"/>
                  <w:tcBorders>
                    <w:tl2br w:val="nil"/>
                    <w:tr2bl w:val="nil"/>
                  </w:tcBorders>
                  <w:noWrap w:val="0"/>
                  <w:tcMar>
                    <w:top w:w="15" w:type="dxa"/>
                    <w:left w:w="108" w:type="dxa"/>
                    <w:bottom w:w="15" w:type="dxa"/>
                    <w:right w:w="108" w:type="dxa"/>
                  </w:tcMar>
                  <w:vAlign w:val="center"/>
                </w:tcPr>
                <w:p w14:paraId="56A760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重点管控单元</w:t>
                  </w:r>
                </w:p>
              </w:tc>
              <w:tc>
                <w:tcPr>
                  <w:tcW w:w="459" w:type="pct"/>
                  <w:tcBorders>
                    <w:tl2br w:val="nil"/>
                    <w:tr2bl w:val="nil"/>
                  </w:tcBorders>
                  <w:noWrap w:val="0"/>
                  <w:tcMar>
                    <w:top w:w="15" w:type="dxa"/>
                    <w:left w:w="108" w:type="dxa"/>
                    <w:bottom w:w="15" w:type="dxa"/>
                    <w:right w:w="108" w:type="dxa"/>
                  </w:tcMar>
                  <w:vAlign w:val="center"/>
                </w:tcPr>
                <w:p w14:paraId="4302D3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bidi="ar-SA"/>
                    </w:rPr>
                  </w:pPr>
                  <w:r>
                    <w:rPr>
                      <w:rFonts w:hint="default" w:ascii="Times New Roman" w:hAnsi="Times New Roman" w:eastAsia="宋体" w:cs="Times New Roman"/>
                      <w:color w:val="auto"/>
                      <w:sz w:val="21"/>
                      <w:szCs w:val="21"/>
                      <w:highlight w:val="none"/>
                    </w:rPr>
                    <w:t>是</w:t>
                  </w:r>
                </w:p>
              </w:tc>
              <w:tc>
                <w:tcPr>
                  <w:tcW w:w="491" w:type="pct"/>
                  <w:tcBorders>
                    <w:tl2br w:val="nil"/>
                    <w:tr2bl w:val="nil"/>
                  </w:tcBorders>
                  <w:noWrap w:val="0"/>
                  <w:tcMar>
                    <w:top w:w="15" w:type="dxa"/>
                    <w:left w:w="108" w:type="dxa"/>
                    <w:bottom w:w="15" w:type="dxa"/>
                    <w:right w:w="108" w:type="dxa"/>
                  </w:tcMar>
                  <w:vAlign w:val="center"/>
                </w:tcPr>
                <w:p w14:paraId="20707F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bidi="ar-SA"/>
                    </w:rPr>
                  </w:pPr>
                  <w:r>
                    <w:rPr>
                      <w:rFonts w:hint="default" w:ascii="Times New Roman" w:hAnsi="Times New Roman" w:eastAsia="宋体" w:cs="Times New Roman"/>
                      <w:color w:val="auto"/>
                      <w:sz w:val="21"/>
                      <w:szCs w:val="21"/>
                      <w:highlight w:val="none"/>
                      <w:lang w:val="zh-CN" w:eastAsia="zh-CN" w:bidi="ar-SA"/>
                    </w:rPr>
                    <w:t>鸡西市</w:t>
                  </w:r>
                </w:p>
              </w:tc>
              <w:tc>
                <w:tcPr>
                  <w:tcW w:w="481" w:type="pct"/>
                  <w:tcBorders>
                    <w:tl2br w:val="nil"/>
                    <w:tr2bl w:val="nil"/>
                  </w:tcBorders>
                  <w:noWrap w:val="0"/>
                  <w:tcMar>
                    <w:top w:w="15" w:type="dxa"/>
                    <w:left w:w="108" w:type="dxa"/>
                    <w:bottom w:w="15" w:type="dxa"/>
                    <w:right w:w="108" w:type="dxa"/>
                  </w:tcMar>
                  <w:vAlign w:val="center"/>
                </w:tcPr>
                <w:p w14:paraId="4DA29B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zh-CN" w:eastAsia="zh-CN" w:bidi="ar-SA"/>
                    </w:rPr>
                  </w:pPr>
                  <w:r>
                    <w:rPr>
                      <w:rFonts w:hint="eastAsia" w:ascii="Times New Roman" w:hAnsi="Times New Roman" w:cs="Times New Roman"/>
                      <w:color w:val="auto"/>
                      <w:sz w:val="21"/>
                      <w:szCs w:val="21"/>
                      <w:highlight w:val="none"/>
                      <w:lang w:val="en-US" w:eastAsia="zh-CN"/>
                    </w:rPr>
                    <w:t>恒山区</w:t>
                  </w:r>
                </w:p>
              </w:tc>
              <w:tc>
                <w:tcPr>
                  <w:tcW w:w="1622" w:type="pct"/>
                  <w:tcBorders>
                    <w:tl2br w:val="nil"/>
                    <w:tr2bl w:val="nil"/>
                  </w:tcBorders>
                  <w:noWrap w:val="0"/>
                  <w:tcMar>
                    <w:top w:w="15" w:type="dxa"/>
                    <w:left w:w="108" w:type="dxa"/>
                    <w:bottom w:w="15" w:type="dxa"/>
                    <w:right w:w="108" w:type="dxa"/>
                  </w:tcMar>
                  <w:vAlign w:val="center"/>
                </w:tcPr>
                <w:p w14:paraId="25832E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恒山区大气环境布局敏感重点管控区</w:t>
                  </w:r>
                </w:p>
              </w:tc>
            </w:tr>
          </w:tbl>
          <w:p w14:paraId="0EAE86DE">
            <w:pPr>
              <w:tabs>
                <w:tab w:val="left" w:pos="6480"/>
              </w:tabs>
              <w:autoSpaceDE w:val="0"/>
              <w:autoSpaceDN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（1）“一图” </w:t>
            </w:r>
          </w:p>
          <w:p w14:paraId="00C7735D">
            <w:pPr>
              <w:tabs>
                <w:tab w:val="left" w:pos="6480"/>
              </w:tabs>
              <w:autoSpaceDE w:val="0"/>
              <w:autoSpaceDN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highlight w:val="none"/>
              </w:rPr>
              <w:t>本项目位于</w:t>
            </w:r>
            <w:r>
              <w:rPr>
                <w:rFonts w:hint="default" w:ascii="Times New Roman" w:hAnsi="Times New Roman" w:cs="Times New Roman"/>
                <w:color w:val="auto"/>
                <w:sz w:val="24"/>
                <w:highlight w:val="none"/>
                <w:lang w:val="zh-CN" w:eastAsia="zh-CN"/>
              </w:rPr>
              <w:t>黑龙江省鸡西市恒山区红旗乡民乐村004乡道北侧</w:t>
            </w:r>
            <w:r>
              <w:rPr>
                <w:rFonts w:hint="default" w:ascii="Times New Roman" w:hAnsi="Times New Roman" w:eastAsia="宋体" w:cs="Times New Roman"/>
                <w:color w:val="auto"/>
                <w:sz w:val="24"/>
                <w:lang w:val="en-US" w:eastAsia="zh-CN"/>
              </w:rPr>
              <w:t>，根据本项目生态环境分区管控分析报告，项目与环境管控单元叠加图见</w:t>
            </w:r>
            <w:r>
              <w:rPr>
                <w:rFonts w:hint="eastAsia" w:ascii="Times New Roman" w:hAnsi="Times New Roman" w:eastAsia="宋体" w:cs="Times New Roman"/>
                <w:color w:val="auto"/>
                <w:sz w:val="24"/>
                <w:lang w:val="en-US" w:eastAsia="zh-CN"/>
              </w:rPr>
              <w:t>下图</w:t>
            </w:r>
            <w:r>
              <w:rPr>
                <w:rFonts w:hint="default" w:ascii="Times New Roman" w:hAnsi="Times New Roman" w:eastAsia="宋体" w:cs="Times New Roman"/>
                <w:color w:val="auto"/>
                <w:sz w:val="24"/>
                <w:lang w:val="en-US" w:eastAsia="zh-CN"/>
              </w:rPr>
              <w:t>。</w:t>
            </w:r>
          </w:p>
          <w:p w14:paraId="3611C7AF">
            <w:pPr>
              <w:tabs>
                <w:tab w:val="left" w:pos="6480"/>
              </w:tabs>
              <w:autoSpaceDE w:val="0"/>
              <w:autoSpaceDN w:val="0"/>
              <w:spacing w:line="360" w:lineRule="auto"/>
              <w:rPr>
                <w:rFonts w:hint="default" w:ascii="Times New Roman" w:hAnsi="Times New Roman" w:eastAsia="宋体" w:cs="Times New Roman"/>
                <w:color w:val="auto"/>
                <w:sz w:val="24"/>
                <w:lang w:val="en-US" w:eastAsia="zh-CN"/>
              </w:rPr>
            </w:pPr>
            <w:r>
              <w:rPr>
                <w:color w:val="auto"/>
              </w:rPr>
              <w:drawing>
                <wp:inline distT="0" distB="0" distL="114300" distR="114300">
                  <wp:extent cx="4530725" cy="2563495"/>
                  <wp:effectExtent l="0" t="0" r="0" b="0"/>
                  <wp:docPr id="1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
                          <pic:cNvPicPr>
                            <a:picLocks noChangeAspect="1"/>
                          </pic:cNvPicPr>
                        </pic:nvPicPr>
                        <pic:blipFill>
                          <a:blip r:embed="rId11"/>
                          <a:srcRect b="10883"/>
                          <a:stretch>
                            <a:fillRect/>
                          </a:stretch>
                        </pic:blipFill>
                        <pic:spPr>
                          <a:xfrm>
                            <a:off x="0" y="0"/>
                            <a:ext cx="4530725" cy="2563495"/>
                          </a:xfrm>
                          <a:prstGeom prst="rect">
                            <a:avLst/>
                          </a:prstGeom>
                          <a:noFill/>
                          <a:ln>
                            <a:noFill/>
                          </a:ln>
                        </pic:spPr>
                      </pic:pic>
                    </a:graphicData>
                  </a:graphic>
                </wp:inline>
              </w:drawing>
            </w:r>
          </w:p>
          <w:p w14:paraId="0D29C5A8">
            <w:pPr>
              <w:keepNext w:val="0"/>
              <w:keepLines w:val="0"/>
              <w:widowControl/>
              <w:suppressLineNumbers w:val="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图1-</w:t>
            </w:r>
            <w:r>
              <w:rPr>
                <w:rFonts w:hint="eastAsia" w:cs="Times New Roman"/>
                <w:b/>
                <w:bCs/>
                <w:color w:val="auto"/>
                <w:kern w:val="0"/>
                <w:sz w:val="21"/>
                <w:szCs w:val="21"/>
                <w:lang w:val="en-US" w:eastAsia="zh-CN" w:bidi="ar"/>
              </w:rPr>
              <w:t>1</w:t>
            </w:r>
            <w:r>
              <w:rPr>
                <w:rFonts w:hint="default" w:ascii="Times New Roman" w:hAnsi="Times New Roman" w:eastAsia="宋体" w:cs="Times New Roman"/>
                <w:b/>
                <w:bCs/>
                <w:color w:val="auto"/>
                <w:kern w:val="0"/>
                <w:sz w:val="21"/>
                <w:szCs w:val="21"/>
                <w:lang w:val="en-US" w:eastAsia="zh-CN" w:bidi="ar"/>
              </w:rPr>
              <w:t xml:space="preserve"> 项目与环境管控单元叠加图</w:t>
            </w:r>
          </w:p>
          <w:p w14:paraId="191CEC32">
            <w:pPr>
              <w:keepNext w:val="0"/>
              <w:keepLines w:val="0"/>
              <w:pageBreakBefore w:val="0"/>
              <w:widowControl w:val="0"/>
              <w:tabs>
                <w:tab w:val="left" w:pos="6480"/>
              </w:tabs>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（2）“一表”</w:t>
            </w:r>
          </w:p>
          <w:p w14:paraId="16AF60CE">
            <w:pPr>
              <w:keepNext w:val="0"/>
              <w:keepLines w:val="0"/>
              <w:pageBreakBefore w:val="0"/>
              <w:widowControl w:val="0"/>
              <w:tabs>
                <w:tab w:val="left" w:pos="6480"/>
              </w:tabs>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本项目与</w:t>
            </w:r>
            <w:r>
              <w:rPr>
                <w:rFonts w:hint="default" w:ascii="Times New Roman" w:hAnsi="Times New Roman" w:eastAsia="宋体" w:cs="Times New Roman"/>
                <w:color w:val="auto"/>
                <w:sz w:val="24"/>
                <w:lang w:val="zh-CN"/>
              </w:rPr>
              <w:t>鸡西市</w:t>
            </w:r>
            <w:r>
              <w:rPr>
                <w:rFonts w:hint="eastAsia" w:ascii="Times New Roman" w:hAnsi="Times New Roman" w:eastAsia="宋体" w:cs="Times New Roman"/>
                <w:color w:val="auto"/>
                <w:sz w:val="24"/>
                <w:lang w:val="en-US" w:eastAsia="zh-CN"/>
              </w:rPr>
              <w:t>恒山区</w:t>
            </w:r>
            <w:r>
              <w:rPr>
                <w:rFonts w:hint="default" w:ascii="Times New Roman" w:hAnsi="Times New Roman" w:eastAsia="宋体" w:cs="Times New Roman"/>
                <w:color w:val="auto"/>
                <w:sz w:val="24"/>
                <w:lang w:val="zh-CN"/>
              </w:rPr>
              <w:t>生态环境准入清单符合性情况见</w:t>
            </w:r>
            <w:r>
              <w:rPr>
                <w:rFonts w:hint="default" w:ascii="Times New Roman" w:hAnsi="Times New Roman" w:eastAsia="宋体" w:cs="Times New Roman"/>
                <w:color w:val="auto"/>
                <w:sz w:val="24"/>
                <w:lang w:val="en-US" w:eastAsia="zh-CN"/>
              </w:rPr>
              <w:t>下表。</w:t>
            </w:r>
          </w:p>
          <w:p w14:paraId="2DE33BA7">
            <w:pPr>
              <w:spacing w:line="288" w:lineRule="auto"/>
              <w:jc w:val="center"/>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kern w:val="0"/>
                <w:szCs w:val="21"/>
              </w:rPr>
              <w:t>表1-</w:t>
            </w:r>
            <w:r>
              <w:rPr>
                <w:rFonts w:hint="eastAsia" w:cs="Times New Roman"/>
                <w:b/>
                <w:bCs/>
                <w:color w:val="auto"/>
                <w:kern w:val="0"/>
                <w:szCs w:val="21"/>
                <w:lang w:val="en-US" w:eastAsia="zh-CN"/>
              </w:rPr>
              <w:t>3</w:t>
            </w:r>
            <w:r>
              <w:rPr>
                <w:rFonts w:hint="default" w:ascii="Times New Roman" w:hAnsi="Times New Roman" w:cs="Times New Roman"/>
                <w:b/>
                <w:bCs/>
                <w:color w:val="auto"/>
                <w:kern w:val="0"/>
                <w:szCs w:val="21"/>
                <w:lang w:val="en-US" w:eastAsia="zh-CN"/>
              </w:rPr>
              <w:t xml:space="preserve"> 本项目“生态环境分区管控”符合性分析</w:t>
            </w:r>
          </w:p>
          <w:tbl>
            <w:tblPr>
              <w:tblStyle w:val="32"/>
              <w:tblW w:w="70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3848"/>
              <w:gridCol w:w="2217"/>
            </w:tblGrid>
            <w:tr w14:paraId="65D266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638033B9">
                  <w:pPr>
                    <w:autoSpaceDE w:val="0"/>
                    <w:autoSpaceDN w:val="0"/>
                    <w:spacing w:line="240" w:lineRule="auto"/>
                    <w:ind w:right="28"/>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zh-CN"/>
                    </w:rPr>
                    <w:t>一、生态保护红线</w:t>
                  </w:r>
                </w:p>
              </w:tc>
            </w:tr>
            <w:tr w14:paraId="2E048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06A9A902">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zh-CN"/>
                    </w:rPr>
                    <w:t>根据《</w:t>
                  </w:r>
                  <w:r>
                    <w:rPr>
                      <w:rFonts w:hint="eastAsia" w:cs="Times New Roman"/>
                      <w:color w:val="auto"/>
                      <w:sz w:val="21"/>
                      <w:szCs w:val="21"/>
                      <w:highlight w:val="none"/>
                      <w:vertAlign w:val="baseline"/>
                      <w:lang w:val="zh-CN" w:eastAsia="zh-CN"/>
                    </w:rPr>
                    <w:t>鸡西市宝全煤炭销售有限公司储煤场建设项目</w:t>
                  </w:r>
                  <w:r>
                    <w:rPr>
                      <w:rFonts w:hint="default" w:ascii="Times New Roman" w:hAnsi="Times New Roman" w:eastAsia="宋体" w:cs="Times New Roman"/>
                      <w:color w:val="auto"/>
                      <w:sz w:val="21"/>
                      <w:szCs w:val="21"/>
                      <w:highlight w:val="none"/>
                      <w:vertAlign w:val="baseline"/>
                      <w:lang w:val="zh-CN"/>
                    </w:rPr>
                    <w:t>生态环境分区管控分析报告》，</w:t>
                  </w:r>
                  <w:r>
                    <w:rPr>
                      <w:rFonts w:hint="default" w:ascii="Times New Roman" w:hAnsi="Times New Roman" w:eastAsia="宋体" w:cs="Times New Roman"/>
                      <w:color w:val="auto"/>
                      <w:sz w:val="21"/>
                      <w:szCs w:val="21"/>
                      <w:highlight w:val="none"/>
                      <w:vertAlign w:val="baseline"/>
                      <w:lang w:val="zh-CN" w:eastAsia="zh-CN"/>
                    </w:rPr>
                    <w:t>本项目位置不占用生态保护红线，不占用基本农田，不属于永久基本农田保护红线、生态保护红线和城镇开发边界三条控制线内的项目，所在区域内无国家、省级自然保护区、人文风景名胜区、基本农田等生态环境敏感目标。不在河道管理范围内。</w:t>
                  </w:r>
                </w:p>
              </w:tc>
            </w:tr>
            <w:tr w14:paraId="5C611E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02958EC7">
                  <w:pPr>
                    <w:autoSpaceDE w:val="0"/>
                    <w:autoSpaceDN w:val="0"/>
                    <w:spacing w:line="240" w:lineRule="auto"/>
                    <w:ind w:right="28"/>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zh-CN"/>
                    </w:rPr>
                    <w:t>二、环境质量底线</w:t>
                  </w:r>
                </w:p>
              </w:tc>
            </w:tr>
            <w:tr w14:paraId="2B8FF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12898AC5">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环境质量底线是国家和地方设置的大气、水和土壤环境质量目标，也是改善环境质量的基准线。项目环境影响评价应对照区域环境质量目标，深入分析预测项目建设对环境质量的影响，强化污染防治措施和污染物排放控制要求。</w:t>
                  </w:r>
                </w:p>
                <w:p w14:paraId="7293AC37">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1、大气环境</w:t>
                  </w:r>
                </w:p>
                <w:p w14:paraId="1D90C85B">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根据《2025年黑龙江省生态环境状况公报》，鸡西市空气质量级别达二级标准，PM</w:t>
                  </w:r>
                  <w:r>
                    <w:rPr>
                      <w:rFonts w:hint="default" w:ascii="Times New Roman" w:hAnsi="Times New Roman" w:eastAsia="宋体" w:cs="Times New Roman"/>
                      <w:color w:val="auto"/>
                      <w:sz w:val="21"/>
                      <w:szCs w:val="21"/>
                      <w:highlight w:val="none"/>
                      <w:vertAlign w:val="subscript"/>
                      <w:lang w:val="zh-CN"/>
                    </w:rPr>
                    <w:t>2.5</w:t>
                  </w:r>
                  <w:r>
                    <w:rPr>
                      <w:rFonts w:hint="default" w:ascii="Times New Roman" w:hAnsi="Times New Roman" w:eastAsia="宋体" w:cs="Times New Roman"/>
                      <w:color w:val="auto"/>
                      <w:sz w:val="21"/>
                      <w:szCs w:val="21"/>
                      <w:highlight w:val="none"/>
                      <w:vertAlign w:val="baseline"/>
                      <w:lang w:val="zh-CN"/>
                    </w:rPr>
                    <w:t>、PM</w:t>
                  </w:r>
                  <w:r>
                    <w:rPr>
                      <w:rFonts w:hint="default" w:ascii="Times New Roman" w:hAnsi="Times New Roman" w:eastAsia="宋体" w:cs="Times New Roman"/>
                      <w:color w:val="auto"/>
                      <w:sz w:val="21"/>
                      <w:szCs w:val="21"/>
                      <w:highlight w:val="none"/>
                      <w:vertAlign w:val="subscript"/>
                      <w:lang w:val="zh-CN"/>
                    </w:rPr>
                    <w:t>10</w:t>
                  </w:r>
                  <w:r>
                    <w:rPr>
                      <w:rFonts w:hint="default" w:ascii="Times New Roman" w:hAnsi="Times New Roman" w:eastAsia="宋体" w:cs="Times New Roman"/>
                      <w:color w:val="auto"/>
                      <w:sz w:val="21"/>
                      <w:szCs w:val="21"/>
                      <w:highlight w:val="none"/>
                      <w:vertAlign w:val="baseline"/>
                      <w:lang w:val="zh-CN"/>
                    </w:rPr>
                    <w:t>、SO</w:t>
                  </w:r>
                  <w:r>
                    <w:rPr>
                      <w:rFonts w:hint="default" w:ascii="Times New Roman" w:hAnsi="Times New Roman" w:eastAsia="宋体" w:cs="Times New Roman"/>
                      <w:color w:val="auto"/>
                      <w:sz w:val="21"/>
                      <w:szCs w:val="21"/>
                      <w:highlight w:val="none"/>
                      <w:vertAlign w:val="subscript"/>
                      <w:lang w:val="zh-CN"/>
                    </w:rPr>
                    <w:t>2</w:t>
                  </w:r>
                  <w:r>
                    <w:rPr>
                      <w:rFonts w:hint="default" w:ascii="Times New Roman" w:hAnsi="Times New Roman" w:eastAsia="宋体" w:cs="Times New Roman"/>
                      <w:color w:val="auto"/>
                      <w:sz w:val="21"/>
                      <w:szCs w:val="21"/>
                      <w:highlight w:val="none"/>
                      <w:vertAlign w:val="baseline"/>
                      <w:lang w:val="zh-CN"/>
                    </w:rPr>
                    <w:t>、NO</w:t>
                  </w:r>
                  <w:r>
                    <w:rPr>
                      <w:rFonts w:hint="default" w:ascii="Times New Roman" w:hAnsi="Times New Roman" w:eastAsia="宋体" w:cs="Times New Roman"/>
                      <w:color w:val="auto"/>
                      <w:sz w:val="21"/>
                      <w:szCs w:val="21"/>
                      <w:highlight w:val="none"/>
                      <w:vertAlign w:val="subscript"/>
                      <w:lang w:val="zh-CN"/>
                    </w:rPr>
                    <w:t>2</w:t>
                  </w:r>
                  <w:r>
                    <w:rPr>
                      <w:rFonts w:hint="default" w:ascii="Times New Roman" w:hAnsi="Times New Roman" w:eastAsia="宋体" w:cs="Times New Roman"/>
                      <w:color w:val="auto"/>
                      <w:sz w:val="21"/>
                      <w:szCs w:val="21"/>
                      <w:highlight w:val="none"/>
                      <w:vertAlign w:val="baseline"/>
                      <w:lang w:val="zh-CN"/>
                    </w:rPr>
                    <w:t>、CO-95per、O</w:t>
                  </w:r>
                  <w:r>
                    <w:rPr>
                      <w:rFonts w:hint="default" w:ascii="Times New Roman" w:hAnsi="Times New Roman" w:eastAsia="宋体" w:cs="Times New Roman"/>
                      <w:color w:val="auto"/>
                      <w:sz w:val="21"/>
                      <w:szCs w:val="21"/>
                      <w:highlight w:val="none"/>
                      <w:vertAlign w:val="subscript"/>
                      <w:lang w:val="zh-CN"/>
                    </w:rPr>
                    <w:t>3</w:t>
                  </w:r>
                  <w:r>
                    <w:rPr>
                      <w:rFonts w:hint="default" w:ascii="Times New Roman" w:hAnsi="Times New Roman" w:eastAsia="宋体" w:cs="Times New Roman"/>
                      <w:color w:val="auto"/>
                      <w:sz w:val="21"/>
                      <w:szCs w:val="21"/>
                      <w:highlight w:val="none"/>
                      <w:vertAlign w:val="baseline"/>
                      <w:lang w:val="zh-CN"/>
                    </w:rPr>
                    <w:t>-8h-90per年均浓度分别为26μg/m³、43μg/m³、8μg/m³、17μg/m³、0.9μg/m³、和115μg/m³，均满足《环境空气质量标准》（GB3095-2026）中过渡阶段二级标准，项目所在区域为达标区。</w:t>
                  </w:r>
                </w:p>
                <w:p w14:paraId="57DE85EF">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2、水环境</w:t>
                  </w:r>
                </w:p>
                <w:p w14:paraId="32C9164E">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本项目</w:t>
                  </w:r>
                  <w:r>
                    <w:rPr>
                      <w:rFonts w:hint="default" w:ascii="Times New Roman" w:hAnsi="Times New Roman" w:eastAsia="宋体" w:cs="Times New Roman"/>
                      <w:color w:val="auto"/>
                      <w:sz w:val="21"/>
                      <w:szCs w:val="21"/>
                      <w:highlight w:val="none"/>
                      <w:vertAlign w:val="baseline"/>
                      <w:lang w:val="zh-CN" w:eastAsia="zh-CN"/>
                    </w:rPr>
                    <w:t>所在</w:t>
                  </w:r>
                  <w:r>
                    <w:rPr>
                      <w:rFonts w:hint="default" w:ascii="Times New Roman" w:hAnsi="Times New Roman" w:eastAsia="宋体" w:cs="Times New Roman"/>
                      <w:color w:val="auto"/>
                      <w:sz w:val="21"/>
                      <w:szCs w:val="21"/>
                      <w:highlight w:val="none"/>
                      <w:vertAlign w:val="baseline"/>
                      <w:lang w:val="zh-CN"/>
                    </w:rPr>
                    <w:t>区域地表水体为</w:t>
                  </w:r>
                  <w:r>
                    <w:rPr>
                      <w:rFonts w:hint="default" w:ascii="Times New Roman" w:hAnsi="Times New Roman" w:eastAsia="宋体" w:cs="Times New Roman"/>
                      <w:color w:val="auto"/>
                      <w:sz w:val="21"/>
                      <w:szCs w:val="21"/>
                      <w:highlight w:val="none"/>
                      <w:vertAlign w:val="baseline"/>
                      <w:lang w:val="zh-CN" w:eastAsia="zh-CN"/>
                    </w:rPr>
                    <w:t>小黄泥河，无水质目标。小黄泥河为穆棱河支流，因此参照穆棱河水质</w:t>
                  </w:r>
                  <w:r>
                    <w:rPr>
                      <w:rFonts w:hint="default" w:ascii="Times New Roman" w:hAnsi="Times New Roman" w:eastAsia="宋体" w:cs="Times New Roman"/>
                      <w:color w:val="auto"/>
                      <w:sz w:val="21"/>
                      <w:szCs w:val="21"/>
                      <w:highlight w:val="none"/>
                      <w:vertAlign w:val="baseline"/>
                      <w:lang w:val="zh-CN"/>
                    </w:rPr>
                    <w:t>。根据《全国重要江河湖泊水功能区划（2011</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2030年）》，穆棱河鸡西市境内河段水质分为206省道公路桥-东胜村，长度2.2km，为排污段，无水质目标</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东胜村</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鸡古路西100m，长度14.5km，为</w:t>
                  </w:r>
                  <w:r>
                    <w:rPr>
                      <w:rFonts w:hint="default" w:ascii="Times New Roman" w:hAnsi="Times New Roman" w:eastAsia="宋体" w:cs="Times New Roman"/>
                      <w:color w:val="auto"/>
                      <w:sz w:val="21"/>
                      <w:szCs w:val="21"/>
                      <w:highlight w:val="none"/>
                      <w:vertAlign w:val="baseline"/>
                      <w:lang w:val="zh-CN" w:eastAsia="zh-CN"/>
                    </w:rPr>
                    <w:t>过渡段</w:t>
                  </w:r>
                  <w:r>
                    <w:rPr>
                      <w:rFonts w:hint="default" w:ascii="Times New Roman" w:hAnsi="Times New Roman" w:eastAsia="宋体" w:cs="Times New Roman"/>
                      <w:color w:val="auto"/>
                      <w:sz w:val="21"/>
                      <w:szCs w:val="21"/>
                      <w:highlight w:val="none"/>
                      <w:vertAlign w:val="baseline"/>
                      <w:lang w:val="zh-CN"/>
                    </w:rPr>
                    <w:t>，水质目标为Ⅳ类</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鸡东县鸡古路西100m</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凯北站</w:t>
                  </w:r>
                  <w:r>
                    <w:rPr>
                      <w:rFonts w:hint="default" w:ascii="Times New Roman" w:hAnsi="Times New Roman" w:eastAsia="宋体" w:cs="Times New Roman"/>
                      <w:color w:val="auto"/>
                      <w:sz w:val="21"/>
                      <w:szCs w:val="21"/>
                      <w:highlight w:val="none"/>
                      <w:vertAlign w:val="baseline"/>
                      <w:lang w:val="zh-CN" w:eastAsia="zh-CN"/>
                    </w:rPr>
                    <w:t>，</w:t>
                  </w:r>
                  <w:r>
                    <w:rPr>
                      <w:rFonts w:hint="default" w:ascii="Times New Roman" w:hAnsi="Times New Roman" w:eastAsia="宋体" w:cs="Times New Roman"/>
                      <w:color w:val="auto"/>
                      <w:sz w:val="21"/>
                      <w:szCs w:val="21"/>
                      <w:highlight w:val="none"/>
                      <w:vertAlign w:val="baseline"/>
                      <w:lang w:val="zh-CN"/>
                    </w:rPr>
                    <w:t>水质目标为Ⅲ类水体，执行《地表水环境质量标准》（GB3838-2002）中Ⅲ类标准。</w:t>
                  </w:r>
                  <w:r>
                    <w:rPr>
                      <w:rFonts w:hint="default" w:ascii="Times New Roman" w:hAnsi="Times New Roman" w:eastAsia="宋体" w:cs="Times New Roman"/>
                      <w:color w:val="auto"/>
                      <w:sz w:val="21"/>
                      <w:szCs w:val="21"/>
                      <w:highlight w:val="none"/>
                      <w:vertAlign w:val="baseline"/>
                      <w:lang w:val="zh-CN"/>
                    </w:rPr>
                    <w:t>根据鸡西市生态环境局网站公布的202</w:t>
                  </w:r>
                  <w:r>
                    <w:rPr>
                      <w:rFonts w:hint="default" w:ascii="Times New Roman" w:hAnsi="Times New Roman" w:eastAsia="宋体" w:cs="Times New Roman"/>
                      <w:color w:val="auto"/>
                      <w:sz w:val="21"/>
                      <w:szCs w:val="21"/>
                      <w:highlight w:val="none"/>
                      <w:vertAlign w:val="baseline"/>
                      <w:lang w:val="zh-CN" w:eastAsia="zh-CN"/>
                    </w:rPr>
                    <w:t>5</w:t>
                  </w:r>
                  <w:r>
                    <w:rPr>
                      <w:rFonts w:hint="default" w:ascii="Times New Roman" w:hAnsi="Times New Roman" w:eastAsia="宋体" w:cs="Times New Roman"/>
                      <w:color w:val="auto"/>
                      <w:sz w:val="21"/>
                      <w:szCs w:val="21"/>
                      <w:highlight w:val="none"/>
                      <w:vertAlign w:val="baseline"/>
                      <w:lang w:val="zh-CN"/>
                    </w:rPr>
                    <w:t>年1-12月地表水国控考核断面水质信息公开</w:t>
                  </w:r>
                  <w:r>
                    <w:rPr>
                      <w:rFonts w:hint="default" w:ascii="Times New Roman" w:hAnsi="Times New Roman" w:eastAsia="宋体" w:cs="Times New Roman"/>
                      <w:color w:val="auto"/>
                      <w:sz w:val="21"/>
                      <w:szCs w:val="21"/>
                      <w:highlight w:val="none"/>
                      <w:vertAlign w:val="baseline"/>
                      <w:lang w:val="zh-CN"/>
                    </w:rPr>
                    <w:t>，</w:t>
                  </w:r>
                  <w:r>
                    <w:rPr>
                      <w:rFonts w:hint="default" w:ascii="Times New Roman" w:hAnsi="Times New Roman" w:eastAsia="宋体" w:cs="Times New Roman"/>
                      <w:color w:val="auto"/>
                      <w:sz w:val="21"/>
                      <w:szCs w:val="21"/>
                      <w:highlight w:val="none"/>
                      <w:vertAlign w:val="baseline"/>
                      <w:lang w:val="zh-CN" w:eastAsia="zh-CN"/>
                    </w:rPr>
                    <w:t>知一桥断面和</w:t>
                  </w:r>
                  <w:r>
                    <w:rPr>
                      <w:rFonts w:hint="default" w:ascii="Times New Roman" w:hAnsi="Times New Roman" w:eastAsia="宋体" w:cs="Times New Roman"/>
                      <w:color w:val="auto"/>
                      <w:sz w:val="21"/>
                      <w:szCs w:val="21"/>
                      <w:highlight w:val="none"/>
                      <w:vertAlign w:val="baseline"/>
                      <w:lang w:val="zh-CN"/>
                    </w:rPr>
                    <w:t>穆棱河河口内断面全年达到Ⅲ类水质类别标准。</w:t>
                  </w:r>
                </w:p>
                <w:p w14:paraId="22F77BBF">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3、声环境</w:t>
                  </w:r>
                </w:p>
                <w:p w14:paraId="2F0CD82C">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根据《2025年黑龙江省生态环境状况公报》，鸡西市区域昼间声环境质量为二级，等效声级为53.2dB（A）；道路交通昼间声环境质量为一级，等效声级为64.7dB（A）；功能区昼间达标率87.7%，功能区夜间达标率97.6%。</w:t>
                  </w:r>
                </w:p>
                <w:p w14:paraId="3DF04AB4">
                  <w:pPr>
                    <w:autoSpaceDE w:val="0"/>
                    <w:autoSpaceDN w:val="0"/>
                    <w:spacing w:line="240" w:lineRule="auto"/>
                    <w:ind w:right="28" w:firstLine="420" w:firstLineChars="200"/>
                    <w:jc w:val="both"/>
                    <w:rPr>
                      <w:rFonts w:hint="default" w:ascii="Times New Roman" w:hAnsi="Times New Roman" w:cs="Times New Roman"/>
                      <w:color w:val="auto"/>
                    </w:rPr>
                  </w:pPr>
                  <w:r>
                    <w:rPr>
                      <w:rFonts w:hint="default" w:ascii="Times New Roman" w:hAnsi="Times New Roman" w:eastAsia="宋体" w:cs="Times New Roman"/>
                      <w:color w:val="auto"/>
                      <w:sz w:val="21"/>
                      <w:szCs w:val="21"/>
                      <w:highlight w:val="none"/>
                      <w:vertAlign w:val="baseline"/>
                      <w:lang w:val="zh-CN"/>
                    </w:rPr>
                    <w:t>项目施工期噪声按《建筑施工噪声排放标准》（GB12523-2025）表1中的排放限值，本项目废气、废水、噪声达到标准排放，固废均得到合理处置，噪声对周边影响较小，因此本项目能够满足环境质量底线。</w:t>
                  </w:r>
                </w:p>
              </w:tc>
            </w:tr>
            <w:tr w14:paraId="1E0921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409D6692">
                  <w:pPr>
                    <w:autoSpaceDE w:val="0"/>
                    <w:autoSpaceDN w:val="0"/>
                    <w:spacing w:line="240" w:lineRule="auto"/>
                    <w:ind w:right="28"/>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zh-CN"/>
                    </w:rPr>
                    <w:t>三、资源利用上线</w:t>
                  </w:r>
                </w:p>
              </w:tc>
            </w:tr>
            <w:tr w14:paraId="611B44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53B3BA91">
                  <w:pPr>
                    <w:autoSpaceDE w:val="0"/>
                    <w:autoSpaceDN w:val="0"/>
                    <w:spacing w:line="240" w:lineRule="auto"/>
                    <w:ind w:right="28" w:firstLine="420" w:firstLineChars="200"/>
                    <w:jc w:val="both"/>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本项目位于恒山区自然资源一般管控区，项目用水为洒水降尘用水，项目用水由城市自来水供水管网。洒水降尘用水主要去向为蒸发或者进入煤炭，不外排。本项目用地性质为采矿用地，本项目厂区布局合理，不占用黑土地和永久基本农田。本项目的生产不会突破水资源利用上线。</w:t>
                  </w:r>
                </w:p>
              </w:tc>
            </w:tr>
            <w:tr w14:paraId="1D63B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2" w:type="dxa"/>
                  <w:gridSpan w:val="3"/>
                  <w:tcBorders>
                    <w:tl2br w:val="nil"/>
                    <w:tr2bl w:val="nil"/>
                  </w:tcBorders>
                  <w:noWrap w:val="0"/>
                  <w:vAlign w:val="top"/>
                </w:tcPr>
                <w:p w14:paraId="5D857382">
                  <w:pPr>
                    <w:autoSpaceDE w:val="0"/>
                    <w:autoSpaceDN w:val="0"/>
                    <w:spacing w:line="240" w:lineRule="auto"/>
                    <w:ind w:right="28"/>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zh-CN"/>
                    </w:rPr>
                    <w:t>四、环境准入清单</w:t>
                  </w:r>
                </w:p>
              </w:tc>
            </w:tr>
            <w:tr w14:paraId="2461A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4D215400">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环境管控单元名称</w:t>
                  </w:r>
                </w:p>
              </w:tc>
              <w:tc>
                <w:tcPr>
                  <w:tcW w:w="6065" w:type="dxa"/>
                  <w:gridSpan w:val="2"/>
                  <w:tcBorders>
                    <w:tl2br w:val="nil"/>
                    <w:tr2bl w:val="nil"/>
                  </w:tcBorders>
                  <w:noWrap w:val="0"/>
                  <w:vAlign w:val="center"/>
                </w:tcPr>
                <w:p w14:paraId="221856EA">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b w:val="0"/>
                      <w:bCs w:val="0"/>
                      <w:color w:val="auto"/>
                      <w:sz w:val="21"/>
                      <w:szCs w:val="21"/>
                      <w:highlight w:val="none"/>
                      <w:lang w:val="en-US" w:eastAsia="zh-CN"/>
                    </w:rPr>
                    <w:t>恒山区大气环境布局敏感重点管控区</w:t>
                  </w:r>
                </w:p>
              </w:tc>
            </w:tr>
            <w:tr w14:paraId="17649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32F605A8">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环境管控单元编码</w:t>
                  </w:r>
                </w:p>
              </w:tc>
              <w:tc>
                <w:tcPr>
                  <w:tcW w:w="6065" w:type="dxa"/>
                  <w:gridSpan w:val="2"/>
                  <w:tcBorders>
                    <w:tl2br w:val="nil"/>
                    <w:tr2bl w:val="nil"/>
                  </w:tcBorders>
                  <w:noWrap w:val="0"/>
                  <w:vAlign w:val="center"/>
                </w:tcPr>
                <w:p w14:paraId="4BD782A7">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cs="Times New Roman"/>
                      <w:color w:val="auto"/>
                      <w:highlight w:val="none"/>
                    </w:rPr>
                    <w:t>ZH23030320004</w:t>
                  </w:r>
                </w:p>
              </w:tc>
            </w:tr>
            <w:tr w14:paraId="4AE2D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5F995111">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管控单元类别</w:t>
                  </w:r>
                </w:p>
              </w:tc>
              <w:tc>
                <w:tcPr>
                  <w:tcW w:w="6065" w:type="dxa"/>
                  <w:gridSpan w:val="2"/>
                  <w:tcBorders>
                    <w:tl2br w:val="nil"/>
                    <w:tr2bl w:val="nil"/>
                  </w:tcBorders>
                  <w:noWrap w:val="0"/>
                  <w:vAlign w:val="center"/>
                </w:tcPr>
                <w:p w14:paraId="53A8E2A8">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重点管控单元</w:t>
                  </w:r>
                </w:p>
              </w:tc>
            </w:tr>
            <w:tr w14:paraId="22AB18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5" w:type="dxa"/>
                  <w:gridSpan w:val="2"/>
                  <w:tcBorders>
                    <w:tl2br w:val="nil"/>
                    <w:tr2bl w:val="nil"/>
                  </w:tcBorders>
                  <w:noWrap w:val="0"/>
                  <w:vAlign w:val="center"/>
                </w:tcPr>
                <w:p w14:paraId="0979843F">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管控要求</w:t>
                  </w:r>
                </w:p>
              </w:tc>
              <w:tc>
                <w:tcPr>
                  <w:tcW w:w="2217" w:type="dxa"/>
                  <w:tcBorders>
                    <w:tl2br w:val="nil"/>
                    <w:tr2bl w:val="nil"/>
                  </w:tcBorders>
                  <w:noWrap w:val="0"/>
                  <w:vAlign w:val="top"/>
                </w:tcPr>
                <w:p w14:paraId="7E095238">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项目符合性分析</w:t>
                  </w:r>
                </w:p>
              </w:tc>
            </w:tr>
            <w:tr w14:paraId="3658A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6A94C3FD">
                  <w:p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snapToGrid w:val="0"/>
                      <w:color w:val="auto"/>
                      <w:kern w:val="0"/>
                      <w:sz w:val="21"/>
                      <w:szCs w:val="21"/>
                      <w:highlight w:val="none"/>
                    </w:rPr>
                    <w:t>空间布局约束</w:t>
                  </w:r>
                </w:p>
              </w:tc>
              <w:tc>
                <w:tcPr>
                  <w:tcW w:w="3848" w:type="dxa"/>
                  <w:tcBorders>
                    <w:tl2br w:val="nil"/>
                    <w:tr2bl w:val="nil"/>
                  </w:tcBorders>
                  <w:noWrap w:val="0"/>
                  <w:vAlign w:val="center"/>
                </w:tcPr>
                <w:p w14:paraId="297D0792">
                  <w:pPr>
                    <w:numPr>
                      <w:ilvl w:val="0"/>
                      <w:numId w:val="0"/>
                    </w:numPr>
                    <w:spacing w:line="240" w:lineRule="auto"/>
                    <w:ind w:left="0" w:leftChars="0" w:firstLine="0" w:firstLineChars="0"/>
                    <w:rPr>
                      <w:rFonts w:hint="default" w:ascii="Times New Roman" w:hAnsi="Times New Roman" w:eastAsia="宋体"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rPr>
                    <w:t>严控</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两高</w:t>
                  </w:r>
                  <w:r>
                    <w:rPr>
                      <w:rFonts w:hint="eastAsia"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行业产能。严格执行钢铁、水泥、平板玻璃等行业产能置换实施办法。</w:t>
                  </w:r>
                </w:p>
                <w:p w14:paraId="24FE5178">
                  <w:pPr>
                    <w:numPr>
                      <w:ilvl w:val="0"/>
                      <w:numId w:val="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利用水泥窑协同处置城市生活垃圾、危险废弃物、电石渣等固废伴生水泥项目，必须依托现有新型干法水泥熟料生产线进行不扩产能改造。</w:t>
                  </w:r>
                </w:p>
              </w:tc>
              <w:tc>
                <w:tcPr>
                  <w:tcW w:w="2217" w:type="dxa"/>
                  <w:tcBorders>
                    <w:tl2br w:val="nil"/>
                    <w:tr2bl w:val="nil"/>
                  </w:tcBorders>
                  <w:noWrap w:val="0"/>
                  <w:vAlign w:val="center"/>
                </w:tcPr>
                <w:p w14:paraId="57EC3AE0">
                  <w:pPr>
                    <w:pStyle w:val="58"/>
                    <w:numPr>
                      <w:ilvl w:val="0"/>
                      <w:numId w:val="0"/>
                    </w:numPr>
                    <w:ind w:left="0" w:leftChars="0" w:firstLine="0" w:firstLineChars="0"/>
                    <w:jc w:val="center"/>
                    <w:rPr>
                      <w:rFonts w:hint="default" w:ascii="Times New Roman" w:hAnsi="Times New Roman" w:eastAsia="宋体" w:cs="Times New Roman"/>
                      <w:color w:val="auto"/>
                      <w:sz w:val="21"/>
                      <w:szCs w:val="21"/>
                      <w:highlight w:val="none"/>
                      <w:vertAlign w:val="baseline"/>
                      <w:lang w:val="zh-CN" w:eastAsia="zh-CN"/>
                    </w:rPr>
                  </w:pPr>
                  <w:r>
                    <w:rPr>
                      <w:rFonts w:hint="default" w:ascii="Times New Roman" w:hAnsi="Times New Roman" w:eastAsia="宋体" w:cs="Times New Roman"/>
                      <w:snapToGrid w:val="0"/>
                      <w:color w:val="auto"/>
                      <w:kern w:val="0"/>
                      <w:sz w:val="21"/>
                      <w:szCs w:val="21"/>
                      <w:highlight w:val="none"/>
                    </w:rPr>
                    <w:t>本</w:t>
                  </w:r>
                  <w:r>
                    <w:rPr>
                      <w:rFonts w:hint="default" w:ascii="Times New Roman" w:hAnsi="Times New Roman" w:eastAsia="宋体" w:cs="Times New Roman"/>
                      <w:snapToGrid w:val="0"/>
                      <w:color w:val="auto"/>
                      <w:kern w:val="0"/>
                      <w:sz w:val="21"/>
                      <w:szCs w:val="21"/>
                      <w:highlight w:val="none"/>
                      <w:lang w:val="en-US" w:eastAsia="zh-CN"/>
                    </w:rPr>
                    <w:t>项目为</w:t>
                  </w:r>
                  <w:r>
                    <w:rPr>
                      <w:rFonts w:hint="default" w:ascii="Times New Roman" w:hAnsi="Times New Roman" w:cs="Times New Roman"/>
                      <w:snapToGrid w:val="0"/>
                      <w:color w:val="auto"/>
                      <w:kern w:val="0"/>
                      <w:sz w:val="21"/>
                      <w:szCs w:val="21"/>
                      <w:highlight w:val="none"/>
                      <w:lang w:val="en-US" w:eastAsia="zh-CN"/>
                    </w:rPr>
                    <w:t>储煤货场</w:t>
                  </w:r>
                  <w:r>
                    <w:rPr>
                      <w:rFonts w:hint="default" w:ascii="Times New Roman" w:hAnsi="Times New Roman" w:eastAsia="宋体" w:cs="Times New Roman"/>
                      <w:snapToGrid w:val="0"/>
                      <w:color w:val="auto"/>
                      <w:kern w:val="0"/>
                      <w:sz w:val="21"/>
                      <w:szCs w:val="21"/>
                      <w:highlight w:val="none"/>
                      <w:lang w:val="en-US" w:eastAsia="zh-CN"/>
                    </w:rPr>
                    <w:t>项目，不属于</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两高</w:t>
                  </w:r>
                  <w:r>
                    <w:rPr>
                      <w:rFonts w:hint="eastAsia"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行业</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cs="Times New Roman"/>
                      <w:color w:val="auto"/>
                      <w:spacing w:val="-3"/>
                      <w:kern w:val="0"/>
                      <w:highlight w:val="none"/>
                      <w:lang w:val="zh-CN" w:bidi="zh-CN"/>
                    </w:rPr>
                    <w:t>符合空间约束管控要求</w:t>
                  </w:r>
                  <w:r>
                    <w:rPr>
                      <w:rFonts w:hint="default" w:ascii="Times New Roman" w:hAnsi="Times New Roman" w:cs="Times New Roman"/>
                      <w:color w:val="auto"/>
                      <w:highlight w:val="none"/>
                    </w:rPr>
                    <w:t>。</w:t>
                  </w:r>
                </w:p>
              </w:tc>
            </w:tr>
            <w:tr w14:paraId="671CA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342629D9">
                  <w:p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snapToGrid w:val="0"/>
                      <w:color w:val="auto"/>
                      <w:kern w:val="0"/>
                      <w:sz w:val="21"/>
                      <w:szCs w:val="21"/>
                      <w:highlight w:val="none"/>
                    </w:rPr>
                    <w:t>污染物排放管控</w:t>
                  </w:r>
                </w:p>
              </w:tc>
              <w:tc>
                <w:tcPr>
                  <w:tcW w:w="3848" w:type="dxa"/>
                  <w:tcBorders>
                    <w:tl2br w:val="nil"/>
                    <w:tr2bl w:val="nil"/>
                  </w:tcBorders>
                  <w:noWrap w:val="0"/>
                  <w:vAlign w:val="center"/>
                </w:tcPr>
                <w:p w14:paraId="4D5CA912">
                  <w:pPr>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 xml:space="preserve">1.对以煤、石焦油、渣油、重油等为燃料的锅炉和工业炉窑，加快使用清洁低碳能源以及工厂余热、电力热力等进行替代。 </w:t>
                  </w:r>
                </w:p>
                <w:p w14:paraId="6593D3AD">
                  <w:pPr>
                    <w:spacing w:line="240" w:lineRule="auto"/>
                    <w:rPr>
                      <w:rFonts w:hint="default" w:ascii="Times New Roman" w:hAnsi="Times New Roman" w:eastAsia="宋体" w:cs="Times New Roman"/>
                      <w:color w:val="auto"/>
                      <w:kern w:val="2"/>
                      <w:sz w:val="21"/>
                      <w:szCs w:val="21"/>
                      <w:highlight w:val="none"/>
                      <w:vertAlign w:val="baseline"/>
                      <w:lang w:val="zh-CN" w:eastAsia="zh-CN" w:bidi="ar-SA"/>
                    </w:rPr>
                  </w:pPr>
                  <w:r>
                    <w:rPr>
                      <w:rFonts w:hint="default" w:ascii="Times New Roman" w:hAnsi="Times New Roman" w:cs="Times New Roman"/>
                      <w:color w:val="auto"/>
                      <w:sz w:val="21"/>
                      <w:szCs w:val="21"/>
                      <w:highlight w:val="none"/>
                      <w:lang w:val="en-US" w:eastAsia="zh-CN"/>
                    </w:rPr>
                    <w:t>2.到2025年，在用65蒸吨/小时以上的燃煤锅炉（含电力）实现超低排放，钢铁企业基本实现超低排放。</w:t>
                  </w:r>
                </w:p>
              </w:tc>
              <w:tc>
                <w:tcPr>
                  <w:tcW w:w="2217" w:type="dxa"/>
                  <w:tcBorders>
                    <w:tl2br w:val="nil"/>
                    <w:tr2bl w:val="nil"/>
                  </w:tcBorders>
                  <w:noWrap w:val="0"/>
                  <w:vAlign w:val="center"/>
                </w:tcPr>
                <w:p w14:paraId="744FE277">
                  <w:pPr>
                    <w:pStyle w:val="58"/>
                    <w:ind w:left="0" w:leftChars="0" w:firstLine="0" w:firstLineChars="0"/>
                    <w:rPr>
                      <w:rFonts w:hint="default" w:ascii="Times New Roman" w:hAnsi="Times New Roman" w:eastAsia="宋体" w:cs="Times New Roman"/>
                      <w:color w:val="auto"/>
                      <w:sz w:val="21"/>
                      <w:szCs w:val="21"/>
                      <w:highlight w:val="none"/>
                      <w:vertAlign w:val="baseline"/>
                      <w:lang w:val="zh-CN" w:eastAsia="zh-CN"/>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eastAsia="zh-CN"/>
                    </w:rPr>
                    <w:t>冬季供暖采用电取暖</w:t>
                  </w:r>
                  <w:r>
                    <w:rPr>
                      <w:rFonts w:hint="default" w:ascii="Times New Roman" w:hAnsi="Times New Roman" w:cs="Times New Roman"/>
                      <w:color w:val="auto"/>
                      <w:sz w:val="21"/>
                      <w:szCs w:val="21"/>
                      <w:highlight w:val="none"/>
                    </w:rPr>
                    <w:t>，不建设锅炉。</w:t>
                  </w:r>
                  <w:r>
                    <w:rPr>
                      <w:rFonts w:hint="default" w:ascii="Times New Roman" w:hAnsi="Times New Roman" w:cs="Times New Roman"/>
                      <w:color w:val="auto"/>
                      <w:spacing w:val="-3"/>
                      <w:kern w:val="0"/>
                      <w:highlight w:val="none"/>
                      <w:lang w:val="zh-CN" w:bidi="zh-CN"/>
                    </w:rPr>
                    <w:t>符合</w:t>
                  </w:r>
                  <w:r>
                    <w:rPr>
                      <w:rFonts w:hint="default" w:ascii="Times New Roman" w:hAnsi="Times New Roman" w:cs="Times New Roman"/>
                      <w:color w:val="auto"/>
                      <w:sz w:val="21"/>
                      <w:szCs w:val="21"/>
                      <w:highlight w:val="none"/>
                      <w:lang w:eastAsia="zh-CN"/>
                    </w:rPr>
                    <w:t>污染物排放管控</w:t>
                  </w:r>
                  <w:r>
                    <w:rPr>
                      <w:rFonts w:hint="default" w:ascii="Times New Roman" w:hAnsi="Times New Roman" w:cs="Times New Roman"/>
                      <w:color w:val="auto"/>
                      <w:spacing w:val="-3"/>
                      <w:kern w:val="0"/>
                      <w:highlight w:val="none"/>
                      <w:lang w:val="zh-CN" w:bidi="zh-CN"/>
                    </w:rPr>
                    <w:t>要求</w:t>
                  </w:r>
                  <w:r>
                    <w:rPr>
                      <w:rFonts w:hint="default" w:ascii="Times New Roman" w:hAnsi="Times New Roman" w:cs="Times New Roman"/>
                      <w:color w:val="auto"/>
                      <w:highlight w:val="none"/>
                    </w:rPr>
                    <w:t>。</w:t>
                  </w:r>
                </w:p>
              </w:tc>
            </w:tr>
            <w:tr w14:paraId="14B3B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2128A898">
                  <w:p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snapToGrid w:val="0"/>
                      <w:color w:val="auto"/>
                      <w:kern w:val="0"/>
                      <w:sz w:val="21"/>
                      <w:szCs w:val="21"/>
                      <w:highlight w:val="none"/>
                    </w:rPr>
                    <w:t>环境风险防控</w:t>
                  </w:r>
                </w:p>
              </w:tc>
              <w:tc>
                <w:tcPr>
                  <w:tcW w:w="3848" w:type="dxa"/>
                  <w:tcBorders>
                    <w:tl2br w:val="nil"/>
                    <w:tr2bl w:val="nil"/>
                  </w:tcBorders>
                  <w:noWrap w:val="0"/>
                  <w:vAlign w:val="center"/>
                </w:tcPr>
                <w:p w14:paraId="377D2C87">
                  <w:pPr>
                    <w:numPr>
                      <w:ilvl w:val="0"/>
                      <w:numId w:val="0"/>
                    </w:numPr>
                    <w:spacing w:line="240" w:lineRule="auto"/>
                    <w:ind w:left="0" w:leftChars="0" w:firstLine="0" w:firstLineChars="0"/>
                    <w:rPr>
                      <w:rFonts w:hint="default" w:ascii="Times New Roman" w:hAnsi="Times New Roman" w:eastAsia="宋体" w:cs="Times New Roman"/>
                      <w:color w:val="auto"/>
                      <w:kern w:val="2"/>
                      <w:sz w:val="21"/>
                      <w:szCs w:val="21"/>
                      <w:highlight w:val="none"/>
                      <w:vertAlign w:val="baseline"/>
                      <w:lang w:val="zh-CN" w:eastAsia="zh-CN" w:bidi="ar-SA"/>
                    </w:rPr>
                  </w:pPr>
                  <w:r>
                    <w:rPr>
                      <w:rFonts w:hint="default" w:ascii="Times New Roman" w:hAnsi="Times New Roman" w:eastAsia="宋体" w:cs="Times New Roman"/>
                      <w:b w:val="0"/>
                      <w:bCs w:val="0"/>
                      <w:color w:val="auto"/>
                      <w:sz w:val="21"/>
                      <w:szCs w:val="21"/>
                      <w:highlight w:val="none"/>
                    </w:rPr>
                    <w:t>禁止在居民区、学校、医疗和养老机构等周边新建有色金属冶炼、焦化等行业企业。</w:t>
                  </w:r>
                </w:p>
              </w:tc>
              <w:tc>
                <w:tcPr>
                  <w:tcW w:w="2217" w:type="dxa"/>
                  <w:tcBorders>
                    <w:tl2br w:val="nil"/>
                    <w:tr2bl w:val="nil"/>
                  </w:tcBorders>
                  <w:noWrap w:val="0"/>
                  <w:vAlign w:val="center"/>
                </w:tcPr>
                <w:p w14:paraId="17EE7EEF">
                  <w:pPr>
                    <w:pStyle w:val="58"/>
                    <w:ind w:left="0" w:leftChars="0" w:firstLine="0" w:firstLineChars="0"/>
                    <w:rPr>
                      <w:rFonts w:hint="default" w:ascii="Times New Roman" w:hAnsi="Times New Roman" w:eastAsia="宋体" w:cs="Times New Roman"/>
                      <w:color w:val="auto"/>
                      <w:sz w:val="21"/>
                      <w:szCs w:val="21"/>
                      <w:highlight w:val="none"/>
                      <w:vertAlign w:val="baseline"/>
                      <w:lang w:val="zh-CN" w:eastAsia="zh-CN"/>
                    </w:rPr>
                  </w:pPr>
                  <w:r>
                    <w:rPr>
                      <w:rFonts w:hint="default" w:ascii="Times New Roman" w:hAnsi="Times New Roman" w:eastAsia="宋体" w:cs="Times New Roman"/>
                      <w:b w:val="0"/>
                      <w:bCs w:val="0"/>
                      <w:snapToGrid w:val="0"/>
                      <w:color w:val="auto"/>
                      <w:kern w:val="0"/>
                      <w:sz w:val="21"/>
                      <w:szCs w:val="21"/>
                      <w:highlight w:val="none"/>
                    </w:rPr>
                    <w:t>本项目</w:t>
                  </w:r>
                  <w:r>
                    <w:rPr>
                      <w:rFonts w:hint="default" w:ascii="Times New Roman" w:hAnsi="Times New Roman" w:eastAsia="宋体" w:cs="Times New Roman"/>
                      <w:b w:val="0"/>
                      <w:bCs w:val="0"/>
                      <w:snapToGrid w:val="0"/>
                      <w:color w:val="auto"/>
                      <w:kern w:val="0"/>
                      <w:sz w:val="21"/>
                      <w:szCs w:val="21"/>
                      <w:highlight w:val="none"/>
                      <w:lang w:val="en-US" w:eastAsia="zh-CN"/>
                    </w:rPr>
                    <w:t>不属于</w:t>
                  </w:r>
                  <w:r>
                    <w:rPr>
                      <w:rFonts w:hint="default" w:ascii="Times New Roman" w:hAnsi="Times New Roman" w:eastAsia="宋体" w:cs="Times New Roman"/>
                      <w:b w:val="0"/>
                      <w:bCs w:val="0"/>
                      <w:color w:val="auto"/>
                      <w:sz w:val="21"/>
                      <w:szCs w:val="21"/>
                      <w:highlight w:val="none"/>
                    </w:rPr>
                    <w:t>有色金属冶炼、焦化</w:t>
                  </w:r>
                  <w:r>
                    <w:rPr>
                      <w:rFonts w:hint="default" w:ascii="Times New Roman" w:hAnsi="Times New Roman" w:eastAsia="宋体" w:cs="Times New Roman"/>
                      <w:b w:val="0"/>
                      <w:bCs w:val="0"/>
                      <w:color w:val="auto"/>
                      <w:sz w:val="21"/>
                      <w:szCs w:val="21"/>
                      <w:highlight w:val="none"/>
                      <w:lang w:val="en-US" w:eastAsia="zh-CN"/>
                    </w:rPr>
                    <w:t>行业企业，</w:t>
                  </w:r>
                  <w:r>
                    <w:rPr>
                      <w:rFonts w:hint="default" w:ascii="Times New Roman" w:hAnsi="Times New Roman" w:eastAsia="宋体" w:cs="Times New Roman"/>
                      <w:b w:val="0"/>
                      <w:bCs w:val="0"/>
                      <w:snapToGrid w:val="0"/>
                      <w:color w:val="auto"/>
                      <w:kern w:val="0"/>
                      <w:sz w:val="21"/>
                      <w:szCs w:val="21"/>
                      <w:highlight w:val="none"/>
                      <w:lang w:val="en-US" w:eastAsia="zh-CN"/>
                    </w:rPr>
                    <w:t>用地属于</w:t>
                  </w:r>
                  <w:r>
                    <w:rPr>
                      <w:rFonts w:hint="eastAsia" w:cs="Times New Roman"/>
                      <w:b w:val="0"/>
                      <w:bCs w:val="0"/>
                      <w:snapToGrid w:val="0"/>
                      <w:color w:val="auto"/>
                      <w:kern w:val="0"/>
                      <w:sz w:val="21"/>
                      <w:szCs w:val="21"/>
                      <w:highlight w:val="none"/>
                      <w:lang w:val="en-US" w:eastAsia="zh-CN"/>
                    </w:rPr>
                    <w:t>采矿用地</w:t>
                  </w:r>
                  <w:r>
                    <w:rPr>
                      <w:rFonts w:hint="default" w:ascii="Times New Roman" w:hAnsi="Times New Roman" w:cs="Times New Roman"/>
                      <w:b w:val="0"/>
                      <w:bCs w:val="0"/>
                      <w:snapToGrid w:val="0"/>
                      <w:color w:val="auto"/>
                      <w:kern w:val="0"/>
                      <w:sz w:val="21"/>
                      <w:szCs w:val="21"/>
                      <w:highlight w:val="none"/>
                      <w:lang w:val="en-US" w:eastAsia="zh-CN"/>
                    </w:rPr>
                    <w:t>。</w:t>
                  </w:r>
                  <w:r>
                    <w:rPr>
                      <w:rFonts w:hint="default" w:ascii="Times New Roman" w:hAnsi="Times New Roman" w:cs="Times New Roman"/>
                      <w:color w:val="auto"/>
                      <w:spacing w:val="-3"/>
                      <w:kern w:val="0"/>
                      <w:highlight w:val="none"/>
                      <w:lang w:val="zh-CN" w:bidi="zh-CN"/>
                    </w:rPr>
                    <w:t>符合</w:t>
                  </w:r>
                  <w:r>
                    <w:rPr>
                      <w:rFonts w:hint="default" w:ascii="Times New Roman" w:hAnsi="Times New Roman" w:eastAsia="宋体" w:cs="Times New Roman"/>
                      <w:b w:val="0"/>
                      <w:bCs w:val="0"/>
                      <w:snapToGrid w:val="0"/>
                      <w:color w:val="auto"/>
                      <w:kern w:val="0"/>
                      <w:sz w:val="21"/>
                      <w:szCs w:val="21"/>
                      <w:highlight w:val="none"/>
                    </w:rPr>
                    <w:t>环境风险防控</w:t>
                  </w:r>
                  <w:r>
                    <w:rPr>
                      <w:rFonts w:hint="default" w:ascii="Times New Roman" w:hAnsi="Times New Roman" w:cs="Times New Roman"/>
                      <w:color w:val="auto"/>
                      <w:spacing w:val="-3"/>
                      <w:kern w:val="0"/>
                      <w:highlight w:val="none"/>
                      <w:lang w:val="zh-CN" w:bidi="zh-CN"/>
                    </w:rPr>
                    <w:t>要求</w:t>
                  </w:r>
                  <w:r>
                    <w:rPr>
                      <w:rFonts w:hint="default" w:ascii="Times New Roman" w:hAnsi="Times New Roman" w:cs="Times New Roman"/>
                      <w:color w:val="auto"/>
                      <w:highlight w:val="none"/>
                    </w:rPr>
                    <w:t>。</w:t>
                  </w:r>
                </w:p>
              </w:tc>
            </w:tr>
            <w:tr w14:paraId="63725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2F53DD32">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资源开发效率要求</w:t>
                  </w:r>
                </w:p>
              </w:tc>
              <w:tc>
                <w:tcPr>
                  <w:tcW w:w="3848" w:type="dxa"/>
                  <w:tcBorders>
                    <w:tl2br w:val="nil"/>
                    <w:tr2bl w:val="nil"/>
                  </w:tcBorders>
                  <w:noWrap w:val="0"/>
                  <w:vAlign w:val="center"/>
                </w:tcPr>
                <w:p w14:paraId="6D9C5107">
                  <w:pPr>
                    <w:autoSpaceDE w:val="0"/>
                    <w:autoSpaceDN w:val="0"/>
                    <w:spacing w:line="240" w:lineRule="auto"/>
                    <w:ind w:right="28" w:rightChars="0"/>
                    <w:jc w:val="center"/>
                    <w:rPr>
                      <w:rFonts w:hint="default" w:ascii="Times New Roman" w:hAnsi="Times New Roman" w:eastAsia="宋体" w:cs="Times New Roman"/>
                      <w:color w:val="auto"/>
                      <w:kern w:val="2"/>
                      <w:sz w:val="21"/>
                      <w:szCs w:val="21"/>
                      <w:highlight w:val="none"/>
                      <w:vertAlign w:val="baseline"/>
                      <w:lang w:val="zh-CN" w:eastAsia="zh-CN" w:bidi="ar-SA"/>
                    </w:rPr>
                  </w:pPr>
                  <w:r>
                    <w:rPr>
                      <w:rFonts w:hint="default" w:ascii="Times New Roman" w:hAnsi="Times New Roman" w:eastAsia="宋体" w:cs="Times New Roman"/>
                      <w:color w:val="auto"/>
                      <w:sz w:val="21"/>
                      <w:szCs w:val="21"/>
                      <w:highlight w:val="none"/>
                      <w:vertAlign w:val="baseline"/>
                      <w:lang w:val="en-US" w:eastAsia="zh-CN"/>
                    </w:rPr>
                    <w:t>/</w:t>
                  </w:r>
                </w:p>
              </w:tc>
              <w:tc>
                <w:tcPr>
                  <w:tcW w:w="2217" w:type="dxa"/>
                  <w:tcBorders>
                    <w:tl2br w:val="nil"/>
                    <w:tr2bl w:val="nil"/>
                  </w:tcBorders>
                  <w:noWrap w:val="0"/>
                  <w:vAlign w:val="center"/>
                </w:tcPr>
                <w:p w14:paraId="26C57A8A">
                  <w:pPr>
                    <w:autoSpaceDE w:val="0"/>
                    <w:autoSpaceDN w:val="0"/>
                    <w:spacing w:line="240" w:lineRule="auto"/>
                    <w:ind w:right="28"/>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r w14:paraId="11965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225ED82F">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环境管控区名称</w:t>
                  </w:r>
                </w:p>
              </w:tc>
              <w:tc>
                <w:tcPr>
                  <w:tcW w:w="6065" w:type="dxa"/>
                  <w:gridSpan w:val="2"/>
                  <w:tcBorders>
                    <w:tl2br w:val="nil"/>
                    <w:tr2bl w:val="nil"/>
                  </w:tcBorders>
                  <w:noWrap w:val="0"/>
                  <w:vAlign w:val="center"/>
                </w:tcPr>
                <w:p w14:paraId="6D03C239">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zh-CN"/>
                    </w:rPr>
                  </w:pPr>
                  <w:r>
                    <w:rPr>
                      <w:rFonts w:hint="eastAsia" w:ascii="Times New Roman" w:hAnsi="Times New Roman" w:eastAsia="宋体" w:cs="Times New Roman"/>
                      <w:color w:val="auto"/>
                      <w:sz w:val="21"/>
                      <w:szCs w:val="21"/>
                      <w:highlight w:val="none"/>
                      <w:vertAlign w:val="baseline"/>
                      <w:lang w:val="en-US" w:eastAsia="zh-CN"/>
                    </w:rPr>
                    <w:t>恒山区</w:t>
                  </w:r>
                  <w:r>
                    <w:rPr>
                      <w:rFonts w:hint="default" w:ascii="Times New Roman" w:hAnsi="Times New Roman" w:eastAsia="宋体" w:cs="Times New Roman"/>
                      <w:color w:val="auto"/>
                      <w:sz w:val="21"/>
                      <w:szCs w:val="21"/>
                      <w:highlight w:val="none"/>
                      <w:vertAlign w:val="baseline"/>
                      <w:lang w:val="en-US" w:eastAsia="zh-CN"/>
                    </w:rPr>
                    <w:t>地下水环境一般管控区</w:t>
                  </w:r>
                </w:p>
              </w:tc>
            </w:tr>
            <w:tr w14:paraId="6DE498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0CADC457">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环境管控区编码</w:t>
                  </w:r>
                </w:p>
              </w:tc>
              <w:tc>
                <w:tcPr>
                  <w:tcW w:w="6065" w:type="dxa"/>
                  <w:gridSpan w:val="2"/>
                  <w:tcBorders>
                    <w:tl2br w:val="nil"/>
                    <w:tr2bl w:val="nil"/>
                  </w:tcBorders>
                  <w:noWrap w:val="0"/>
                  <w:vAlign w:val="center"/>
                </w:tcPr>
                <w:p w14:paraId="56C51909">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rPr>
                  </w:pPr>
                  <w:r>
                    <w:rPr>
                      <w:rFonts w:hint="default" w:ascii="Times New Roman" w:hAnsi="Times New Roman" w:eastAsia="宋体" w:cs="Times New Roman"/>
                      <w:color w:val="auto"/>
                      <w:sz w:val="21"/>
                      <w:szCs w:val="21"/>
                      <w:highlight w:val="none"/>
                      <w:vertAlign w:val="baseline"/>
                      <w:lang w:val="zh-CN" w:eastAsia="zh-CN"/>
                    </w:rPr>
                    <w:t>YS230303631000</w:t>
                  </w:r>
                  <w:r>
                    <w:rPr>
                      <w:rFonts w:hint="eastAsia" w:ascii="Times New Roman" w:hAnsi="Times New Roman" w:eastAsia="宋体" w:cs="Times New Roman"/>
                      <w:color w:val="auto"/>
                      <w:sz w:val="21"/>
                      <w:szCs w:val="21"/>
                      <w:highlight w:val="none"/>
                      <w:vertAlign w:val="baseline"/>
                      <w:lang w:val="en-US" w:eastAsia="zh-CN"/>
                    </w:rPr>
                    <w:t>1</w:t>
                  </w:r>
                </w:p>
              </w:tc>
            </w:tr>
            <w:tr w14:paraId="22A10C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7" w:type="dxa"/>
                  <w:tcBorders>
                    <w:tl2br w:val="nil"/>
                    <w:tr2bl w:val="nil"/>
                  </w:tcBorders>
                  <w:noWrap w:val="0"/>
                  <w:vAlign w:val="center"/>
                </w:tcPr>
                <w:p w14:paraId="04962735">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管控区类型</w:t>
                  </w:r>
                </w:p>
              </w:tc>
              <w:tc>
                <w:tcPr>
                  <w:tcW w:w="6065" w:type="dxa"/>
                  <w:gridSpan w:val="2"/>
                  <w:tcBorders>
                    <w:tl2br w:val="nil"/>
                    <w:tr2bl w:val="nil"/>
                  </w:tcBorders>
                  <w:noWrap w:val="0"/>
                  <w:vAlign w:val="center"/>
                </w:tcPr>
                <w:p w14:paraId="17E2D88A">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en-US" w:eastAsia="zh-CN"/>
                    </w:rPr>
                    <w:t>一般管控区</w:t>
                  </w:r>
                </w:p>
              </w:tc>
            </w:tr>
            <w:tr w14:paraId="587FD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5" w:type="dxa"/>
                  <w:gridSpan w:val="2"/>
                  <w:tcBorders>
                    <w:tl2br w:val="nil"/>
                    <w:tr2bl w:val="nil"/>
                  </w:tcBorders>
                  <w:noWrap w:val="0"/>
                  <w:vAlign w:val="center"/>
                </w:tcPr>
                <w:p w14:paraId="3EF8EA48">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管控要求</w:t>
                  </w:r>
                </w:p>
              </w:tc>
              <w:tc>
                <w:tcPr>
                  <w:tcW w:w="2217" w:type="dxa"/>
                  <w:tcBorders>
                    <w:tl2br w:val="nil"/>
                    <w:tr2bl w:val="nil"/>
                  </w:tcBorders>
                  <w:noWrap w:val="0"/>
                  <w:vAlign w:val="center"/>
                </w:tcPr>
                <w:p w14:paraId="703CB91D">
                  <w:pPr>
                    <w:autoSpaceDE w:val="0"/>
                    <w:autoSpaceDN w:val="0"/>
                    <w:spacing w:line="240" w:lineRule="auto"/>
                    <w:ind w:right="28"/>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符合性分析</w:t>
                  </w:r>
                </w:p>
              </w:tc>
            </w:tr>
            <w:tr w14:paraId="65D87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5" w:type="dxa"/>
                  <w:gridSpan w:val="2"/>
                  <w:tcBorders>
                    <w:tl2br w:val="nil"/>
                    <w:tr2bl w:val="nil"/>
                  </w:tcBorders>
                  <w:noWrap w:val="0"/>
                  <w:vAlign w:val="center"/>
                </w:tcPr>
                <w:p w14:paraId="74656B17">
                  <w:pPr>
                    <w:keepNext w:val="0"/>
                    <w:keepLines w:val="0"/>
                    <w:pageBreakBefore w:val="0"/>
                    <w:widowControl w:val="0"/>
                    <w:kinsoku/>
                    <w:wordWrap/>
                    <w:overflowPunct/>
                    <w:topLinePunct w:val="0"/>
                    <w:autoSpaceDE w:val="0"/>
                    <w:autoSpaceDN w:val="0"/>
                    <w:bidi w:val="0"/>
                    <w:adjustRightInd w:val="0"/>
                    <w:snapToGrid/>
                    <w:spacing w:line="240" w:lineRule="auto"/>
                    <w:ind w:right="0" w:firstLine="420" w:firstLineChars="200"/>
                    <w:jc w:val="both"/>
                    <w:textAlignment w:val="auto"/>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环境风险管控</w:t>
                  </w:r>
                </w:p>
                <w:p w14:paraId="629CB7F7">
                  <w:pPr>
                    <w:keepNext w:val="0"/>
                    <w:keepLines w:val="0"/>
                    <w:pageBreakBefore w:val="0"/>
                    <w:widowControl w:val="0"/>
                    <w:kinsoku/>
                    <w:wordWrap/>
                    <w:overflowPunct/>
                    <w:topLinePunct w:val="0"/>
                    <w:autoSpaceDE w:val="0"/>
                    <w:autoSpaceDN w:val="0"/>
                    <w:bidi w:val="0"/>
                    <w:adjustRightInd w:val="0"/>
                    <w:snapToGrid/>
                    <w:spacing w:line="240" w:lineRule="auto"/>
                    <w:ind w:right="0" w:firstLine="420" w:firstLineChars="200"/>
                    <w:jc w:val="both"/>
                    <w:textAlignment w:val="auto"/>
                    <w:rPr>
                      <w:rFonts w:hint="default" w:ascii="Times New Roman" w:hAnsi="Times New Roman" w:eastAsia="宋体" w:cs="Times New Roman"/>
                      <w:color w:val="auto"/>
                      <w:sz w:val="21"/>
                      <w:szCs w:val="21"/>
                      <w:highlight w:val="none"/>
                      <w:vertAlign w:val="baseline"/>
                      <w:lang w:val="zh-CN"/>
                    </w:rPr>
                  </w:pPr>
                  <w:r>
                    <w:rPr>
                      <w:rFonts w:hint="default" w:ascii="Times New Roman" w:hAnsi="Times New Roman" w:eastAsia="宋体" w:cs="Times New Roman"/>
                      <w:color w:val="auto"/>
                      <w:sz w:val="21"/>
                      <w:szCs w:val="21"/>
                      <w:highlight w:val="none"/>
                      <w:vertAlign w:val="baseline"/>
                      <w:lang w:val="zh-CN"/>
                    </w:rPr>
                    <w:t>1.土壤污染重点监管单位应当履行下列义务：（一）严格控制有毒有害物质排放，并按年度向生态环境主管部门报告排管控要求放情况；（二）建立土壤污染隐患排查制度，保证持续有效防止有毒有害物质渗漏、流失、扬散；（三）制定、实施自行监测方案，并将监测数据报生态环境主管部门。2.重点单位新、改、扩建项目地下储罐储存有毒有害物质的，应当在项目投入生产或者使用之前，将地下储罐的信息报所在地设区的市级生态环境主管部门备案。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zh-CN"/>
                    </w:rPr>
                    <w:t>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2217" w:type="dxa"/>
                  <w:tcBorders>
                    <w:tl2br w:val="nil"/>
                    <w:tr2bl w:val="nil"/>
                  </w:tcBorders>
                  <w:noWrap w:val="0"/>
                  <w:vAlign w:val="center"/>
                </w:tcPr>
                <w:p w14:paraId="34456497">
                  <w:pPr>
                    <w:pStyle w:val="17"/>
                    <w:rPr>
                      <w:rFonts w:hint="default"/>
                      <w:color w:val="auto"/>
                      <w:lang w:val="zh-CN"/>
                    </w:rPr>
                  </w:pPr>
                  <w:r>
                    <w:rPr>
                      <w:rFonts w:hint="default" w:ascii="宋体" w:hAnsi="宋体" w:eastAsia="宋体" w:cs="宋体"/>
                      <w:color w:val="auto"/>
                      <w:kern w:val="0"/>
                      <w:sz w:val="21"/>
                      <w:szCs w:val="21"/>
                      <w:highlight w:val="none"/>
                      <w:lang w:val="zh-CN" w:eastAsia="zh-CN" w:bidi="ar"/>
                    </w:rPr>
                    <w:t>本项目</w:t>
                  </w:r>
                  <w:r>
                    <w:rPr>
                      <w:rFonts w:hint="eastAsia" w:ascii="宋体" w:hAnsi="宋体" w:eastAsia="宋体" w:cs="宋体"/>
                      <w:color w:val="auto"/>
                      <w:kern w:val="0"/>
                      <w:sz w:val="21"/>
                      <w:szCs w:val="21"/>
                      <w:highlight w:val="none"/>
                      <w:lang w:val="en-US" w:eastAsia="zh-CN" w:bidi="ar"/>
                    </w:rPr>
                    <w:t>为</w:t>
                  </w:r>
                  <w:r>
                    <w:rPr>
                      <w:rFonts w:hint="default" w:ascii="宋体" w:hAnsi="宋体" w:eastAsia="宋体" w:cs="宋体"/>
                      <w:color w:val="auto"/>
                      <w:kern w:val="0"/>
                      <w:sz w:val="21"/>
                      <w:szCs w:val="21"/>
                      <w:highlight w:val="none"/>
                      <w:lang w:val="en-US" w:eastAsia="zh-CN" w:bidi="ar"/>
                    </w:rPr>
                    <w:t>储煤货场</w:t>
                  </w:r>
                  <w:r>
                    <w:rPr>
                      <w:rFonts w:hint="eastAsia" w:ascii="宋体" w:hAnsi="宋体" w:eastAsia="宋体" w:cs="宋体"/>
                      <w:color w:val="auto"/>
                      <w:kern w:val="0"/>
                      <w:sz w:val="21"/>
                      <w:szCs w:val="21"/>
                      <w:highlight w:val="none"/>
                      <w:lang w:val="en-US" w:eastAsia="zh-CN" w:bidi="ar"/>
                    </w:rPr>
                    <w:t>项目，</w:t>
                  </w:r>
                  <w:r>
                    <w:rPr>
                      <w:rFonts w:hint="default" w:ascii="宋体" w:hAnsi="宋体" w:eastAsia="宋体" w:cs="宋体"/>
                      <w:color w:val="auto"/>
                      <w:kern w:val="0"/>
                      <w:sz w:val="21"/>
                      <w:szCs w:val="21"/>
                      <w:highlight w:val="none"/>
                      <w:lang w:val="zh-CN" w:eastAsia="zh-CN" w:bidi="ar"/>
                    </w:rPr>
                    <w:t>不属于土壤污染重点监管单位</w:t>
                  </w:r>
                  <w:r>
                    <w:rPr>
                      <w:rFonts w:hint="eastAsia" w:ascii="宋体" w:hAnsi="宋体" w:eastAsia="宋体" w:cs="宋体"/>
                      <w:color w:val="auto"/>
                      <w:kern w:val="0"/>
                      <w:sz w:val="21"/>
                      <w:szCs w:val="21"/>
                      <w:highlight w:val="none"/>
                      <w:lang w:val="zh-CN" w:eastAsia="zh-CN" w:bidi="ar"/>
                    </w:rPr>
                    <w:t>，</w:t>
                  </w:r>
                  <w:r>
                    <w:rPr>
                      <w:rFonts w:hint="eastAsia" w:ascii="Times New Roman" w:hAnsi="Times New Roman" w:eastAsia="宋体" w:cs="Times New Roman"/>
                      <w:color w:val="auto"/>
                      <w:highlight w:val="none"/>
                      <w:vertAlign w:val="baseline"/>
                      <w:lang w:val="en-US" w:eastAsia="zh-CN"/>
                    </w:rPr>
                    <w:t>不涉及</w:t>
                  </w:r>
                  <w:r>
                    <w:rPr>
                      <w:rFonts w:hint="eastAsia" w:ascii="宋体" w:hAnsi="宋体" w:eastAsia="宋体" w:cs="宋体"/>
                      <w:color w:val="auto"/>
                      <w:kern w:val="0"/>
                      <w:sz w:val="21"/>
                      <w:szCs w:val="21"/>
                      <w:highlight w:val="none"/>
                      <w:lang w:val="en-US" w:eastAsia="zh-CN" w:bidi="ar"/>
                    </w:rPr>
                    <w:t>涉及有毒有害物质的生产区，不属于</w:t>
                  </w:r>
                  <w:r>
                    <w:rPr>
                      <w:rFonts w:hint="default" w:ascii="Times New Roman" w:hAnsi="Times New Roman" w:eastAsia="宋体" w:cs="Times New Roman"/>
                      <w:color w:val="auto"/>
                      <w:sz w:val="21"/>
                      <w:szCs w:val="21"/>
                      <w:highlight w:val="none"/>
                      <w:vertAlign w:val="baseline"/>
                      <w:lang w:val="zh-CN"/>
                    </w:rPr>
                    <w:t>化学品生产企业以及工业集聚区、矿山开采区、尾矿库、危险废物处置场、垃圾填埋场等的运营、管理单位</w:t>
                  </w:r>
                  <w:r>
                    <w:rPr>
                      <w:rFonts w:hint="eastAsia" w:ascii="Times New Roman" w:hAnsi="Times New Roman" w:eastAsia="宋体" w:cs="Times New Roman"/>
                      <w:color w:val="auto"/>
                      <w:sz w:val="21"/>
                      <w:szCs w:val="21"/>
                      <w:highlight w:val="none"/>
                      <w:vertAlign w:val="baseline"/>
                      <w:lang w:val="zh-CN"/>
                    </w:rPr>
                    <w:t>，项目在建设过程中采取相应防渗措施</w:t>
                  </w:r>
                  <w:r>
                    <w:rPr>
                      <w:rFonts w:hint="eastAsia" w:ascii="宋体" w:hAnsi="宋体" w:eastAsia="宋体" w:cs="宋体"/>
                      <w:color w:val="auto"/>
                      <w:kern w:val="0"/>
                      <w:sz w:val="21"/>
                      <w:szCs w:val="21"/>
                      <w:highlight w:val="none"/>
                      <w:lang w:val="en-US" w:eastAsia="zh-CN" w:bidi="ar"/>
                    </w:rPr>
                    <w:t>，本项目对厂区及周边土壤影响不大。</w:t>
                  </w:r>
                </w:p>
              </w:tc>
            </w:tr>
          </w:tbl>
          <w:p w14:paraId="5C6DAB00">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3）</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一说明</w:t>
            </w:r>
            <w:r>
              <w:rPr>
                <w:rFonts w:hint="default" w:ascii="Times New Roman" w:hAnsi="Times New Roman" w:eastAsia="宋体" w:cs="Times New Roman"/>
                <w:color w:val="auto"/>
                <w:sz w:val="24"/>
                <w:lang w:eastAsia="zh-CN"/>
              </w:rPr>
              <w:t>”</w:t>
            </w:r>
          </w:p>
          <w:p w14:paraId="45CF1550">
            <w:pPr>
              <w:pStyle w:val="38"/>
              <w:spacing w:line="360" w:lineRule="auto"/>
              <w:ind w:firstLine="480" w:firstLineChars="200"/>
              <w:jc w:val="both"/>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由上述分析可知，本项目的建设符合《</w:t>
            </w:r>
            <w:r>
              <w:rPr>
                <w:rFonts w:hint="eastAsia" w:ascii="Times New Roman" w:hAnsi="Times New Roman" w:cs="Times New Roman"/>
                <w:color w:val="auto"/>
                <w:sz w:val="24"/>
                <w:highlight w:val="none"/>
                <w:lang w:val="en-US" w:eastAsia="zh-CN"/>
              </w:rPr>
              <w:t>鸡西市宝全煤炭销售有限公司储煤场建设项目</w:t>
            </w:r>
            <w:r>
              <w:rPr>
                <w:rFonts w:hint="default" w:ascii="Times New Roman" w:hAnsi="Times New Roman" w:eastAsia="宋体" w:cs="Times New Roman"/>
                <w:color w:val="auto"/>
                <w:sz w:val="24"/>
                <w:highlight w:val="none"/>
              </w:rPr>
              <w:t>生态环境分区管控分析报告》中的要求。</w:t>
            </w:r>
          </w:p>
          <w:p w14:paraId="1A1FAE2B">
            <w:pPr>
              <w:pStyle w:val="38"/>
              <w:spacing w:line="360" w:lineRule="auto"/>
              <w:ind w:firstLine="480" w:firstLineChars="200"/>
              <w:jc w:val="both"/>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根据黑龙江省生态环境分区管控数据应用平台查询的《生态环境分区管控分析报告》（分析报告见附件）：</w:t>
            </w:r>
          </w:p>
          <w:p w14:paraId="7B98C9C4">
            <w:pPr>
              <w:pStyle w:val="38"/>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与与生态保护红线交集面积为0.00平方公里，占项目占地面积的0.00%。</w:t>
            </w:r>
          </w:p>
          <w:p w14:paraId="5E62A72A">
            <w:pPr>
              <w:pStyle w:val="38"/>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与自然保护地整合优化方案数据交集面积为0.00平方公里，占项目占地面积的0.00%。保护地涉及等类型。与自然保护地（现状管理数据）交集面积为0.00平方公里，占项目占地面积的0.00%。保护地涉及等类型。</w:t>
            </w:r>
          </w:p>
          <w:p w14:paraId="2CCDD854">
            <w:pPr>
              <w:pStyle w:val="38"/>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与饮用水水源保护区交集面积为0.00平方公里，占项目占地面积的0.00%。与国家级水产种质资源保护区交集面积为0.00平方公里，占项目占地面积的0.00%。</w:t>
            </w:r>
          </w:p>
          <w:p w14:paraId="25F65B6B">
            <w:pPr>
              <w:pStyle w:val="38"/>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与环境管控单元优先保护单元交集面积为0.00平方公里，占项目占地面积的0.00%；与重点管控单元交集面积为0.01平方公里，占项目占地面积的100.00%；一般管控单元交集面积为0.00平方公里，占项目占地面积的0.00%。</w:t>
            </w:r>
          </w:p>
          <w:p w14:paraId="79F1A829">
            <w:pPr>
              <w:pStyle w:val="38"/>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与地下水环境优先保护区交集面积为0.00平方公里，占项目占地面积的0.00%；与地下水环境重点管控区交集面积为0.00平方公里，占项目占地面积的0.00%，与地下水环境一般管控区交集面积为0.01平方公里，占项目占地面积的100.00%。</w:t>
            </w:r>
          </w:p>
          <w:p w14:paraId="079CF328">
            <w:pPr>
              <w:spacing w:line="360" w:lineRule="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2、产业政策符合性分析</w:t>
            </w:r>
          </w:p>
          <w:p w14:paraId="1E6D9F2A">
            <w:pPr>
              <w:pStyle w:val="38"/>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根据《产业结构调整指导目录（</w:t>
            </w:r>
            <w:r>
              <w:rPr>
                <w:rFonts w:hint="default" w:ascii="Times New Roman" w:hAnsi="Times New Roman" w:eastAsia="宋体" w:cs="Times New Roman"/>
                <w:color w:val="auto"/>
                <w:sz w:val="24"/>
                <w:highlight w:val="none"/>
              </w:rPr>
              <w:t>20</w:t>
            </w:r>
            <w:r>
              <w:rPr>
                <w:rFonts w:hint="default" w:ascii="Times New Roman" w:hAnsi="Times New Roman" w:eastAsia="宋体" w:cs="Times New Roman"/>
                <w:color w:val="auto"/>
                <w:sz w:val="24"/>
                <w:highlight w:val="none"/>
                <w:lang w:val="en-US" w:eastAsia="zh-CN"/>
              </w:rPr>
              <w:t>24</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本</w:t>
            </w:r>
            <w:r>
              <w:rPr>
                <w:rFonts w:hint="default" w:ascii="Times New Roman" w:hAnsi="Times New Roman" w:cs="Times New Roman"/>
                <w:color w:val="auto"/>
                <w:sz w:val="24"/>
                <w:highlight w:val="none"/>
              </w:rPr>
              <w:t>）》，本项目属于</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三煤炭第一条：储煤设施建设</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属于鼓励类项目，</w:t>
            </w:r>
            <w:r>
              <w:rPr>
                <w:rFonts w:hint="default" w:ascii="Times New Roman" w:hAnsi="Times New Roman" w:eastAsia="宋体" w:cs="Times New Roman"/>
                <w:color w:val="auto"/>
                <w:sz w:val="24"/>
                <w:highlight w:val="none"/>
                <w:lang w:val="en-US" w:eastAsia="zh-CN"/>
              </w:rPr>
              <w:t>项目生产过程中</w:t>
            </w:r>
            <w:r>
              <w:rPr>
                <w:rFonts w:hint="default" w:ascii="Times New Roman" w:hAnsi="Times New Roman" w:cs="Times New Roman"/>
                <w:color w:val="auto"/>
                <w:sz w:val="24"/>
                <w:highlight w:val="none"/>
                <w:lang w:val="en-US" w:eastAsia="zh-CN"/>
              </w:rPr>
              <w:t>不使用</w:t>
            </w:r>
            <w:r>
              <w:rPr>
                <w:rFonts w:hint="default" w:ascii="Times New Roman" w:hAnsi="Times New Roman" w:eastAsia="宋体" w:cs="Times New Roman"/>
                <w:color w:val="auto"/>
                <w:sz w:val="24"/>
                <w:highlight w:val="none"/>
                <w:lang w:val="en-US" w:eastAsia="zh-CN"/>
              </w:rPr>
              <w:t>国家明令禁止的淘汰类和限制类的工艺和设备，符合国家的产业政策和环保政策</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因此本项目的建设符合国家产业政策要求。</w:t>
            </w:r>
          </w:p>
          <w:p w14:paraId="01407F82">
            <w:pPr>
              <w:spacing w:line="360" w:lineRule="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3</w:t>
            </w:r>
            <w:r>
              <w:rPr>
                <w:rFonts w:hint="default" w:ascii="Times New Roman" w:hAnsi="Times New Roman" w:cs="Times New Roman"/>
                <w:b/>
                <w:bCs/>
                <w:color w:val="auto"/>
                <w:kern w:val="0"/>
                <w:sz w:val="24"/>
                <w:highlight w:val="none"/>
              </w:rPr>
              <w:t xml:space="preserve">、选址合理性分析 </w:t>
            </w:r>
          </w:p>
          <w:p w14:paraId="4F9B1E4C">
            <w:pPr>
              <w:pStyle w:val="11"/>
              <w:widowControl w:val="0"/>
              <w:snapToGrid/>
              <w:spacing w:before="0" w:after="0" w:line="360" w:lineRule="auto"/>
              <w:ind w:right="0" w:firstLine="480" w:firstLineChars="200"/>
              <w:rPr>
                <w:rFonts w:hint="default" w:ascii="Times New Roman" w:hAnsi="Times New Roman" w:cs="Times New Roman"/>
                <w:color w:val="auto"/>
                <w:spacing w:val="12"/>
                <w:sz w:val="24"/>
                <w:szCs w:val="24"/>
                <w:highlight w:val="none"/>
              </w:rPr>
            </w:pPr>
            <w:r>
              <w:rPr>
                <w:rFonts w:hint="default" w:ascii="Times New Roman" w:hAnsi="Times New Roman" w:cs="Times New Roman"/>
                <w:color w:val="auto"/>
                <w:kern w:val="21"/>
                <w:sz w:val="24"/>
                <w:highlight w:val="none"/>
              </w:rPr>
              <w:t>本项目位于</w:t>
            </w:r>
            <w:r>
              <w:rPr>
                <w:rFonts w:hint="default" w:ascii="Times New Roman" w:hAnsi="Times New Roman" w:cs="Times New Roman"/>
                <w:color w:val="auto"/>
                <w:kern w:val="21"/>
                <w:sz w:val="24"/>
                <w:highlight w:val="none"/>
                <w:lang w:eastAsia="zh-CN"/>
              </w:rPr>
              <w:t>黑龙江省鸡西市恒山区红旗乡民乐村004乡道北侧</w:t>
            </w:r>
            <w:r>
              <w:rPr>
                <w:rFonts w:hint="default" w:ascii="Times New Roman" w:hAnsi="Times New Roman" w:cs="Times New Roman"/>
                <w:color w:val="auto"/>
                <w:kern w:val="21"/>
                <w:sz w:val="24"/>
                <w:highlight w:val="none"/>
                <w:lang w:val="en-US" w:eastAsia="zh-CN"/>
              </w:rPr>
              <w:t>。</w:t>
            </w:r>
            <w:r>
              <w:rPr>
                <w:rFonts w:hint="default" w:ascii="Times New Roman" w:hAnsi="Times New Roman" w:cs="Times New Roman"/>
                <w:color w:val="auto"/>
                <w:kern w:val="21"/>
                <w:sz w:val="24"/>
                <w:highlight w:val="none"/>
              </w:rPr>
              <w:t>用地性质为</w:t>
            </w:r>
            <w:r>
              <w:rPr>
                <w:rFonts w:hint="eastAsia" w:cs="Times New Roman"/>
                <w:color w:val="auto"/>
                <w:kern w:val="21"/>
                <w:sz w:val="24"/>
                <w:highlight w:val="none"/>
                <w:lang w:eastAsia="zh-CN"/>
              </w:rPr>
              <w:t>采矿用地</w:t>
            </w:r>
            <w:r>
              <w:rPr>
                <w:rFonts w:hint="default" w:ascii="Times New Roman" w:hAnsi="Times New Roman" w:cs="Times New Roman"/>
                <w:color w:val="auto"/>
                <w:kern w:val="21"/>
                <w:sz w:val="24"/>
                <w:highlight w:val="none"/>
                <w:lang w:eastAsia="zh-CN"/>
              </w:rPr>
              <w:t>，用地性质说明见附件</w:t>
            </w:r>
            <w:r>
              <w:rPr>
                <w:rFonts w:hint="default" w:ascii="Times New Roman" w:hAnsi="Times New Roman" w:cs="Times New Roman"/>
                <w:color w:val="auto"/>
                <w:kern w:val="21"/>
                <w:sz w:val="24"/>
                <w:highlight w:val="none"/>
                <w:lang w:val="en-US" w:eastAsia="zh-CN"/>
              </w:rPr>
              <w:t>2</w:t>
            </w:r>
            <w:r>
              <w:rPr>
                <w:rFonts w:hint="default" w:ascii="Times New Roman" w:hAnsi="Times New Roman" w:cs="Times New Roman"/>
                <w:color w:val="auto"/>
                <w:kern w:val="21"/>
                <w:sz w:val="24"/>
                <w:highlight w:val="none"/>
              </w:rPr>
              <w:t>；</w:t>
            </w:r>
            <w:r>
              <w:rPr>
                <w:rFonts w:hint="eastAsia" w:cs="Times New Roman"/>
                <w:color w:val="auto"/>
                <w:sz w:val="24"/>
                <w:highlight w:val="none"/>
                <w:lang w:eastAsia="zh-CN"/>
              </w:rPr>
              <w:t>东侧为道路，隔路为储煤场；</w:t>
            </w:r>
            <w:r>
              <w:rPr>
                <w:rFonts w:hint="default" w:ascii="Times New Roman" w:hAnsi="Times New Roman" w:cs="Times New Roman"/>
                <w:color w:val="auto"/>
                <w:sz w:val="24"/>
                <w:highlight w:val="none"/>
                <w:lang w:eastAsia="zh-CN"/>
              </w:rPr>
              <w:t>南侧为</w:t>
            </w:r>
            <w:r>
              <w:rPr>
                <w:rFonts w:hint="eastAsia" w:cs="Times New Roman"/>
                <w:color w:val="auto"/>
                <w:sz w:val="24"/>
                <w:highlight w:val="none"/>
                <w:lang w:eastAsia="zh-CN"/>
              </w:rPr>
              <w:t>储煤场；西侧为储煤场；</w:t>
            </w:r>
            <w:r>
              <w:rPr>
                <w:rFonts w:hint="default" w:ascii="Times New Roman" w:hAnsi="Times New Roman" w:cs="Times New Roman"/>
                <w:color w:val="auto"/>
                <w:sz w:val="24"/>
                <w:highlight w:val="none"/>
                <w:lang w:eastAsia="zh-CN"/>
              </w:rPr>
              <w:t>北侧为</w:t>
            </w:r>
            <w:r>
              <w:rPr>
                <w:rFonts w:hint="eastAsia" w:ascii="Times New Roman" w:hAnsi="Times New Roman" w:cs="Times New Roman"/>
                <w:color w:val="auto"/>
                <w:sz w:val="24"/>
                <w:highlight w:val="none"/>
                <w:lang w:eastAsia="zh-CN"/>
              </w:rPr>
              <w:t>空地</w:t>
            </w:r>
            <w:r>
              <w:rPr>
                <w:rFonts w:hint="default" w:ascii="Times New Roman" w:hAnsi="Times New Roman" w:cs="Times New Roman"/>
                <w:color w:val="auto"/>
                <w:sz w:val="24"/>
                <w:highlight w:val="none"/>
              </w:rPr>
              <w:t>，如附图</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所示。项目区域内道路纵横交错，公路交通便利，</w:t>
            </w:r>
            <w:r>
              <w:rPr>
                <w:rFonts w:hint="default" w:ascii="Times New Roman" w:hAnsi="Times New Roman" w:cs="Times New Roman"/>
                <w:color w:val="auto"/>
                <w:kern w:val="21"/>
                <w:sz w:val="24"/>
                <w:highlight w:val="none"/>
              </w:rPr>
              <w:t>利于原辅材料运输。项目所在地公共配套设施较完善。</w:t>
            </w:r>
            <w:r>
              <w:rPr>
                <w:rFonts w:hint="default" w:ascii="Times New Roman" w:hAnsi="Times New Roman" w:cs="Times New Roman"/>
                <w:color w:val="auto"/>
                <w:spacing w:val="12"/>
                <w:sz w:val="24"/>
                <w:szCs w:val="24"/>
                <w:highlight w:val="none"/>
              </w:rPr>
              <w:t>本项目运营后公用工程给排水、用电、用热等均能满足项目生产需求</w:t>
            </w:r>
            <w:r>
              <w:rPr>
                <w:rFonts w:hint="default" w:ascii="Times New Roman" w:hAnsi="Times New Roman" w:cs="Times New Roman"/>
                <w:color w:val="auto"/>
                <w:spacing w:val="12"/>
                <w:sz w:val="24"/>
                <w:szCs w:val="24"/>
                <w:highlight w:val="none"/>
                <w:lang w:eastAsia="zh-CN"/>
              </w:rPr>
              <w:t>。员工生活垃圾暂存垃圾桶委托环卫部门统一处理；</w:t>
            </w:r>
            <w:r>
              <w:rPr>
                <w:rFonts w:hint="eastAsia" w:cs="Times New Roman"/>
                <w:color w:val="auto"/>
                <w:spacing w:val="12"/>
                <w:sz w:val="24"/>
                <w:szCs w:val="24"/>
                <w:highlight w:val="none"/>
                <w:lang w:val="en-US" w:eastAsia="zh-CN"/>
              </w:rPr>
              <w:t>沉淀煤泥</w:t>
            </w:r>
            <w:r>
              <w:rPr>
                <w:rFonts w:ascii="宋体" w:hAnsi="宋体" w:eastAsia="宋体" w:cs="宋体"/>
                <w:color w:val="auto"/>
                <w:sz w:val="24"/>
                <w:szCs w:val="24"/>
              </w:rPr>
              <w:t>定期清理后外售综合利用</w:t>
            </w:r>
            <w:r>
              <w:rPr>
                <w:rFonts w:hint="eastAsia" w:cs="Times New Roman"/>
                <w:color w:val="auto"/>
                <w:spacing w:val="12"/>
                <w:sz w:val="24"/>
                <w:szCs w:val="24"/>
                <w:highlight w:val="none"/>
                <w:lang w:val="en-US" w:eastAsia="zh-CN"/>
              </w:rPr>
              <w:t>；破损防风抑尘网和破损苫布作为废旧物资外售</w:t>
            </w:r>
            <w:r>
              <w:rPr>
                <w:rFonts w:hint="default" w:ascii="Times New Roman" w:hAnsi="Times New Roman" w:cs="Times New Roman"/>
                <w:color w:val="auto"/>
                <w:spacing w:val="12"/>
                <w:sz w:val="24"/>
                <w:szCs w:val="24"/>
                <w:highlight w:val="none"/>
                <w:lang w:val="en-US" w:eastAsia="zh-CN"/>
              </w:rPr>
              <w:t>。</w:t>
            </w:r>
          </w:p>
          <w:p w14:paraId="63783E87">
            <w:pPr>
              <w:pStyle w:val="11"/>
              <w:widowControl w:val="0"/>
              <w:numPr>
                <w:ilvl w:val="0"/>
                <w:numId w:val="2"/>
              </w:numPr>
              <w:snapToGrid/>
              <w:spacing w:before="0" w:after="0" w:line="360" w:lineRule="auto"/>
              <w:ind w:right="0" w:firstLine="480" w:firstLineChars="200"/>
              <w:rPr>
                <w:rFonts w:hint="default" w:ascii="Times New Roman" w:hAnsi="Times New Roman" w:cs="Times New Roman"/>
                <w:snapToGrid/>
                <w:color w:val="auto"/>
                <w:spacing w:val="0"/>
                <w:sz w:val="24"/>
                <w:szCs w:val="24"/>
                <w:highlight w:val="none"/>
                <w:lang w:eastAsia="zh-CN"/>
              </w:rPr>
            </w:pPr>
            <w:r>
              <w:rPr>
                <w:rFonts w:hint="default" w:ascii="Times New Roman" w:hAnsi="Times New Roman" w:cs="Times New Roman"/>
                <w:snapToGrid/>
                <w:color w:val="auto"/>
                <w:spacing w:val="0"/>
                <w:sz w:val="24"/>
                <w:szCs w:val="24"/>
                <w:highlight w:val="none"/>
                <w:lang w:val="en-US" w:eastAsia="zh-CN"/>
              </w:rPr>
              <w:t>根据《自然资源部办公厅关于依据</w:t>
            </w:r>
            <w:r>
              <w:rPr>
                <w:rFonts w:hint="eastAsia" w:ascii="Times New Roman" w:hAnsi="Times New Roman" w:cs="Times New Roman"/>
                <w:snapToGrid/>
                <w:color w:val="auto"/>
                <w:spacing w:val="0"/>
                <w:sz w:val="24"/>
                <w:szCs w:val="24"/>
                <w:highlight w:val="none"/>
                <w:lang w:val="en-US" w:eastAsia="zh-CN"/>
              </w:rPr>
              <w:t>“</w:t>
            </w:r>
            <w:r>
              <w:rPr>
                <w:rFonts w:hint="default" w:ascii="Times New Roman" w:hAnsi="Times New Roman" w:cs="Times New Roman"/>
                <w:snapToGrid/>
                <w:color w:val="auto"/>
                <w:spacing w:val="0"/>
                <w:sz w:val="24"/>
                <w:szCs w:val="24"/>
                <w:highlight w:val="none"/>
                <w:lang w:val="en-US" w:eastAsia="zh-CN"/>
              </w:rPr>
              <w:t>三区三线</w:t>
            </w:r>
            <w:r>
              <w:rPr>
                <w:rFonts w:hint="eastAsia" w:ascii="Times New Roman" w:hAnsi="Times New Roman" w:cs="Times New Roman"/>
                <w:snapToGrid/>
                <w:color w:val="auto"/>
                <w:spacing w:val="0"/>
                <w:sz w:val="24"/>
                <w:szCs w:val="24"/>
                <w:highlight w:val="none"/>
                <w:lang w:val="en-US" w:eastAsia="zh-CN"/>
              </w:rPr>
              <w:t>”</w:t>
            </w:r>
            <w:r>
              <w:rPr>
                <w:rFonts w:hint="default" w:ascii="Times New Roman" w:hAnsi="Times New Roman" w:cs="Times New Roman"/>
                <w:snapToGrid/>
                <w:color w:val="auto"/>
                <w:spacing w:val="0"/>
                <w:sz w:val="24"/>
                <w:szCs w:val="24"/>
                <w:highlight w:val="none"/>
                <w:lang w:val="en-US" w:eastAsia="zh-CN"/>
              </w:rPr>
              <w:t>划定成果报批建设项目用地用海有关事宜的函》（自然资办函〔2022〕2072号）</w:t>
            </w:r>
            <w:r>
              <w:rPr>
                <w:rFonts w:hint="eastAsia" w:cs="Times New Roman"/>
                <w:snapToGrid/>
                <w:color w:val="auto"/>
                <w:spacing w:val="0"/>
                <w:sz w:val="24"/>
                <w:szCs w:val="24"/>
                <w:highlight w:val="none"/>
                <w:lang w:val="en-US" w:eastAsia="zh-CN"/>
              </w:rPr>
              <w:t>和</w:t>
            </w:r>
            <w:r>
              <w:rPr>
                <w:rFonts w:hint="eastAsia" w:ascii="Times New Roman" w:hAnsi="Times New Roman" w:eastAsia="宋体" w:cs="Times New Roman"/>
                <w:color w:val="auto"/>
                <w:sz w:val="24"/>
                <w:highlight w:val="none"/>
                <w:lang w:eastAsia="zh-CN"/>
              </w:rPr>
              <w:t>《鸡西市国土空间总体规划（2021-2035年）》中“三区三线”划定成果可知，</w:t>
            </w:r>
            <w:r>
              <w:rPr>
                <w:rFonts w:hint="default" w:ascii="Times New Roman" w:hAnsi="Times New Roman" w:cs="Times New Roman"/>
                <w:snapToGrid/>
                <w:color w:val="auto"/>
                <w:spacing w:val="0"/>
                <w:sz w:val="24"/>
                <w:szCs w:val="24"/>
                <w:highlight w:val="none"/>
                <w:lang w:val="en-US" w:eastAsia="zh-CN"/>
              </w:rPr>
              <w:t>本项目所在区域内无自然保护区、风景名胜区、水源地保护区、野生动植物保护区及重要湿地分布，本项目不涉及生态保护红线，项目占地为</w:t>
            </w:r>
            <w:r>
              <w:rPr>
                <w:rFonts w:hint="eastAsia" w:cs="Times New Roman"/>
                <w:snapToGrid/>
                <w:color w:val="auto"/>
                <w:spacing w:val="0"/>
                <w:sz w:val="24"/>
                <w:szCs w:val="24"/>
                <w:highlight w:val="none"/>
                <w:lang w:val="en-US" w:eastAsia="zh-CN"/>
              </w:rPr>
              <w:t>采矿用地</w:t>
            </w:r>
            <w:r>
              <w:rPr>
                <w:rFonts w:hint="default" w:ascii="Times New Roman" w:hAnsi="Times New Roman" w:cs="Times New Roman"/>
                <w:snapToGrid/>
                <w:color w:val="auto"/>
                <w:spacing w:val="0"/>
                <w:sz w:val="24"/>
                <w:szCs w:val="24"/>
                <w:highlight w:val="none"/>
                <w:lang w:val="en-US" w:eastAsia="zh-CN"/>
              </w:rPr>
              <w:t>不涉及永久基本农田， 项目所在地位于城镇开发边界范围外。</w:t>
            </w:r>
          </w:p>
          <w:p w14:paraId="46BFC166">
            <w:pPr>
              <w:pStyle w:val="11"/>
              <w:widowControl w:val="0"/>
              <w:numPr>
                <w:ilvl w:val="0"/>
                <w:numId w:val="2"/>
              </w:numPr>
              <w:snapToGrid/>
              <w:spacing w:before="0" w:after="0" w:line="360" w:lineRule="auto"/>
              <w:ind w:right="0" w:firstLine="480" w:firstLineChars="200"/>
              <w:rPr>
                <w:rFonts w:hint="default" w:ascii="Times New Roman" w:hAnsi="Times New Roman" w:cs="Times New Roman"/>
                <w:color w:val="auto"/>
                <w:kern w:val="21"/>
                <w:sz w:val="24"/>
                <w:highlight w:val="none"/>
              </w:rPr>
            </w:pPr>
            <w:r>
              <w:rPr>
                <w:rFonts w:hint="default" w:ascii="Times New Roman" w:hAnsi="Times New Roman" w:cs="Times New Roman"/>
                <w:color w:val="auto"/>
                <w:sz w:val="24"/>
                <w:szCs w:val="24"/>
                <w:highlight w:val="none"/>
                <w:lang w:eastAsia="zh-CN"/>
              </w:rPr>
              <w:t>黑龙江省鸡西市恒山区</w:t>
            </w:r>
            <w:r>
              <w:rPr>
                <w:rFonts w:hint="default" w:ascii="Times New Roman" w:hAnsi="Times New Roman" w:cs="Times New Roman"/>
                <w:color w:val="auto"/>
                <w:kern w:val="2"/>
                <w:sz w:val="24"/>
                <w:szCs w:val="24"/>
                <w:highlight w:val="none"/>
                <w:lang w:val="en-US" w:eastAsia="zh-CN"/>
              </w:rPr>
              <w:t>不在生态保护红线范围内，</w:t>
            </w:r>
            <w:r>
              <w:rPr>
                <w:rFonts w:hint="default" w:ascii="Times New Roman" w:hAnsi="Times New Roman" w:cs="Times New Roman"/>
                <w:color w:val="auto"/>
                <w:sz w:val="24"/>
                <w:szCs w:val="24"/>
                <w:highlight w:val="none"/>
              </w:rPr>
              <w:t>本项目位于黑龙江省</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cs="Times New Roman"/>
                <w:color w:val="auto"/>
                <w:kern w:val="2"/>
                <w:sz w:val="24"/>
                <w:szCs w:val="24"/>
                <w:highlight w:val="none"/>
                <w:lang w:val="en-US" w:eastAsia="zh-CN"/>
              </w:rPr>
              <w:t>不在生态保护红线范围内。</w:t>
            </w:r>
          </w:p>
          <w:p w14:paraId="719713C1">
            <w:pPr>
              <w:pStyle w:val="11"/>
              <w:widowControl w:val="0"/>
              <w:numPr>
                <w:ilvl w:val="0"/>
                <w:numId w:val="2"/>
              </w:numPr>
              <w:snapToGrid/>
              <w:spacing w:before="0" w:after="0" w:line="360" w:lineRule="auto"/>
              <w:ind w:right="0" w:firstLine="480" w:firstLineChars="200"/>
              <w:rPr>
                <w:rFonts w:hint="default" w:ascii="Times New Roman" w:hAnsi="Times New Roman" w:cs="Times New Roman"/>
                <w:b/>
                <w:color w:val="auto"/>
                <w:sz w:val="21"/>
                <w:szCs w:val="22"/>
                <w:highlight w:val="none"/>
              </w:rPr>
            </w:pPr>
            <w:r>
              <w:rPr>
                <w:rFonts w:hint="default" w:ascii="Times New Roman" w:hAnsi="Times New Roman" w:cs="Times New Roman"/>
                <w:color w:val="auto"/>
                <w:kern w:val="21"/>
                <w:sz w:val="24"/>
                <w:highlight w:val="none"/>
              </w:rPr>
              <w:t>项目的选址不在自然保护区、风景名胜区及饮用水水源保护区内，且项目的选址不在基本农田保护区、重要湿地、野生动物重要栖息地内，评价区域内无国家级、省级保护野生动物、植物及古木名树。</w:t>
            </w:r>
            <w:r>
              <w:rPr>
                <w:rFonts w:hint="default" w:ascii="Times New Roman" w:hAnsi="Times New Roman" w:cs="Times New Roman"/>
                <w:color w:val="auto"/>
                <w:spacing w:val="-5"/>
                <w:sz w:val="24"/>
                <w:szCs w:val="24"/>
                <w:highlight w:val="none"/>
                <w:lang w:eastAsia="zh-CN"/>
              </w:rPr>
              <w:t>根据自然资源部</w:t>
            </w:r>
            <w:r>
              <w:rPr>
                <w:rFonts w:hint="eastAsia" w:cs="Times New Roman"/>
                <w:color w:val="auto"/>
                <w:spacing w:val="-5"/>
                <w:sz w:val="24"/>
                <w:szCs w:val="24"/>
                <w:highlight w:val="none"/>
                <w:lang w:eastAsia="zh-CN"/>
              </w:rPr>
              <w:t>、</w:t>
            </w:r>
            <w:r>
              <w:rPr>
                <w:rFonts w:hint="default" w:ascii="Times New Roman" w:hAnsi="Times New Roman" w:cs="Times New Roman"/>
                <w:color w:val="auto"/>
                <w:spacing w:val="-5"/>
                <w:sz w:val="24"/>
                <w:szCs w:val="24"/>
                <w:highlight w:val="none"/>
                <w:lang w:eastAsia="zh-CN"/>
              </w:rPr>
              <w:t>国家发展和改革委员会</w:t>
            </w:r>
            <w:r>
              <w:rPr>
                <w:rFonts w:hint="eastAsia" w:cs="Times New Roman"/>
                <w:color w:val="auto"/>
                <w:spacing w:val="-5"/>
                <w:sz w:val="24"/>
                <w:szCs w:val="24"/>
                <w:highlight w:val="none"/>
                <w:lang w:eastAsia="zh-CN"/>
              </w:rPr>
              <w:t>、</w:t>
            </w:r>
            <w:r>
              <w:rPr>
                <w:rFonts w:hint="default" w:ascii="Times New Roman" w:hAnsi="Times New Roman" w:cs="Times New Roman"/>
                <w:color w:val="auto"/>
                <w:spacing w:val="-5"/>
                <w:sz w:val="24"/>
                <w:szCs w:val="24"/>
                <w:highlight w:val="none"/>
                <w:lang w:eastAsia="zh-CN"/>
              </w:rPr>
              <w:t>国家林业和草原局印发</w:t>
            </w:r>
            <w:r>
              <w:rPr>
                <w:rFonts w:hint="eastAsia" w:cs="Times New Roman"/>
                <w:color w:val="auto"/>
                <w:spacing w:val="-5"/>
                <w:sz w:val="24"/>
                <w:szCs w:val="24"/>
                <w:highlight w:val="none"/>
                <w:lang w:eastAsia="zh-CN"/>
              </w:rPr>
              <w:t>的</w:t>
            </w:r>
            <w:r>
              <w:rPr>
                <w:rFonts w:hint="default" w:ascii="Times New Roman" w:hAnsi="Times New Roman" w:cs="Times New Roman"/>
                <w:color w:val="auto"/>
                <w:spacing w:val="-5"/>
                <w:sz w:val="24"/>
                <w:szCs w:val="24"/>
                <w:highlight w:val="none"/>
                <w:lang w:eastAsia="zh-CN"/>
              </w:rPr>
              <w:t>《</w:t>
            </w:r>
            <w:r>
              <w:rPr>
                <w:rFonts w:hint="default" w:ascii="Times New Roman" w:hAnsi="Times New Roman" w:cs="Times New Roman"/>
                <w:color w:val="auto"/>
                <w:spacing w:val="-5"/>
                <w:sz w:val="24"/>
                <w:szCs w:val="24"/>
                <w:highlight w:val="none"/>
                <w:lang w:eastAsia="zh-CN"/>
              </w:rPr>
              <w:fldChar w:fldCharType="begin"/>
            </w:r>
            <w:r>
              <w:rPr>
                <w:rFonts w:hint="default" w:ascii="Times New Roman" w:hAnsi="Times New Roman" w:cs="Times New Roman"/>
                <w:color w:val="auto"/>
                <w:spacing w:val="-5"/>
                <w:sz w:val="24"/>
                <w:szCs w:val="24"/>
                <w:highlight w:val="none"/>
                <w:lang w:eastAsia="zh-CN"/>
              </w:rPr>
              <w:instrText xml:space="preserve"> HYPERLINK "https://www.xsbn.gov.cn/$.file{0}" </w:instrText>
            </w:r>
            <w:r>
              <w:rPr>
                <w:rFonts w:hint="default" w:ascii="Times New Roman" w:hAnsi="Times New Roman" w:cs="Times New Roman"/>
                <w:color w:val="auto"/>
                <w:spacing w:val="-5"/>
                <w:sz w:val="24"/>
                <w:szCs w:val="24"/>
                <w:highlight w:val="none"/>
                <w:lang w:eastAsia="zh-CN"/>
              </w:rPr>
              <w:fldChar w:fldCharType="separate"/>
            </w:r>
            <w:r>
              <w:rPr>
                <w:rFonts w:hint="default" w:ascii="Times New Roman" w:hAnsi="Times New Roman" w:cs="Times New Roman"/>
                <w:color w:val="auto"/>
                <w:spacing w:val="-5"/>
                <w:sz w:val="24"/>
                <w:szCs w:val="24"/>
                <w:highlight w:val="none"/>
                <w:lang w:eastAsia="zh-CN"/>
              </w:rPr>
              <w:t>自然资源要素支撑产业高质量发展指导目录（2024年本）</w:t>
            </w:r>
            <w:r>
              <w:rPr>
                <w:rFonts w:hint="default" w:ascii="Times New Roman" w:hAnsi="Times New Roman" w:cs="Times New Roman"/>
                <w:color w:val="auto"/>
                <w:spacing w:val="-5"/>
                <w:sz w:val="24"/>
                <w:szCs w:val="24"/>
                <w:highlight w:val="none"/>
                <w:lang w:eastAsia="zh-CN"/>
              </w:rPr>
              <w:fldChar w:fldCharType="end"/>
            </w:r>
            <w:r>
              <w:rPr>
                <w:rFonts w:hint="default" w:ascii="Times New Roman" w:hAnsi="Times New Roman" w:cs="Times New Roman"/>
                <w:color w:val="auto"/>
                <w:spacing w:val="-5"/>
                <w:sz w:val="24"/>
                <w:szCs w:val="24"/>
                <w:highlight w:val="none"/>
                <w:lang w:eastAsia="zh-CN"/>
              </w:rPr>
              <w:t>》（自然资发〔2024〕273号）中规定，本项目不属于其规定的限制类、禁止类项目目录。</w:t>
            </w:r>
            <w:r>
              <w:rPr>
                <w:rFonts w:hint="default" w:ascii="Times New Roman" w:hAnsi="Times New Roman" w:cs="Times New Roman"/>
                <w:color w:val="auto"/>
                <w:spacing w:val="12"/>
                <w:sz w:val="24"/>
                <w:szCs w:val="24"/>
                <w:highlight w:val="none"/>
              </w:rPr>
              <w:t>具体分析如表1</w:t>
            </w:r>
            <w:r>
              <w:rPr>
                <w:rFonts w:hint="default" w:ascii="Times New Roman" w:hAnsi="Times New Roman" w:cs="Times New Roman"/>
                <w:color w:val="auto"/>
                <w:spacing w:val="12"/>
                <w:sz w:val="24"/>
                <w:szCs w:val="24"/>
                <w:highlight w:val="none"/>
                <w:lang w:val="en-US" w:eastAsia="zh-CN"/>
              </w:rPr>
              <w:t>-</w:t>
            </w:r>
            <w:r>
              <w:rPr>
                <w:rFonts w:hint="eastAsia" w:cs="Times New Roman"/>
                <w:color w:val="auto"/>
                <w:spacing w:val="12"/>
                <w:sz w:val="24"/>
                <w:szCs w:val="24"/>
                <w:highlight w:val="none"/>
                <w:lang w:val="en-US" w:eastAsia="zh-CN"/>
              </w:rPr>
              <w:t>4</w:t>
            </w:r>
            <w:r>
              <w:rPr>
                <w:rFonts w:hint="default" w:ascii="Times New Roman" w:hAnsi="Times New Roman" w:cs="Times New Roman"/>
                <w:color w:val="auto"/>
                <w:spacing w:val="12"/>
                <w:sz w:val="24"/>
                <w:szCs w:val="24"/>
                <w:highlight w:val="none"/>
              </w:rPr>
              <w:t>所示。</w:t>
            </w:r>
          </w:p>
          <w:p w14:paraId="6101D669">
            <w:pPr>
              <w:spacing w:line="360" w:lineRule="auto"/>
              <w:ind w:firstLine="422" w:firstLineChars="200"/>
              <w:jc w:val="center"/>
              <w:rPr>
                <w:rFonts w:hint="default" w:ascii="Times New Roman" w:hAnsi="Times New Roman" w:cs="Times New Roman"/>
                <w:b/>
                <w:color w:val="auto"/>
                <w:szCs w:val="22"/>
                <w:highlight w:val="none"/>
              </w:rPr>
            </w:pPr>
            <w:r>
              <w:rPr>
                <w:rFonts w:hint="default" w:ascii="Times New Roman" w:hAnsi="Times New Roman" w:cs="Times New Roman"/>
                <w:b/>
                <w:color w:val="auto"/>
                <w:szCs w:val="22"/>
                <w:highlight w:val="none"/>
              </w:rPr>
              <w:t>表1-</w:t>
            </w:r>
            <w:r>
              <w:rPr>
                <w:rFonts w:hint="eastAsia" w:cs="Times New Roman"/>
                <w:b/>
                <w:color w:val="auto"/>
                <w:szCs w:val="22"/>
                <w:highlight w:val="none"/>
                <w:lang w:val="en-US" w:eastAsia="zh-CN"/>
              </w:rPr>
              <w:t xml:space="preserve">4 </w:t>
            </w:r>
            <w:r>
              <w:rPr>
                <w:rFonts w:hint="default" w:ascii="Times New Roman" w:hAnsi="Times New Roman" w:cs="Times New Roman"/>
                <w:b/>
                <w:color w:val="auto"/>
                <w:szCs w:val="22"/>
                <w:highlight w:val="none"/>
              </w:rPr>
              <w:t>项目公辅设施可行性分析</w:t>
            </w:r>
          </w:p>
          <w:tbl>
            <w:tblPr>
              <w:tblStyle w:val="31"/>
              <w:tblW w:w="704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60"/>
              <w:gridCol w:w="4702"/>
              <w:gridCol w:w="641"/>
            </w:tblGrid>
            <w:tr w14:paraId="7287D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1" w:type="dxa"/>
                  <w:gridSpan w:val="2"/>
                  <w:tcBorders>
                    <w:tl2br w:val="nil"/>
                    <w:tr2bl w:val="nil"/>
                  </w:tcBorders>
                  <w:vAlign w:val="center"/>
                </w:tcPr>
                <w:p w14:paraId="22FF913F">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公用工程项目</w:t>
                  </w:r>
                </w:p>
              </w:tc>
              <w:tc>
                <w:tcPr>
                  <w:tcW w:w="4702" w:type="dxa"/>
                  <w:tcBorders>
                    <w:tl2br w:val="nil"/>
                    <w:tr2bl w:val="nil"/>
                  </w:tcBorders>
                  <w:vAlign w:val="center"/>
                </w:tcPr>
                <w:p w14:paraId="305C4687">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21"/>
                      <w:sz w:val="21"/>
                      <w:szCs w:val="21"/>
                      <w:highlight w:val="none"/>
                    </w:rPr>
                    <w:t>依托情况</w:t>
                  </w:r>
                </w:p>
              </w:tc>
              <w:tc>
                <w:tcPr>
                  <w:tcW w:w="641" w:type="dxa"/>
                  <w:tcBorders>
                    <w:tl2br w:val="nil"/>
                    <w:tr2bl w:val="nil"/>
                  </w:tcBorders>
                  <w:vAlign w:val="center"/>
                </w:tcPr>
                <w:p w14:paraId="2FBDF19D">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是否可行</w:t>
                  </w:r>
                </w:p>
              </w:tc>
            </w:tr>
            <w:tr w14:paraId="2B1E6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41" w:type="dxa"/>
                  <w:vMerge w:val="restart"/>
                  <w:tcBorders>
                    <w:tl2br w:val="nil"/>
                    <w:tr2bl w:val="nil"/>
                  </w:tcBorders>
                  <w:vAlign w:val="center"/>
                </w:tcPr>
                <w:p w14:paraId="73E104B9">
                  <w:pPr>
                    <w:pStyle w:val="11"/>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公用工程情况</w:t>
                  </w:r>
                </w:p>
              </w:tc>
              <w:tc>
                <w:tcPr>
                  <w:tcW w:w="1060" w:type="dxa"/>
                  <w:tcBorders>
                    <w:tl2br w:val="nil"/>
                    <w:tr2bl w:val="nil"/>
                  </w:tcBorders>
                  <w:vAlign w:val="center"/>
                </w:tcPr>
                <w:p w14:paraId="6EBF58D3">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sz w:val="21"/>
                      <w:szCs w:val="21"/>
                      <w:highlight w:val="none"/>
                    </w:rPr>
                    <w:t>供水工程</w:t>
                  </w:r>
                </w:p>
              </w:tc>
              <w:tc>
                <w:tcPr>
                  <w:tcW w:w="4702" w:type="dxa"/>
                  <w:tcBorders>
                    <w:tl2br w:val="nil"/>
                    <w:tr2bl w:val="nil"/>
                  </w:tcBorders>
                  <w:vAlign w:val="center"/>
                </w:tcPr>
                <w:p w14:paraId="7AB54205">
                  <w:pPr>
                    <w:pStyle w:val="11"/>
                    <w:keepNext w:val="0"/>
                    <w:keepLines w:val="0"/>
                    <w:pageBreakBefore w:val="0"/>
                    <w:widowControl w:val="0"/>
                    <w:kinsoku/>
                    <w:wordWrap/>
                    <w:overflowPunct/>
                    <w:topLinePunct w:val="0"/>
                    <w:autoSpaceDE/>
                    <w:autoSpaceDN/>
                    <w:bidi w:val="0"/>
                    <w:snapToGrid/>
                    <w:spacing w:before="0" w:after="0" w:line="240" w:lineRule="auto"/>
                    <w:ind w:right="0"/>
                    <w:jc w:val="center"/>
                    <w:textAlignment w:val="auto"/>
                    <w:rPr>
                      <w:rFonts w:hint="default" w:ascii="Times New Roman" w:hAnsi="Times New Roman"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lang w:val="en-US" w:eastAsia="zh-CN" w:bidi="ar-SA"/>
                    </w:rPr>
                    <w:t>依托东侧紧邻黑龙江腾邺贸易有限公司厂区内两口水井</w:t>
                  </w:r>
                </w:p>
              </w:tc>
              <w:tc>
                <w:tcPr>
                  <w:tcW w:w="641" w:type="dxa"/>
                  <w:tcBorders>
                    <w:tl2br w:val="nil"/>
                    <w:tr2bl w:val="nil"/>
                  </w:tcBorders>
                  <w:vAlign w:val="center"/>
                </w:tcPr>
                <w:p w14:paraId="411F39EE">
                  <w:pPr>
                    <w:pStyle w:val="11"/>
                    <w:keepNext w:val="0"/>
                    <w:keepLines w:val="0"/>
                    <w:pageBreakBefore w:val="0"/>
                    <w:widowControl w:val="0"/>
                    <w:kinsoku/>
                    <w:wordWrap/>
                    <w:overflowPunct/>
                    <w:topLinePunct w:val="0"/>
                    <w:autoSpaceDE/>
                    <w:autoSpaceDN/>
                    <w:bidi w:val="0"/>
                    <w:snapToGrid/>
                    <w:spacing w:before="0" w:after="0" w:line="240" w:lineRule="auto"/>
                    <w:ind w:right="0"/>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可行</w:t>
                  </w:r>
                </w:p>
              </w:tc>
            </w:tr>
            <w:tr w14:paraId="79538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3246D3C8">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tcBorders>
                    <w:tl2br w:val="nil"/>
                    <w:tr2bl w:val="nil"/>
                  </w:tcBorders>
                  <w:vAlign w:val="center"/>
                </w:tcPr>
                <w:p w14:paraId="2C698349">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供电工程</w:t>
                  </w:r>
                </w:p>
              </w:tc>
              <w:tc>
                <w:tcPr>
                  <w:tcW w:w="4702" w:type="dxa"/>
                  <w:tcBorders>
                    <w:tl2br w:val="nil"/>
                    <w:tr2bl w:val="nil"/>
                  </w:tcBorders>
                  <w:vAlign w:val="center"/>
                </w:tcPr>
                <w:p w14:paraId="3FFCBBEF">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由</w:t>
                  </w:r>
                  <w:r>
                    <w:rPr>
                      <w:rFonts w:hint="default" w:ascii="Times New Roman" w:hAnsi="Times New Roman" w:cs="Times New Roman"/>
                      <w:color w:val="auto"/>
                      <w:sz w:val="21"/>
                      <w:szCs w:val="21"/>
                      <w:highlight w:val="none"/>
                      <w:lang w:eastAsia="zh-CN"/>
                    </w:rPr>
                    <w:t>鸡西矿业集团双河煤矿电力公司</w:t>
                  </w:r>
                  <w:r>
                    <w:rPr>
                      <w:rFonts w:hint="default" w:ascii="Times New Roman" w:hAnsi="Times New Roman" w:eastAsia="宋体" w:cs="Times New Roman"/>
                      <w:color w:val="auto"/>
                      <w:sz w:val="21"/>
                      <w:szCs w:val="21"/>
                      <w:highlight w:val="none"/>
                      <w:lang w:eastAsia="zh-CN"/>
                    </w:rPr>
                    <w:t>提供</w:t>
                  </w:r>
                </w:p>
              </w:tc>
              <w:tc>
                <w:tcPr>
                  <w:tcW w:w="641" w:type="dxa"/>
                  <w:tcBorders>
                    <w:tl2br w:val="nil"/>
                    <w:tr2bl w:val="nil"/>
                  </w:tcBorders>
                  <w:vAlign w:val="center"/>
                </w:tcPr>
                <w:p w14:paraId="76246233">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可行</w:t>
                  </w:r>
                </w:p>
              </w:tc>
            </w:tr>
            <w:tr w14:paraId="14C00A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6C932970">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tcBorders>
                    <w:tl2br w:val="nil"/>
                    <w:tr2bl w:val="nil"/>
                  </w:tcBorders>
                  <w:vAlign w:val="center"/>
                </w:tcPr>
                <w:p w14:paraId="373E348E">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供热工程</w:t>
                  </w:r>
                </w:p>
              </w:tc>
              <w:tc>
                <w:tcPr>
                  <w:tcW w:w="4702" w:type="dxa"/>
                  <w:tcBorders>
                    <w:tl2br w:val="nil"/>
                    <w:tr2bl w:val="nil"/>
                  </w:tcBorders>
                  <w:vAlign w:val="center"/>
                </w:tcPr>
                <w:p w14:paraId="3B1217F8">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冬季</w:t>
                  </w:r>
                  <w:r>
                    <w:rPr>
                      <w:rFonts w:hint="default" w:ascii="Times New Roman" w:hAnsi="Times New Roman" w:cs="Times New Roman"/>
                      <w:color w:val="auto"/>
                      <w:sz w:val="21"/>
                      <w:szCs w:val="21"/>
                      <w:highlight w:val="none"/>
                      <w:lang w:eastAsia="zh-CN"/>
                    </w:rPr>
                    <w:t>供暖采用电取暖</w:t>
                  </w:r>
                </w:p>
              </w:tc>
              <w:tc>
                <w:tcPr>
                  <w:tcW w:w="641" w:type="dxa"/>
                  <w:tcBorders>
                    <w:tl2br w:val="nil"/>
                    <w:tr2bl w:val="nil"/>
                  </w:tcBorders>
                  <w:vAlign w:val="center"/>
                </w:tcPr>
                <w:p w14:paraId="53548E62">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可行</w:t>
                  </w:r>
                </w:p>
              </w:tc>
            </w:tr>
            <w:tr w14:paraId="0A5DAA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vMerge w:val="restart"/>
                  <w:tcBorders>
                    <w:tl2br w:val="nil"/>
                    <w:tr2bl w:val="nil"/>
                  </w:tcBorders>
                  <w:vAlign w:val="center"/>
                </w:tcPr>
                <w:p w14:paraId="4E17251C">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环保工程情况</w:t>
                  </w:r>
                </w:p>
              </w:tc>
              <w:tc>
                <w:tcPr>
                  <w:tcW w:w="1060" w:type="dxa"/>
                  <w:tcBorders>
                    <w:tl2br w:val="nil"/>
                    <w:tr2bl w:val="nil"/>
                  </w:tcBorders>
                  <w:vAlign w:val="center"/>
                </w:tcPr>
                <w:p w14:paraId="7D06F5EF">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废水</w:t>
                  </w:r>
                </w:p>
              </w:tc>
              <w:tc>
                <w:tcPr>
                  <w:tcW w:w="4702" w:type="dxa"/>
                  <w:tcBorders>
                    <w:tl2br w:val="nil"/>
                    <w:tr2bl w:val="nil"/>
                  </w:tcBorders>
                  <w:vAlign w:val="center"/>
                </w:tcPr>
                <w:p w14:paraId="27F19198">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雨水经厂区雨水收集渠进入</w:t>
                  </w:r>
                  <w:r>
                    <w:rPr>
                      <w:rFonts w:hint="eastAsia" w:ascii="Times New Roman" w:hAnsi="Times New Roman" w:cs="Times New Roman"/>
                      <w:color w:val="auto"/>
                      <w:sz w:val="21"/>
                      <w:szCs w:val="21"/>
                      <w:highlight w:val="none"/>
                      <w:lang w:val="en-US" w:eastAsia="zh-CN"/>
                    </w:rPr>
                    <w:t>初期雨水收集池</w:t>
                  </w:r>
                  <w:r>
                    <w:rPr>
                      <w:rFonts w:hint="default" w:ascii="Times New Roman" w:hAnsi="Times New Roman" w:cs="Times New Roman"/>
                      <w:color w:val="auto"/>
                      <w:sz w:val="21"/>
                      <w:szCs w:val="21"/>
                      <w:highlight w:val="none"/>
                      <w:lang w:val="en-US" w:eastAsia="zh-CN"/>
                    </w:rPr>
                    <w:t>沉淀后用于洒水降尘，不外排</w:t>
                  </w:r>
                </w:p>
              </w:tc>
              <w:tc>
                <w:tcPr>
                  <w:tcW w:w="641" w:type="dxa"/>
                  <w:tcBorders>
                    <w:tl2br w:val="nil"/>
                    <w:tr2bl w:val="nil"/>
                  </w:tcBorders>
                  <w:vAlign w:val="center"/>
                </w:tcPr>
                <w:p w14:paraId="7D862F58">
                  <w:pPr>
                    <w:pStyle w:val="11"/>
                    <w:widowControl w:val="0"/>
                    <w:wordWrap/>
                    <w:snapToGrid/>
                    <w:spacing w:line="0" w:lineRule="atLeast"/>
                    <w:ind w:right="0" w:rightChars="0"/>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lang w:eastAsia="zh-CN"/>
                    </w:rPr>
                    <w:t>可行</w:t>
                  </w:r>
                </w:p>
              </w:tc>
            </w:tr>
            <w:tr w14:paraId="625BB4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0E6AC1B7">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vMerge w:val="restart"/>
                  <w:tcBorders>
                    <w:tl2br w:val="nil"/>
                    <w:tr2bl w:val="nil"/>
                  </w:tcBorders>
                  <w:vAlign w:val="center"/>
                </w:tcPr>
                <w:p w14:paraId="7038E76D">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固体废物</w:t>
                  </w:r>
                </w:p>
              </w:tc>
              <w:tc>
                <w:tcPr>
                  <w:tcW w:w="4702" w:type="dxa"/>
                  <w:tcBorders>
                    <w:tl2br w:val="nil"/>
                    <w:tr2bl w:val="nil"/>
                  </w:tcBorders>
                  <w:vAlign w:val="center"/>
                </w:tcPr>
                <w:p w14:paraId="27B304E9">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员工生活垃圾暂存垃圾桶委托环卫部门统一处理</w:t>
                  </w:r>
                </w:p>
              </w:tc>
              <w:tc>
                <w:tcPr>
                  <w:tcW w:w="641" w:type="dxa"/>
                  <w:tcBorders>
                    <w:tl2br w:val="nil"/>
                    <w:tr2bl w:val="nil"/>
                  </w:tcBorders>
                  <w:vAlign w:val="center"/>
                </w:tcPr>
                <w:p w14:paraId="605426FB">
                  <w:pPr>
                    <w:wordWrap/>
                    <w:spacing w:line="0" w:lineRule="atLeast"/>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可行</w:t>
                  </w:r>
                </w:p>
              </w:tc>
            </w:tr>
            <w:tr w14:paraId="0F6CE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6CAB6E90">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vMerge w:val="continue"/>
                  <w:tcBorders>
                    <w:tl2br w:val="nil"/>
                    <w:tr2bl w:val="nil"/>
                  </w:tcBorders>
                  <w:vAlign w:val="center"/>
                </w:tcPr>
                <w:p w14:paraId="0E3F40FD">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p>
              </w:tc>
              <w:tc>
                <w:tcPr>
                  <w:tcW w:w="4702" w:type="dxa"/>
                  <w:tcBorders>
                    <w:tl2br w:val="nil"/>
                    <w:tr2bl w:val="nil"/>
                  </w:tcBorders>
                  <w:vAlign w:val="center"/>
                </w:tcPr>
                <w:p w14:paraId="08F1F270">
                  <w:pPr>
                    <w:pStyle w:val="86"/>
                    <w:rPr>
                      <w:rFonts w:hint="default" w:ascii="Times New Roman" w:hAnsi="Times New Roman" w:eastAsia="宋体" w:cs="Times New Roman"/>
                      <w:color w:val="auto"/>
                      <w:kern w:val="2"/>
                      <w:sz w:val="21"/>
                      <w:szCs w:val="24"/>
                      <w:highlight w:val="none"/>
                      <w:lang w:val="zh-CN" w:eastAsia="zh-CN" w:bidi="ar-SA"/>
                    </w:rPr>
                  </w:pPr>
                  <w:r>
                    <w:rPr>
                      <w:rFonts w:hint="default" w:ascii="Times New Roman" w:hAnsi="Times New Roman" w:eastAsia="宋体" w:cs="Times New Roman"/>
                      <w:color w:val="auto"/>
                      <w:kern w:val="2"/>
                      <w:sz w:val="21"/>
                      <w:szCs w:val="24"/>
                      <w:highlight w:val="none"/>
                      <w:lang w:val="zh-CN" w:eastAsia="zh-CN" w:bidi="ar-SA"/>
                    </w:rPr>
                    <w:t>沉淀煤泥与煤炭一同外售</w:t>
                  </w:r>
                </w:p>
              </w:tc>
              <w:tc>
                <w:tcPr>
                  <w:tcW w:w="641" w:type="dxa"/>
                  <w:tcBorders>
                    <w:tl2br w:val="nil"/>
                    <w:tr2bl w:val="nil"/>
                  </w:tcBorders>
                  <w:vAlign w:val="center"/>
                </w:tcPr>
                <w:p w14:paraId="457A4CA9">
                  <w:pPr>
                    <w:pStyle w:val="86"/>
                    <w:jc w:val="center"/>
                    <w:rPr>
                      <w:rFonts w:hint="eastAsia"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可行</w:t>
                  </w:r>
                </w:p>
              </w:tc>
            </w:tr>
            <w:tr w14:paraId="755EC7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622AE2BE">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vMerge w:val="continue"/>
                  <w:tcBorders>
                    <w:tl2br w:val="nil"/>
                    <w:tr2bl w:val="nil"/>
                  </w:tcBorders>
                  <w:vAlign w:val="center"/>
                </w:tcPr>
                <w:p w14:paraId="474F28E1">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p>
              </w:tc>
              <w:tc>
                <w:tcPr>
                  <w:tcW w:w="4702" w:type="dxa"/>
                  <w:tcBorders>
                    <w:tl2br w:val="nil"/>
                    <w:tr2bl w:val="nil"/>
                  </w:tcBorders>
                  <w:vAlign w:val="center"/>
                </w:tcPr>
                <w:p w14:paraId="5D6E285D">
                  <w:pPr>
                    <w:pStyle w:val="86"/>
                    <w:rPr>
                      <w:rFonts w:hint="default" w:ascii="Times New Roman" w:hAnsi="Times New Roman" w:eastAsia="宋体" w:cs="Times New Roman"/>
                      <w:color w:val="auto"/>
                      <w:kern w:val="2"/>
                      <w:sz w:val="21"/>
                      <w:szCs w:val="24"/>
                      <w:highlight w:val="none"/>
                      <w:lang w:val="zh-CN" w:eastAsia="zh-CN" w:bidi="ar-SA"/>
                    </w:rPr>
                  </w:pPr>
                  <w:r>
                    <w:rPr>
                      <w:rFonts w:hint="eastAsia" w:cs="Times New Roman"/>
                      <w:color w:val="auto"/>
                      <w:kern w:val="2"/>
                      <w:sz w:val="21"/>
                      <w:szCs w:val="24"/>
                      <w:highlight w:val="none"/>
                      <w:lang w:val="zh-CN" w:eastAsia="zh-CN" w:bidi="ar-SA"/>
                    </w:rPr>
                    <w:t>破损防风抑尘网作为废旧物资外售</w:t>
                  </w:r>
                </w:p>
              </w:tc>
              <w:tc>
                <w:tcPr>
                  <w:tcW w:w="641" w:type="dxa"/>
                  <w:tcBorders>
                    <w:tl2br w:val="nil"/>
                    <w:tr2bl w:val="nil"/>
                  </w:tcBorders>
                  <w:vAlign w:val="center"/>
                </w:tcPr>
                <w:p w14:paraId="56DD4597">
                  <w:pPr>
                    <w:jc w:val="center"/>
                    <w:rPr>
                      <w:rFonts w:hint="eastAsia"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可行</w:t>
                  </w:r>
                </w:p>
              </w:tc>
            </w:tr>
            <w:tr w14:paraId="78B634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4D0C2E37">
                  <w:pPr>
                    <w:pStyle w:val="11"/>
                    <w:widowControl w:val="0"/>
                    <w:wordWrap/>
                    <w:snapToGrid/>
                    <w:spacing w:line="0" w:lineRule="atLeast"/>
                    <w:ind w:right="0"/>
                    <w:jc w:val="center"/>
                    <w:textAlignment w:val="auto"/>
                    <w:rPr>
                      <w:rFonts w:hint="default" w:ascii="Times New Roman" w:hAnsi="Times New Roman" w:cs="Times New Roman"/>
                      <w:color w:val="auto"/>
                      <w:kern w:val="21"/>
                      <w:sz w:val="21"/>
                      <w:szCs w:val="21"/>
                      <w:highlight w:val="none"/>
                    </w:rPr>
                  </w:pPr>
                </w:p>
              </w:tc>
              <w:tc>
                <w:tcPr>
                  <w:tcW w:w="1060" w:type="dxa"/>
                  <w:vMerge w:val="continue"/>
                  <w:tcBorders>
                    <w:tl2br w:val="nil"/>
                    <w:tr2bl w:val="nil"/>
                  </w:tcBorders>
                  <w:vAlign w:val="center"/>
                </w:tcPr>
                <w:p w14:paraId="57F3CAE0">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p>
              </w:tc>
              <w:tc>
                <w:tcPr>
                  <w:tcW w:w="4702" w:type="dxa"/>
                  <w:tcBorders>
                    <w:tl2br w:val="nil"/>
                    <w:tr2bl w:val="nil"/>
                  </w:tcBorders>
                  <w:vAlign w:val="center"/>
                </w:tcPr>
                <w:p w14:paraId="221A9EA7">
                  <w:pPr>
                    <w:pStyle w:val="86"/>
                    <w:rPr>
                      <w:rFonts w:hint="default" w:ascii="Times New Roman" w:hAnsi="Times New Roman" w:eastAsia="宋体" w:cs="Times New Roman"/>
                      <w:color w:val="auto"/>
                      <w:kern w:val="2"/>
                      <w:sz w:val="21"/>
                      <w:szCs w:val="24"/>
                      <w:highlight w:val="none"/>
                      <w:lang w:val="zh-CN" w:eastAsia="zh-CN" w:bidi="ar-SA"/>
                    </w:rPr>
                  </w:pPr>
                  <w:r>
                    <w:rPr>
                      <w:rFonts w:hint="eastAsia" w:cs="Times New Roman"/>
                      <w:color w:val="auto"/>
                      <w:kern w:val="2"/>
                      <w:sz w:val="21"/>
                      <w:szCs w:val="24"/>
                      <w:highlight w:val="none"/>
                      <w:lang w:val="zh-CN" w:eastAsia="zh-CN" w:bidi="ar-SA"/>
                    </w:rPr>
                    <w:t>破损苫布作为废旧物资外售</w:t>
                  </w:r>
                </w:p>
              </w:tc>
              <w:tc>
                <w:tcPr>
                  <w:tcW w:w="641" w:type="dxa"/>
                  <w:tcBorders>
                    <w:tl2br w:val="nil"/>
                    <w:tr2bl w:val="nil"/>
                  </w:tcBorders>
                  <w:vAlign w:val="center"/>
                </w:tcPr>
                <w:p w14:paraId="2E26FDA0">
                  <w:pPr>
                    <w:jc w:val="center"/>
                    <w:rPr>
                      <w:rFonts w:hint="eastAsia"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可行</w:t>
                  </w:r>
                </w:p>
              </w:tc>
            </w:tr>
            <w:tr w14:paraId="1A6BF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41" w:type="dxa"/>
                  <w:vMerge w:val="continue"/>
                  <w:tcBorders>
                    <w:tl2br w:val="nil"/>
                    <w:tr2bl w:val="nil"/>
                  </w:tcBorders>
                  <w:vAlign w:val="center"/>
                </w:tcPr>
                <w:p w14:paraId="4EB9F277">
                  <w:pPr>
                    <w:pStyle w:val="11"/>
                    <w:widowControl w:val="0"/>
                    <w:wordWrap/>
                    <w:snapToGrid/>
                    <w:spacing w:line="0" w:lineRule="atLeast"/>
                    <w:ind w:right="0"/>
                    <w:jc w:val="center"/>
                    <w:textAlignment w:val="auto"/>
                    <w:rPr>
                      <w:rFonts w:hint="default" w:ascii="Times New Roman" w:hAnsi="Times New Roman" w:cs="Times New Roman"/>
                      <w:color w:val="auto"/>
                      <w:highlight w:val="none"/>
                    </w:rPr>
                  </w:pPr>
                </w:p>
              </w:tc>
              <w:tc>
                <w:tcPr>
                  <w:tcW w:w="1060" w:type="dxa"/>
                  <w:vMerge w:val="restart"/>
                  <w:tcBorders>
                    <w:tl2br w:val="nil"/>
                    <w:tr2bl w:val="nil"/>
                  </w:tcBorders>
                  <w:vAlign w:val="center"/>
                </w:tcPr>
                <w:p w14:paraId="41EBA48B">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4702" w:type="dxa"/>
                  <w:tcBorders>
                    <w:tl2br w:val="nil"/>
                    <w:tr2bl w:val="nil"/>
                  </w:tcBorders>
                  <w:vAlign w:val="center"/>
                </w:tcPr>
                <w:p w14:paraId="44273D1E">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对厂区道路进行硬化，并派专人对厂区及外围道路进行洒水抑尘。</w:t>
                  </w:r>
                  <w:r>
                    <w:rPr>
                      <w:rFonts w:hint="default" w:ascii="Times New Roman" w:hAnsi="Times New Roman" w:cs="Times New Roman"/>
                      <w:color w:val="auto"/>
                      <w:sz w:val="21"/>
                      <w:szCs w:val="21"/>
                      <w:highlight w:val="none"/>
                    </w:rPr>
                    <w:t>运输车辆采用重型运输车，</w:t>
                  </w:r>
                  <w:r>
                    <w:rPr>
                      <w:rFonts w:hint="eastAsia" w:ascii="Times New Roman" w:hAnsi="Times New Roman" w:cs="Times New Roman"/>
                      <w:color w:val="auto"/>
                      <w:sz w:val="21"/>
                      <w:szCs w:val="21"/>
                      <w:highlight w:val="none"/>
                      <w:lang w:eastAsia="zh-CN"/>
                    </w:rPr>
                    <w:t>货车</w:t>
                  </w:r>
                  <w:r>
                    <w:rPr>
                      <w:rFonts w:hint="default" w:ascii="Times New Roman" w:hAnsi="Times New Roman" w:cs="Times New Roman"/>
                      <w:color w:val="auto"/>
                      <w:sz w:val="21"/>
                      <w:szCs w:val="21"/>
                      <w:highlight w:val="none"/>
                    </w:rPr>
                    <w:t>顶部覆盖</w:t>
                  </w:r>
                  <w:r>
                    <w:rPr>
                      <w:rFonts w:hint="default" w:ascii="Times New Roman" w:hAnsi="Times New Roman" w:cs="Times New Roman"/>
                      <w:color w:val="auto"/>
                      <w:sz w:val="21"/>
                      <w:szCs w:val="21"/>
                      <w:highlight w:val="none"/>
                      <w:lang w:eastAsia="zh-CN"/>
                    </w:rPr>
                    <w:t>苫布</w:t>
                  </w:r>
                </w:p>
              </w:tc>
              <w:tc>
                <w:tcPr>
                  <w:tcW w:w="641" w:type="dxa"/>
                  <w:tcBorders>
                    <w:tl2br w:val="nil"/>
                    <w:tr2bl w:val="nil"/>
                  </w:tcBorders>
                  <w:vAlign w:val="center"/>
                </w:tcPr>
                <w:p w14:paraId="4600C440">
                  <w:pPr>
                    <w:wordWrap/>
                    <w:spacing w:line="0" w:lineRule="atLeast"/>
                    <w:jc w:val="center"/>
                    <w:textAlignment w:val="auto"/>
                    <w:rPr>
                      <w:rFonts w:hint="default" w:ascii="Times New Roman" w:hAnsi="Times New Roman" w:eastAsia="宋体" w:cs="Times New Roman"/>
                      <w:color w:val="auto"/>
                      <w:kern w:val="21"/>
                      <w:sz w:val="21"/>
                      <w:szCs w:val="21"/>
                      <w:highlight w:val="none"/>
                      <w:lang w:eastAsia="zh-CN"/>
                    </w:rPr>
                  </w:pPr>
                  <w:r>
                    <w:rPr>
                      <w:rFonts w:hint="default" w:ascii="Times New Roman" w:hAnsi="Times New Roman" w:cs="Times New Roman"/>
                      <w:color w:val="auto"/>
                      <w:kern w:val="21"/>
                      <w:sz w:val="21"/>
                      <w:szCs w:val="21"/>
                      <w:highlight w:val="none"/>
                      <w:lang w:eastAsia="zh-CN"/>
                    </w:rPr>
                    <w:t>可行</w:t>
                  </w:r>
                </w:p>
              </w:tc>
            </w:tr>
            <w:tr w14:paraId="05E7E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41" w:type="dxa"/>
                  <w:vMerge w:val="continue"/>
                  <w:tcBorders>
                    <w:tl2br w:val="nil"/>
                    <w:tr2bl w:val="nil"/>
                  </w:tcBorders>
                  <w:vAlign w:val="center"/>
                </w:tcPr>
                <w:p w14:paraId="21A1D70C">
                  <w:pPr>
                    <w:pStyle w:val="11"/>
                    <w:widowControl w:val="0"/>
                    <w:wordWrap/>
                    <w:snapToGrid/>
                    <w:spacing w:line="0" w:lineRule="atLeast"/>
                    <w:ind w:right="0"/>
                    <w:jc w:val="center"/>
                    <w:textAlignment w:val="auto"/>
                    <w:rPr>
                      <w:rFonts w:hint="default" w:ascii="Times New Roman" w:hAnsi="Times New Roman" w:cs="Times New Roman"/>
                      <w:color w:val="auto"/>
                      <w:highlight w:val="none"/>
                    </w:rPr>
                  </w:pPr>
                </w:p>
              </w:tc>
              <w:tc>
                <w:tcPr>
                  <w:tcW w:w="1060" w:type="dxa"/>
                  <w:vMerge w:val="continue"/>
                  <w:tcBorders>
                    <w:tl2br w:val="nil"/>
                    <w:tr2bl w:val="nil"/>
                  </w:tcBorders>
                  <w:vAlign w:val="center"/>
                </w:tcPr>
                <w:p w14:paraId="26D2E481">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p>
              </w:tc>
              <w:tc>
                <w:tcPr>
                  <w:tcW w:w="4702" w:type="dxa"/>
                  <w:tcBorders>
                    <w:tl2br w:val="nil"/>
                    <w:tr2bl w:val="nil"/>
                  </w:tcBorders>
                  <w:vAlign w:val="center"/>
                </w:tcPr>
                <w:p w14:paraId="139A0C3E">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在储煤场四周建设防风抑尘网并在堆场顶部苫盖苫布，装卸时尽可能缩小装卸时的高差；储煤场地面全部硬化防渗，采用洒水车定期洒水降尘</w:t>
                  </w:r>
                </w:p>
              </w:tc>
              <w:tc>
                <w:tcPr>
                  <w:tcW w:w="641" w:type="dxa"/>
                  <w:tcBorders>
                    <w:tl2br w:val="nil"/>
                    <w:tr2bl w:val="nil"/>
                  </w:tcBorders>
                  <w:vAlign w:val="center"/>
                </w:tcPr>
                <w:p w14:paraId="046ADCE9">
                  <w:pPr>
                    <w:wordWrap/>
                    <w:spacing w:line="0" w:lineRule="atLeast"/>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可行</w:t>
                  </w:r>
                </w:p>
              </w:tc>
            </w:tr>
            <w:tr w14:paraId="7E95FA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1" w:type="dxa"/>
                  <w:vMerge w:val="continue"/>
                  <w:tcBorders>
                    <w:tl2br w:val="nil"/>
                    <w:tr2bl w:val="nil"/>
                  </w:tcBorders>
                  <w:vAlign w:val="center"/>
                </w:tcPr>
                <w:p w14:paraId="5E9ACBF0">
                  <w:pPr>
                    <w:pStyle w:val="11"/>
                    <w:widowControl w:val="0"/>
                    <w:wordWrap/>
                    <w:snapToGrid/>
                    <w:spacing w:line="0" w:lineRule="atLeast"/>
                    <w:ind w:right="0"/>
                    <w:jc w:val="center"/>
                    <w:textAlignment w:val="auto"/>
                    <w:rPr>
                      <w:rFonts w:hint="default" w:ascii="Times New Roman" w:hAnsi="Times New Roman" w:cs="Times New Roman"/>
                      <w:color w:val="auto"/>
                      <w:highlight w:val="none"/>
                    </w:rPr>
                  </w:pPr>
                </w:p>
              </w:tc>
              <w:tc>
                <w:tcPr>
                  <w:tcW w:w="1060" w:type="dxa"/>
                  <w:vMerge w:val="restart"/>
                  <w:tcBorders>
                    <w:tl2br w:val="nil"/>
                    <w:tr2bl w:val="nil"/>
                  </w:tcBorders>
                  <w:vAlign w:val="center"/>
                </w:tcPr>
                <w:p w14:paraId="2C203705">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噪声</w:t>
                  </w:r>
                </w:p>
              </w:tc>
              <w:tc>
                <w:tcPr>
                  <w:tcW w:w="4702" w:type="dxa"/>
                  <w:tcBorders>
                    <w:tl2br w:val="nil"/>
                    <w:tr2bl w:val="nil"/>
                  </w:tcBorders>
                  <w:vAlign w:val="center"/>
                </w:tcPr>
                <w:p w14:paraId="54A41174">
                  <w:pPr>
                    <w:pStyle w:val="11"/>
                    <w:keepNext w:val="0"/>
                    <w:keepLines w:val="0"/>
                    <w:pageBreakBefore w:val="0"/>
                    <w:widowControl w:val="0"/>
                    <w:kinsoku/>
                    <w:wordWrap/>
                    <w:overflowPunct/>
                    <w:topLinePunct w:val="0"/>
                    <w:autoSpaceDE/>
                    <w:autoSpaceDN/>
                    <w:bidi w:val="0"/>
                    <w:snapToGrid/>
                    <w:spacing w:before="0" w:after="0" w:line="240" w:lineRule="auto"/>
                    <w:ind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对设备加装减震垫，加强厂房的隔声强度</w:t>
                  </w:r>
                </w:p>
              </w:tc>
              <w:tc>
                <w:tcPr>
                  <w:tcW w:w="641" w:type="dxa"/>
                  <w:tcBorders>
                    <w:tl2br w:val="nil"/>
                    <w:tr2bl w:val="nil"/>
                  </w:tcBorders>
                  <w:vAlign w:val="center"/>
                </w:tcPr>
                <w:p w14:paraId="11C8B968">
                  <w:pPr>
                    <w:pStyle w:val="11"/>
                    <w:keepNext w:val="0"/>
                    <w:keepLines w:val="0"/>
                    <w:pageBreakBefore w:val="0"/>
                    <w:widowControl w:val="0"/>
                    <w:kinsoku/>
                    <w:wordWrap/>
                    <w:overflowPunct/>
                    <w:topLinePunct w:val="0"/>
                    <w:autoSpaceDE/>
                    <w:autoSpaceDN/>
                    <w:bidi w:val="0"/>
                    <w:snapToGrid/>
                    <w:spacing w:before="0" w:after="0" w:line="240" w:lineRule="auto"/>
                    <w:ind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可行</w:t>
                  </w:r>
                </w:p>
              </w:tc>
            </w:tr>
            <w:tr w14:paraId="588E4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vMerge w:val="continue"/>
                  <w:tcBorders>
                    <w:tl2br w:val="nil"/>
                    <w:tr2bl w:val="nil"/>
                  </w:tcBorders>
                  <w:vAlign w:val="center"/>
                </w:tcPr>
                <w:p w14:paraId="042BA91A">
                  <w:pPr>
                    <w:pStyle w:val="11"/>
                    <w:widowControl w:val="0"/>
                    <w:wordWrap/>
                    <w:snapToGrid/>
                    <w:spacing w:line="0" w:lineRule="atLeast"/>
                    <w:ind w:right="0"/>
                    <w:jc w:val="center"/>
                    <w:textAlignment w:val="auto"/>
                    <w:rPr>
                      <w:rFonts w:hint="default" w:ascii="Times New Roman" w:hAnsi="Times New Roman" w:cs="Times New Roman"/>
                      <w:color w:val="auto"/>
                      <w:highlight w:val="none"/>
                    </w:rPr>
                  </w:pPr>
                </w:p>
              </w:tc>
              <w:tc>
                <w:tcPr>
                  <w:tcW w:w="1060" w:type="dxa"/>
                  <w:vMerge w:val="continue"/>
                  <w:tcBorders>
                    <w:tl2br w:val="nil"/>
                    <w:tr2bl w:val="nil"/>
                  </w:tcBorders>
                  <w:vAlign w:val="center"/>
                </w:tcPr>
                <w:p w14:paraId="68D91A22">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eastAsia="zh-CN"/>
                    </w:rPr>
                  </w:pPr>
                </w:p>
              </w:tc>
              <w:tc>
                <w:tcPr>
                  <w:tcW w:w="4702" w:type="dxa"/>
                  <w:tcBorders>
                    <w:tl2br w:val="nil"/>
                    <w:tr2bl w:val="nil"/>
                  </w:tcBorders>
                  <w:vAlign w:val="center"/>
                </w:tcPr>
                <w:p w14:paraId="21480E79">
                  <w:pPr>
                    <w:pStyle w:val="47"/>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运输车辆及时保养，在通过村庄时禁鸣，减速慢行，降低运输噪声</w:t>
                  </w:r>
                </w:p>
              </w:tc>
              <w:tc>
                <w:tcPr>
                  <w:tcW w:w="641" w:type="dxa"/>
                  <w:tcBorders>
                    <w:tl2br w:val="nil"/>
                    <w:tr2bl w:val="nil"/>
                  </w:tcBorders>
                  <w:vAlign w:val="center"/>
                </w:tcPr>
                <w:p w14:paraId="6523637D">
                  <w:pPr>
                    <w:wordWrap/>
                    <w:spacing w:line="0" w:lineRule="atLeast"/>
                    <w:jc w:val="center"/>
                    <w:textAlignment w:val="auto"/>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可行</w:t>
                  </w:r>
                </w:p>
              </w:tc>
            </w:tr>
          </w:tbl>
          <w:p w14:paraId="1E454D9E">
            <w:pPr>
              <w:pStyle w:val="11"/>
              <w:widowControl w:val="0"/>
              <w:snapToGrid/>
              <w:spacing w:before="0" w:after="0" w:line="360" w:lineRule="auto"/>
              <w:ind w:right="0" w:firstLine="480" w:firstLineChars="200"/>
              <w:rPr>
                <w:rFonts w:hint="default" w:ascii="Times New Roman" w:hAnsi="Times New Roman" w:cs="Times New Roman"/>
                <w:color w:val="auto"/>
                <w:kern w:val="21"/>
                <w:sz w:val="24"/>
                <w:highlight w:val="none"/>
              </w:rPr>
            </w:pPr>
            <w:r>
              <w:rPr>
                <w:rFonts w:hint="default" w:ascii="Times New Roman" w:hAnsi="Times New Roman" w:cs="Times New Roman"/>
                <w:color w:val="auto"/>
                <w:kern w:val="21"/>
                <w:sz w:val="24"/>
                <w:highlight w:val="none"/>
              </w:rPr>
              <w:t>（</w:t>
            </w:r>
            <w:r>
              <w:rPr>
                <w:rFonts w:hint="default" w:ascii="Times New Roman" w:hAnsi="Times New Roman" w:cs="Times New Roman"/>
                <w:color w:val="auto"/>
                <w:kern w:val="21"/>
                <w:sz w:val="24"/>
                <w:highlight w:val="none"/>
                <w:lang w:val="en-US" w:eastAsia="zh-CN"/>
              </w:rPr>
              <w:t>3</w:t>
            </w:r>
            <w:r>
              <w:rPr>
                <w:rFonts w:hint="default" w:ascii="Times New Roman" w:hAnsi="Times New Roman" w:cs="Times New Roman"/>
                <w:color w:val="auto"/>
                <w:kern w:val="21"/>
                <w:sz w:val="24"/>
                <w:highlight w:val="none"/>
              </w:rPr>
              <w:t>）</w:t>
            </w:r>
            <w:r>
              <w:rPr>
                <w:rFonts w:hint="default" w:ascii="Times New Roman" w:hAnsi="Times New Roman" w:cs="Times New Roman"/>
                <w:color w:val="auto"/>
                <w:sz w:val="24"/>
                <w:szCs w:val="24"/>
                <w:highlight w:val="none"/>
              </w:rPr>
              <w:t>通过工程分析，项目在营运期产生的污染类型主要有废气、噪声以及固废等，所产生的污染物经采取有效措施后能够达标排放，对厂区周围区域的环境影响较小。</w:t>
            </w:r>
          </w:p>
          <w:p w14:paraId="03E5C444">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综上所述，项目选址符合规划，无明显的环境制约因素，公辅设施配套条件完备，交通便捷，项目选址合理。</w:t>
            </w:r>
          </w:p>
          <w:p w14:paraId="738A5734">
            <w:pPr>
              <w:spacing w:line="360" w:lineRule="auto"/>
              <w:rPr>
                <w:rFonts w:hint="default" w:ascii="Times New Roman" w:hAnsi="Times New Roman" w:cs="Times New Roman"/>
                <w:b/>
                <w:bCs/>
                <w:color w:val="auto"/>
                <w:kern w:val="0"/>
                <w:sz w:val="24"/>
                <w:highlight w:val="none"/>
              </w:rPr>
            </w:pPr>
            <w:r>
              <w:rPr>
                <w:rFonts w:hint="eastAsia" w:cs="Times New Roman"/>
                <w:b/>
                <w:bCs/>
                <w:color w:val="auto"/>
                <w:sz w:val="24"/>
                <w:highlight w:val="none"/>
                <w:lang w:val="en-US" w:eastAsia="zh-CN"/>
              </w:rPr>
              <w:t>4</w:t>
            </w:r>
            <w:r>
              <w:rPr>
                <w:rFonts w:hint="default" w:ascii="Times New Roman" w:hAnsi="Times New Roman"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与</w:t>
            </w:r>
            <w:r>
              <w:rPr>
                <w:rFonts w:hint="default" w:ascii="Times New Roman" w:hAnsi="Times New Roman" w:cs="Times New Roman"/>
                <w:b/>
                <w:bCs/>
                <w:color w:val="auto"/>
                <w:sz w:val="24"/>
                <w:highlight w:val="none"/>
                <w:lang w:eastAsia="zh-CN"/>
              </w:rPr>
              <w:t>《</w:t>
            </w:r>
            <w:r>
              <w:rPr>
                <w:rFonts w:hint="default" w:ascii="Times New Roman" w:hAnsi="Times New Roman" w:eastAsia="宋体" w:cs="Times New Roman"/>
                <w:b/>
                <w:bCs/>
                <w:color w:val="auto"/>
                <w:sz w:val="24"/>
                <w:highlight w:val="none"/>
                <w:lang w:val="en-US" w:eastAsia="zh-CN"/>
              </w:rPr>
              <w:t>鸡西市</w:t>
            </w:r>
            <w:r>
              <w:rPr>
                <w:rFonts w:hint="default" w:ascii="Times New Roman" w:hAnsi="Times New Roman" w:cs="Times New Roman"/>
                <w:b/>
                <w:bCs/>
                <w:color w:val="auto"/>
                <w:sz w:val="24"/>
                <w:highlight w:val="none"/>
                <w:lang w:val="en-US" w:eastAsia="zh-CN"/>
              </w:rPr>
              <w:t>储</w:t>
            </w:r>
            <w:r>
              <w:rPr>
                <w:rFonts w:hint="default" w:ascii="Times New Roman" w:hAnsi="Times New Roman" w:eastAsia="宋体" w:cs="Times New Roman"/>
                <w:b/>
                <w:bCs/>
                <w:color w:val="auto"/>
                <w:sz w:val="24"/>
                <w:highlight w:val="none"/>
                <w:lang w:val="en-US" w:eastAsia="zh-CN"/>
              </w:rPr>
              <w:t>煤厂环境综合整治验收标准（暂行）</w:t>
            </w:r>
            <w:r>
              <w:rPr>
                <w:rFonts w:hint="default" w:ascii="Times New Roman" w:hAnsi="Times New Roman"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lang w:eastAsia="zh-CN"/>
              </w:rPr>
              <w:t>符合</w:t>
            </w:r>
            <w:r>
              <w:rPr>
                <w:rFonts w:hint="default" w:ascii="Times New Roman" w:hAnsi="Times New Roman" w:eastAsia="宋体" w:cs="Times New Roman"/>
                <w:b/>
                <w:bCs/>
                <w:color w:val="auto"/>
                <w:sz w:val="24"/>
                <w:highlight w:val="none"/>
              </w:rPr>
              <w:t>性分析</w:t>
            </w:r>
          </w:p>
          <w:p w14:paraId="21F3D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2"/>
                <w:highlight w:val="none"/>
              </w:rPr>
            </w:pPr>
          </w:p>
          <w:p w14:paraId="791E0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2"/>
                <w:highlight w:val="none"/>
              </w:rPr>
            </w:pPr>
            <w:r>
              <w:rPr>
                <w:rFonts w:hint="default" w:ascii="Times New Roman" w:hAnsi="Times New Roman" w:cs="Times New Roman"/>
                <w:b/>
                <w:color w:val="auto"/>
                <w:szCs w:val="22"/>
                <w:highlight w:val="none"/>
              </w:rPr>
              <w:t>表1-</w:t>
            </w:r>
            <w:r>
              <w:rPr>
                <w:rFonts w:hint="eastAsia" w:cs="Times New Roman"/>
                <w:b/>
                <w:color w:val="auto"/>
                <w:szCs w:val="22"/>
                <w:highlight w:val="none"/>
                <w:lang w:val="en-US" w:eastAsia="zh-CN"/>
              </w:rPr>
              <w:t xml:space="preserve">5 </w:t>
            </w:r>
            <w:r>
              <w:rPr>
                <w:rFonts w:hint="default" w:ascii="Times New Roman" w:hAnsi="Times New Roman" w:cs="Times New Roman"/>
                <w:b/>
                <w:color w:val="auto"/>
                <w:szCs w:val="22"/>
                <w:highlight w:val="none"/>
              </w:rPr>
              <w:t>与</w:t>
            </w:r>
            <w:r>
              <w:rPr>
                <w:rFonts w:hint="default" w:ascii="Times New Roman" w:hAnsi="Times New Roman" w:cs="Times New Roman"/>
                <w:b/>
                <w:color w:val="auto"/>
                <w:szCs w:val="22"/>
                <w:highlight w:val="none"/>
                <w:lang w:eastAsia="zh-CN"/>
              </w:rPr>
              <w:t>《</w:t>
            </w:r>
            <w:r>
              <w:rPr>
                <w:rFonts w:hint="default" w:ascii="Times New Roman" w:hAnsi="Times New Roman" w:cs="Times New Roman"/>
                <w:b/>
                <w:color w:val="auto"/>
                <w:szCs w:val="22"/>
                <w:highlight w:val="none"/>
                <w:lang w:val="en-US" w:eastAsia="zh-CN"/>
              </w:rPr>
              <w:t>鸡西市储煤厂环境综合整治验收标准（暂行）》</w:t>
            </w:r>
            <w:r>
              <w:rPr>
                <w:rFonts w:hint="default" w:ascii="Times New Roman" w:hAnsi="Times New Roman" w:cs="Times New Roman"/>
                <w:b/>
                <w:color w:val="auto"/>
                <w:szCs w:val="22"/>
                <w:highlight w:val="none"/>
                <w:lang w:eastAsia="zh-CN"/>
              </w:rPr>
              <w:t>符合</w:t>
            </w:r>
            <w:r>
              <w:rPr>
                <w:rFonts w:hint="default" w:ascii="Times New Roman" w:hAnsi="Times New Roman" w:cs="Times New Roman"/>
                <w:b/>
                <w:color w:val="auto"/>
                <w:szCs w:val="22"/>
                <w:highlight w:val="none"/>
              </w:rPr>
              <w:t>性分析一览表</w:t>
            </w:r>
          </w:p>
          <w:tbl>
            <w:tblPr>
              <w:tblStyle w:val="31"/>
              <w:tblW w:w="70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43"/>
              <w:gridCol w:w="3160"/>
              <w:gridCol w:w="2565"/>
              <w:gridCol w:w="450"/>
            </w:tblGrid>
            <w:tr w14:paraId="0F47A4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600" w:type="pct"/>
                  <w:tcBorders>
                    <w:tl2br w:val="nil"/>
                    <w:tr2bl w:val="nil"/>
                  </w:tcBorders>
                  <w:noWrap w:val="0"/>
                  <w:vAlign w:val="center"/>
                </w:tcPr>
                <w:p w14:paraId="7278DC30">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政策名称</w:t>
                  </w:r>
                </w:p>
              </w:tc>
              <w:tc>
                <w:tcPr>
                  <w:tcW w:w="2251" w:type="pct"/>
                  <w:tcBorders>
                    <w:tl2br w:val="nil"/>
                    <w:tr2bl w:val="nil"/>
                  </w:tcBorders>
                  <w:noWrap w:val="0"/>
                  <w:vAlign w:val="center"/>
                </w:tcPr>
                <w:p w14:paraId="542BBF1A">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政策要求</w:t>
                  </w:r>
                </w:p>
              </w:tc>
              <w:tc>
                <w:tcPr>
                  <w:tcW w:w="1827" w:type="pct"/>
                  <w:tcBorders>
                    <w:tl2br w:val="nil"/>
                    <w:tr2bl w:val="nil"/>
                  </w:tcBorders>
                  <w:noWrap w:val="0"/>
                  <w:vAlign w:val="center"/>
                </w:tcPr>
                <w:p w14:paraId="2B04CCB9">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w:t>
                  </w:r>
                </w:p>
              </w:tc>
              <w:tc>
                <w:tcPr>
                  <w:tcW w:w="320" w:type="pct"/>
                  <w:tcBorders>
                    <w:tl2br w:val="nil"/>
                    <w:tr2bl w:val="nil"/>
                  </w:tcBorders>
                  <w:noWrap w:val="0"/>
                  <w:vAlign w:val="center"/>
                </w:tcPr>
                <w:p w14:paraId="67777A41">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符合</w:t>
                  </w:r>
                  <w:r>
                    <w:rPr>
                      <w:rFonts w:hint="default" w:ascii="Times New Roman" w:hAnsi="Times New Roman" w:eastAsia="宋体" w:cs="Times New Roman"/>
                      <w:b/>
                      <w:bCs/>
                      <w:color w:val="auto"/>
                      <w:sz w:val="21"/>
                      <w:szCs w:val="21"/>
                      <w:highlight w:val="none"/>
                    </w:rPr>
                    <w:t>性</w:t>
                  </w:r>
                </w:p>
              </w:tc>
            </w:tr>
            <w:tr w14:paraId="4E9CFD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00" w:type="pct"/>
                  <w:vMerge w:val="restart"/>
                  <w:tcBorders>
                    <w:tl2br w:val="nil"/>
                    <w:tr2bl w:val="nil"/>
                  </w:tcBorders>
                  <w:noWrap w:val="0"/>
                  <w:vAlign w:val="center"/>
                </w:tcPr>
                <w:p w14:paraId="3E53254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鸡西市储煤厂环境综合整治验收标准（暂行）》</w:t>
                  </w:r>
                </w:p>
              </w:tc>
              <w:tc>
                <w:tcPr>
                  <w:tcW w:w="2251" w:type="pct"/>
                  <w:tcBorders>
                    <w:tl2br w:val="nil"/>
                    <w:tr2bl w:val="nil"/>
                  </w:tcBorders>
                  <w:noWrap w:val="0"/>
                  <w:vAlign w:val="center"/>
                </w:tcPr>
                <w:p w14:paraId="1505DEE6">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二、大气污染防治措施</w:t>
                  </w:r>
                </w:p>
                <w:p w14:paraId="7A48498C">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4、储煤厂四周应当建设闭合的防风抑尘网。防风抑尘网高度不得低于物料堆高度，遇到高压线等高空障碍物可适当调整高度。储煤厂堆存物应当使用</w:t>
                  </w:r>
                  <w:r>
                    <w:rPr>
                      <w:rFonts w:hint="default" w:ascii="Times New Roman" w:hAnsi="Times New Roman" w:cs="Times New Roman"/>
                      <w:color w:val="auto"/>
                      <w:sz w:val="21"/>
                      <w:szCs w:val="21"/>
                      <w:highlight w:val="none"/>
                      <w:lang w:val="en-US" w:eastAsia="zh-CN"/>
                    </w:rPr>
                    <w:t>苫布</w:t>
                  </w:r>
                  <w:r>
                    <w:rPr>
                      <w:rFonts w:hint="default" w:ascii="Times New Roman" w:hAnsi="Times New Roman" w:eastAsia="宋体" w:cs="Times New Roman"/>
                      <w:color w:val="auto"/>
                      <w:sz w:val="21"/>
                      <w:szCs w:val="21"/>
                      <w:highlight w:val="none"/>
                      <w:lang w:val="en-US" w:eastAsia="zh-CN"/>
                    </w:rPr>
                    <w:t xml:space="preserve">进行苫盖。 </w:t>
                  </w:r>
                </w:p>
                <w:p w14:paraId="700D1135">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5、储煤厂在日常作业中应当采取喷淋、洒水等方式进行降尘，并且严禁在重污染天气期间、大风天气时生产作业，以避免造成扬尘污染。 </w:t>
                  </w:r>
                </w:p>
                <w:p w14:paraId="5A4AF116">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6、储煤厂使用的运输车辆应当按照当地城市执法部门的要求进行全面苫盖，并确保车辆清洁。 </w:t>
                  </w:r>
                </w:p>
                <w:p w14:paraId="0A175675">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7、储煤厂原则上不得使用燃煤锅炉，应当使用电、天然气等清洁</w:t>
                  </w:r>
                  <w:r>
                    <w:rPr>
                      <w:rFonts w:hint="default" w:ascii="Times New Roman" w:hAnsi="Times New Roman" w:cs="Times New Roman"/>
                      <w:color w:val="auto"/>
                      <w:sz w:val="21"/>
                      <w:szCs w:val="21"/>
                      <w:highlight w:val="none"/>
                      <w:lang w:val="en-US" w:eastAsia="zh-CN"/>
                    </w:rPr>
                    <w:t>能源</w:t>
                  </w:r>
                  <w:r>
                    <w:rPr>
                      <w:rFonts w:hint="default" w:ascii="Times New Roman" w:hAnsi="Times New Roman" w:eastAsia="宋体" w:cs="Times New Roman"/>
                      <w:color w:val="auto"/>
                      <w:sz w:val="21"/>
                      <w:szCs w:val="21"/>
                      <w:highlight w:val="none"/>
                      <w:lang w:val="en-US" w:eastAsia="zh-CN"/>
                    </w:rPr>
                    <w:t>取暖。若因条件限制使用燃煤、生物质锅炉的应当配套建设高效除尘设施，并定期检测</w:t>
                  </w:r>
                  <w:r>
                    <w:rPr>
                      <w:rFonts w:hint="default" w:ascii="Times New Roman" w:hAnsi="Times New Roman" w:cs="Times New Roman"/>
                      <w:color w:val="auto"/>
                      <w:sz w:val="21"/>
                      <w:szCs w:val="21"/>
                      <w:highlight w:val="none"/>
                      <w:lang w:val="en-US" w:eastAsia="zh-CN"/>
                    </w:rPr>
                    <w:t>。</w:t>
                  </w:r>
                </w:p>
              </w:tc>
              <w:tc>
                <w:tcPr>
                  <w:tcW w:w="1827" w:type="pct"/>
                  <w:tcBorders>
                    <w:tl2br w:val="nil"/>
                    <w:tr2bl w:val="nil"/>
                  </w:tcBorders>
                  <w:noWrap w:val="0"/>
                  <w:vAlign w:val="center"/>
                </w:tcPr>
                <w:p w14:paraId="656CFDF6">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4、本项</w:t>
                  </w:r>
                  <w:r>
                    <w:rPr>
                      <w:rFonts w:hint="default" w:ascii="Times New Roman" w:hAnsi="Times New Roman" w:eastAsia="宋体" w:cs="Times New Roman"/>
                      <w:color w:val="auto"/>
                      <w:sz w:val="21"/>
                      <w:szCs w:val="21"/>
                      <w:highlight w:val="none"/>
                      <w:lang w:val="en-US" w:eastAsia="zh-CN"/>
                    </w:rPr>
                    <w:t>目储煤场四周建设闭合的防风抑尘网。</w:t>
                  </w:r>
                  <w:r>
                    <w:rPr>
                      <w:rFonts w:hint="default" w:ascii="Times New Roman" w:hAnsi="Times New Roman" w:eastAsia="宋体" w:cs="Times New Roman"/>
                      <w:color w:val="auto"/>
                      <w:sz w:val="21"/>
                      <w:szCs w:val="21"/>
                      <w:highlight w:val="none"/>
                      <w:lang w:val="en-US" w:eastAsia="zh-CN"/>
                    </w:rPr>
                    <w:t>堆场原煤堆高</w:t>
                  </w: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val="en-US" w:eastAsia="zh-CN"/>
                    </w:rPr>
                    <w:t>，设置</w:t>
                  </w: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m高的防风抑尘网并在堆场顶部</w:t>
                  </w:r>
                  <w:r>
                    <w:rPr>
                      <w:rFonts w:hint="default" w:ascii="Times New Roman" w:hAnsi="Times New Roman" w:cs="Times New Roman"/>
                      <w:color w:val="auto"/>
                      <w:sz w:val="21"/>
                      <w:szCs w:val="21"/>
                      <w:highlight w:val="none"/>
                      <w:lang w:val="en-US" w:eastAsia="zh-CN"/>
                    </w:rPr>
                    <w:t>苫盖苫布。</w:t>
                  </w:r>
                </w:p>
                <w:p w14:paraId="13E06080">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5、储煤场日常</w:t>
                  </w:r>
                  <w:r>
                    <w:rPr>
                      <w:rFonts w:hint="default" w:ascii="Times New Roman" w:hAnsi="Times New Roman" w:eastAsia="宋体" w:cs="Times New Roman"/>
                      <w:color w:val="auto"/>
                      <w:sz w:val="21"/>
                      <w:szCs w:val="21"/>
                      <w:highlight w:val="none"/>
                    </w:rPr>
                    <w:t>作业时</w:t>
                  </w:r>
                  <w:r>
                    <w:rPr>
                      <w:rFonts w:hint="default" w:ascii="Times New Roman" w:hAnsi="Times New Roman" w:cs="Times New Roman"/>
                      <w:color w:val="auto"/>
                      <w:sz w:val="21"/>
                      <w:szCs w:val="21"/>
                      <w:highlight w:val="none"/>
                      <w:lang w:eastAsia="zh-CN"/>
                    </w:rPr>
                    <w:t>采用</w:t>
                  </w:r>
                  <w:r>
                    <w:rPr>
                      <w:rFonts w:hint="default" w:ascii="Times New Roman" w:hAnsi="Times New Roman" w:eastAsia="宋体" w:cs="Times New Roman"/>
                      <w:color w:val="auto"/>
                      <w:sz w:val="21"/>
                      <w:szCs w:val="21"/>
                      <w:highlight w:val="none"/>
                    </w:rPr>
                    <w:t>洒水降尘</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在</w:t>
                  </w:r>
                  <w:r>
                    <w:rPr>
                      <w:rFonts w:hint="default" w:ascii="Times New Roman" w:hAnsi="Times New Roman" w:cs="Times New Roman"/>
                      <w:color w:val="auto"/>
                      <w:sz w:val="21"/>
                      <w:szCs w:val="21"/>
                      <w:highlight w:val="none"/>
                      <w:lang w:val="en-US" w:eastAsia="zh-CN"/>
                    </w:rPr>
                    <w:t>重污染天气期间、大风天气时不进行作业。</w:t>
                  </w:r>
                </w:p>
                <w:p w14:paraId="63E2C3FB">
                  <w:pPr>
                    <w:pStyle w:val="43"/>
                    <w:keepNext w:val="0"/>
                    <w:keepLines w:val="0"/>
                    <w:pageBreakBefore w:val="0"/>
                    <w:widowControl w:val="0"/>
                    <w:kinsoku/>
                    <w:wordWrap/>
                    <w:overflowPunct/>
                    <w:topLinePunct w:val="0"/>
                    <w:autoSpaceDE/>
                    <w:autoSpaceDN/>
                    <w:bidi w:val="0"/>
                    <w:adjustRightInd w:val="0"/>
                    <w:snapToGrid w:val="0"/>
                    <w:spacing w:before="0" w:line="240" w:lineRule="auto"/>
                    <w:ind w:left="0" w:leftChars="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6、本项目储煤场使用的运输车辆已经</w:t>
                  </w:r>
                  <w:r>
                    <w:rPr>
                      <w:rFonts w:hint="default" w:ascii="Times New Roman" w:hAnsi="Times New Roman" w:eastAsia="宋体" w:cs="Times New Roman"/>
                      <w:color w:val="auto"/>
                      <w:sz w:val="21"/>
                      <w:szCs w:val="21"/>
                      <w:highlight w:val="none"/>
                      <w:lang w:val="en-US" w:eastAsia="zh-CN"/>
                    </w:rPr>
                    <w:t>按照当地城市执法部门的要求进行全面苫盖，并保证车辆清洁。</w:t>
                  </w:r>
                </w:p>
                <w:p w14:paraId="78FAD126">
                  <w:pPr>
                    <w:pStyle w:val="43"/>
                    <w:keepNext w:val="0"/>
                    <w:keepLines w:val="0"/>
                    <w:pageBreakBefore w:val="0"/>
                    <w:widowControl w:val="0"/>
                    <w:kinsoku/>
                    <w:wordWrap/>
                    <w:overflowPunct/>
                    <w:topLinePunct w:val="0"/>
                    <w:autoSpaceDE/>
                    <w:autoSpaceDN/>
                    <w:bidi w:val="0"/>
                    <w:adjustRightInd w:val="0"/>
                    <w:snapToGrid w:val="0"/>
                    <w:spacing w:before="0" w:line="240" w:lineRule="auto"/>
                    <w:ind w:left="0" w:leftChars="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7、本项目冬季采用电取暖。</w:t>
                  </w:r>
                </w:p>
              </w:tc>
              <w:tc>
                <w:tcPr>
                  <w:tcW w:w="320" w:type="pct"/>
                  <w:tcBorders>
                    <w:tl2br w:val="nil"/>
                    <w:tr2bl w:val="nil"/>
                  </w:tcBorders>
                  <w:noWrap w:val="0"/>
                  <w:vAlign w:val="center"/>
                </w:tcPr>
                <w:p w14:paraId="7365A4B3">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18AA37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600" w:type="pct"/>
                  <w:vMerge w:val="continue"/>
                  <w:tcBorders>
                    <w:tl2br w:val="nil"/>
                    <w:tr2bl w:val="nil"/>
                  </w:tcBorders>
                  <w:noWrap w:val="0"/>
                  <w:vAlign w:val="center"/>
                </w:tcPr>
                <w:p w14:paraId="43789E77">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2251" w:type="pct"/>
                  <w:tcBorders>
                    <w:tl2br w:val="nil"/>
                    <w:tr2bl w:val="nil"/>
                  </w:tcBorders>
                  <w:noWrap w:val="0"/>
                  <w:vAlign w:val="center"/>
                </w:tcPr>
                <w:p w14:paraId="6C01549A">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三、水污染防治措施 </w:t>
                  </w:r>
                </w:p>
                <w:p w14:paraId="4D902C3E">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9、储煤厂所应当配套建设雨水导流槽、雨水收集池（雨水收集池应建在厂区地势最低处），收集的雨水沉淀后用于场区洒水降尘和绿化。 </w:t>
                  </w:r>
                </w:p>
                <w:p w14:paraId="7C59523A">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10、无法接入污水管网的储煤厂应当建设防渗旱厕或防渗化粪池，定期转运至当地生活污水处理厂进行处理或作为肥料进行综合利用，并建立管理台账。 </w:t>
                  </w:r>
                </w:p>
              </w:tc>
              <w:tc>
                <w:tcPr>
                  <w:tcW w:w="1827" w:type="pct"/>
                  <w:tcBorders>
                    <w:tl2br w:val="nil"/>
                    <w:tr2bl w:val="nil"/>
                  </w:tcBorders>
                  <w:noWrap w:val="0"/>
                  <w:vAlign w:val="center"/>
                </w:tcPr>
                <w:p w14:paraId="64610233">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9、厂区四周设置雨水收集渠，雨水经厂区雨水收集渠进入</w:t>
                  </w:r>
                  <w:r>
                    <w:rPr>
                      <w:rFonts w:hint="eastAsia" w:cs="Times New Roman"/>
                      <w:snapToGrid w:val="0"/>
                      <w:color w:val="auto"/>
                      <w:kern w:val="0"/>
                      <w:sz w:val="21"/>
                      <w:szCs w:val="21"/>
                      <w:highlight w:val="none"/>
                      <w:lang w:val="en-US" w:eastAsia="zh-CN"/>
                    </w:rPr>
                    <w:t>初期雨水收集池</w:t>
                  </w:r>
                  <w:r>
                    <w:rPr>
                      <w:rFonts w:hint="default" w:ascii="Times New Roman" w:hAnsi="Times New Roman" w:cs="Times New Roman"/>
                      <w:snapToGrid w:val="0"/>
                      <w:color w:val="auto"/>
                      <w:kern w:val="0"/>
                      <w:sz w:val="21"/>
                      <w:szCs w:val="21"/>
                      <w:highlight w:val="none"/>
                      <w:lang w:val="en-US" w:eastAsia="zh-CN"/>
                    </w:rPr>
                    <w:t>沉淀后用于洒水降尘，不外排。</w:t>
                  </w:r>
                </w:p>
                <w:p w14:paraId="3E7B214A">
                  <w:pPr>
                    <w:adjustRightInd w:val="0"/>
                    <w:snapToGrid w:val="0"/>
                    <w:jc w:val="left"/>
                    <w:rPr>
                      <w:rFonts w:hint="default" w:ascii="Times New Roman" w:hAnsi="Times New Roman" w:cs="Times New Roman"/>
                      <w:color w:val="auto"/>
                      <w:highlight w:val="none"/>
                      <w:lang w:val="en-US" w:eastAsia="zh-CN"/>
                    </w:rPr>
                  </w:pPr>
                  <w:r>
                    <w:rPr>
                      <w:rFonts w:hint="default" w:ascii="Times New Roman" w:hAnsi="Times New Roman" w:cs="Times New Roman"/>
                      <w:snapToGrid w:val="0"/>
                      <w:color w:val="auto"/>
                      <w:kern w:val="0"/>
                      <w:sz w:val="21"/>
                      <w:szCs w:val="21"/>
                      <w:highlight w:val="none"/>
                      <w:lang w:val="en-US" w:eastAsia="zh-CN"/>
                    </w:rPr>
                    <w:t>10、本项目</w:t>
                  </w:r>
                  <w:r>
                    <w:rPr>
                      <w:rFonts w:hint="eastAsia" w:cs="Times New Roman"/>
                      <w:snapToGrid w:val="0"/>
                      <w:color w:val="auto"/>
                      <w:kern w:val="0"/>
                      <w:sz w:val="21"/>
                      <w:szCs w:val="21"/>
                      <w:highlight w:val="none"/>
                      <w:lang w:val="en-US" w:eastAsia="zh-CN"/>
                    </w:rPr>
                    <w:t>厂内不设置厕所，依托东侧相邻的黑龙江腾邺贸易有限公司储煤货场旱厕</w:t>
                  </w:r>
                  <w:r>
                    <w:rPr>
                      <w:rFonts w:hint="default" w:ascii="Times New Roman" w:hAnsi="Times New Roman" w:cs="Times New Roman"/>
                      <w:snapToGrid w:val="0"/>
                      <w:color w:val="auto"/>
                      <w:kern w:val="0"/>
                      <w:sz w:val="21"/>
                      <w:szCs w:val="21"/>
                      <w:highlight w:val="none"/>
                      <w:lang w:val="en-US" w:eastAsia="zh-CN"/>
                    </w:rPr>
                    <w:t>。</w:t>
                  </w:r>
                </w:p>
              </w:tc>
              <w:tc>
                <w:tcPr>
                  <w:tcW w:w="320" w:type="pct"/>
                  <w:tcBorders>
                    <w:tl2br w:val="nil"/>
                    <w:tr2bl w:val="nil"/>
                  </w:tcBorders>
                  <w:noWrap w:val="0"/>
                  <w:vAlign w:val="center"/>
                </w:tcPr>
                <w:p w14:paraId="0B8C24E2">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14DA4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600" w:type="pct"/>
                  <w:vMerge w:val="continue"/>
                  <w:tcBorders>
                    <w:tl2br w:val="nil"/>
                    <w:tr2bl w:val="nil"/>
                  </w:tcBorders>
                  <w:noWrap w:val="0"/>
                  <w:vAlign w:val="center"/>
                </w:tcPr>
                <w:p w14:paraId="33488A05">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2251" w:type="pct"/>
                  <w:tcBorders>
                    <w:tl2br w:val="nil"/>
                    <w:tr2bl w:val="nil"/>
                  </w:tcBorders>
                  <w:noWrap w:val="0"/>
                  <w:vAlign w:val="center"/>
                </w:tcPr>
                <w:p w14:paraId="6A1AC5F4">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四、土壤污染防治措施 </w:t>
                  </w:r>
                </w:p>
                <w:p w14:paraId="0AFE1AB6">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11、储煤厂场区地面必须全部硬化，其中车辆进出口及主要运输通道必须使用水泥或柏油进行硬化。 </w:t>
                  </w:r>
                </w:p>
              </w:tc>
              <w:tc>
                <w:tcPr>
                  <w:tcW w:w="1827" w:type="pct"/>
                  <w:tcBorders>
                    <w:tl2br w:val="nil"/>
                    <w:tr2bl w:val="nil"/>
                  </w:tcBorders>
                  <w:noWrap w:val="0"/>
                  <w:vAlign w:val="center"/>
                </w:tcPr>
                <w:p w14:paraId="3FD3E1AF">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11、本项目厂区地面全部硬化，厂区路面采取水泥地面硬化。</w:t>
                  </w:r>
                </w:p>
              </w:tc>
              <w:tc>
                <w:tcPr>
                  <w:tcW w:w="320" w:type="pct"/>
                  <w:tcBorders>
                    <w:tl2br w:val="nil"/>
                    <w:tr2bl w:val="nil"/>
                  </w:tcBorders>
                  <w:noWrap w:val="0"/>
                  <w:vAlign w:val="center"/>
                </w:tcPr>
                <w:p w14:paraId="42C14C14">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2428D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0" w:type="pct"/>
                  <w:vMerge w:val="continue"/>
                  <w:tcBorders>
                    <w:tl2br w:val="nil"/>
                    <w:tr2bl w:val="nil"/>
                  </w:tcBorders>
                  <w:noWrap w:val="0"/>
                  <w:vAlign w:val="center"/>
                </w:tcPr>
                <w:p w14:paraId="193A7678">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2251" w:type="pct"/>
                  <w:tcBorders>
                    <w:tl2br w:val="nil"/>
                    <w:tr2bl w:val="nil"/>
                  </w:tcBorders>
                  <w:noWrap w:val="0"/>
                  <w:vAlign w:val="center"/>
                </w:tcPr>
                <w:p w14:paraId="665FC51E">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五、噪声污染防治措施 </w:t>
                  </w:r>
                </w:p>
                <w:p w14:paraId="5D7A27E4">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12、储煤厂应当选取低噪声的设备、设施，并严格遵守 《中华人民共和国噪声污染防治法》的相关规定，合理规划生产作业时限。 </w:t>
                  </w:r>
                </w:p>
              </w:tc>
              <w:tc>
                <w:tcPr>
                  <w:tcW w:w="1827" w:type="pct"/>
                  <w:tcBorders>
                    <w:tl2br w:val="nil"/>
                    <w:tr2bl w:val="nil"/>
                  </w:tcBorders>
                  <w:noWrap w:val="0"/>
                  <w:vAlign w:val="center"/>
                </w:tcPr>
                <w:p w14:paraId="1599C5E3">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12、本项目</w:t>
                  </w:r>
                  <w:r>
                    <w:rPr>
                      <w:rFonts w:hint="default" w:ascii="Times New Roman" w:hAnsi="Times New Roman" w:eastAsia="宋体" w:cs="Times New Roman"/>
                      <w:color w:val="auto"/>
                      <w:sz w:val="21"/>
                      <w:szCs w:val="21"/>
                      <w:highlight w:val="none"/>
                      <w:lang w:val="en-US" w:eastAsia="zh-CN"/>
                    </w:rPr>
                    <w:t>选取低噪声的</w:t>
                  </w:r>
                  <w:r>
                    <w:rPr>
                      <w:rFonts w:hint="default" w:ascii="Times New Roman" w:hAnsi="Times New Roman" w:cs="Times New Roman"/>
                      <w:color w:val="auto"/>
                      <w:sz w:val="21"/>
                      <w:szCs w:val="21"/>
                      <w:highlight w:val="none"/>
                      <w:lang w:val="en-US" w:eastAsia="zh-CN"/>
                    </w:rPr>
                    <w:t>设施，</w:t>
                  </w:r>
                  <w:r>
                    <w:rPr>
                      <w:rFonts w:hint="default" w:ascii="Times New Roman" w:hAnsi="Times New Roman" w:eastAsia="宋体" w:cs="Times New Roman"/>
                      <w:color w:val="auto"/>
                      <w:sz w:val="21"/>
                      <w:szCs w:val="21"/>
                      <w:highlight w:val="none"/>
                      <w:lang w:val="en-US" w:eastAsia="zh-CN"/>
                    </w:rPr>
                    <w:t>严格遵守 《中华人民共和国噪声污染防治法》的相关规定，合理规划生产作业时限</w:t>
                  </w:r>
                  <w:r>
                    <w:rPr>
                      <w:rFonts w:hint="default" w:ascii="Times New Roman" w:hAnsi="Times New Roman" w:cs="Times New Roman"/>
                      <w:color w:val="auto"/>
                      <w:sz w:val="21"/>
                      <w:szCs w:val="21"/>
                      <w:highlight w:val="none"/>
                      <w:lang w:val="en-US" w:eastAsia="zh-CN"/>
                    </w:rPr>
                    <w:t>。</w:t>
                  </w:r>
                </w:p>
              </w:tc>
              <w:tc>
                <w:tcPr>
                  <w:tcW w:w="320" w:type="pct"/>
                  <w:tcBorders>
                    <w:tl2br w:val="nil"/>
                    <w:tr2bl w:val="nil"/>
                  </w:tcBorders>
                  <w:noWrap w:val="0"/>
                  <w:vAlign w:val="center"/>
                </w:tcPr>
                <w:p w14:paraId="2E1C82D2">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590106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0" w:type="pct"/>
                  <w:vMerge w:val="continue"/>
                  <w:tcBorders>
                    <w:tl2br w:val="nil"/>
                    <w:tr2bl w:val="nil"/>
                  </w:tcBorders>
                  <w:noWrap w:val="0"/>
                  <w:vAlign w:val="center"/>
                </w:tcPr>
                <w:p w14:paraId="0CB2D170">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2251" w:type="pct"/>
                  <w:tcBorders>
                    <w:tl2br w:val="nil"/>
                    <w:tr2bl w:val="nil"/>
                  </w:tcBorders>
                  <w:noWrap w:val="0"/>
                  <w:vAlign w:val="center"/>
                </w:tcPr>
                <w:p w14:paraId="7F83E225">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 xml:space="preserve">六、危险废物污染防治措施 </w:t>
                  </w:r>
                </w:p>
                <w:p w14:paraId="655584D9">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 xml:space="preserve">13、储煤厂应当建设危险废物贮存间，并按照《危险废物识别标志设置技术规范》设置危险废物标识，将产生的废机油等危险废物进行收集贮存，定期由有资质的处置单位转移、处置，执行危险废物转移联单管理制度并做好台账记录。 </w:t>
                  </w:r>
                </w:p>
              </w:tc>
              <w:tc>
                <w:tcPr>
                  <w:tcW w:w="1827" w:type="pct"/>
                  <w:tcBorders>
                    <w:tl2br w:val="nil"/>
                    <w:tr2bl w:val="nil"/>
                  </w:tcBorders>
                  <w:noWrap w:val="0"/>
                  <w:vAlign w:val="center"/>
                </w:tcPr>
                <w:p w14:paraId="0D2896CE">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13、本项目运营过程中不产生危险废物，因此不设置危险废物贮存间。项目车辆损坏等不在厂内维修，不涉及废矿物油等危险废物。</w:t>
                  </w:r>
                </w:p>
              </w:tc>
              <w:tc>
                <w:tcPr>
                  <w:tcW w:w="320" w:type="pct"/>
                  <w:tcBorders>
                    <w:tl2br w:val="nil"/>
                    <w:tr2bl w:val="nil"/>
                  </w:tcBorders>
                  <w:noWrap w:val="0"/>
                  <w:vAlign w:val="center"/>
                </w:tcPr>
                <w:p w14:paraId="0BDEE8CF">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0035A6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600" w:type="pct"/>
                  <w:vMerge w:val="continue"/>
                  <w:tcBorders>
                    <w:tl2br w:val="nil"/>
                    <w:tr2bl w:val="nil"/>
                  </w:tcBorders>
                  <w:noWrap w:val="0"/>
                  <w:vAlign w:val="center"/>
                </w:tcPr>
                <w:p w14:paraId="1B905A27">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2251" w:type="pct"/>
                  <w:tcBorders>
                    <w:tl2br w:val="nil"/>
                    <w:tr2bl w:val="nil"/>
                  </w:tcBorders>
                  <w:noWrap w:val="0"/>
                  <w:vAlign w:val="center"/>
                </w:tcPr>
                <w:p w14:paraId="14C3FF53">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七、其它污染防治措施 </w:t>
                  </w:r>
                </w:p>
                <w:p w14:paraId="68406AA7">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14、储煤厂应当在厂区四周（防风抑尘网外侧）植树绿化，改善周边生态环境质量。 </w:t>
                  </w:r>
                </w:p>
                <w:p w14:paraId="023F9B5B">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15、储煤厂应当定期对厂区及周边进行清理保洁，保持良好的环境卫生面貌，防止出现</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脏、乱、差</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 xml:space="preserve">现象。并设置生活垃圾收集箱，定期转运。 </w:t>
                  </w:r>
                </w:p>
              </w:tc>
              <w:tc>
                <w:tcPr>
                  <w:tcW w:w="1827" w:type="pct"/>
                  <w:tcBorders>
                    <w:tl2br w:val="nil"/>
                    <w:tr2bl w:val="nil"/>
                  </w:tcBorders>
                  <w:noWrap w:val="0"/>
                  <w:vAlign w:val="center"/>
                </w:tcPr>
                <w:p w14:paraId="72303A30">
                  <w:pPr>
                    <w:adjustRightInd w:val="0"/>
                    <w:snapToGrid w:val="0"/>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14、本项目在</w:t>
                  </w:r>
                  <w:r>
                    <w:rPr>
                      <w:rFonts w:hint="default" w:ascii="Times New Roman" w:hAnsi="Times New Roman" w:eastAsia="宋体" w:cs="Times New Roman"/>
                      <w:color w:val="auto"/>
                      <w:sz w:val="21"/>
                      <w:szCs w:val="21"/>
                      <w:highlight w:val="none"/>
                      <w:lang w:val="en-US" w:eastAsia="zh-CN"/>
                    </w:rPr>
                    <w:t>厂区四周（防风抑尘网外侧）</w:t>
                  </w:r>
                  <w:r>
                    <w:rPr>
                      <w:rFonts w:hint="default" w:ascii="Times New Roman" w:hAnsi="Times New Roman" w:cs="Times New Roman"/>
                      <w:color w:val="auto"/>
                      <w:sz w:val="21"/>
                      <w:szCs w:val="21"/>
                      <w:highlight w:val="none"/>
                      <w:lang w:val="en-US" w:eastAsia="zh-CN"/>
                    </w:rPr>
                    <w:t>栽种</w:t>
                  </w:r>
                  <w:r>
                    <w:rPr>
                      <w:rFonts w:hint="default" w:ascii="Times New Roman" w:hAnsi="Times New Roman" w:eastAsia="宋体" w:cs="Times New Roman"/>
                      <w:color w:val="auto"/>
                      <w:sz w:val="21"/>
                      <w:szCs w:val="21"/>
                      <w:highlight w:val="none"/>
                      <w:lang w:val="en-US" w:eastAsia="zh-CN"/>
                    </w:rPr>
                    <w:t>植树</w:t>
                  </w:r>
                  <w:r>
                    <w:rPr>
                      <w:rFonts w:hint="default" w:ascii="Times New Roman" w:hAnsi="Times New Roman" w:cs="Times New Roman"/>
                      <w:color w:val="auto"/>
                      <w:sz w:val="21"/>
                      <w:szCs w:val="21"/>
                      <w:highlight w:val="none"/>
                      <w:lang w:val="en-US" w:eastAsia="zh-CN"/>
                    </w:rPr>
                    <w:t>加强</w:t>
                  </w:r>
                  <w:r>
                    <w:rPr>
                      <w:rFonts w:hint="default" w:ascii="Times New Roman" w:hAnsi="Times New Roman" w:eastAsia="宋体" w:cs="Times New Roman"/>
                      <w:color w:val="auto"/>
                      <w:sz w:val="21"/>
                      <w:szCs w:val="21"/>
                      <w:highlight w:val="none"/>
                      <w:lang w:val="en-US" w:eastAsia="zh-CN"/>
                    </w:rPr>
                    <w:t>绿化</w:t>
                  </w:r>
                  <w:r>
                    <w:rPr>
                      <w:rFonts w:hint="default" w:ascii="Times New Roman" w:hAnsi="Times New Roman" w:cs="Times New Roman"/>
                      <w:color w:val="auto"/>
                      <w:sz w:val="21"/>
                      <w:szCs w:val="21"/>
                      <w:highlight w:val="none"/>
                      <w:lang w:val="en-US" w:eastAsia="zh-CN"/>
                    </w:rPr>
                    <w:t>。</w:t>
                  </w:r>
                </w:p>
                <w:p w14:paraId="3188FE1D">
                  <w:pPr>
                    <w:adjustRightInd w:val="0"/>
                    <w:snapToGrid w:val="0"/>
                    <w:jc w:val="left"/>
                    <w:rPr>
                      <w:rFonts w:hint="default" w:ascii="Times New Roman" w:hAnsi="Times New Roman" w:cs="Times New Roman"/>
                      <w:snapToGrid w:val="0"/>
                      <w:color w:val="auto"/>
                      <w:kern w:val="0"/>
                      <w:sz w:val="21"/>
                      <w:szCs w:val="21"/>
                      <w:highlight w:val="none"/>
                      <w:lang w:val="en-US" w:eastAsia="zh-CN"/>
                    </w:rPr>
                  </w:pPr>
                  <w:r>
                    <w:rPr>
                      <w:rFonts w:hint="default" w:ascii="Times New Roman" w:hAnsi="Times New Roman" w:cs="Times New Roman"/>
                      <w:color w:val="auto"/>
                      <w:sz w:val="21"/>
                      <w:szCs w:val="21"/>
                      <w:highlight w:val="none"/>
                      <w:lang w:val="en-US" w:eastAsia="zh-CN"/>
                    </w:rPr>
                    <w:t>15、本项目</w:t>
                  </w:r>
                  <w:r>
                    <w:rPr>
                      <w:rFonts w:hint="default" w:ascii="Times New Roman" w:hAnsi="Times New Roman" w:eastAsia="宋体" w:cs="Times New Roman"/>
                      <w:color w:val="auto"/>
                      <w:sz w:val="21"/>
                      <w:szCs w:val="21"/>
                      <w:highlight w:val="none"/>
                      <w:lang w:val="en-US" w:eastAsia="zh-CN"/>
                    </w:rPr>
                    <w:t>定期对厂区及周边进行清理保洁，保持良好的环境卫生面貌，防止出现</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脏、乱、差</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现象。并设置生活垃圾桶，员工生活垃圾暂存垃圾桶</w:t>
                  </w:r>
                  <w:r>
                    <w:rPr>
                      <w:rFonts w:hint="default" w:ascii="Times New Roman" w:hAnsi="Times New Roman" w:cs="Times New Roman"/>
                      <w:color w:val="auto"/>
                      <w:sz w:val="21"/>
                      <w:szCs w:val="21"/>
                      <w:highlight w:val="none"/>
                      <w:lang w:val="en-US" w:eastAsia="zh-CN"/>
                    </w:rPr>
                    <w:t>后</w:t>
                  </w:r>
                  <w:r>
                    <w:rPr>
                      <w:rFonts w:hint="default" w:ascii="Times New Roman" w:hAnsi="Times New Roman" w:eastAsia="宋体" w:cs="Times New Roman"/>
                      <w:color w:val="auto"/>
                      <w:sz w:val="21"/>
                      <w:szCs w:val="21"/>
                      <w:highlight w:val="none"/>
                      <w:lang w:val="en-US" w:eastAsia="zh-CN"/>
                    </w:rPr>
                    <w:t>委托环卫部门</w:t>
                  </w:r>
                  <w:r>
                    <w:rPr>
                      <w:rFonts w:hint="default" w:ascii="Times New Roman" w:hAnsi="Times New Roman" w:cs="Times New Roman"/>
                      <w:color w:val="auto"/>
                      <w:sz w:val="21"/>
                      <w:szCs w:val="21"/>
                      <w:highlight w:val="none"/>
                      <w:lang w:val="en-US" w:eastAsia="zh-CN"/>
                    </w:rPr>
                    <w:t>定期</w:t>
                  </w:r>
                  <w:r>
                    <w:rPr>
                      <w:rFonts w:hint="default" w:ascii="Times New Roman" w:hAnsi="Times New Roman" w:eastAsia="宋体" w:cs="Times New Roman"/>
                      <w:color w:val="auto"/>
                      <w:sz w:val="21"/>
                      <w:szCs w:val="21"/>
                      <w:highlight w:val="none"/>
                      <w:lang w:val="en-US" w:eastAsia="zh-CN"/>
                    </w:rPr>
                    <w:t xml:space="preserve">处理 </w:t>
                  </w:r>
                  <w:r>
                    <w:rPr>
                      <w:rFonts w:hint="default" w:ascii="Times New Roman" w:hAnsi="Times New Roman" w:cs="Times New Roman"/>
                      <w:color w:val="auto"/>
                      <w:sz w:val="21"/>
                      <w:szCs w:val="21"/>
                      <w:highlight w:val="none"/>
                      <w:lang w:val="en-US" w:eastAsia="zh-CN"/>
                    </w:rPr>
                    <w:t>。</w:t>
                  </w:r>
                </w:p>
              </w:tc>
              <w:tc>
                <w:tcPr>
                  <w:tcW w:w="320" w:type="pct"/>
                  <w:tcBorders>
                    <w:tl2br w:val="nil"/>
                    <w:tr2bl w:val="nil"/>
                  </w:tcBorders>
                  <w:noWrap w:val="0"/>
                  <w:vAlign w:val="center"/>
                </w:tcPr>
                <w:p w14:paraId="70132672">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bl>
          <w:p w14:paraId="7C5053F2">
            <w:pPr>
              <w:spacing w:line="360" w:lineRule="auto"/>
              <w:rPr>
                <w:rFonts w:hint="default" w:ascii="Times New Roman" w:hAnsi="Times New Roman" w:cs="Times New Roman"/>
                <w:b/>
                <w:bCs/>
                <w:color w:val="auto"/>
                <w:kern w:val="0"/>
                <w:sz w:val="24"/>
                <w:highlight w:val="none"/>
              </w:rPr>
            </w:pPr>
            <w:r>
              <w:rPr>
                <w:rFonts w:hint="eastAsia" w:cs="Times New Roman"/>
                <w:b/>
                <w:bCs/>
                <w:color w:val="auto"/>
                <w:sz w:val="24"/>
                <w:highlight w:val="none"/>
                <w:lang w:val="en-US" w:eastAsia="zh-CN"/>
              </w:rPr>
              <w:t>5</w:t>
            </w:r>
            <w:r>
              <w:rPr>
                <w:rFonts w:hint="default" w:ascii="Times New Roman" w:hAnsi="Times New Roman"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与</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鸡西市洗煤厂、储煤厂排查整治工作方案</w:t>
            </w:r>
            <w:r>
              <w:rPr>
                <w:rFonts w:hint="default" w:ascii="Times New Roman" w:hAnsi="Times New Roman" w:cs="Times New Roman"/>
                <w:b/>
                <w:bCs/>
                <w:color w:val="auto"/>
                <w:sz w:val="24"/>
                <w:highlight w:val="none"/>
                <w:lang w:eastAsia="zh-CN"/>
              </w:rPr>
              <w:t>》</w:t>
            </w:r>
            <w:r>
              <w:rPr>
                <w:rFonts w:hint="default" w:ascii="Times New Roman" w:hAnsi="Times New Roman" w:eastAsia="宋体" w:cs="Times New Roman"/>
                <w:b/>
                <w:bCs/>
                <w:color w:val="auto"/>
                <w:sz w:val="24"/>
                <w:highlight w:val="none"/>
                <w:lang w:eastAsia="zh-CN"/>
              </w:rPr>
              <w:t>符合</w:t>
            </w:r>
            <w:r>
              <w:rPr>
                <w:rFonts w:hint="default" w:ascii="Times New Roman" w:hAnsi="Times New Roman" w:eastAsia="宋体" w:cs="Times New Roman"/>
                <w:b/>
                <w:bCs/>
                <w:color w:val="auto"/>
                <w:sz w:val="24"/>
                <w:highlight w:val="none"/>
              </w:rPr>
              <w:t>性分析</w:t>
            </w:r>
          </w:p>
          <w:p w14:paraId="34E70B8E">
            <w:pPr>
              <w:spacing w:line="360" w:lineRule="auto"/>
              <w:jc w:val="center"/>
              <w:rPr>
                <w:rFonts w:hint="default" w:ascii="Times New Roman" w:hAnsi="Times New Roman" w:cs="Times New Roman"/>
                <w:b/>
                <w:color w:val="auto"/>
                <w:szCs w:val="22"/>
                <w:highlight w:val="none"/>
              </w:rPr>
            </w:pPr>
            <w:r>
              <w:rPr>
                <w:rFonts w:hint="default" w:ascii="Times New Roman" w:hAnsi="Times New Roman" w:cs="Times New Roman"/>
                <w:b/>
                <w:color w:val="auto"/>
                <w:szCs w:val="22"/>
                <w:highlight w:val="none"/>
              </w:rPr>
              <w:t>表1-</w:t>
            </w:r>
            <w:r>
              <w:rPr>
                <w:rFonts w:hint="eastAsia" w:cs="Times New Roman"/>
                <w:b/>
                <w:color w:val="auto"/>
                <w:szCs w:val="22"/>
                <w:highlight w:val="none"/>
                <w:lang w:val="en-US" w:eastAsia="zh-CN"/>
              </w:rPr>
              <w:t>6</w:t>
            </w:r>
            <w:r>
              <w:rPr>
                <w:rFonts w:hint="default" w:ascii="Times New Roman" w:hAnsi="Times New Roman" w:cs="Times New Roman"/>
                <w:b/>
                <w:color w:val="auto"/>
                <w:szCs w:val="22"/>
                <w:highlight w:val="none"/>
                <w:lang w:val="en-US" w:eastAsia="zh-CN"/>
              </w:rPr>
              <w:t xml:space="preserve"> </w:t>
            </w:r>
            <w:r>
              <w:rPr>
                <w:rFonts w:hint="default" w:ascii="Times New Roman" w:hAnsi="Times New Roman" w:cs="Times New Roman"/>
                <w:b/>
                <w:color w:val="auto"/>
                <w:szCs w:val="22"/>
                <w:highlight w:val="none"/>
              </w:rPr>
              <w:t>与</w:t>
            </w:r>
            <w:r>
              <w:rPr>
                <w:rFonts w:hint="default" w:ascii="Times New Roman" w:hAnsi="Times New Roman" w:cs="Times New Roman"/>
                <w:b/>
                <w:color w:val="auto"/>
                <w:szCs w:val="22"/>
                <w:highlight w:val="none"/>
                <w:lang w:eastAsia="zh-CN"/>
              </w:rPr>
              <w:t>《</w:t>
            </w:r>
            <w:r>
              <w:rPr>
                <w:rFonts w:hint="default" w:ascii="Times New Roman" w:hAnsi="Times New Roman" w:cs="Times New Roman"/>
                <w:b/>
                <w:color w:val="auto"/>
                <w:szCs w:val="22"/>
                <w:highlight w:val="none"/>
                <w:lang w:val="en-US" w:eastAsia="zh-CN"/>
              </w:rPr>
              <w:t>鸡西市洗煤厂、储煤厂排查整治工作方案</w:t>
            </w:r>
            <w:r>
              <w:rPr>
                <w:rFonts w:hint="default" w:ascii="Times New Roman" w:hAnsi="Times New Roman" w:cs="Times New Roman"/>
                <w:b/>
                <w:color w:val="auto"/>
                <w:szCs w:val="22"/>
                <w:highlight w:val="none"/>
                <w:lang w:eastAsia="zh-CN"/>
              </w:rPr>
              <w:t>》符合</w:t>
            </w:r>
            <w:r>
              <w:rPr>
                <w:rFonts w:hint="default" w:ascii="Times New Roman" w:hAnsi="Times New Roman" w:cs="Times New Roman"/>
                <w:b/>
                <w:color w:val="auto"/>
                <w:szCs w:val="22"/>
                <w:highlight w:val="none"/>
              </w:rPr>
              <w:t>性分析一览表</w:t>
            </w:r>
          </w:p>
          <w:tbl>
            <w:tblPr>
              <w:tblStyle w:val="31"/>
              <w:tblW w:w="699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40"/>
              <w:gridCol w:w="3631"/>
              <w:gridCol w:w="2078"/>
              <w:gridCol w:w="448"/>
            </w:tblGrid>
            <w:tr w14:paraId="53ECB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600" w:type="pct"/>
                  <w:tcBorders>
                    <w:tl2br w:val="nil"/>
                    <w:tr2bl w:val="nil"/>
                  </w:tcBorders>
                  <w:noWrap w:val="0"/>
                  <w:vAlign w:val="center"/>
                </w:tcPr>
                <w:p w14:paraId="3396F3A8">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政策名称</w:t>
                  </w:r>
                </w:p>
              </w:tc>
              <w:tc>
                <w:tcPr>
                  <w:tcW w:w="2594" w:type="pct"/>
                  <w:tcBorders>
                    <w:tl2br w:val="nil"/>
                    <w:tr2bl w:val="nil"/>
                  </w:tcBorders>
                  <w:noWrap w:val="0"/>
                  <w:vAlign w:val="center"/>
                </w:tcPr>
                <w:p w14:paraId="206E7018">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政策要求</w:t>
                  </w:r>
                </w:p>
              </w:tc>
              <w:tc>
                <w:tcPr>
                  <w:tcW w:w="1484" w:type="pct"/>
                  <w:tcBorders>
                    <w:tl2br w:val="nil"/>
                    <w:tr2bl w:val="nil"/>
                  </w:tcBorders>
                  <w:noWrap w:val="0"/>
                  <w:vAlign w:val="center"/>
                </w:tcPr>
                <w:p w14:paraId="652E8E51">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w:t>
                  </w:r>
                </w:p>
              </w:tc>
              <w:tc>
                <w:tcPr>
                  <w:tcW w:w="320" w:type="pct"/>
                  <w:tcBorders>
                    <w:tl2br w:val="nil"/>
                    <w:tr2bl w:val="nil"/>
                  </w:tcBorders>
                  <w:noWrap w:val="0"/>
                  <w:vAlign w:val="center"/>
                </w:tcPr>
                <w:p w14:paraId="1489BEE9">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符合</w:t>
                  </w:r>
                  <w:r>
                    <w:rPr>
                      <w:rFonts w:hint="default" w:ascii="Times New Roman" w:hAnsi="Times New Roman" w:eastAsia="宋体" w:cs="Times New Roman"/>
                      <w:b/>
                      <w:bCs/>
                      <w:color w:val="auto"/>
                      <w:sz w:val="21"/>
                      <w:szCs w:val="21"/>
                      <w:highlight w:val="none"/>
                    </w:rPr>
                    <w:t>性</w:t>
                  </w:r>
                </w:p>
              </w:tc>
            </w:tr>
            <w:tr w14:paraId="3D94C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28" w:hRule="atLeast"/>
                <w:jc w:val="center"/>
              </w:trPr>
              <w:tc>
                <w:tcPr>
                  <w:tcW w:w="600" w:type="pct"/>
                  <w:tcBorders>
                    <w:tl2br w:val="nil"/>
                    <w:tr2bl w:val="nil"/>
                  </w:tcBorders>
                  <w:noWrap w:val="0"/>
                  <w:vAlign w:val="center"/>
                </w:tcPr>
                <w:p w14:paraId="53374B9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鸡西市洗煤厂、储煤厂排查整治工作方案</w:t>
                  </w:r>
                  <w:r>
                    <w:rPr>
                      <w:rFonts w:hint="default" w:ascii="Times New Roman" w:hAnsi="Times New Roman" w:eastAsia="宋体" w:cs="Times New Roman"/>
                      <w:color w:val="auto"/>
                      <w:sz w:val="21"/>
                      <w:szCs w:val="21"/>
                      <w:highlight w:val="none"/>
                      <w:lang w:eastAsia="zh-CN"/>
                    </w:rPr>
                    <w:t>》</w:t>
                  </w:r>
                </w:p>
              </w:tc>
              <w:tc>
                <w:tcPr>
                  <w:tcW w:w="2594" w:type="pct"/>
                  <w:tcBorders>
                    <w:tl2br w:val="nil"/>
                    <w:tr2bl w:val="nil"/>
                  </w:tcBorders>
                  <w:noWrap w:val="0"/>
                  <w:vAlign w:val="center"/>
                </w:tcPr>
                <w:p w14:paraId="02382120">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按照《储煤厂综合整治验收标准》《洗煤厂环境整治验收标准》，督促企业办理环保、土地规划手续，按整治内容和标准开展环境综合整治工作，针对无法办理合规手续、无法实施环境综合整治的储煤厂，要向属地县（市）区政府 </w:t>
                  </w:r>
                </w:p>
                <w:p w14:paraId="4874AFFC">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及时报告，采取联合执法方式，依法予以取缔。</w:t>
                  </w:r>
                </w:p>
              </w:tc>
              <w:tc>
                <w:tcPr>
                  <w:tcW w:w="1484" w:type="pct"/>
                  <w:tcBorders>
                    <w:tl2br w:val="nil"/>
                    <w:tr2bl w:val="nil"/>
                  </w:tcBorders>
                  <w:noWrap w:val="0"/>
                  <w:vAlign w:val="center"/>
                </w:tcPr>
                <w:p w14:paraId="0A350E95">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snapToGrid w:val="0"/>
                      <w:color w:val="auto"/>
                      <w:kern w:val="0"/>
                      <w:sz w:val="21"/>
                      <w:szCs w:val="21"/>
                      <w:highlight w:val="none"/>
                      <w:lang w:eastAsia="zh-CN"/>
                    </w:rPr>
                    <w:t>本项目按照《整治工作方案》办理</w:t>
                  </w:r>
                  <w:r>
                    <w:rPr>
                      <w:rFonts w:hint="default" w:ascii="Times New Roman" w:hAnsi="Times New Roman" w:eastAsia="宋体" w:cs="Times New Roman"/>
                      <w:color w:val="auto"/>
                      <w:sz w:val="21"/>
                      <w:szCs w:val="21"/>
                      <w:highlight w:val="none"/>
                      <w:lang w:val="en-US" w:eastAsia="zh-CN"/>
                    </w:rPr>
                    <w:t>环保、土地规划手续</w:t>
                  </w:r>
                  <w:r>
                    <w:rPr>
                      <w:rFonts w:hint="default" w:ascii="Times New Roman" w:hAnsi="Times New Roman" w:cs="Times New Roman"/>
                      <w:color w:val="auto"/>
                      <w:sz w:val="21"/>
                      <w:szCs w:val="21"/>
                      <w:highlight w:val="none"/>
                      <w:lang w:val="en-US" w:eastAsia="zh-CN"/>
                    </w:rPr>
                    <w:t>，按照</w:t>
                  </w:r>
                  <w:r>
                    <w:rPr>
                      <w:rFonts w:hint="default" w:ascii="Times New Roman" w:hAnsi="Times New Roman" w:eastAsia="宋体" w:cs="Times New Roman"/>
                      <w:color w:val="auto"/>
                      <w:sz w:val="21"/>
                      <w:szCs w:val="21"/>
                      <w:highlight w:val="none"/>
                      <w:lang w:val="en-US" w:eastAsia="zh-CN"/>
                    </w:rPr>
                    <w:t>整治内容和标准</w:t>
                  </w:r>
                  <w:r>
                    <w:rPr>
                      <w:rFonts w:hint="default" w:ascii="Times New Roman" w:hAnsi="Times New Roman" w:cs="Times New Roman"/>
                      <w:color w:val="auto"/>
                      <w:sz w:val="21"/>
                      <w:szCs w:val="21"/>
                      <w:highlight w:val="none"/>
                      <w:lang w:val="en-US" w:eastAsia="zh-CN"/>
                    </w:rPr>
                    <w:t>进行</w:t>
                  </w:r>
                  <w:r>
                    <w:rPr>
                      <w:rFonts w:hint="default" w:ascii="Times New Roman" w:hAnsi="Times New Roman" w:eastAsia="宋体" w:cs="Times New Roman"/>
                      <w:color w:val="auto"/>
                      <w:sz w:val="21"/>
                      <w:szCs w:val="21"/>
                      <w:highlight w:val="none"/>
                      <w:lang w:val="en-US" w:eastAsia="zh-CN"/>
                    </w:rPr>
                    <w:t>环境综合整治</w:t>
                  </w:r>
                  <w:r>
                    <w:rPr>
                      <w:rFonts w:hint="default" w:ascii="Times New Roman" w:hAnsi="Times New Roman" w:cs="Times New Roman"/>
                      <w:color w:val="auto"/>
                      <w:sz w:val="21"/>
                      <w:szCs w:val="21"/>
                      <w:highlight w:val="none"/>
                      <w:lang w:val="en-US" w:eastAsia="zh-CN"/>
                    </w:rPr>
                    <w:t>。</w:t>
                  </w:r>
                </w:p>
              </w:tc>
              <w:tc>
                <w:tcPr>
                  <w:tcW w:w="320" w:type="pct"/>
                  <w:tcBorders>
                    <w:tl2br w:val="nil"/>
                    <w:tr2bl w:val="nil"/>
                  </w:tcBorders>
                  <w:noWrap w:val="0"/>
                  <w:vAlign w:val="center"/>
                </w:tcPr>
                <w:p w14:paraId="2E3D650F">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bl>
          <w:p w14:paraId="3EDAAF19">
            <w:pPr>
              <w:spacing w:line="360" w:lineRule="auto"/>
              <w:rPr>
                <w:rFonts w:hint="default" w:ascii="Times New Roman" w:hAnsi="Times New Roman" w:cs="Times New Roman"/>
                <w:b/>
                <w:bCs/>
                <w:color w:val="auto"/>
                <w:kern w:val="0"/>
                <w:sz w:val="24"/>
                <w:highlight w:val="none"/>
              </w:rPr>
            </w:pPr>
            <w:r>
              <w:rPr>
                <w:rFonts w:hint="eastAsia" w:cs="Times New Roman"/>
                <w:b/>
                <w:bCs/>
                <w:color w:val="auto"/>
                <w:sz w:val="24"/>
                <w:highlight w:val="none"/>
                <w:lang w:val="en-US" w:eastAsia="zh-CN"/>
              </w:rPr>
              <w:t>6</w:t>
            </w:r>
            <w:r>
              <w:rPr>
                <w:rFonts w:hint="default" w:ascii="Times New Roman" w:hAnsi="Times New Roman"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与其他相关政策</w:t>
            </w:r>
            <w:r>
              <w:rPr>
                <w:rFonts w:hint="default" w:ascii="Times New Roman" w:hAnsi="Times New Roman" w:eastAsia="宋体" w:cs="Times New Roman"/>
                <w:b/>
                <w:bCs/>
                <w:color w:val="auto"/>
                <w:sz w:val="24"/>
                <w:highlight w:val="none"/>
                <w:lang w:eastAsia="zh-CN"/>
              </w:rPr>
              <w:t>符合</w:t>
            </w:r>
            <w:r>
              <w:rPr>
                <w:rFonts w:hint="default" w:ascii="Times New Roman" w:hAnsi="Times New Roman" w:eastAsia="宋体" w:cs="Times New Roman"/>
                <w:b/>
                <w:bCs/>
                <w:color w:val="auto"/>
                <w:sz w:val="24"/>
                <w:highlight w:val="none"/>
              </w:rPr>
              <w:t>性分析</w:t>
            </w:r>
          </w:p>
          <w:p w14:paraId="0AB726C8">
            <w:pPr>
              <w:spacing w:line="360" w:lineRule="auto"/>
              <w:ind w:firstLine="422" w:firstLineChars="200"/>
              <w:jc w:val="center"/>
              <w:rPr>
                <w:rFonts w:hint="default" w:ascii="Times New Roman" w:hAnsi="Times New Roman" w:cs="Times New Roman"/>
                <w:b/>
                <w:color w:val="auto"/>
                <w:szCs w:val="22"/>
                <w:highlight w:val="none"/>
              </w:rPr>
            </w:pPr>
            <w:r>
              <w:rPr>
                <w:rFonts w:hint="default" w:ascii="Times New Roman" w:hAnsi="Times New Roman" w:cs="Times New Roman"/>
                <w:b/>
                <w:color w:val="auto"/>
                <w:szCs w:val="22"/>
                <w:highlight w:val="none"/>
              </w:rPr>
              <w:t>表1-</w:t>
            </w:r>
            <w:r>
              <w:rPr>
                <w:rFonts w:hint="eastAsia" w:cs="Times New Roman"/>
                <w:b/>
                <w:color w:val="auto"/>
                <w:szCs w:val="22"/>
                <w:highlight w:val="none"/>
                <w:lang w:val="en-US" w:eastAsia="zh-CN"/>
              </w:rPr>
              <w:t>7</w:t>
            </w:r>
            <w:r>
              <w:rPr>
                <w:rFonts w:hint="default" w:ascii="Times New Roman" w:hAnsi="Times New Roman" w:cs="Times New Roman"/>
                <w:b/>
                <w:color w:val="auto"/>
                <w:szCs w:val="22"/>
                <w:highlight w:val="none"/>
                <w:lang w:val="en-US" w:eastAsia="zh-CN"/>
              </w:rPr>
              <w:t xml:space="preserve"> </w:t>
            </w:r>
            <w:r>
              <w:rPr>
                <w:rFonts w:hint="default" w:ascii="Times New Roman" w:hAnsi="Times New Roman" w:cs="Times New Roman"/>
                <w:b/>
                <w:color w:val="auto"/>
                <w:szCs w:val="22"/>
                <w:highlight w:val="none"/>
              </w:rPr>
              <w:t>与相关环保政策</w:t>
            </w:r>
            <w:r>
              <w:rPr>
                <w:rFonts w:hint="default" w:ascii="Times New Roman" w:hAnsi="Times New Roman" w:cs="Times New Roman"/>
                <w:b/>
                <w:color w:val="auto"/>
                <w:szCs w:val="22"/>
                <w:highlight w:val="none"/>
                <w:lang w:eastAsia="zh-CN"/>
              </w:rPr>
              <w:t>符合</w:t>
            </w:r>
            <w:r>
              <w:rPr>
                <w:rFonts w:hint="default" w:ascii="Times New Roman" w:hAnsi="Times New Roman" w:cs="Times New Roman"/>
                <w:b/>
                <w:color w:val="auto"/>
                <w:szCs w:val="22"/>
                <w:highlight w:val="none"/>
              </w:rPr>
              <w:t>性分析一览表</w:t>
            </w:r>
          </w:p>
          <w:tbl>
            <w:tblPr>
              <w:tblStyle w:val="31"/>
              <w:tblW w:w="500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90"/>
              <w:gridCol w:w="614"/>
              <w:gridCol w:w="3218"/>
              <w:gridCol w:w="2446"/>
              <w:gridCol w:w="450"/>
            </w:tblGrid>
            <w:tr w14:paraId="6738C7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7" w:hRule="atLeast"/>
                <w:jc w:val="center"/>
              </w:trPr>
              <w:tc>
                <w:tcPr>
                  <w:tcW w:w="206" w:type="pct"/>
                  <w:tcBorders>
                    <w:tl2br w:val="nil"/>
                    <w:tr2bl w:val="nil"/>
                  </w:tcBorders>
                  <w:noWrap w:val="0"/>
                  <w:vAlign w:val="center"/>
                </w:tcPr>
                <w:p w14:paraId="76753D66">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437" w:type="pct"/>
                  <w:tcBorders>
                    <w:tl2br w:val="nil"/>
                    <w:tr2bl w:val="nil"/>
                  </w:tcBorders>
                  <w:noWrap w:val="0"/>
                  <w:vAlign w:val="center"/>
                </w:tcPr>
                <w:p w14:paraId="5DC088D6">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政策名称</w:t>
                  </w:r>
                </w:p>
              </w:tc>
              <w:tc>
                <w:tcPr>
                  <w:tcW w:w="2292" w:type="pct"/>
                  <w:tcBorders>
                    <w:tl2br w:val="nil"/>
                    <w:tr2bl w:val="nil"/>
                  </w:tcBorders>
                  <w:noWrap w:val="0"/>
                  <w:vAlign w:val="center"/>
                </w:tcPr>
                <w:p w14:paraId="315CF985">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政策要求</w:t>
                  </w:r>
                </w:p>
              </w:tc>
              <w:tc>
                <w:tcPr>
                  <w:tcW w:w="1742" w:type="pct"/>
                  <w:tcBorders>
                    <w:tl2br w:val="nil"/>
                    <w:tr2bl w:val="nil"/>
                  </w:tcBorders>
                  <w:noWrap w:val="0"/>
                  <w:vAlign w:val="center"/>
                </w:tcPr>
                <w:p w14:paraId="0D137D07">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w:t>
                  </w:r>
                </w:p>
              </w:tc>
              <w:tc>
                <w:tcPr>
                  <w:tcW w:w="320" w:type="pct"/>
                  <w:tcBorders>
                    <w:tl2br w:val="nil"/>
                    <w:tr2bl w:val="nil"/>
                  </w:tcBorders>
                  <w:noWrap w:val="0"/>
                  <w:vAlign w:val="center"/>
                </w:tcPr>
                <w:p w14:paraId="74D66B2C">
                  <w:pPr>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符合</w:t>
                  </w:r>
                  <w:r>
                    <w:rPr>
                      <w:rFonts w:hint="default" w:ascii="Times New Roman" w:hAnsi="Times New Roman" w:eastAsia="宋体" w:cs="Times New Roman"/>
                      <w:b/>
                      <w:bCs/>
                      <w:color w:val="auto"/>
                      <w:sz w:val="21"/>
                      <w:szCs w:val="21"/>
                      <w:highlight w:val="none"/>
                    </w:rPr>
                    <w:t>性</w:t>
                  </w:r>
                </w:p>
              </w:tc>
            </w:tr>
            <w:tr w14:paraId="09EFE8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restart"/>
                  <w:tcBorders>
                    <w:tl2br w:val="nil"/>
                    <w:tr2bl w:val="nil"/>
                  </w:tcBorders>
                  <w:noWrap w:val="0"/>
                  <w:vAlign w:val="center"/>
                </w:tcPr>
                <w:p w14:paraId="2C4828E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437" w:type="pct"/>
                  <w:vMerge w:val="restart"/>
                  <w:tcBorders>
                    <w:tl2br w:val="nil"/>
                    <w:tr2bl w:val="nil"/>
                  </w:tcBorders>
                  <w:noWrap w:val="0"/>
                  <w:vAlign w:val="center"/>
                </w:tcPr>
                <w:p w14:paraId="7DCBF98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《环境空气细颗粒物污染防治技术政策》</w:t>
                  </w:r>
                </w:p>
              </w:tc>
              <w:tc>
                <w:tcPr>
                  <w:tcW w:w="2292" w:type="pct"/>
                  <w:tcBorders>
                    <w:tl2br w:val="nil"/>
                    <w:tr2bl w:val="nil"/>
                  </w:tcBorders>
                  <w:noWrap w:val="0"/>
                  <w:vAlign w:val="center"/>
                </w:tcPr>
                <w:p w14:paraId="773CC7FE">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《技术政策》指出：实行细颗粒物排放总量控制制度，将细颗粒物纳入污染物减排统计、监测考核体系，不断削减排放总量，严格控制新增排放量，实施清洁清产，从源头上减少细颗粒物的产生和排放。</w:t>
                  </w:r>
                </w:p>
              </w:tc>
              <w:tc>
                <w:tcPr>
                  <w:tcW w:w="1742" w:type="pct"/>
                  <w:tcBorders>
                    <w:tl2br w:val="nil"/>
                    <w:tr2bl w:val="nil"/>
                  </w:tcBorders>
                  <w:noWrap w:val="0"/>
                  <w:vAlign w:val="center"/>
                </w:tcPr>
                <w:p w14:paraId="7202324A">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snapToGrid w:val="0"/>
                      <w:color w:val="auto"/>
                      <w:kern w:val="0"/>
                      <w:sz w:val="21"/>
                      <w:szCs w:val="21"/>
                      <w:highlight w:val="none"/>
                      <w:lang w:eastAsia="zh-CN"/>
                    </w:rPr>
                    <w:t>本项目在储煤场四周建设防风抑尘网</w:t>
                  </w:r>
                  <w:r>
                    <w:rPr>
                      <w:rFonts w:hint="default" w:ascii="Times New Roman" w:hAnsi="Times New Roman" w:cs="Times New Roman"/>
                      <w:snapToGrid w:val="0"/>
                      <w:color w:val="auto"/>
                      <w:kern w:val="0"/>
                      <w:sz w:val="21"/>
                      <w:szCs w:val="21"/>
                      <w:highlight w:val="none"/>
                      <w:lang w:val="en-US" w:eastAsia="zh-CN"/>
                    </w:rPr>
                    <w:t>并在堆场顶部苫盖苫布</w:t>
                  </w:r>
                  <w:r>
                    <w:rPr>
                      <w:rFonts w:hint="default" w:ascii="Times New Roman" w:hAnsi="Times New Roman" w:cs="Times New Roman"/>
                      <w:snapToGrid w:val="0"/>
                      <w:color w:val="auto"/>
                      <w:kern w:val="0"/>
                      <w:sz w:val="21"/>
                      <w:szCs w:val="21"/>
                      <w:highlight w:val="none"/>
                      <w:lang w:eastAsia="zh-CN"/>
                    </w:rPr>
                    <w:t>，装卸时尽可能缩小装卸时的高差；储煤场采用洒水车定期洒水降尘</w:t>
                  </w:r>
                  <w:r>
                    <w:rPr>
                      <w:rFonts w:hint="default" w:ascii="Times New Roman" w:hAnsi="Times New Roman" w:eastAsia="宋体" w:cs="Times New Roman"/>
                      <w:snapToGrid w:val="0"/>
                      <w:color w:val="auto"/>
                      <w:kern w:val="0"/>
                      <w:sz w:val="21"/>
                      <w:szCs w:val="21"/>
                      <w:highlight w:val="none"/>
                    </w:rPr>
                    <w:t>，可从源头上有效减少细颗粒物的产生和排放，符合《环境空气细颗粒物污染防治技术政策》中的要求。</w:t>
                  </w:r>
                </w:p>
              </w:tc>
              <w:tc>
                <w:tcPr>
                  <w:tcW w:w="320" w:type="pct"/>
                  <w:tcBorders>
                    <w:tl2br w:val="nil"/>
                    <w:tr2bl w:val="nil"/>
                  </w:tcBorders>
                  <w:noWrap w:val="0"/>
                  <w:vAlign w:val="center"/>
                </w:tcPr>
                <w:p w14:paraId="14B23BD2">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5ABDA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continue"/>
                  <w:tcBorders>
                    <w:tl2br w:val="nil"/>
                    <w:tr2bl w:val="nil"/>
                  </w:tcBorders>
                  <w:noWrap w:val="0"/>
                  <w:vAlign w:val="center"/>
                </w:tcPr>
                <w:p w14:paraId="0E076BA8">
                  <w:pPr>
                    <w:adjustRightInd w:val="0"/>
                    <w:snapToGrid w:val="0"/>
                    <w:jc w:val="center"/>
                    <w:rPr>
                      <w:rFonts w:hint="default" w:ascii="Times New Roman" w:hAnsi="Times New Roman" w:eastAsia="宋体" w:cs="Times New Roman"/>
                      <w:color w:val="auto"/>
                      <w:sz w:val="21"/>
                      <w:szCs w:val="21"/>
                      <w:highlight w:val="none"/>
                    </w:rPr>
                  </w:pPr>
                </w:p>
              </w:tc>
              <w:tc>
                <w:tcPr>
                  <w:tcW w:w="437" w:type="pct"/>
                  <w:vMerge w:val="continue"/>
                  <w:tcBorders>
                    <w:tl2br w:val="nil"/>
                    <w:tr2bl w:val="nil"/>
                  </w:tcBorders>
                  <w:noWrap w:val="0"/>
                  <w:vAlign w:val="center"/>
                </w:tcPr>
                <w:p w14:paraId="296FE47E">
                  <w:pPr>
                    <w:adjustRightInd w:val="0"/>
                    <w:snapToGrid w:val="0"/>
                    <w:jc w:val="center"/>
                    <w:rPr>
                      <w:rFonts w:hint="default" w:ascii="Times New Roman" w:hAnsi="Times New Roman" w:eastAsia="宋体" w:cs="Times New Roman"/>
                      <w:snapToGrid w:val="0"/>
                      <w:color w:val="auto"/>
                      <w:kern w:val="0"/>
                      <w:sz w:val="21"/>
                      <w:szCs w:val="21"/>
                      <w:highlight w:val="none"/>
                    </w:rPr>
                  </w:pPr>
                </w:p>
              </w:tc>
              <w:tc>
                <w:tcPr>
                  <w:tcW w:w="2292" w:type="pct"/>
                  <w:tcBorders>
                    <w:tl2br w:val="nil"/>
                    <w:tr2bl w:val="nil"/>
                  </w:tcBorders>
                  <w:noWrap w:val="0"/>
                  <w:vAlign w:val="center"/>
                </w:tcPr>
                <w:p w14:paraId="6517A028">
                  <w:pPr>
                    <w:jc w:val="left"/>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rPr>
                    <w:t>产生大气颗粒物及其前体物污染物的生产活动应尽量采用密闭装置，避免无组织排放；无法完全密闭的，应安装集气装置收集逸散的污染物，经净化后排放。应调整产业结构，强化规划环评和项目环评，严格实施准入制度，必要时对重点区域和重点行业采取限批措施；淘汰落后产能，形成合理的产业分布空间格局。</w:t>
                  </w:r>
                </w:p>
              </w:tc>
              <w:tc>
                <w:tcPr>
                  <w:tcW w:w="1742" w:type="pct"/>
                  <w:tcBorders>
                    <w:tl2br w:val="nil"/>
                    <w:tr2bl w:val="nil"/>
                  </w:tcBorders>
                  <w:noWrap w:val="0"/>
                  <w:vAlign w:val="center"/>
                </w:tcPr>
                <w:p w14:paraId="0C4843B1">
                  <w:pPr>
                    <w:widowControl/>
                    <w:adjustRightInd w:val="0"/>
                    <w:snapToGrid w:val="0"/>
                    <w:jc w:val="left"/>
                    <w:rPr>
                      <w:rFonts w:hint="default" w:ascii="Times New Roman" w:hAnsi="Times New Roman" w:eastAsia="宋体" w:cs="Times New Roman"/>
                      <w:snapToGrid w:val="0"/>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本项目不属于落后产能。项目</w:t>
                  </w:r>
                  <w:r>
                    <w:rPr>
                      <w:rFonts w:hint="default" w:ascii="Times New Roman" w:hAnsi="Times New Roman" w:eastAsia="宋体" w:cs="Times New Roman"/>
                      <w:color w:val="auto"/>
                      <w:kern w:val="0"/>
                      <w:sz w:val="21"/>
                      <w:szCs w:val="21"/>
                      <w:highlight w:val="none"/>
                      <w:lang w:val="en-US" w:eastAsia="zh-CN"/>
                    </w:rPr>
                    <w:t>产生的废气主要为煤尘颗粒物，</w:t>
                  </w:r>
                  <w:r>
                    <w:rPr>
                      <w:rFonts w:hint="default" w:ascii="Times New Roman" w:hAnsi="Times New Roman" w:cs="Times New Roman"/>
                      <w:bCs/>
                      <w:color w:val="auto"/>
                      <w:sz w:val="21"/>
                      <w:szCs w:val="21"/>
                      <w:highlight w:val="none"/>
                      <w:lang w:val="en-US" w:eastAsia="zh-CN"/>
                    </w:rPr>
                    <w:t>采取在储煤场四周建设防风抑尘网并在堆场顶部苫盖苫布，装卸时尽可能缩小装卸时的高差；储煤场采用洒水车定期洒水降尘等措施进行处理</w:t>
                  </w:r>
                  <w:r>
                    <w:rPr>
                      <w:rFonts w:hint="default" w:ascii="Times New Roman" w:hAnsi="Times New Roman" w:eastAsia="宋体" w:cs="Times New Roman"/>
                      <w:color w:val="auto"/>
                      <w:sz w:val="21"/>
                      <w:szCs w:val="21"/>
                      <w:highlight w:val="none"/>
                      <w:lang w:val="en-US" w:eastAsia="zh-CN"/>
                    </w:rPr>
                    <w:t>，可以</w:t>
                  </w:r>
                  <w:r>
                    <w:rPr>
                      <w:rFonts w:hint="default" w:ascii="Times New Roman" w:hAnsi="Times New Roman" w:eastAsia="宋体" w:cs="Times New Roman"/>
                      <w:color w:val="auto"/>
                      <w:kern w:val="0"/>
                      <w:sz w:val="21"/>
                      <w:szCs w:val="21"/>
                      <w:highlight w:val="none"/>
                      <w:lang w:val="en-US" w:eastAsia="zh-CN"/>
                    </w:rPr>
                    <w:t>得到有效处置</w:t>
                  </w:r>
                  <w:r>
                    <w:rPr>
                      <w:rFonts w:hint="default" w:ascii="Times New Roman" w:hAnsi="Times New Roman" w:eastAsia="宋体" w:cs="Times New Roman"/>
                      <w:color w:val="auto"/>
                      <w:kern w:val="0"/>
                      <w:sz w:val="21"/>
                      <w:szCs w:val="21"/>
                      <w:highlight w:val="none"/>
                    </w:rPr>
                    <w:t>，对环境影响较小，不会改变现有环境空气质量</w:t>
                  </w:r>
                  <w:r>
                    <w:rPr>
                      <w:rFonts w:hint="default" w:ascii="Times New Roman" w:hAnsi="Times New Roman" w:cs="Times New Roman"/>
                      <w:color w:val="auto"/>
                      <w:kern w:val="0"/>
                      <w:sz w:val="21"/>
                      <w:szCs w:val="21"/>
                      <w:highlight w:val="none"/>
                      <w:lang w:eastAsia="zh-CN"/>
                    </w:rPr>
                    <w:t>。</w:t>
                  </w:r>
                </w:p>
              </w:tc>
              <w:tc>
                <w:tcPr>
                  <w:tcW w:w="320" w:type="pct"/>
                  <w:tcBorders>
                    <w:tl2br w:val="nil"/>
                    <w:tr2bl w:val="nil"/>
                  </w:tcBorders>
                  <w:noWrap w:val="0"/>
                  <w:vAlign w:val="center"/>
                </w:tcPr>
                <w:p w14:paraId="35D3B3D9">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0EA68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restart"/>
                  <w:tcBorders>
                    <w:tl2br w:val="nil"/>
                    <w:tr2bl w:val="nil"/>
                  </w:tcBorders>
                  <w:noWrap w:val="0"/>
                  <w:vAlign w:val="center"/>
                </w:tcPr>
                <w:p w14:paraId="3ACAD676">
                  <w:pPr>
                    <w:adjustRightInd w:val="0"/>
                    <w:snapToGrid w:val="0"/>
                    <w:jc w:val="center"/>
                    <w:rPr>
                      <w:rFonts w:hint="default" w:ascii="Times New Roman" w:hAnsi="Times New Roman" w:eastAsia="宋体" w:cs="Times New Roman"/>
                      <w:color w:val="auto"/>
                      <w:kern w:val="0"/>
                      <w:sz w:val="21"/>
                      <w:szCs w:val="21"/>
                      <w:highlight w:val="none"/>
                      <w:lang w:eastAsia="zh-CN"/>
                    </w:rPr>
                  </w:pPr>
                  <w:r>
                    <w:rPr>
                      <w:rFonts w:hint="eastAsia" w:cs="Times New Roman"/>
                      <w:color w:val="auto"/>
                      <w:spacing w:val="8"/>
                      <w:sz w:val="21"/>
                      <w:szCs w:val="21"/>
                      <w:highlight w:val="none"/>
                      <w:shd w:val="clear" w:color="auto" w:fill="FFFFFF"/>
                      <w:lang w:val="en-US" w:eastAsia="zh-CN"/>
                    </w:rPr>
                    <w:t>3</w:t>
                  </w:r>
                </w:p>
              </w:tc>
              <w:tc>
                <w:tcPr>
                  <w:tcW w:w="437" w:type="pct"/>
                  <w:vMerge w:val="restart"/>
                  <w:tcBorders>
                    <w:tl2br w:val="nil"/>
                    <w:tr2bl w:val="nil"/>
                  </w:tcBorders>
                  <w:noWrap w:val="0"/>
                  <w:vAlign w:val="center"/>
                </w:tcPr>
                <w:p w14:paraId="620F8B19">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《鸡西市</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十四五</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生态环境保护规划》</w:t>
                  </w:r>
                </w:p>
              </w:tc>
              <w:tc>
                <w:tcPr>
                  <w:tcW w:w="2292" w:type="pct"/>
                  <w:tcBorders>
                    <w:tl2br w:val="nil"/>
                    <w:tr2bl w:val="nil"/>
                  </w:tcBorders>
                  <w:noWrap w:val="0"/>
                  <w:vAlign w:val="center"/>
                </w:tcPr>
                <w:p w14:paraId="615F878B">
                  <w:pPr>
                    <w:adjustRightInd w:val="0"/>
                    <w:snapToGrid w:val="0"/>
                    <w:rPr>
                      <w:rStyle w:val="34"/>
                      <w:rFonts w:hint="default" w:ascii="Times New Roman" w:hAnsi="Times New Roman" w:eastAsia="宋体" w:cs="Times New Roman"/>
                      <w:b w:val="0"/>
                      <w:bCs/>
                      <w:snapToGrid w:val="0"/>
                      <w:color w:val="auto"/>
                      <w:kern w:val="0"/>
                      <w:sz w:val="21"/>
                      <w:szCs w:val="21"/>
                      <w:highlight w:val="none"/>
                      <w:shd w:val="clear" w:color="auto" w:fill="FFFFFF"/>
                    </w:rPr>
                  </w:pPr>
                  <w:r>
                    <w:rPr>
                      <w:rFonts w:hint="default" w:ascii="Times New Roman" w:hAnsi="Times New Roman" w:eastAsia="宋体" w:cs="Times New Roman"/>
                      <w:snapToGrid w:val="0"/>
                      <w:color w:val="auto"/>
                      <w:kern w:val="0"/>
                      <w:sz w:val="21"/>
                      <w:szCs w:val="21"/>
                      <w:highlight w:val="none"/>
                      <w:lang w:val="en-US" w:eastAsia="zh-CN"/>
                    </w:rPr>
                    <w:t>加强重点行业绿色转型。落实</w:t>
                  </w:r>
                  <w:r>
                    <w:rPr>
                      <w:rFonts w:hint="eastAsia" w:ascii="Times New Roman" w:hAnsi="Times New Roman" w:cs="Times New Roman"/>
                      <w:color w:val="auto"/>
                      <w:highlight w:val="none"/>
                      <w:lang w:eastAsia="zh-CN"/>
                    </w:rPr>
                    <w:t>“</w:t>
                  </w:r>
                  <w:r>
                    <w:rPr>
                      <w:rFonts w:hint="default" w:ascii="Times New Roman" w:hAnsi="Times New Roman" w:eastAsia="宋体" w:cs="Times New Roman"/>
                      <w:snapToGrid w:val="0"/>
                      <w:color w:val="auto"/>
                      <w:kern w:val="0"/>
                      <w:sz w:val="21"/>
                      <w:szCs w:val="21"/>
                      <w:highlight w:val="none"/>
                      <w:lang w:val="en-US" w:eastAsia="zh-CN"/>
                    </w:rPr>
                    <w:t>一企一策</w:t>
                  </w:r>
                  <w:r>
                    <w:rPr>
                      <w:rFonts w:hint="eastAsia" w:ascii="Times New Roman" w:hAnsi="Times New Roman" w:cs="Times New Roman"/>
                      <w:snapToGrid w:val="0"/>
                      <w:color w:val="auto"/>
                      <w:kern w:val="0"/>
                      <w:sz w:val="21"/>
                      <w:szCs w:val="21"/>
                      <w:highlight w:val="none"/>
                      <w:lang w:val="en-US" w:eastAsia="zh-CN"/>
                    </w:rPr>
                    <w:t>”</w:t>
                  </w:r>
                  <w:r>
                    <w:rPr>
                      <w:rFonts w:hint="default" w:ascii="Times New Roman" w:hAnsi="Times New Roman" w:eastAsia="宋体" w:cs="Times New Roman"/>
                      <w:snapToGrid w:val="0"/>
                      <w:color w:val="auto"/>
                      <w:kern w:val="0"/>
                      <w:sz w:val="21"/>
                      <w:szCs w:val="21"/>
                      <w:highlight w:val="none"/>
                      <w:lang w:val="en-US" w:eastAsia="zh-CN"/>
                    </w:rPr>
                    <w:t>，从源头上推动产业结构调整，加快淘汰落后和化解过剩产能，严控水泥行业新增产能，对高耗能高排放项目严格落实产能等量或减量置换，促进经济绿色循环发展；以煤炭、石墨、有色金属、化工、建材等行业为重点，推进传统行业节能技术改造，支持企业开展能效提升、清洁生产、工业节水等绿色化升级改造，加快推广通用设备能效提升工程，推动重点行业加快实施限制类产能装备的升级改造，有序开展超低排放改造。</w:t>
                  </w:r>
                </w:p>
              </w:tc>
              <w:tc>
                <w:tcPr>
                  <w:tcW w:w="1742" w:type="pct"/>
                  <w:tcBorders>
                    <w:tl2br w:val="nil"/>
                    <w:tr2bl w:val="nil"/>
                  </w:tcBorders>
                  <w:noWrap w:val="0"/>
                  <w:vAlign w:val="center"/>
                </w:tcPr>
                <w:p w14:paraId="22D930A0">
                  <w:pPr>
                    <w:widowControl/>
                    <w:adjustRightInd w:val="0"/>
                    <w:snapToGrid w:val="0"/>
                    <w:jc w:val="left"/>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kern w:val="0"/>
                      <w:sz w:val="21"/>
                      <w:szCs w:val="21"/>
                      <w:highlight w:val="none"/>
                    </w:rPr>
                    <w:t>本项目为[B0610]烟煤和无烟煤开采洗选，不属于</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kern w:val="0"/>
                      <w:sz w:val="21"/>
                      <w:szCs w:val="21"/>
                      <w:highlight w:val="none"/>
                    </w:rPr>
                    <w:t>两高</w:t>
                  </w:r>
                  <w:r>
                    <w:rPr>
                      <w:rFonts w:hint="eastAsia"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项目</w:t>
                  </w:r>
                  <w:r>
                    <w:rPr>
                      <w:rFonts w:hint="default" w:ascii="Times New Roman" w:hAnsi="Times New Roman" w:eastAsia="宋体" w:cs="Times New Roman"/>
                      <w:color w:val="auto"/>
                      <w:kern w:val="0"/>
                      <w:sz w:val="21"/>
                      <w:szCs w:val="21"/>
                      <w:highlight w:val="none"/>
                      <w:lang w:eastAsia="zh-CN"/>
                    </w:rPr>
                    <w:t>，主要能耗为少量电能及水</w:t>
                  </w:r>
                  <w:r>
                    <w:rPr>
                      <w:rFonts w:hint="default" w:ascii="Times New Roman" w:hAnsi="Times New Roman" w:cs="Times New Roman"/>
                      <w:color w:val="auto"/>
                      <w:kern w:val="0"/>
                      <w:sz w:val="21"/>
                      <w:szCs w:val="21"/>
                      <w:highlight w:val="none"/>
                      <w:lang w:eastAsia="zh-CN"/>
                    </w:rPr>
                    <w:t>。</w:t>
                  </w:r>
                </w:p>
              </w:tc>
              <w:tc>
                <w:tcPr>
                  <w:tcW w:w="320" w:type="pct"/>
                  <w:tcBorders>
                    <w:tl2br w:val="nil"/>
                    <w:tr2bl w:val="nil"/>
                  </w:tcBorders>
                  <w:noWrap w:val="0"/>
                  <w:vAlign w:val="center"/>
                </w:tcPr>
                <w:p w14:paraId="0456880C">
                  <w:pPr>
                    <w:adjustRightInd w:val="0"/>
                    <w:snapToGrid w:val="0"/>
                    <w:spacing w:line="36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符合</w:t>
                  </w:r>
                </w:p>
              </w:tc>
            </w:tr>
            <w:tr w14:paraId="7CE0FB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continue"/>
                  <w:tcBorders>
                    <w:tl2br w:val="nil"/>
                    <w:tr2bl w:val="nil"/>
                  </w:tcBorders>
                  <w:noWrap w:val="0"/>
                  <w:vAlign w:val="center"/>
                </w:tcPr>
                <w:p w14:paraId="381ACCF3">
                  <w:pPr>
                    <w:widowControl/>
                    <w:adjustRightInd w:val="0"/>
                    <w:snapToGrid w:val="0"/>
                    <w:jc w:val="center"/>
                    <w:rPr>
                      <w:rFonts w:hint="default" w:ascii="Times New Roman" w:hAnsi="Times New Roman" w:eastAsia="宋体" w:cs="Times New Roman"/>
                      <w:color w:val="auto"/>
                      <w:kern w:val="0"/>
                      <w:sz w:val="21"/>
                      <w:szCs w:val="21"/>
                      <w:highlight w:val="none"/>
                      <w:lang w:eastAsia="zh-CN"/>
                    </w:rPr>
                  </w:pPr>
                </w:p>
              </w:tc>
              <w:tc>
                <w:tcPr>
                  <w:tcW w:w="437" w:type="pct"/>
                  <w:vMerge w:val="continue"/>
                  <w:tcBorders>
                    <w:tl2br w:val="nil"/>
                    <w:tr2bl w:val="nil"/>
                  </w:tcBorders>
                  <w:noWrap w:val="0"/>
                  <w:vAlign w:val="center"/>
                </w:tcPr>
                <w:p w14:paraId="1D7B2B4F">
                  <w:pPr>
                    <w:widowControl/>
                    <w:adjustRightInd w:val="0"/>
                    <w:snapToGrid w:val="0"/>
                    <w:jc w:val="center"/>
                    <w:rPr>
                      <w:rFonts w:hint="default" w:ascii="Times New Roman" w:hAnsi="Times New Roman" w:eastAsia="宋体" w:cs="Times New Roman"/>
                      <w:color w:val="auto"/>
                      <w:kern w:val="0"/>
                      <w:sz w:val="21"/>
                      <w:szCs w:val="21"/>
                      <w:highlight w:val="none"/>
                    </w:rPr>
                  </w:pPr>
                </w:p>
              </w:tc>
              <w:tc>
                <w:tcPr>
                  <w:tcW w:w="2292" w:type="pct"/>
                  <w:tcBorders>
                    <w:tl2br w:val="nil"/>
                    <w:tr2bl w:val="nil"/>
                  </w:tcBorders>
                  <w:noWrap w:val="0"/>
                  <w:vAlign w:val="center"/>
                </w:tcPr>
                <w:p w14:paraId="7E64DEEC">
                  <w:pPr>
                    <w:adjustRightInd w:val="0"/>
                    <w:snapToGrid w:val="0"/>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实施终端用能清洁化替代。重点削减小型燃煤锅炉、民用散煤与农业用煤消费量，降低煤炭在终端分散利用比例，对以煤、石焦油、渣油、重油等为燃料的锅炉和工业炉窑，加快使用清洁低碳能源以及工厂余热、电力热力等进行替代。加快推进煤城新能源项目建设。到2025年，全市清洁取暖率提高到40%以上。</w:t>
                  </w:r>
                </w:p>
              </w:tc>
              <w:tc>
                <w:tcPr>
                  <w:tcW w:w="1742" w:type="pct"/>
                  <w:tcBorders>
                    <w:tl2br w:val="nil"/>
                    <w:tr2bl w:val="nil"/>
                  </w:tcBorders>
                  <w:noWrap w:val="0"/>
                  <w:vAlign w:val="center"/>
                </w:tcPr>
                <w:p w14:paraId="475B937E">
                  <w:pPr>
                    <w:widowControl/>
                    <w:adjustRightInd w:val="0"/>
                    <w:snapToGrid w:val="0"/>
                    <w:jc w:val="left"/>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eastAsia="zh-CN"/>
                    </w:rPr>
                    <w:t>冬季供暖采用电取暖</w:t>
                  </w:r>
                  <w:r>
                    <w:rPr>
                      <w:rFonts w:hint="default" w:ascii="Times New Roman" w:hAnsi="Times New Roman" w:cs="Times New Roman"/>
                      <w:color w:val="auto"/>
                      <w:sz w:val="21"/>
                      <w:szCs w:val="21"/>
                      <w:highlight w:val="none"/>
                    </w:rPr>
                    <w:t>，不建设锅炉。</w:t>
                  </w:r>
                </w:p>
              </w:tc>
              <w:tc>
                <w:tcPr>
                  <w:tcW w:w="320" w:type="pct"/>
                  <w:tcBorders>
                    <w:tl2br w:val="nil"/>
                    <w:tr2bl w:val="nil"/>
                  </w:tcBorders>
                  <w:noWrap w:val="0"/>
                  <w:vAlign w:val="center"/>
                </w:tcPr>
                <w:p w14:paraId="701935E3">
                  <w:pPr>
                    <w:widowControl/>
                    <w:adjustRightInd w:val="0"/>
                    <w:snapToGrid w:val="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符合</w:t>
                  </w:r>
                </w:p>
              </w:tc>
            </w:tr>
            <w:tr w14:paraId="6FCB1C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continue"/>
                  <w:tcBorders>
                    <w:tl2br w:val="nil"/>
                    <w:tr2bl w:val="nil"/>
                  </w:tcBorders>
                  <w:noWrap w:val="0"/>
                  <w:vAlign w:val="center"/>
                </w:tcPr>
                <w:p w14:paraId="53DF159E">
                  <w:pPr>
                    <w:widowControl/>
                    <w:adjustRightInd w:val="0"/>
                    <w:snapToGrid w:val="0"/>
                    <w:jc w:val="center"/>
                    <w:rPr>
                      <w:rFonts w:hint="default" w:ascii="Times New Roman" w:hAnsi="Times New Roman" w:eastAsia="宋体" w:cs="Times New Roman"/>
                      <w:color w:val="auto"/>
                      <w:kern w:val="0"/>
                      <w:sz w:val="21"/>
                      <w:szCs w:val="21"/>
                      <w:highlight w:val="none"/>
                      <w:lang w:eastAsia="zh-CN"/>
                    </w:rPr>
                  </w:pPr>
                </w:p>
              </w:tc>
              <w:tc>
                <w:tcPr>
                  <w:tcW w:w="437" w:type="pct"/>
                  <w:vMerge w:val="continue"/>
                  <w:tcBorders>
                    <w:tl2br w:val="nil"/>
                    <w:tr2bl w:val="nil"/>
                  </w:tcBorders>
                  <w:noWrap w:val="0"/>
                  <w:vAlign w:val="center"/>
                </w:tcPr>
                <w:p w14:paraId="3632145F">
                  <w:pPr>
                    <w:widowControl/>
                    <w:adjustRightInd w:val="0"/>
                    <w:snapToGrid w:val="0"/>
                    <w:jc w:val="center"/>
                    <w:rPr>
                      <w:rFonts w:hint="default" w:ascii="Times New Roman" w:hAnsi="Times New Roman" w:eastAsia="宋体" w:cs="Times New Roman"/>
                      <w:color w:val="auto"/>
                      <w:kern w:val="0"/>
                      <w:sz w:val="21"/>
                      <w:szCs w:val="21"/>
                      <w:highlight w:val="none"/>
                    </w:rPr>
                  </w:pPr>
                </w:p>
              </w:tc>
              <w:tc>
                <w:tcPr>
                  <w:tcW w:w="2292" w:type="pct"/>
                  <w:tcBorders>
                    <w:tl2br w:val="nil"/>
                    <w:tr2bl w:val="nil"/>
                  </w:tcBorders>
                  <w:noWrap w:val="0"/>
                  <w:vAlign w:val="center"/>
                </w:tcPr>
                <w:p w14:paraId="5B51B403">
                  <w:pPr>
                    <w:adjustRightInd w:val="0"/>
                    <w:snapToGrid w:val="0"/>
                    <w:rPr>
                      <w:rFonts w:hint="default" w:ascii="Times New Roman" w:hAnsi="Times New Roman" w:eastAsia="宋体" w:cs="Times New Roman"/>
                      <w:b w:val="0"/>
                      <w:bCs/>
                      <w:snapToGrid w:val="0"/>
                      <w:color w:val="auto"/>
                      <w:kern w:val="0"/>
                      <w:sz w:val="21"/>
                      <w:szCs w:val="21"/>
                      <w:highlight w:val="none"/>
                      <w:shd w:val="clear" w:color="auto" w:fill="FFFFFF"/>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加快推进运输结构调整。重点加强货物运输结构调整力度，有效降低公路货运比例。针对煤炭、焦炭、水泥等大宗物料以及重点地区农产品、汽车产品等运输，系统梳理当前运输结构和方式，深挖结构调整潜力，稳步实施货物运输</w:t>
                  </w:r>
                  <w:r>
                    <w:rPr>
                      <w:rFonts w:hint="eastAsia" w:ascii="Times New Roman" w:hAnsi="Times New Roman" w:cs="Times New Roman"/>
                      <w:color w:val="auto"/>
                      <w:highlight w:val="none"/>
                      <w:lang w:eastAsia="zh-CN"/>
                    </w:rPr>
                    <w:t>“</w:t>
                  </w:r>
                  <w:r>
                    <w:rPr>
                      <w:rFonts w:hint="default" w:ascii="Times New Roman" w:hAnsi="Times New Roman" w:eastAsia="宋体" w:cs="Times New Roman"/>
                      <w:snapToGrid w:val="0"/>
                      <w:color w:val="auto"/>
                      <w:kern w:val="0"/>
                      <w:sz w:val="21"/>
                      <w:szCs w:val="21"/>
                      <w:highlight w:val="none"/>
                      <w:lang w:val="en-US" w:eastAsia="zh-CN"/>
                    </w:rPr>
                    <w:t>公转铁</w:t>
                  </w:r>
                  <w:r>
                    <w:rPr>
                      <w:rFonts w:hint="eastAsia" w:ascii="Times New Roman" w:hAnsi="Times New Roman" w:cs="Times New Roman"/>
                      <w:snapToGrid w:val="0"/>
                      <w:color w:val="auto"/>
                      <w:kern w:val="0"/>
                      <w:sz w:val="21"/>
                      <w:szCs w:val="21"/>
                      <w:highlight w:val="none"/>
                      <w:lang w:val="en-US" w:eastAsia="zh-CN"/>
                    </w:rPr>
                    <w:t>”</w:t>
                  </w:r>
                  <w:r>
                    <w:rPr>
                      <w:rFonts w:hint="default" w:ascii="Times New Roman" w:hAnsi="Times New Roman" w:eastAsia="宋体" w:cs="Times New Roman"/>
                      <w:snapToGrid w:val="0"/>
                      <w:color w:val="auto"/>
                      <w:kern w:val="0"/>
                      <w:sz w:val="21"/>
                      <w:szCs w:val="21"/>
                      <w:highlight w:val="none"/>
                      <w:lang w:val="en-US" w:eastAsia="zh-CN"/>
                    </w:rPr>
                    <w:t>重大工程。</w:t>
                  </w:r>
                </w:p>
              </w:tc>
              <w:tc>
                <w:tcPr>
                  <w:tcW w:w="1742" w:type="pct"/>
                  <w:tcBorders>
                    <w:tl2br w:val="nil"/>
                    <w:tr2bl w:val="nil"/>
                  </w:tcBorders>
                  <w:noWrap w:val="0"/>
                  <w:vAlign w:val="center"/>
                </w:tcPr>
                <w:p w14:paraId="642DF647">
                  <w:pPr>
                    <w:widowControl/>
                    <w:adjustRightInd w:val="0"/>
                    <w:snapToGrid w:val="0"/>
                    <w:jc w:val="left"/>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本</w:t>
                  </w:r>
                  <w:r>
                    <w:rPr>
                      <w:rFonts w:hint="default" w:ascii="Times New Roman" w:hAnsi="Times New Roman" w:eastAsia="宋体" w:cs="Times New Roman"/>
                      <w:snapToGrid w:val="0"/>
                      <w:color w:val="auto"/>
                      <w:kern w:val="0"/>
                      <w:sz w:val="21"/>
                      <w:szCs w:val="21"/>
                      <w:highlight w:val="none"/>
                      <w:lang w:val="en-US" w:eastAsia="zh-CN" w:bidi="ar-SA"/>
                    </w:rPr>
                    <w:t>项目</w:t>
                  </w:r>
                  <w:r>
                    <w:rPr>
                      <w:rFonts w:hint="default" w:ascii="Times New Roman" w:hAnsi="Times New Roman" w:cs="Times New Roman"/>
                      <w:snapToGrid w:val="0"/>
                      <w:color w:val="auto"/>
                      <w:kern w:val="0"/>
                      <w:sz w:val="21"/>
                      <w:szCs w:val="21"/>
                      <w:highlight w:val="none"/>
                      <w:lang w:val="en-US" w:eastAsia="zh-CN" w:bidi="ar-SA"/>
                    </w:rPr>
                    <w:t>原煤采购于鸡西矿业（集团）有限责任公司二道河子煤矿九采区四井和鸡西矿业（集团）有限责任公司二道河子煤矿九采区五井，采用车辆运输到厂内</w:t>
                  </w:r>
                  <w:r>
                    <w:rPr>
                      <w:rFonts w:hint="default" w:ascii="Times New Roman" w:hAnsi="Times New Roman" w:eastAsia="宋体" w:cs="Times New Roman"/>
                      <w:snapToGrid w:val="0"/>
                      <w:color w:val="auto"/>
                      <w:kern w:val="0"/>
                      <w:sz w:val="21"/>
                      <w:szCs w:val="21"/>
                      <w:highlight w:val="none"/>
                      <w:lang w:val="en-US" w:eastAsia="zh-CN" w:bidi="ar-SA"/>
                    </w:rPr>
                    <w:t>，运距较短，故采用公路运输。</w:t>
                  </w:r>
                </w:p>
              </w:tc>
              <w:tc>
                <w:tcPr>
                  <w:tcW w:w="320" w:type="pct"/>
                  <w:tcBorders>
                    <w:tl2br w:val="nil"/>
                    <w:tr2bl w:val="nil"/>
                  </w:tcBorders>
                  <w:noWrap w:val="0"/>
                  <w:vAlign w:val="center"/>
                </w:tcPr>
                <w:p w14:paraId="440AC601">
                  <w:pPr>
                    <w:adjustRightInd w:val="0"/>
                    <w:snapToGrid w:val="0"/>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符合</w:t>
                  </w:r>
                </w:p>
              </w:tc>
            </w:tr>
            <w:tr w14:paraId="60174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Merge w:val="continue"/>
                </w:tcPr>
                <w:p w14:paraId="1E0C95D9">
                  <w:pPr>
                    <w:widowControl/>
                    <w:adjustRightInd w:val="0"/>
                    <w:snapToGrid w:val="0"/>
                    <w:jc w:val="center"/>
                    <w:rPr>
                      <w:rFonts w:hint="default" w:ascii="Times New Roman" w:hAnsi="Times New Roman" w:eastAsia="宋体" w:cs="Times New Roman"/>
                      <w:color w:val="auto"/>
                      <w:kern w:val="0"/>
                      <w:sz w:val="21"/>
                      <w:szCs w:val="21"/>
                      <w:highlight w:val="none"/>
                      <w:lang w:eastAsia="zh-CN"/>
                    </w:rPr>
                  </w:pPr>
                </w:p>
              </w:tc>
              <w:tc>
                <w:tcPr>
                  <w:tcW w:w="437" w:type="pct"/>
                  <w:vMerge w:val="continue"/>
                </w:tcPr>
                <w:p w14:paraId="05934A16">
                  <w:pPr>
                    <w:widowControl/>
                    <w:adjustRightInd w:val="0"/>
                    <w:snapToGrid w:val="0"/>
                    <w:jc w:val="center"/>
                    <w:rPr>
                      <w:rFonts w:hint="default" w:ascii="Times New Roman" w:hAnsi="Times New Roman" w:eastAsia="宋体" w:cs="Times New Roman"/>
                      <w:color w:val="auto"/>
                      <w:kern w:val="0"/>
                      <w:sz w:val="21"/>
                      <w:szCs w:val="21"/>
                      <w:highlight w:val="none"/>
                    </w:rPr>
                  </w:pPr>
                </w:p>
              </w:tc>
              <w:tc>
                <w:tcPr>
                  <w:tcW w:w="2292" w:type="pct"/>
                  <w:vAlign w:val="center"/>
                </w:tcPr>
                <w:p w14:paraId="5C109D04">
                  <w:pPr>
                    <w:adjustRightInd w:val="0"/>
                    <w:snapToGrid w:val="0"/>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做好协同防控工作，巩固提升大气质量。推动大气污染精准科学防控。深入推进 PM</w:t>
                  </w:r>
                  <w:r>
                    <w:rPr>
                      <w:rFonts w:hint="default" w:ascii="Times New Roman" w:hAnsi="Times New Roman" w:eastAsia="宋体" w:cs="Times New Roman"/>
                      <w:snapToGrid w:val="0"/>
                      <w:color w:val="auto"/>
                      <w:kern w:val="0"/>
                      <w:sz w:val="21"/>
                      <w:szCs w:val="21"/>
                      <w:highlight w:val="none"/>
                      <w:vertAlign w:val="subscript"/>
                      <w:lang w:val="en-US" w:eastAsia="zh-CN"/>
                    </w:rPr>
                    <w:t>2.5</w:t>
                  </w:r>
                  <w:r>
                    <w:rPr>
                      <w:rFonts w:hint="default" w:ascii="Times New Roman" w:hAnsi="Times New Roman" w:eastAsia="宋体" w:cs="Times New Roman"/>
                      <w:snapToGrid w:val="0"/>
                      <w:color w:val="auto"/>
                      <w:kern w:val="0"/>
                      <w:sz w:val="21"/>
                      <w:szCs w:val="21"/>
                      <w:highlight w:val="none"/>
                      <w:lang w:val="en-US" w:eastAsia="zh-CN"/>
                    </w:rPr>
                    <w:t xml:space="preserve"> 和臭氧污染协同控制。制定深入打好蓝天保卫战攻坚实施方案，确保全市NO</w:t>
                  </w:r>
                  <w:r>
                    <w:rPr>
                      <w:rFonts w:hint="default" w:ascii="Times New Roman" w:hAnsi="Times New Roman" w:eastAsia="宋体" w:cs="Times New Roman"/>
                      <w:snapToGrid w:val="0"/>
                      <w:color w:val="auto"/>
                      <w:kern w:val="0"/>
                      <w:sz w:val="21"/>
                      <w:szCs w:val="21"/>
                      <w:highlight w:val="none"/>
                      <w:vertAlign w:val="subscript"/>
                      <w:lang w:val="en-US" w:eastAsia="zh-CN"/>
                    </w:rPr>
                    <w:t>X</w:t>
                  </w:r>
                  <w:r>
                    <w:rPr>
                      <w:rFonts w:hint="default" w:ascii="Times New Roman" w:hAnsi="Times New Roman" w:eastAsia="宋体" w:cs="Times New Roman"/>
                      <w:snapToGrid w:val="0"/>
                      <w:color w:val="auto"/>
                      <w:kern w:val="0"/>
                      <w:sz w:val="21"/>
                      <w:szCs w:val="21"/>
                      <w:highlight w:val="none"/>
                      <w:lang w:val="en-US" w:eastAsia="zh-CN"/>
                    </w:rPr>
                    <w:t>和 VOCs 排放量持续下降。统筹考虑 PM</w:t>
                  </w:r>
                  <w:r>
                    <w:rPr>
                      <w:rFonts w:hint="default" w:ascii="Times New Roman" w:hAnsi="Times New Roman" w:eastAsia="宋体" w:cs="Times New Roman"/>
                      <w:snapToGrid w:val="0"/>
                      <w:color w:val="auto"/>
                      <w:kern w:val="0"/>
                      <w:sz w:val="21"/>
                      <w:szCs w:val="21"/>
                      <w:highlight w:val="none"/>
                      <w:vertAlign w:val="subscript"/>
                      <w:lang w:val="en-US" w:eastAsia="zh-CN"/>
                    </w:rPr>
                    <w:t>2.5</w:t>
                  </w:r>
                  <w:r>
                    <w:rPr>
                      <w:rFonts w:hint="default" w:ascii="Times New Roman" w:hAnsi="Times New Roman" w:eastAsia="宋体" w:cs="Times New Roman"/>
                      <w:snapToGrid w:val="0"/>
                      <w:color w:val="auto"/>
                      <w:kern w:val="0"/>
                      <w:sz w:val="21"/>
                      <w:szCs w:val="21"/>
                      <w:highlight w:val="none"/>
                      <w:lang w:val="en-US" w:eastAsia="zh-CN"/>
                    </w:rPr>
                    <w:t>和臭氧污染区域传输规律和季节性特征，加强重点区域、重点时段、重点领域、重点行业治理，强化分区分时分类差异化精细化协同管控。</w:t>
                  </w:r>
                </w:p>
              </w:tc>
              <w:tc>
                <w:tcPr>
                  <w:tcW w:w="1742" w:type="pct"/>
                  <w:vAlign w:val="center"/>
                </w:tcPr>
                <w:p w14:paraId="75CC9369">
                  <w:pPr>
                    <w:widowControl/>
                    <w:adjustRightInd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本项目</w:t>
                  </w:r>
                  <w:r>
                    <w:rPr>
                      <w:rFonts w:hint="default" w:ascii="Times New Roman" w:hAnsi="Times New Roman" w:eastAsia="宋体" w:cs="Times New Roman"/>
                      <w:bCs/>
                      <w:color w:val="auto"/>
                      <w:sz w:val="21"/>
                      <w:szCs w:val="21"/>
                      <w:highlight w:val="none"/>
                      <w:lang w:val="en-US" w:eastAsia="zh-CN"/>
                    </w:rPr>
                    <w:t>废气主要为煤尘颗粒物，采取</w:t>
                  </w:r>
                  <w:r>
                    <w:rPr>
                      <w:rFonts w:hint="default" w:ascii="Times New Roman" w:hAnsi="Times New Roman" w:cs="Times New Roman"/>
                      <w:bCs/>
                      <w:color w:val="auto"/>
                      <w:sz w:val="21"/>
                      <w:szCs w:val="21"/>
                      <w:highlight w:val="none"/>
                      <w:lang w:val="en-US" w:eastAsia="zh-CN"/>
                    </w:rPr>
                    <w:t>在储煤场四周建设防风抑尘网并在堆场顶部苫盖苫布</w:t>
                  </w:r>
                  <w:r>
                    <w:rPr>
                      <w:rFonts w:hint="default" w:ascii="Times New Roman" w:hAnsi="Times New Roman" w:eastAsia="宋体" w:cs="Times New Roman"/>
                      <w:bCs/>
                      <w:color w:val="auto"/>
                      <w:sz w:val="21"/>
                      <w:szCs w:val="21"/>
                      <w:highlight w:val="none"/>
                      <w:lang w:val="en-US" w:eastAsia="zh-CN"/>
                    </w:rPr>
                    <w:t>，装卸时尽可能缩小装卸时的高差；储煤场地面全部硬化防渗，</w:t>
                  </w:r>
                  <w:r>
                    <w:rPr>
                      <w:rFonts w:hint="default" w:ascii="Times New Roman" w:hAnsi="Times New Roman" w:cs="Times New Roman"/>
                      <w:bCs/>
                      <w:color w:val="auto"/>
                      <w:sz w:val="21"/>
                      <w:szCs w:val="21"/>
                      <w:highlight w:val="none"/>
                      <w:lang w:val="en-US" w:eastAsia="zh-CN"/>
                    </w:rPr>
                    <w:t>储煤场采用洒水车定期洒水降尘</w:t>
                  </w:r>
                  <w:r>
                    <w:rPr>
                      <w:rFonts w:hint="default" w:ascii="Times New Roman" w:hAnsi="Times New Roman" w:eastAsia="宋体" w:cs="Times New Roman"/>
                      <w:bCs/>
                      <w:color w:val="auto"/>
                      <w:sz w:val="21"/>
                      <w:szCs w:val="21"/>
                      <w:highlight w:val="none"/>
                      <w:lang w:val="en-US" w:eastAsia="zh-CN"/>
                    </w:rPr>
                    <w:t>等措施进行处理</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eastAsia="zh-CN"/>
                    </w:rPr>
                    <w:t>本项目为</w:t>
                  </w:r>
                  <w:r>
                    <w:rPr>
                      <w:rFonts w:hint="default" w:ascii="Times New Roman" w:hAnsi="Times New Roman" w:cs="Times New Roman"/>
                      <w:color w:val="auto"/>
                      <w:kern w:val="0"/>
                      <w:sz w:val="21"/>
                      <w:szCs w:val="21"/>
                      <w:highlight w:val="none"/>
                      <w:lang w:eastAsia="zh-CN"/>
                    </w:rPr>
                    <w:t>储煤场</w:t>
                  </w:r>
                  <w:r>
                    <w:rPr>
                      <w:rFonts w:hint="default" w:ascii="Times New Roman" w:hAnsi="Times New Roman" w:eastAsia="宋体" w:cs="Times New Roman"/>
                      <w:color w:val="auto"/>
                      <w:kern w:val="0"/>
                      <w:sz w:val="21"/>
                      <w:szCs w:val="21"/>
                      <w:highlight w:val="none"/>
                      <w:lang w:eastAsia="zh-CN"/>
                    </w:rPr>
                    <w:t>及配套设施建设工程，为环保治理工程，对</w:t>
                  </w:r>
                  <w:r>
                    <w:rPr>
                      <w:rFonts w:hint="default" w:ascii="Times New Roman" w:hAnsi="Times New Roman" w:eastAsia="宋体" w:cs="Times New Roman"/>
                      <w:color w:val="auto"/>
                      <w:kern w:val="0"/>
                      <w:sz w:val="21"/>
                      <w:szCs w:val="21"/>
                      <w:highlight w:val="none"/>
                    </w:rPr>
                    <w:t>现有环境空气质量</w:t>
                  </w:r>
                  <w:r>
                    <w:rPr>
                      <w:rFonts w:hint="default" w:ascii="Times New Roman" w:hAnsi="Times New Roman" w:eastAsia="宋体" w:cs="Times New Roman"/>
                      <w:color w:val="auto"/>
                      <w:kern w:val="0"/>
                      <w:sz w:val="21"/>
                      <w:szCs w:val="21"/>
                      <w:highlight w:val="none"/>
                      <w:lang w:eastAsia="zh-CN"/>
                    </w:rPr>
                    <w:t>提高有积极作用。</w:t>
                  </w:r>
                </w:p>
              </w:tc>
              <w:tc>
                <w:tcPr>
                  <w:tcW w:w="320" w:type="pct"/>
                  <w:vAlign w:val="center"/>
                </w:tcPr>
                <w:p w14:paraId="6D3EC0CD">
                  <w:pPr>
                    <w:widowControl/>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eastAsia="zh-CN"/>
                    </w:rPr>
                    <w:t>符合</w:t>
                  </w:r>
                </w:p>
              </w:tc>
            </w:tr>
            <w:tr w14:paraId="674C64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6" w:type="pct"/>
                  <w:vAlign w:val="center"/>
                </w:tcPr>
                <w:p w14:paraId="436AD807">
                  <w:pPr>
                    <w:adjustRightInd w:val="0"/>
                    <w:snapToGrid w:val="0"/>
                    <w:jc w:val="center"/>
                    <w:rPr>
                      <w:rFonts w:hint="default" w:ascii="Times New Roman" w:hAnsi="Times New Roman" w:eastAsia="宋体" w:cs="Times New Roman"/>
                      <w:color w:val="auto"/>
                      <w:spacing w:val="8"/>
                      <w:sz w:val="21"/>
                      <w:szCs w:val="21"/>
                      <w:highlight w:val="none"/>
                      <w:shd w:val="clear" w:color="auto" w:fill="FFFFFF"/>
                      <w:lang w:val="en-US" w:eastAsia="zh-CN"/>
                    </w:rPr>
                  </w:pPr>
                  <w:r>
                    <w:rPr>
                      <w:rFonts w:hint="eastAsia" w:ascii="Times New Roman" w:hAnsi="Times New Roman" w:cs="Times New Roman"/>
                      <w:color w:val="auto"/>
                      <w:spacing w:val="8"/>
                      <w:sz w:val="21"/>
                      <w:szCs w:val="21"/>
                      <w:highlight w:val="none"/>
                      <w:shd w:val="clear" w:color="auto" w:fill="FFFFFF"/>
                      <w:lang w:val="en-US" w:eastAsia="zh-CN"/>
                    </w:rPr>
                    <w:t>4</w:t>
                  </w:r>
                </w:p>
              </w:tc>
              <w:tc>
                <w:tcPr>
                  <w:tcW w:w="437" w:type="pct"/>
                  <w:vAlign w:val="center"/>
                </w:tcPr>
                <w:p w14:paraId="589EDC67">
                  <w:pPr>
                    <w:adjustRightInd w:val="0"/>
                    <w:snapToGrid w:val="0"/>
                    <w:jc w:val="center"/>
                    <w:rPr>
                      <w:rFonts w:hint="default" w:ascii="Times New Roman" w:hAnsi="Times New Roman" w:eastAsia="宋体" w:cs="Times New Roman"/>
                      <w:color w:val="auto"/>
                      <w:spacing w:val="8"/>
                      <w:sz w:val="21"/>
                      <w:szCs w:val="21"/>
                      <w:highlight w:val="none"/>
                      <w:shd w:val="clear" w:color="auto" w:fill="FFFFFF"/>
                      <w:lang w:val="en-US" w:eastAsia="zh-CN"/>
                    </w:rPr>
                  </w:pPr>
                  <w:r>
                    <w:rPr>
                      <w:rFonts w:hint="default" w:ascii="Times New Roman" w:hAnsi="Times New Roman" w:eastAsia="宋体" w:cs="Times New Roman"/>
                      <w:color w:val="auto"/>
                      <w:spacing w:val="8"/>
                      <w:sz w:val="21"/>
                      <w:szCs w:val="21"/>
                      <w:highlight w:val="none"/>
                      <w:shd w:val="clear" w:color="auto" w:fill="FFFFFF"/>
                      <w:lang w:val="en-US" w:eastAsia="zh-CN"/>
                    </w:rPr>
                    <w:t>《鸡西市空气质量持续改善行动计划贯彻落实方案》</w:t>
                  </w:r>
                </w:p>
              </w:tc>
              <w:tc>
                <w:tcPr>
                  <w:tcW w:w="2292" w:type="pct"/>
                  <w:vAlign w:val="center"/>
                </w:tcPr>
                <w:p w14:paraId="4DDE167B">
                  <w:pPr>
                    <w:adjustRightInd w:val="0"/>
                    <w:snapToGrid w:val="0"/>
                    <w:jc w:val="both"/>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加快退出重点行业落后产能。严格执行《产业结构调整指导目录》要求，加快退出淘汰类产能、工艺、装备，提高限制类产能、工艺、装备淘汰改造引导力度。城市大型煤炭、矿石等干散货码头物料堆场基本完成抑尘设施建设和物料输送系统封闭改造。</w:t>
                  </w:r>
                </w:p>
                <w:p w14:paraId="62D0239D">
                  <w:pPr>
                    <w:adjustRightInd w:val="0"/>
                    <w:snapToGrid w:val="0"/>
                    <w:jc w:val="both"/>
                    <w:rPr>
                      <w:rFonts w:hint="default" w:ascii="Times New Roman" w:hAnsi="Times New Roman" w:eastAsia="宋体" w:cs="Times New Roman"/>
                      <w:snapToGrid w:val="0"/>
                      <w:color w:val="auto"/>
                      <w:kern w:val="0"/>
                      <w:sz w:val="21"/>
                      <w:szCs w:val="21"/>
                      <w:highlight w:val="none"/>
                      <w:lang w:val="en-US" w:eastAsia="zh-CN"/>
                    </w:rPr>
                  </w:pPr>
                </w:p>
              </w:tc>
              <w:tc>
                <w:tcPr>
                  <w:tcW w:w="1742" w:type="pct"/>
                  <w:vAlign w:val="center"/>
                </w:tcPr>
                <w:p w14:paraId="30CF3438">
                  <w:pPr>
                    <w:adjustRightInd w:val="0"/>
                    <w:snapToGrid w:val="0"/>
                    <w:jc w:val="both"/>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本项目储</w:t>
                  </w:r>
                  <w:r>
                    <w:rPr>
                      <w:rFonts w:hint="default" w:ascii="Times New Roman" w:hAnsi="Times New Roman" w:eastAsia="宋体" w:cs="Times New Roman"/>
                      <w:snapToGrid w:val="0"/>
                      <w:color w:val="auto"/>
                      <w:kern w:val="0"/>
                      <w:sz w:val="21"/>
                      <w:szCs w:val="21"/>
                      <w:highlight w:val="none"/>
                      <w:lang w:val="en-US" w:eastAsia="zh-CN"/>
                    </w:rPr>
                    <w:t>煤场堆高2</w:t>
                  </w:r>
                  <w:r>
                    <w:rPr>
                      <w:rFonts w:hint="eastAsia" w:cs="Times New Roman"/>
                      <w:snapToGrid w:val="0"/>
                      <w:color w:val="auto"/>
                      <w:kern w:val="0"/>
                      <w:sz w:val="21"/>
                      <w:szCs w:val="21"/>
                      <w:highlight w:val="none"/>
                      <w:lang w:val="en-US" w:eastAsia="zh-CN"/>
                    </w:rPr>
                    <w:t>.5</w:t>
                  </w:r>
                  <w:r>
                    <w:rPr>
                      <w:rFonts w:hint="default" w:ascii="Times New Roman" w:hAnsi="Times New Roman" w:eastAsia="宋体" w:cs="Times New Roman"/>
                      <w:snapToGrid w:val="0"/>
                      <w:color w:val="auto"/>
                      <w:kern w:val="0"/>
                      <w:sz w:val="21"/>
                      <w:szCs w:val="21"/>
                      <w:highlight w:val="none"/>
                      <w:lang w:val="en-US" w:eastAsia="zh-CN"/>
                    </w:rPr>
                    <w:t>米，四周建设闭合防风抑尘网高3m、长</w:t>
                  </w:r>
                  <w:r>
                    <w:rPr>
                      <w:rFonts w:hint="eastAsia" w:cs="Times New Roman"/>
                      <w:snapToGrid w:val="0"/>
                      <w:color w:val="auto"/>
                      <w:kern w:val="0"/>
                      <w:sz w:val="21"/>
                      <w:szCs w:val="21"/>
                      <w:highlight w:val="none"/>
                      <w:lang w:val="en-US" w:eastAsia="zh-CN"/>
                    </w:rPr>
                    <w:t>420</w:t>
                  </w:r>
                  <w:r>
                    <w:rPr>
                      <w:rFonts w:hint="default" w:ascii="Times New Roman" w:hAnsi="Times New Roman" w:eastAsia="宋体" w:cs="Times New Roman"/>
                      <w:snapToGrid w:val="0"/>
                      <w:color w:val="auto"/>
                      <w:kern w:val="0"/>
                      <w:sz w:val="21"/>
                      <w:szCs w:val="21"/>
                      <w:highlight w:val="none"/>
                      <w:lang w:val="en-US" w:eastAsia="zh-CN"/>
                    </w:rPr>
                    <w:t>m（孔隙率</w:t>
                  </w:r>
                  <w:r>
                    <w:rPr>
                      <w:rFonts w:hint="default" w:ascii="Times New Roman" w:hAnsi="Times New Roman" w:eastAsia="宋体" w:cs="Times New Roman"/>
                      <w:snapToGrid w:val="0"/>
                      <w:color w:val="auto"/>
                      <w:kern w:val="0"/>
                      <w:sz w:val="21"/>
                      <w:szCs w:val="21"/>
                      <w:highlight w:val="none"/>
                      <w:lang w:val="en-US" w:eastAsia="zh-CN"/>
                    </w:rPr>
                    <w:t>50%），储煤场内堆存煤炭使用</w:t>
                  </w:r>
                  <w:r>
                    <w:rPr>
                      <w:rFonts w:hint="eastAsia" w:ascii="Times New Roman" w:hAnsi="Times New Roman" w:cs="Times New Roman"/>
                      <w:snapToGrid w:val="0"/>
                      <w:color w:val="auto"/>
                      <w:kern w:val="0"/>
                      <w:sz w:val="21"/>
                      <w:szCs w:val="21"/>
                      <w:highlight w:val="none"/>
                      <w:lang w:val="en-US" w:eastAsia="zh-CN"/>
                    </w:rPr>
                    <w:t>苫布</w:t>
                  </w:r>
                  <w:r>
                    <w:rPr>
                      <w:rFonts w:hint="default" w:ascii="Times New Roman" w:hAnsi="Times New Roman" w:eastAsia="宋体" w:cs="Times New Roman"/>
                      <w:snapToGrid w:val="0"/>
                      <w:color w:val="auto"/>
                      <w:kern w:val="0"/>
                      <w:sz w:val="21"/>
                      <w:szCs w:val="21"/>
                      <w:highlight w:val="none"/>
                      <w:lang w:val="en-US" w:eastAsia="zh-CN"/>
                    </w:rPr>
                    <w:t>进行苫盖；装卸过程中装车使用洒水车对装车过程进行降尘，卸料过程尽量减少煤炭落料过程中高差，另外洒水车定期对储煤区域进行洒水降尘并防止自燃，定期去外部指定洗车点对车辆进行清洗。禁止在重污染天气、大风天气进行作业；煤场运输车辆进行全面苫盖。项目生产过程中不使用国家明令禁止的淘汰类和限制类的工艺和设备，符合《鸡西市空气质量持续改善行动计划贯彻落实方案》中相关要求。</w:t>
                  </w:r>
                </w:p>
              </w:tc>
              <w:tc>
                <w:tcPr>
                  <w:tcW w:w="320" w:type="pct"/>
                  <w:vAlign w:val="center"/>
                </w:tcPr>
                <w:p w14:paraId="7230E94C">
                  <w:pPr>
                    <w:widowControl/>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符合</w:t>
                  </w:r>
                </w:p>
              </w:tc>
            </w:tr>
          </w:tbl>
          <w:p w14:paraId="7E6ABBAB">
            <w:pPr>
              <w:pStyle w:val="18"/>
              <w:numPr>
                <w:ilvl w:val="0"/>
                <w:numId w:val="0"/>
              </w:numPr>
              <w:rPr>
                <w:rFonts w:hint="default" w:ascii="Times New Roman" w:hAnsi="Times New Roman" w:cs="Times New Roman"/>
                <w:color w:val="auto"/>
                <w:highlight w:val="none"/>
              </w:rPr>
            </w:pPr>
          </w:p>
          <w:p w14:paraId="11B9DCAD">
            <w:pPr>
              <w:pStyle w:val="18"/>
              <w:numPr>
                <w:ilvl w:val="0"/>
                <w:numId w:val="0"/>
              </w:numPr>
              <w:rPr>
                <w:rFonts w:hint="default" w:ascii="Times New Roman" w:hAnsi="Times New Roman" w:cs="Times New Roman"/>
                <w:color w:val="auto"/>
                <w:highlight w:val="none"/>
              </w:rPr>
            </w:pPr>
          </w:p>
          <w:p w14:paraId="78BFFF2F">
            <w:pPr>
              <w:pStyle w:val="18"/>
              <w:numPr>
                <w:ilvl w:val="0"/>
                <w:numId w:val="0"/>
              </w:numPr>
              <w:rPr>
                <w:rFonts w:hint="default" w:ascii="Times New Roman" w:hAnsi="Times New Roman" w:cs="Times New Roman"/>
                <w:color w:val="auto"/>
                <w:highlight w:val="none"/>
              </w:rPr>
            </w:pPr>
          </w:p>
          <w:p w14:paraId="4EB60164">
            <w:pPr>
              <w:pStyle w:val="18"/>
              <w:numPr>
                <w:ilvl w:val="0"/>
                <w:numId w:val="0"/>
              </w:numPr>
              <w:rPr>
                <w:rFonts w:hint="default" w:ascii="Times New Roman" w:hAnsi="Times New Roman" w:cs="Times New Roman"/>
                <w:color w:val="auto"/>
                <w:highlight w:val="none"/>
              </w:rPr>
            </w:pPr>
          </w:p>
          <w:p w14:paraId="46ED21EF">
            <w:pPr>
              <w:pStyle w:val="18"/>
              <w:numPr>
                <w:ilvl w:val="0"/>
                <w:numId w:val="0"/>
              </w:numPr>
              <w:rPr>
                <w:rFonts w:hint="default" w:ascii="Times New Roman" w:hAnsi="Times New Roman" w:cs="Times New Roman"/>
                <w:color w:val="auto"/>
                <w:highlight w:val="none"/>
              </w:rPr>
            </w:pPr>
          </w:p>
          <w:p w14:paraId="15947F7D">
            <w:pPr>
              <w:pStyle w:val="18"/>
              <w:numPr>
                <w:ilvl w:val="0"/>
                <w:numId w:val="0"/>
              </w:numPr>
              <w:rPr>
                <w:rFonts w:hint="default" w:ascii="Times New Roman" w:hAnsi="Times New Roman" w:cs="Times New Roman"/>
                <w:color w:val="auto"/>
                <w:highlight w:val="none"/>
              </w:rPr>
            </w:pPr>
          </w:p>
          <w:p w14:paraId="0B9A2B06">
            <w:pPr>
              <w:pStyle w:val="18"/>
              <w:numPr>
                <w:ilvl w:val="0"/>
                <w:numId w:val="0"/>
              </w:numPr>
              <w:rPr>
                <w:rFonts w:hint="default" w:ascii="Times New Roman" w:hAnsi="Times New Roman" w:cs="Times New Roman"/>
                <w:color w:val="auto"/>
                <w:highlight w:val="none"/>
              </w:rPr>
            </w:pPr>
          </w:p>
          <w:p w14:paraId="08FC242D">
            <w:pPr>
              <w:pStyle w:val="18"/>
              <w:numPr>
                <w:ilvl w:val="0"/>
                <w:numId w:val="0"/>
              </w:numPr>
              <w:rPr>
                <w:rFonts w:hint="default" w:ascii="Times New Roman" w:hAnsi="Times New Roman" w:cs="Times New Roman"/>
                <w:color w:val="auto"/>
                <w:highlight w:val="none"/>
              </w:rPr>
            </w:pPr>
          </w:p>
        </w:tc>
      </w:tr>
    </w:tbl>
    <w:p w14:paraId="2049AC6A">
      <w:pPr>
        <w:pStyle w:val="27"/>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color w:val="auto"/>
          <w:highlight w:val="none"/>
        </w:rPr>
        <w:br w:type="page"/>
      </w:r>
      <w:bookmarkStart w:id="9" w:name="_Toc25643"/>
      <w:bookmarkStart w:id="10" w:name="_Toc3203"/>
      <w:r>
        <w:rPr>
          <w:rFonts w:hint="default" w:ascii="Times New Roman" w:hAnsi="Times New Roman" w:eastAsia="黑体" w:cs="Times New Roman"/>
          <w:snapToGrid w:val="0"/>
          <w:color w:val="auto"/>
          <w:sz w:val="30"/>
          <w:szCs w:val="30"/>
          <w:highlight w:val="none"/>
        </w:rPr>
        <w:t>二、建设项目工程分析</w:t>
      </w:r>
      <w:bookmarkEnd w:id="9"/>
      <w:bookmarkEnd w:id="10"/>
    </w:p>
    <w:tbl>
      <w:tblPr>
        <w:tblStyle w:val="31"/>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144"/>
      </w:tblGrid>
      <w:tr w14:paraId="36B61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tcBorders>
            <w:vAlign w:val="center"/>
          </w:tcPr>
          <w:p w14:paraId="1CAEA0B0">
            <w:pPr>
              <w:pStyle w:val="27"/>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建设内容</w:t>
            </w:r>
          </w:p>
        </w:tc>
        <w:tc>
          <w:tcPr>
            <w:tcW w:w="8144" w:type="dxa"/>
            <w:tcBorders>
              <w:top w:val="single" w:color="auto" w:sz="4" w:space="0"/>
              <w:right w:val="single" w:color="auto" w:sz="4" w:space="0"/>
            </w:tcBorders>
            <w:vAlign w:val="top"/>
          </w:tcPr>
          <w:p w14:paraId="0CE2829A">
            <w:pPr>
              <w:pStyle w:val="48"/>
              <w:keepNext w:val="0"/>
              <w:keepLines w:val="0"/>
              <w:pageBreakBefore w:val="0"/>
              <w:kinsoku/>
              <w:wordWrap/>
              <w:overflowPunct/>
              <w:topLinePunct w:val="0"/>
              <w:autoSpaceDE/>
              <w:autoSpaceDN/>
              <w:bidi w:val="0"/>
              <w:adjustRightInd w:val="0"/>
              <w:snapToGrid w:val="0"/>
              <w:spacing w:line="360" w:lineRule="auto"/>
              <w:ind w:left="0" w:leftChars="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1、项目概况</w:t>
            </w:r>
          </w:p>
          <w:p w14:paraId="3295A6A1">
            <w:pPr>
              <w:keepNext w:val="0"/>
              <w:keepLines w:val="0"/>
              <w:pageBreakBefore w:val="0"/>
              <w:widowControl/>
              <w:kinsoku/>
              <w:wordWrap/>
              <w:overflowPunct/>
              <w:topLinePunct w:val="0"/>
              <w:autoSpaceDE/>
              <w:autoSpaceDN/>
              <w:bidi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项目名称：</w:t>
            </w:r>
            <w:r>
              <w:rPr>
                <w:rFonts w:hint="eastAsia" w:cs="Times New Roman"/>
                <w:color w:val="auto"/>
                <w:sz w:val="24"/>
                <w:highlight w:val="none"/>
                <w:lang w:val="en-US" w:eastAsia="zh-CN"/>
              </w:rPr>
              <w:t>鸡西市宝全煤炭销售有限公司储煤场建设项目</w:t>
            </w:r>
          </w:p>
          <w:p w14:paraId="12FEFF77">
            <w:pPr>
              <w:keepNext w:val="0"/>
              <w:keepLines w:val="0"/>
              <w:pageBreakBefore w:val="0"/>
              <w:widowControl/>
              <w:kinsoku/>
              <w:wordWrap/>
              <w:overflowPunct/>
              <w:topLinePunct w:val="0"/>
              <w:autoSpaceDE/>
              <w:autoSpaceDN/>
              <w:bidi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w:t>
            </w:r>
            <w:r>
              <w:rPr>
                <w:rFonts w:hint="eastAsia" w:cs="Times New Roman"/>
                <w:color w:val="auto"/>
                <w:sz w:val="24"/>
                <w:highlight w:val="none"/>
                <w:lang w:val="en-US" w:eastAsia="zh-CN"/>
              </w:rPr>
              <w:t>鸡西市宝全煤炭销售有限公司</w:t>
            </w:r>
          </w:p>
          <w:p w14:paraId="3279F8B9">
            <w:pPr>
              <w:keepNext w:val="0"/>
              <w:keepLines w:val="0"/>
              <w:pageBreakBefore w:val="0"/>
              <w:widowControl/>
              <w:kinsoku/>
              <w:wordWrap/>
              <w:overflowPunct/>
              <w:topLinePunct w:val="0"/>
              <w:autoSpaceDE/>
              <w:autoSpaceDN/>
              <w:bidi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建设性质：新建</w:t>
            </w:r>
          </w:p>
          <w:p w14:paraId="48E47840">
            <w:pPr>
              <w:keepNext w:val="0"/>
              <w:keepLines w:val="0"/>
              <w:pageBreakBefore w:val="0"/>
              <w:widowControl/>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建设地点：项目位于</w:t>
            </w:r>
            <w:r>
              <w:rPr>
                <w:rFonts w:hint="default" w:ascii="Times New Roman" w:hAnsi="Times New Roman" w:cs="Times New Roman"/>
                <w:color w:val="auto"/>
                <w:sz w:val="24"/>
                <w:highlight w:val="none"/>
                <w:lang w:eastAsia="zh-CN"/>
              </w:rPr>
              <w:t>黑龙江省</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cs="Times New Roman"/>
                <w:color w:val="auto"/>
                <w:sz w:val="24"/>
                <w:highlight w:val="none"/>
              </w:rPr>
              <w:t>，项目占地</w:t>
            </w:r>
            <w:r>
              <w:rPr>
                <w:rFonts w:hint="eastAsia" w:cs="Times New Roman"/>
                <w:color w:val="auto"/>
                <w:sz w:val="24"/>
                <w:highlight w:val="none"/>
                <w:lang w:eastAsia="zh-CN"/>
              </w:rPr>
              <w:t>12323</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，厂址中心地理坐标为：E：</w:t>
            </w:r>
            <w:r>
              <w:rPr>
                <w:rFonts w:hint="default" w:ascii="Times New Roman" w:hAnsi="Times New Roman" w:cs="Times New Roman"/>
                <w:color w:val="auto"/>
                <w:sz w:val="24"/>
                <w:highlight w:val="none"/>
                <w:u w:val="none"/>
              </w:rPr>
              <w:t>1</w:t>
            </w:r>
            <w:r>
              <w:rPr>
                <w:rFonts w:hint="default" w:ascii="Times New Roman" w:hAnsi="Times New Roman" w:cs="Times New Roman"/>
                <w:color w:val="auto"/>
                <w:sz w:val="24"/>
                <w:highlight w:val="none"/>
                <w:u w:val="none"/>
                <w:lang w:val="en-US" w:eastAsia="zh-CN"/>
              </w:rPr>
              <w:t>30</w:t>
            </w:r>
            <w:r>
              <w:rPr>
                <w:rFonts w:hint="default" w:ascii="Times New Roman" w:hAnsi="Times New Roman" w:cs="Times New Roman"/>
                <w:color w:val="auto"/>
                <w:sz w:val="24"/>
                <w:highlight w:val="none"/>
                <w:u w:val="none"/>
              </w:rPr>
              <w:t>°</w:t>
            </w:r>
            <w:r>
              <w:rPr>
                <w:rFonts w:hint="default" w:ascii="Times New Roman" w:hAnsi="Times New Roman" w:cs="Times New Roman"/>
                <w:color w:val="auto"/>
                <w:sz w:val="24"/>
                <w:highlight w:val="none"/>
                <w:u w:val="none"/>
                <w:lang w:val="en-US" w:eastAsia="zh-CN"/>
              </w:rPr>
              <w:t>5</w:t>
            </w:r>
            <w:r>
              <w:rPr>
                <w:rFonts w:hint="eastAsia" w:ascii="Times New Roman" w:hAnsi="Times New Roman" w:cs="Times New Roman"/>
                <w:color w:val="auto"/>
                <w:sz w:val="24"/>
                <w:highlight w:val="none"/>
                <w:u w:val="none"/>
                <w:lang w:val="en-US" w:eastAsia="zh-CN"/>
              </w:rPr>
              <w:t>5</w:t>
            </w:r>
            <w:r>
              <w:rPr>
                <w:rFonts w:hint="default" w:ascii="Times New Roman" w:hAnsi="Times New Roman" w:cs="Times New Roman"/>
                <w:color w:val="auto"/>
                <w:sz w:val="24"/>
                <w:highlight w:val="none"/>
                <w:u w:val="none"/>
              </w:rPr>
              <w:t>'</w:t>
            </w:r>
            <w:r>
              <w:rPr>
                <w:rFonts w:hint="default" w:ascii="Times New Roman" w:hAnsi="Times New Roman" w:cs="Times New Roman"/>
                <w:color w:val="auto"/>
                <w:sz w:val="24"/>
                <w:highlight w:val="none"/>
                <w:u w:val="none"/>
                <w:lang w:val="en-US" w:eastAsia="zh-CN"/>
              </w:rPr>
              <w:t>5</w:t>
            </w:r>
            <w:r>
              <w:rPr>
                <w:rFonts w:hint="eastAsia" w:ascii="Times New Roman" w:hAnsi="Times New Roman" w:cs="Times New Roman"/>
                <w:color w:val="auto"/>
                <w:sz w:val="24"/>
                <w:highlight w:val="none"/>
                <w:u w:val="none"/>
                <w:lang w:val="en-US" w:eastAsia="zh-CN"/>
              </w:rPr>
              <w:t>6.988</w:t>
            </w:r>
            <w:r>
              <w:rPr>
                <w:rFonts w:hint="default" w:ascii="Times New Roman" w:hAnsi="Times New Roman" w:cs="Times New Roman"/>
                <w:color w:val="auto"/>
                <w:sz w:val="24"/>
                <w:highlight w:val="none"/>
                <w:u w:val="none"/>
                <w:lang w:eastAsia="zh-CN"/>
              </w:rPr>
              <w:t>″</w:t>
            </w:r>
            <w:r>
              <w:rPr>
                <w:rFonts w:hint="eastAsia" w:ascii="Times New Roman" w:hAnsi="Times New Roman" w:cs="Times New Roman"/>
                <w:color w:val="auto"/>
                <w:sz w:val="24"/>
                <w:highlight w:val="none"/>
                <w:u w:val="none"/>
                <w:lang w:eastAsia="zh-CN"/>
              </w:rPr>
              <w:t>，</w:t>
            </w:r>
            <w:r>
              <w:rPr>
                <w:rFonts w:hint="default" w:ascii="Times New Roman" w:hAnsi="Times New Roman" w:cs="Times New Roman"/>
                <w:color w:val="auto"/>
                <w:sz w:val="24"/>
                <w:highlight w:val="none"/>
              </w:rPr>
              <w:t>N：</w:t>
            </w:r>
            <w:r>
              <w:rPr>
                <w:rFonts w:hint="default" w:ascii="Times New Roman" w:hAnsi="Times New Roman" w:cs="Times New Roman"/>
                <w:color w:val="auto"/>
                <w:sz w:val="24"/>
                <w:highlight w:val="none"/>
                <w:u w:val="none"/>
              </w:rPr>
              <w:t>4</w:t>
            </w:r>
            <w:r>
              <w:rPr>
                <w:rFonts w:hint="default" w:ascii="Times New Roman" w:hAnsi="Times New Roman" w:cs="Times New Roman"/>
                <w:color w:val="auto"/>
                <w:sz w:val="24"/>
                <w:highlight w:val="none"/>
                <w:u w:val="none"/>
                <w:lang w:val="en-US" w:eastAsia="zh-CN"/>
              </w:rPr>
              <w:t>5</w:t>
            </w:r>
            <w:r>
              <w:rPr>
                <w:rFonts w:hint="default" w:ascii="Times New Roman" w:hAnsi="Times New Roman" w:cs="Times New Roman"/>
                <w:color w:val="auto"/>
                <w:sz w:val="24"/>
                <w:highlight w:val="none"/>
                <w:u w:val="none"/>
              </w:rPr>
              <w:t>°</w:t>
            </w:r>
            <w:r>
              <w:rPr>
                <w:rFonts w:hint="default" w:ascii="Times New Roman" w:hAnsi="Times New Roman" w:cs="Times New Roman"/>
                <w:color w:val="auto"/>
                <w:sz w:val="24"/>
                <w:highlight w:val="none"/>
                <w:u w:val="none"/>
                <w:lang w:val="en-US" w:eastAsia="zh-CN"/>
              </w:rPr>
              <w:t>13</w:t>
            </w:r>
            <w:r>
              <w:rPr>
                <w:rFonts w:hint="default" w:ascii="Times New Roman" w:hAnsi="Times New Roman" w:cs="Times New Roman"/>
                <w:color w:val="auto"/>
                <w:sz w:val="24"/>
                <w:highlight w:val="none"/>
                <w:u w:val="none"/>
              </w:rPr>
              <w:t>'</w:t>
            </w:r>
            <w:r>
              <w:rPr>
                <w:rFonts w:hint="eastAsia" w:cs="Times New Roman"/>
                <w:color w:val="auto"/>
                <w:sz w:val="24"/>
                <w:highlight w:val="none"/>
                <w:u w:val="none"/>
                <w:lang w:val="en-US" w:eastAsia="zh-CN"/>
              </w:rPr>
              <w:t>31.346</w:t>
            </w:r>
            <w:r>
              <w:rPr>
                <w:rFonts w:hint="default" w:ascii="Times New Roman" w:hAnsi="Times New Roman" w:cs="Times New Roman"/>
                <w:color w:val="auto"/>
                <w:sz w:val="24"/>
                <w:highlight w:val="none"/>
                <w:u w:val="none"/>
                <w:lang w:eastAsia="zh-CN"/>
              </w:rPr>
              <w:t>″</w:t>
            </w:r>
            <w:r>
              <w:rPr>
                <w:rFonts w:hint="default" w:ascii="Times New Roman" w:hAnsi="Times New Roman" w:cs="Times New Roman"/>
                <w:color w:val="auto"/>
                <w:sz w:val="24"/>
                <w:highlight w:val="none"/>
              </w:rPr>
              <w:t>。厂址</w:t>
            </w:r>
            <w:r>
              <w:rPr>
                <w:rFonts w:hint="eastAsia" w:cs="Times New Roman"/>
                <w:color w:val="auto"/>
                <w:sz w:val="24"/>
                <w:highlight w:val="none"/>
                <w:lang w:eastAsia="zh-CN"/>
              </w:rPr>
              <w:t>东侧为道路，隔路为储煤场；</w:t>
            </w:r>
            <w:r>
              <w:rPr>
                <w:rFonts w:hint="default" w:ascii="Times New Roman" w:hAnsi="Times New Roman" w:cs="Times New Roman"/>
                <w:color w:val="auto"/>
                <w:sz w:val="24"/>
                <w:highlight w:val="none"/>
                <w:lang w:eastAsia="zh-CN"/>
              </w:rPr>
              <w:t>南侧为</w:t>
            </w:r>
            <w:r>
              <w:rPr>
                <w:rFonts w:hint="eastAsia" w:cs="Times New Roman"/>
                <w:color w:val="auto"/>
                <w:sz w:val="24"/>
                <w:highlight w:val="none"/>
                <w:lang w:eastAsia="zh-CN"/>
              </w:rPr>
              <w:t>储煤场；西侧为储煤场；</w:t>
            </w:r>
            <w:r>
              <w:rPr>
                <w:rFonts w:hint="default" w:ascii="Times New Roman" w:hAnsi="Times New Roman" w:cs="Times New Roman"/>
                <w:color w:val="auto"/>
                <w:sz w:val="24"/>
                <w:highlight w:val="none"/>
                <w:lang w:eastAsia="zh-CN"/>
              </w:rPr>
              <w:t>北侧为</w:t>
            </w:r>
            <w:r>
              <w:rPr>
                <w:rFonts w:hint="eastAsia" w:ascii="Times New Roman" w:hAnsi="Times New Roman" w:cs="Times New Roman"/>
                <w:color w:val="auto"/>
                <w:sz w:val="24"/>
                <w:highlight w:val="none"/>
                <w:lang w:eastAsia="zh-CN"/>
              </w:rPr>
              <w:t>空地</w:t>
            </w:r>
            <w:r>
              <w:rPr>
                <w:rFonts w:hint="default" w:ascii="Times New Roman" w:hAnsi="Times New Roman" w:cs="Times New Roman"/>
                <w:color w:val="auto"/>
                <w:sz w:val="24"/>
                <w:highlight w:val="none"/>
              </w:rPr>
              <w:t>。项目地理位置图见附图</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，四邻关系图见附图</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p>
          <w:p w14:paraId="7188B121">
            <w:pPr>
              <w:keepNext w:val="0"/>
              <w:keepLines w:val="0"/>
              <w:pageBreakBefore w:val="0"/>
              <w:widowControl/>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建设规模：本项目</w:t>
            </w:r>
            <w:r>
              <w:rPr>
                <w:rFonts w:hint="eastAsia" w:cs="Times New Roman"/>
                <w:color w:val="auto"/>
                <w:sz w:val="24"/>
                <w:highlight w:val="none"/>
                <w:lang w:eastAsia="zh-CN"/>
              </w:rPr>
              <w:t>建设</w:t>
            </w:r>
            <w:r>
              <w:rPr>
                <w:rFonts w:hint="eastAsia" w:cs="Times New Roman"/>
                <w:color w:val="auto"/>
                <w:sz w:val="24"/>
                <w:highlight w:val="none"/>
                <w:lang w:val="en-US" w:eastAsia="zh-CN"/>
              </w:rPr>
              <w:t>11800平方米储煤场，</w:t>
            </w:r>
            <w:r>
              <w:rPr>
                <w:rFonts w:hint="default" w:ascii="Times New Roman" w:hAnsi="Times New Roman" w:cs="Times New Roman"/>
                <w:color w:val="auto"/>
                <w:sz w:val="24"/>
                <w:highlight w:val="none"/>
              </w:rPr>
              <w:t>用于煤炭的储存，</w:t>
            </w:r>
            <w:r>
              <w:rPr>
                <w:rFonts w:hint="eastAsia" w:cs="Times New Roman"/>
                <w:color w:val="auto"/>
                <w:sz w:val="24"/>
                <w:highlight w:val="none"/>
                <w:lang w:eastAsia="zh-CN"/>
              </w:rPr>
              <w:t>最大可容纳</w:t>
            </w:r>
            <w:r>
              <w:rPr>
                <w:rFonts w:hint="eastAsia" w:cs="Times New Roman"/>
                <w:color w:val="auto"/>
                <w:sz w:val="24"/>
                <w:highlight w:val="none"/>
                <w:lang w:val="en-US" w:eastAsia="zh-CN"/>
              </w:rPr>
              <w:t>2.5万</w:t>
            </w:r>
            <w:r>
              <w:rPr>
                <w:rFonts w:hint="default" w:ascii="Times New Roman" w:hAnsi="Times New Roman" w:cs="Times New Roman"/>
                <w:color w:val="auto"/>
                <w:sz w:val="24"/>
                <w:highlight w:val="none"/>
                <w:lang w:val="en-US" w:eastAsia="zh-CN"/>
              </w:rPr>
              <w:t>吨</w:t>
            </w:r>
            <w:r>
              <w:rPr>
                <w:rFonts w:hint="eastAsia" w:cs="Times New Roman"/>
                <w:color w:val="auto"/>
                <w:sz w:val="24"/>
                <w:highlight w:val="none"/>
                <w:lang w:val="en-US" w:eastAsia="zh-CN"/>
              </w:rPr>
              <w:t>原煤</w:t>
            </w:r>
            <w:r>
              <w:rPr>
                <w:rFonts w:hint="default" w:ascii="Times New Roman" w:hAnsi="Times New Roman" w:cs="Times New Roman"/>
                <w:color w:val="auto"/>
                <w:sz w:val="24"/>
                <w:highlight w:val="none"/>
              </w:rPr>
              <w:t>，年周转煤炭</w:t>
            </w:r>
            <w:r>
              <w:rPr>
                <w:rFonts w:hint="eastAsia" w:cs="Times New Roman"/>
                <w:color w:val="auto"/>
                <w:sz w:val="24"/>
                <w:highlight w:val="none"/>
                <w:lang w:val="en-US" w:eastAsia="zh-CN"/>
              </w:rPr>
              <w:t>10万</w:t>
            </w:r>
            <w:r>
              <w:rPr>
                <w:rFonts w:hint="default" w:ascii="Times New Roman" w:hAnsi="Times New Roman" w:cs="Times New Roman"/>
                <w:color w:val="auto"/>
                <w:sz w:val="24"/>
                <w:highlight w:val="none"/>
                <w:lang w:val="en-US" w:eastAsia="zh-CN"/>
              </w:rPr>
              <w:t>吨</w:t>
            </w:r>
            <w:r>
              <w:rPr>
                <w:rFonts w:hint="default" w:ascii="Times New Roman" w:hAnsi="Times New Roman" w:cs="Times New Roman"/>
                <w:color w:val="auto"/>
                <w:sz w:val="24"/>
                <w:highlight w:val="none"/>
              </w:rPr>
              <w:t>。</w:t>
            </w:r>
          </w:p>
          <w:p w14:paraId="6369C064">
            <w:pPr>
              <w:pStyle w:val="48"/>
              <w:keepNext w:val="0"/>
              <w:keepLines w:val="0"/>
              <w:pageBreakBefore w:val="0"/>
              <w:kinsoku/>
              <w:wordWrap/>
              <w:overflowPunct/>
              <w:topLinePunct w:val="0"/>
              <w:autoSpaceDE/>
              <w:autoSpaceDN/>
              <w:bidi w:val="0"/>
              <w:adjustRightInd w:val="0"/>
              <w:snapToGrid w:val="0"/>
              <w:spacing w:line="360" w:lineRule="auto"/>
              <w:ind w:left="0" w:leftChars="0"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rPr>
              <w:t xml:space="preserve">项目组成      </w:t>
            </w:r>
            <w:r>
              <w:rPr>
                <w:rFonts w:hint="default" w:ascii="Times New Roman" w:hAnsi="Times New Roman" w:cs="Times New Roman"/>
                <w:color w:val="auto"/>
                <w:sz w:val="24"/>
                <w:highlight w:val="none"/>
              </w:rPr>
              <w:t xml:space="preserve">                                                                                                                                                                       </w:t>
            </w:r>
          </w:p>
          <w:p w14:paraId="7BAC9EB4">
            <w:pPr>
              <w:pStyle w:val="48"/>
              <w:keepNext w:val="0"/>
              <w:keepLines w:val="0"/>
              <w:pageBreakBefore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本项目主体工程、辅助工程、储运工程、公用工程及环保工程详见下表</w:t>
            </w:r>
            <w:r>
              <w:rPr>
                <w:rFonts w:hint="eastAsia" w:cs="Times New Roman"/>
                <w:color w:val="auto"/>
                <w:sz w:val="24"/>
                <w:highlight w:val="none"/>
                <w:lang w:eastAsia="zh-CN"/>
              </w:rPr>
              <w:t>，</w:t>
            </w:r>
            <w:r>
              <w:rPr>
                <w:rFonts w:hint="eastAsia" w:cs="Times New Roman"/>
                <w:color w:val="auto"/>
                <w:sz w:val="24"/>
                <w:highlight w:val="none"/>
                <w:lang w:val="en-US" w:eastAsia="zh-CN"/>
              </w:rPr>
              <w:t>本项目厂区内仅建设储煤场及初期雨水收集池；项目不设食堂和宿舍，车库、厕所均依托东侧紧邻的黑龙江腾邺贸易有限公司，黑龙江腾邺贸易有限公司共有4个车库，面积合计1114.68m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w:t>
            </w:r>
            <w:r>
              <w:rPr>
                <w:rFonts w:hint="eastAsia" w:cs="Times New Roman"/>
                <w:color w:val="auto"/>
                <w:sz w:val="24"/>
                <w:highlight w:val="none"/>
                <w:lang w:val="en-US" w:eastAsia="zh-CN"/>
              </w:rPr>
              <w:t>最大能容纳19量运输车，目前黑龙江腾邺贸易有限公司共停有6辆运输车，</w:t>
            </w:r>
            <w:r>
              <w:rPr>
                <w:rFonts w:hint="eastAsia" w:cs="Times New Roman"/>
                <w:color w:val="auto"/>
                <w:sz w:val="24"/>
                <w:highlight w:val="none"/>
                <w:lang w:val="en-US" w:eastAsia="zh-CN"/>
              </w:rPr>
              <w:t>有足够的空间能容纳本项目的6辆运输车；黑龙江腾邺贸易有限公司储煤货场已与黑龙江龙韩环保科技有限公司签订污水处理协议，化粪池污水定期抽排至黑龙江龙韩环保科技有限公司污水处理站处理</w:t>
            </w:r>
            <w:r>
              <w:rPr>
                <w:rFonts w:hint="default" w:ascii="Times New Roman" w:hAnsi="Times New Roman" w:cs="Times New Roman"/>
                <w:color w:val="auto"/>
                <w:sz w:val="24"/>
                <w:highlight w:val="none"/>
              </w:rPr>
              <w:t>。</w:t>
            </w:r>
          </w:p>
          <w:p w14:paraId="63357705">
            <w:pPr>
              <w:spacing w:line="360" w:lineRule="auto"/>
              <w:ind w:firstLine="422" w:firstLineChars="20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表2-</w:t>
            </w:r>
            <w:r>
              <w:rPr>
                <w:rFonts w:hint="default"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rPr>
              <w:t xml:space="preserve"> 本项目主要建设内容</w:t>
            </w:r>
          </w:p>
          <w:tbl>
            <w:tblPr>
              <w:tblStyle w:val="31"/>
              <w:tblW w:w="79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06"/>
              <w:gridCol w:w="1086"/>
              <w:gridCol w:w="5499"/>
              <w:gridCol w:w="340"/>
            </w:tblGrid>
            <w:tr w14:paraId="099971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Align w:val="center"/>
                </w:tcPr>
                <w:p w14:paraId="2115E2DC">
                  <w:pPr>
                    <w:widowControl w:val="0"/>
                    <w:wordWrap/>
                    <w:adjustRightInd/>
                    <w:snapToGrid/>
                    <w:spacing w:line="0" w:lineRule="atLeas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工程分类</w:t>
                  </w:r>
                </w:p>
              </w:tc>
              <w:tc>
                <w:tcPr>
                  <w:tcW w:w="1492" w:type="dxa"/>
                  <w:gridSpan w:val="2"/>
                  <w:vAlign w:val="center"/>
                </w:tcPr>
                <w:p w14:paraId="5822588D">
                  <w:pPr>
                    <w:widowControl w:val="0"/>
                    <w:wordWrap/>
                    <w:adjustRightInd/>
                    <w:snapToGrid/>
                    <w:spacing w:line="0" w:lineRule="atLeas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项目名称</w:t>
                  </w:r>
                </w:p>
              </w:tc>
              <w:tc>
                <w:tcPr>
                  <w:tcW w:w="5499" w:type="dxa"/>
                  <w:vAlign w:val="center"/>
                </w:tcPr>
                <w:p w14:paraId="4A9B5237">
                  <w:pPr>
                    <w:widowControl w:val="0"/>
                    <w:wordWrap/>
                    <w:adjustRightInd/>
                    <w:snapToGrid/>
                    <w:spacing w:line="0" w:lineRule="atLeas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工程内容</w:t>
                  </w:r>
                </w:p>
              </w:tc>
              <w:tc>
                <w:tcPr>
                  <w:tcW w:w="340" w:type="dxa"/>
                  <w:vAlign w:val="center"/>
                </w:tcPr>
                <w:p w14:paraId="73D25B89">
                  <w:pPr>
                    <w:widowControl w:val="0"/>
                    <w:wordWrap/>
                    <w:adjustRightInd/>
                    <w:snapToGrid/>
                    <w:spacing w:line="0" w:lineRule="atLeas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14:paraId="45F64D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641" w:type="dxa"/>
                  <w:vAlign w:val="center"/>
                </w:tcPr>
                <w:p w14:paraId="5BF3F7FC">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1492" w:type="dxa"/>
                  <w:gridSpan w:val="2"/>
                  <w:vAlign w:val="center"/>
                </w:tcPr>
                <w:p w14:paraId="0F30FB0A">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储煤场</w:t>
                  </w:r>
                </w:p>
              </w:tc>
              <w:tc>
                <w:tcPr>
                  <w:tcW w:w="5499" w:type="dxa"/>
                  <w:vAlign w:val="center"/>
                </w:tcPr>
                <w:p w14:paraId="01D67F4A">
                  <w:pPr>
                    <w:widowControl w:val="0"/>
                    <w:wordWrap/>
                    <w:adjustRightInd/>
                    <w:snapToGrid/>
                    <w:spacing w:line="0" w:lineRule="atLeast"/>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占地</w:t>
                  </w:r>
                  <w:r>
                    <w:rPr>
                      <w:rFonts w:hint="eastAsia" w:cs="Times New Roman"/>
                      <w:color w:val="auto"/>
                      <w:sz w:val="21"/>
                      <w:szCs w:val="21"/>
                      <w:highlight w:val="none"/>
                      <w:lang w:val="en-US" w:eastAsia="zh-CN"/>
                    </w:rPr>
                    <w:t>11800</w:t>
                  </w:r>
                  <w:r>
                    <w:rPr>
                      <w:rFonts w:hint="default" w:ascii="Times New Roman" w:hAnsi="Times New Roman" w:cs="Times New Roman"/>
                      <w:color w:val="auto"/>
                      <w:sz w:val="21"/>
                      <w:szCs w:val="21"/>
                      <w:highlight w:val="none"/>
                      <w:lang w:val="en-US" w:eastAsia="zh-CN"/>
                    </w:rPr>
                    <w:t>平</w:t>
                  </w:r>
                  <w:r>
                    <w:rPr>
                      <w:rFonts w:hint="default" w:ascii="Times New Roman" w:hAnsi="Times New Roman" w:cs="Times New Roman"/>
                      <w:color w:val="auto"/>
                      <w:sz w:val="21"/>
                      <w:szCs w:val="21"/>
                      <w:highlight w:val="none"/>
                    </w:rPr>
                    <w:t>方米，地面硬化处理，可容纳</w:t>
                  </w:r>
                  <w:r>
                    <w:rPr>
                      <w:rFonts w:hint="eastAsia" w:cs="Times New Roman"/>
                      <w:color w:val="auto"/>
                      <w:sz w:val="21"/>
                      <w:szCs w:val="21"/>
                      <w:highlight w:val="none"/>
                      <w:lang w:val="en-US" w:eastAsia="zh-CN"/>
                    </w:rPr>
                    <w:t>2.5万吨</w:t>
                  </w:r>
                  <w:r>
                    <w:rPr>
                      <w:rFonts w:hint="default" w:ascii="Times New Roman" w:hAnsi="Times New Roman" w:cs="Times New Roman"/>
                      <w:color w:val="auto"/>
                      <w:sz w:val="21"/>
                      <w:szCs w:val="21"/>
                      <w:highlight w:val="none"/>
                    </w:rPr>
                    <w:t>原煤。</w:t>
                  </w:r>
                  <w:r>
                    <w:rPr>
                      <w:rFonts w:hint="default" w:ascii="Times New Roman" w:hAnsi="Times New Roman" w:cs="Times New Roman"/>
                      <w:color w:val="auto"/>
                      <w:sz w:val="21"/>
                      <w:szCs w:val="21"/>
                      <w:highlight w:val="none"/>
                    </w:rPr>
                    <w:t>堆场四周设置雨水收集渠，</w:t>
                  </w:r>
                  <w:r>
                    <w:rPr>
                      <w:rFonts w:hint="default" w:ascii="Times New Roman" w:hAnsi="Times New Roman" w:cs="Times New Roman"/>
                      <w:color w:val="auto"/>
                      <w:sz w:val="21"/>
                      <w:szCs w:val="21"/>
                      <w:highlight w:val="none"/>
                    </w:rPr>
                    <w:t>堆场原煤堆</w:t>
                  </w:r>
                  <w:r>
                    <w:rPr>
                      <w:rFonts w:hint="default" w:ascii="Times New Roman" w:hAnsi="Times New Roman" w:cs="Times New Roman"/>
                      <w:color w:val="auto"/>
                      <w:sz w:val="21"/>
                      <w:szCs w:val="21"/>
                      <w:highlight w:val="none"/>
                      <w:lang w:eastAsia="zh-CN"/>
                    </w:rPr>
                    <w:t>高</w:t>
                  </w:r>
                  <w:r>
                    <w:rPr>
                      <w:rFonts w:hint="eastAsia" w:cs="Times New Roman"/>
                      <w:color w:val="auto"/>
                      <w:sz w:val="21"/>
                      <w:szCs w:val="21"/>
                      <w:highlight w:val="none"/>
                      <w:lang w:val="en-US" w:eastAsia="zh-CN"/>
                    </w:rPr>
                    <w:t>2.5</w:t>
                  </w:r>
                  <w:r>
                    <w:rPr>
                      <w:rFonts w:hint="default" w:ascii="Times New Roman" w:hAnsi="Times New Roman" w:cs="Times New Roman"/>
                      <w:color w:val="auto"/>
                      <w:sz w:val="21"/>
                      <w:szCs w:val="21"/>
                      <w:highlight w:val="none"/>
                      <w:lang w:eastAsia="zh-CN"/>
                    </w:rPr>
                    <w:t>m</w:t>
                  </w:r>
                  <w:r>
                    <w:rPr>
                      <w:rFonts w:hint="default" w:ascii="Times New Roman" w:hAnsi="Times New Roman" w:cs="Times New Roman"/>
                      <w:color w:val="auto"/>
                      <w:sz w:val="21"/>
                      <w:szCs w:val="21"/>
                      <w:highlight w:val="none"/>
                    </w:rPr>
                    <w:t>，设置</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m高</w:t>
                  </w:r>
                  <w:r>
                    <w:rPr>
                      <w:rFonts w:hint="eastAsia" w:cs="Times New Roman"/>
                      <w:color w:val="auto"/>
                      <w:sz w:val="21"/>
                      <w:szCs w:val="21"/>
                      <w:highlight w:val="none"/>
                      <w:lang w:val="en-US" w:eastAsia="zh-CN"/>
                    </w:rPr>
                    <w:t>、</w:t>
                  </w:r>
                  <w:r>
                    <w:rPr>
                      <w:rFonts w:hint="eastAsia" w:cs="Times New Roman"/>
                      <w:color w:val="auto"/>
                      <w:sz w:val="21"/>
                      <w:szCs w:val="21"/>
                      <w:highlight w:val="none"/>
                      <w:lang w:val="en-US" w:eastAsia="zh-CN"/>
                    </w:rPr>
                    <w:t>420m长</w:t>
                  </w:r>
                  <w:r>
                    <w:rPr>
                      <w:rFonts w:hint="eastAsia" w:cs="Times New Roman"/>
                      <w:color w:val="auto"/>
                      <w:sz w:val="21"/>
                      <w:szCs w:val="21"/>
                      <w:highlight w:val="none"/>
                      <w:lang w:eastAsia="zh-CN"/>
                    </w:rPr>
                    <w:t>金属材质</w:t>
                  </w:r>
                  <w:r>
                    <w:rPr>
                      <w:rFonts w:hint="default" w:ascii="Times New Roman" w:hAnsi="Times New Roman" w:cs="Times New Roman"/>
                      <w:color w:val="auto"/>
                      <w:sz w:val="21"/>
                      <w:szCs w:val="21"/>
                      <w:highlight w:val="none"/>
                    </w:rPr>
                    <w:t>的防风抑尘网</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围绕厂区建设</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并在堆场顶部苫盖苫布，</w:t>
                  </w:r>
                  <w:r>
                    <w:rPr>
                      <w:rFonts w:hint="default" w:ascii="Times New Roman" w:hAnsi="Times New Roman" w:cs="Times New Roman"/>
                      <w:color w:val="auto"/>
                      <w:sz w:val="21"/>
                      <w:szCs w:val="21"/>
                      <w:highlight w:val="none"/>
                    </w:rPr>
                    <w:t>作业时洒水降尘</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在重污染天气期间、大风天气时不进行作业</w:t>
                  </w:r>
                </w:p>
              </w:tc>
              <w:tc>
                <w:tcPr>
                  <w:tcW w:w="340" w:type="dxa"/>
                  <w:vAlign w:val="center"/>
                </w:tcPr>
                <w:p w14:paraId="1BE1AF99">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54214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Align w:val="center"/>
                </w:tcPr>
                <w:p w14:paraId="77B130DD">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辅助</w:t>
                  </w:r>
                  <w:r>
                    <w:rPr>
                      <w:rFonts w:hint="default" w:ascii="Times New Roman" w:hAnsi="Times New Roman" w:cs="Times New Roman"/>
                      <w:color w:val="auto"/>
                      <w:sz w:val="21"/>
                      <w:szCs w:val="21"/>
                      <w:highlight w:val="none"/>
                    </w:rPr>
                    <w:t>工程</w:t>
                  </w:r>
                </w:p>
              </w:tc>
              <w:tc>
                <w:tcPr>
                  <w:tcW w:w="1492" w:type="dxa"/>
                  <w:gridSpan w:val="2"/>
                  <w:vAlign w:val="center"/>
                </w:tcPr>
                <w:p w14:paraId="02EBBCB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初期雨水收集池</w:t>
                  </w:r>
                </w:p>
              </w:tc>
              <w:tc>
                <w:tcPr>
                  <w:tcW w:w="5499" w:type="dxa"/>
                  <w:vAlign w:val="center"/>
                </w:tcPr>
                <w:p w14:paraId="6AC2A144">
                  <w:pPr>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建设一个</w:t>
                  </w:r>
                  <w:r>
                    <w:rPr>
                      <w:rFonts w:hint="eastAsia" w:cs="Times New Roman"/>
                      <w:color w:val="auto"/>
                      <w:sz w:val="21"/>
                      <w:szCs w:val="21"/>
                      <w:highlight w:val="none"/>
                      <w:lang w:eastAsia="zh-CN"/>
                    </w:rPr>
                    <w:t>初期雨水收集池</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位置选择地势低洼处，</w:t>
                  </w:r>
                  <w:r>
                    <w:rPr>
                      <w:rFonts w:hint="default" w:ascii="Times New Roman" w:hAnsi="Times New Roman" w:cs="Times New Roman"/>
                      <w:color w:val="auto"/>
                      <w:sz w:val="21"/>
                      <w:szCs w:val="21"/>
                      <w:highlight w:val="none"/>
                    </w:rPr>
                    <w:t>位于厂区</w:t>
                  </w:r>
                  <w:r>
                    <w:rPr>
                      <w:rFonts w:hint="eastAsia" w:cs="Times New Roman"/>
                      <w:color w:val="auto"/>
                      <w:sz w:val="21"/>
                      <w:szCs w:val="21"/>
                      <w:highlight w:val="none"/>
                      <w:lang w:val="en-US" w:eastAsia="zh-CN"/>
                    </w:rPr>
                    <w:t>西</w:t>
                  </w:r>
                  <w:r>
                    <w:rPr>
                      <w:rFonts w:hint="default" w:ascii="Times New Roman" w:hAnsi="Times New Roman" w:cs="Times New Roman"/>
                      <w:color w:val="auto"/>
                      <w:sz w:val="21"/>
                      <w:szCs w:val="21"/>
                      <w:highlight w:val="none"/>
                      <w:lang w:eastAsia="zh-CN"/>
                    </w:rPr>
                    <w:t>北侧</w:t>
                  </w:r>
                  <w:r>
                    <w:rPr>
                      <w:rFonts w:hint="default" w:ascii="Times New Roman" w:hAnsi="Times New Roman" w:cs="Times New Roman"/>
                      <w:color w:val="auto"/>
                      <w:sz w:val="21"/>
                      <w:szCs w:val="21"/>
                      <w:highlight w:val="none"/>
                    </w:rPr>
                    <w:t>，占地</w:t>
                  </w: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00</w:t>
                  </w:r>
                  <w:r>
                    <w:rPr>
                      <w:rFonts w:hint="default" w:ascii="Times New Roman" w:hAnsi="Times New Roman" w:cs="Times New Roman"/>
                      <w:color w:val="auto"/>
                      <w:sz w:val="21"/>
                      <w:szCs w:val="21"/>
                      <w:highlight w:val="none"/>
                    </w:rPr>
                    <w:t>平方米，</w:t>
                  </w:r>
                  <w:r>
                    <w:rPr>
                      <w:rFonts w:hint="eastAsia" w:cs="Times New Roman"/>
                      <w:color w:val="auto"/>
                      <w:sz w:val="21"/>
                      <w:szCs w:val="21"/>
                      <w:highlight w:val="none"/>
                      <w:lang w:eastAsia="zh-CN"/>
                    </w:rPr>
                    <w:t>深</w:t>
                  </w:r>
                  <w:r>
                    <w:rPr>
                      <w:rFonts w:hint="eastAsia" w:cs="Times New Roman"/>
                      <w:color w:val="auto"/>
                      <w:sz w:val="21"/>
                      <w:szCs w:val="21"/>
                      <w:highlight w:val="none"/>
                      <w:lang w:val="en-US" w:eastAsia="zh-CN"/>
                    </w:rPr>
                    <w:t>2m，</w:t>
                  </w:r>
                  <w:r>
                    <w:rPr>
                      <w:rFonts w:hint="default" w:ascii="Times New Roman" w:hAnsi="Times New Roman" w:cs="Times New Roman"/>
                      <w:color w:val="auto"/>
                      <w:sz w:val="21"/>
                      <w:szCs w:val="21"/>
                      <w:highlight w:val="none"/>
                    </w:rPr>
                    <w:t>容积</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00</w:t>
                  </w:r>
                  <w:r>
                    <w:rPr>
                      <w:rFonts w:hint="default" w:ascii="Times New Roman" w:hAnsi="Times New Roman" w:cs="Times New Roman"/>
                      <w:color w:val="auto"/>
                      <w:sz w:val="21"/>
                      <w:szCs w:val="21"/>
                      <w:highlight w:val="none"/>
                    </w:rPr>
                    <w:t>m³</w:t>
                  </w:r>
                  <w:r>
                    <w:rPr>
                      <w:rFonts w:hint="default" w:ascii="Times New Roman" w:hAnsi="Times New Roman" w:cs="Times New Roman"/>
                      <w:color w:val="auto"/>
                      <w:sz w:val="21"/>
                      <w:szCs w:val="21"/>
                      <w:highlight w:val="none"/>
                    </w:rPr>
                    <w:t>，用于收集雨</w:t>
                  </w:r>
                  <w:r>
                    <w:rPr>
                      <w:rFonts w:hint="default" w:ascii="Times New Roman" w:hAnsi="Times New Roman" w:cs="Times New Roman"/>
                      <w:color w:val="auto"/>
                      <w:sz w:val="21"/>
                      <w:szCs w:val="21"/>
                      <w:highlight w:val="none"/>
                      <w:lang w:eastAsia="zh-CN"/>
                    </w:rPr>
                    <w:t>水</w:t>
                  </w:r>
                  <w:r>
                    <w:rPr>
                      <w:rFonts w:hint="eastAsia" w:cs="Times New Roman"/>
                      <w:color w:val="auto"/>
                      <w:sz w:val="21"/>
                      <w:szCs w:val="21"/>
                      <w:highlight w:val="none"/>
                      <w:lang w:eastAsia="zh-CN"/>
                    </w:rPr>
                    <w:t>，在厂区四周设置</w:t>
                  </w:r>
                  <w:r>
                    <w:rPr>
                      <w:rFonts w:hint="eastAsia" w:cs="Times New Roman"/>
                      <w:color w:val="auto"/>
                      <w:sz w:val="21"/>
                      <w:szCs w:val="21"/>
                      <w:highlight w:val="none"/>
                      <w:lang w:val="en-US" w:eastAsia="zh-CN"/>
                    </w:rPr>
                    <w:t>400m</w:t>
                  </w:r>
                  <w:r>
                    <w:rPr>
                      <w:rFonts w:hint="eastAsia" w:cs="Times New Roman"/>
                      <w:color w:val="auto"/>
                      <w:sz w:val="21"/>
                      <w:szCs w:val="21"/>
                      <w:highlight w:val="none"/>
                      <w:lang w:eastAsia="zh-CN"/>
                    </w:rPr>
                    <w:t>雨水收集渠，</w:t>
                  </w:r>
                </w:p>
              </w:tc>
              <w:tc>
                <w:tcPr>
                  <w:tcW w:w="340" w:type="dxa"/>
                  <w:vAlign w:val="center"/>
                </w:tcPr>
                <w:p w14:paraId="3F8B1D62">
                  <w:pPr>
                    <w:widowControl w:val="0"/>
                    <w:wordWrap/>
                    <w:adjustRightInd/>
                    <w:snapToGrid/>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新建</w:t>
                  </w:r>
                </w:p>
              </w:tc>
            </w:tr>
            <w:tr w14:paraId="3DC105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restart"/>
                  <w:vAlign w:val="center"/>
                </w:tcPr>
                <w:p w14:paraId="54C9AE9F">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公用工程</w:t>
                  </w:r>
                </w:p>
              </w:tc>
              <w:tc>
                <w:tcPr>
                  <w:tcW w:w="1492" w:type="dxa"/>
                  <w:gridSpan w:val="2"/>
                  <w:vAlign w:val="center"/>
                </w:tcPr>
                <w:p w14:paraId="606192BD">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供水</w:t>
                  </w:r>
                </w:p>
              </w:tc>
              <w:tc>
                <w:tcPr>
                  <w:tcW w:w="5499" w:type="dxa"/>
                  <w:vAlign w:val="center"/>
                </w:tcPr>
                <w:p w14:paraId="1000F383">
                  <w:pPr>
                    <w:widowControl w:val="0"/>
                    <w:wordWrap/>
                    <w:adjustRightInd/>
                    <w:snapToGrid/>
                    <w:spacing w:line="0" w:lineRule="atLeas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依托东侧紧邻黑龙江腾邺贸易有限公司厂区内两口水井</w:t>
                  </w:r>
                </w:p>
              </w:tc>
              <w:tc>
                <w:tcPr>
                  <w:tcW w:w="340" w:type="dxa"/>
                  <w:vAlign w:val="center"/>
                </w:tcPr>
                <w:p w14:paraId="23CD731C">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依托</w:t>
                  </w:r>
                </w:p>
              </w:tc>
            </w:tr>
            <w:tr w14:paraId="23BCFD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2AD8F0AD">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c>
                <w:tcPr>
                  <w:tcW w:w="1492" w:type="dxa"/>
                  <w:gridSpan w:val="2"/>
                  <w:vMerge w:val="restart"/>
                  <w:vAlign w:val="center"/>
                </w:tcPr>
                <w:p w14:paraId="359A8ADF">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排水</w:t>
                  </w:r>
                </w:p>
              </w:tc>
              <w:tc>
                <w:tcPr>
                  <w:tcW w:w="5499" w:type="dxa"/>
                  <w:vAlign w:val="center"/>
                </w:tcPr>
                <w:p w14:paraId="14BED530">
                  <w:pPr>
                    <w:widowControl w:val="0"/>
                    <w:wordWrap/>
                    <w:adjustRightInd/>
                    <w:snapToGrid/>
                    <w:spacing w:line="0" w:lineRule="atLeast"/>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本项目厂区内不设置厕所，无员工生活污水产生和排放</w:t>
                  </w:r>
                </w:p>
              </w:tc>
              <w:tc>
                <w:tcPr>
                  <w:tcW w:w="340" w:type="dxa"/>
                  <w:vAlign w:val="center"/>
                </w:tcPr>
                <w:p w14:paraId="78A6DF38">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C04B7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41" w:type="dxa"/>
                  <w:vMerge w:val="continue"/>
                  <w:vAlign w:val="center"/>
                </w:tcPr>
                <w:p w14:paraId="52322850">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c>
                <w:tcPr>
                  <w:tcW w:w="1492" w:type="dxa"/>
                  <w:gridSpan w:val="2"/>
                  <w:vMerge w:val="continue"/>
                  <w:vAlign w:val="center"/>
                </w:tcPr>
                <w:p w14:paraId="2EB495EC">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c>
                <w:tcPr>
                  <w:tcW w:w="5499" w:type="dxa"/>
                  <w:vAlign w:val="center"/>
                </w:tcPr>
                <w:p w14:paraId="2CBFB4E1">
                  <w:pPr>
                    <w:widowControl w:val="0"/>
                    <w:wordWrap/>
                    <w:adjustRightInd/>
                    <w:snapToGrid/>
                    <w:spacing w:line="0" w:lineRule="atLeast"/>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雨水经厂区雨水收集渠进入</w:t>
                  </w:r>
                  <w:r>
                    <w:rPr>
                      <w:rFonts w:hint="eastAsia" w:cs="Times New Roman"/>
                      <w:color w:val="auto"/>
                      <w:sz w:val="21"/>
                      <w:szCs w:val="21"/>
                      <w:highlight w:val="none"/>
                      <w:lang w:val="en-US" w:eastAsia="zh-CN"/>
                    </w:rPr>
                    <w:t>初期雨水收集池</w:t>
                  </w:r>
                  <w:r>
                    <w:rPr>
                      <w:rFonts w:hint="default" w:ascii="Times New Roman" w:hAnsi="Times New Roman" w:eastAsia="宋体" w:cs="Times New Roman"/>
                      <w:color w:val="auto"/>
                      <w:sz w:val="21"/>
                      <w:szCs w:val="21"/>
                      <w:highlight w:val="none"/>
                      <w:lang w:val="en-US" w:eastAsia="zh-CN"/>
                    </w:rPr>
                    <w:t>沉淀后用于洒水降尘，不外排</w:t>
                  </w:r>
                </w:p>
              </w:tc>
              <w:tc>
                <w:tcPr>
                  <w:tcW w:w="340" w:type="dxa"/>
                  <w:vMerge w:val="restart"/>
                  <w:vAlign w:val="center"/>
                </w:tcPr>
                <w:p w14:paraId="16105B81">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77A52E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2F1BFE51">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c>
                <w:tcPr>
                  <w:tcW w:w="1492" w:type="dxa"/>
                  <w:gridSpan w:val="2"/>
                  <w:vAlign w:val="center"/>
                </w:tcPr>
                <w:p w14:paraId="54E01421">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供热</w:t>
                  </w:r>
                </w:p>
              </w:tc>
              <w:tc>
                <w:tcPr>
                  <w:tcW w:w="5499" w:type="dxa"/>
                  <w:vAlign w:val="center"/>
                </w:tcPr>
                <w:p w14:paraId="4F33FC16">
                  <w:pPr>
                    <w:widowControl w:val="0"/>
                    <w:wordWrap/>
                    <w:adjustRightInd/>
                    <w:snapToGrid/>
                    <w:spacing w:line="0" w:lineRule="atLeast"/>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本项目生产区无需供暖，办公区冬季采暖采用电采暖</w:t>
                  </w:r>
                </w:p>
              </w:tc>
              <w:tc>
                <w:tcPr>
                  <w:tcW w:w="340" w:type="dxa"/>
                  <w:vMerge w:val="continue"/>
                  <w:vAlign w:val="center"/>
                </w:tcPr>
                <w:p w14:paraId="12F74B8A">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r>
            <w:tr w14:paraId="7381D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vMerge w:val="continue"/>
                  <w:vAlign w:val="center"/>
                </w:tcPr>
                <w:p w14:paraId="19C7BC2D">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p>
              </w:tc>
              <w:tc>
                <w:tcPr>
                  <w:tcW w:w="1492" w:type="dxa"/>
                  <w:gridSpan w:val="2"/>
                  <w:vAlign w:val="center"/>
                </w:tcPr>
                <w:p w14:paraId="3C7EF3DA">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供电</w:t>
                  </w:r>
                </w:p>
              </w:tc>
              <w:tc>
                <w:tcPr>
                  <w:tcW w:w="5499" w:type="dxa"/>
                  <w:vAlign w:val="center"/>
                </w:tcPr>
                <w:p w14:paraId="7FC2F3F3">
                  <w:pPr>
                    <w:widowControl w:val="0"/>
                    <w:wordWrap/>
                    <w:adjustRightInd/>
                    <w:snapToGrid/>
                    <w:spacing w:line="0" w:lineRule="atLeast"/>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本项目用电由</w:t>
                  </w:r>
                  <w:r>
                    <w:rPr>
                      <w:rFonts w:hint="default" w:ascii="Times New Roman" w:hAnsi="Times New Roman" w:cs="Times New Roman"/>
                      <w:color w:val="auto"/>
                      <w:sz w:val="21"/>
                      <w:szCs w:val="21"/>
                      <w:highlight w:val="none"/>
                      <w:lang w:eastAsia="zh-CN"/>
                    </w:rPr>
                    <w:t>鸡西矿业集团双河煤矿电力公司</w:t>
                  </w:r>
                  <w:r>
                    <w:rPr>
                      <w:rFonts w:hint="default" w:ascii="Times New Roman" w:hAnsi="Times New Roman" w:cs="Times New Roman"/>
                      <w:color w:val="auto"/>
                      <w:sz w:val="21"/>
                      <w:szCs w:val="21"/>
                      <w:highlight w:val="none"/>
                    </w:rPr>
                    <w:t>提供，可满足项目需求</w:t>
                  </w:r>
                </w:p>
              </w:tc>
              <w:tc>
                <w:tcPr>
                  <w:tcW w:w="340" w:type="dxa"/>
                  <w:vAlign w:val="center"/>
                </w:tcPr>
                <w:p w14:paraId="2E0ED94F">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依托</w:t>
                  </w:r>
                </w:p>
              </w:tc>
            </w:tr>
            <w:tr w14:paraId="7DD12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vMerge w:val="restart"/>
                  <w:vAlign w:val="center"/>
                </w:tcPr>
                <w:p w14:paraId="528C4754">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1492" w:type="dxa"/>
                  <w:gridSpan w:val="2"/>
                  <w:vAlign w:val="center"/>
                </w:tcPr>
                <w:p w14:paraId="7544ACA1">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5499" w:type="dxa"/>
                  <w:vAlign w:val="center"/>
                </w:tcPr>
                <w:p w14:paraId="7E898662">
                  <w:pPr>
                    <w:widowControl w:val="0"/>
                    <w:wordWrap/>
                    <w:adjustRightInd/>
                    <w:snapToGrid/>
                    <w:spacing w:line="0" w:lineRule="atLeast"/>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雨水经厂区雨水收集渠进入</w:t>
                  </w:r>
                  <w:r>
                    <w:rPr>
                      <w:rFonts w:hint="eastAsia" w:cs="Times New Roman"/>
                      <w:color w:val="auto"/>
                      <w:sz w:val="21"/>
                      <w:szCs w:val="21"/>
                      <w:highlight w:val="none"/>
                      <w:lang w:val="en-US" w:eastAsia="zh-CN"/>
                    </w:rPr>
                    <w:t>初期雨水收集池</w:t>
                  </w:r>
                  <w:r>
                    <w:rPr>
                      <w:rFonts w:hint="default" w:ascii="Times New Roman" w:hAnsi="Times New Roman" w:cs="Times New Roman"/>
                      <w:color w:val="auto"/>
                      <w:sz w:val="21"/>
                      <w:szCs w:val="21"/>
                      <w:highlight w:val="none"/>
                      <w:lang w:val="en-US" w:eastAsia="zh-CN"/>
                    </w:rPr>
                    <w:t>沉淀后用于洒水降尘，不外排</w:t>
                  </w:r>
                </w:p>
              </w:tc>
              <w:tc>
                <w:tcPr>
                  <w:tcW w:w="340" w:type="dxa"/>
                  <w:vMerge w:val="restart"/>
                  <w:vAlign w:val="center"/>
                </w:tcPr>
                <w:p w14:paraId="37A81C17">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新建</w:t>
                  </w:r>
                </w:p>
              </w:tc>
            </w:tr>
            <w:tr w14:paraId="6BD7A7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018C17D1">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1492" w:type="dxa"/>
                  <w:gridSpan w:val="2"/>
                  <w:vAlign w:val="center"/>
                </w:tcPr>
                <w:p w14:paraId="2271EB45">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5499" w:type="dxa"/>
                  <w:vAlign w:val="center"/>
                </w:tcPr>
                <w:p w14:paraId="0639AED7">
                  <w:pPr>
                    <w:widowControl w:val="0"/>
                    <w:wordWrap/>
                    <w:adjustRightInd/>
                    <w:snapToGrid/>
                    <w:spacing w:line="0" w:lineRule="atLeast"/>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低噪声设备、基础减震</w:t>
                  </w:r>
                </w:p>
              </w:tc>
              <w:tc>
                <w:tcPr>
                  <w:tcW w:w="340" w:type="dxa"/>
                  <w:vMerge w:val="continue"/>
                  <w:vAlign w:val="center"/>
                </w:tcPr>
                <w:p w14:paraId="5F591672">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r w14:paraId="0DF4D5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641" w:type="dxa"/>
                  <w:vMerge w:val="continue"/>
                  <w:vAlign w:val="center"/>
                </w:tcPr>
                <w:p w14:paraId="0086A518">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406" w:type="dxa"/>
                  <w:vAlign w:val="center"/>
                </w:tcPr>
                <w:p w14:paraId="46597395">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1086" w:type="dxa"/>
                  <w:vAlign w:val="center"/>
                </w:tcPr>
                <w:p w14:paraId="7CD42B4A">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粉尘</w:t>
                  </w:r>
                </w:p>
              </w:tc>
              <w:tc>
                <w:tcPr>
                  <w:tcW w:w="5499" w:type="dxa"/>
                  <w:vAlign w:val="center"/>
                </w:tcPr>
                <w:p w14:paraId="68F5EA3E">
                  <w:pPr>
                    <w:pStyle w:val="47"/>
                    <w:keepNext w:val="0"/>
                    <w:keepLines w:val="0"/>
                    <w:pageBreakBefore w:val="0"/>
                    <w:widowControl w:val="0"/>
                    <w:kinsoku/>
                    <w:wordWrap/>
                    <w:overflowPunct/>
                    <w:topLinePunct w:val="0"/>
                    <w:autoSpaceDE/>
                    <w:autoSpaceDN/>
                    <w:bidi w:val="0"/>
                    <w:spacing w:line="240" w:lineRule="auto"/>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对厂区道路进行硬化，派专人对厂区及外围道路进行洒水抑尘，</w:t>
                  </w:r>
                  <w:r>
                    <w:rPr>
                      <w:rFonts w:hint="default" w:ascii="Times New Roman" w:hAnsi="Times New Roman" w:cs="Times New Roman"/>
                      <w:color w:val="auto"/>
                      <w:sz w:val="21"/>
                      <w:szCs w:val="21"/>
                      <w:highlight w:val="none"/>
                    </w:rPr>
                    <w:t>运输车辆采用重型运输车，</w:t>
                  </w:r>
                  <w:r>
                    <w:rPr>
                      <w:rFonts w:hint="eastAsia" w:ascii="Times New Roman" w:hAnsi="Times New Roman" w:cs="Times New Roman"/>
                      <w:color w:val="auto"/>
                      <w:sz w:val="21"/>
                      <w:szCs w:val="21"/>
                      <w:highlight w:val="none"/>
                      <w:lang w:eastAsia="zh-CN"/>
                    </w:rPr>
                    <w:t>货车</w:t>
                  </w:r>
                  <w:r>
                    <w:rPr>
                      <w:rFonts w:hint="default" w:ascii="Times New Roman" w:hAnsi="Times New Roman" w:cs="Times New Roman"/>
                      <w:color w:val="auto"/>
                      <w:sz w:val="21"/>
                      <w:szCs w:val="21"/>
                      <w:highlight w:val="none"/>
                    </w:rPr>
                    <w:t>顶部覆盖</w:t>
                  </w:r>
                  <w:r>
                    <w:rPr>
                      <w:rFonts w:hint="default" w:ascii="Times New Roman" w:hAnsi="Times New Roman" w:cs="Times New Roman"/>
                      <w:color w:val="auto"/>
                      <w:sz w:val="21"/>
                      <w:szCs w:val="21"/>
                      <w:highlight w:val="none"/>
                      <w:lang w:eastAsia="zh-CN"/>
                    </w:rPr>
                    <w:t>苫布；</w:t>
                  </w:r>
                  <w:r>
                    <w:rPr>
                      <w:rFonts w:hint="default" w:ascii="Times New Roman" w:hAnsi="Times New Roman" w:cs="Times New Roman"/>
                      <w:color w:val="auto"/>
                      <w:sz w:val="21"/>
                      <w:szCs w:val="21"/>
                      <w:highlight w:val="none"/>
                      <w:lang w:val="en-US" w:eastAsia="zh-CN"/>
                    </w:rPr>
                    <w:t>在储煤场四周建设</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m高防风抑尘网并在堆场顶部苫盖苫布，装卸时尽可能缩小高差；储煤场地面全部硬化防渗，储煤场采用洒水车定期洒水降尘，不会产生大量扬尘</w:t>
                  </w:r>
                </w:p>
              </w:tc>
              <w:tc>
                <w:tcPr>
                  <w:tcW w:w="340" w:type="dxa"/>
                  <w:vMerge w:val="continue"/>
                  <w:vAlign w:val="center"/>
                </w:tcPr>
                <w:p w14:paraId="2BDC5CDB">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r w14:paraId="12DEC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465C30C8">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406" w:type="dxa"/>
                  <w:vMerge w:val="restart"/>
                  <w:vAlign w:val="center"/>
                </w:tcPr>
                <w:p w14:paraId="22987E1B">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固废</w:t>
                  </w:r>
                </w:p>
              </w:tc>
              <w:tc>
                <w:tcPr>
                  <w:tcW w:w="1086" w:type="dxa"/>
                  <w:shd w:val="clear" w:color="auto" w:fill="auto"/>
                  <w:vAlign w:val="center"/>
                </w:tcPr>
                <w:p w14:paraId="39F89520">
                  <w:pPr>
                    <w:widowControl w:val="0"/>
                    <w:wordWrap/>
                    <w:adjustRightInd/>
                    <w:snapToGrid/>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生活垃圾</w:t>
                  </w:r>
                </w:p>
              </w:tc>
              <w:tc>
                <w:tcPr>
                  <w:tcW w:w="5499" w:type="dxa"/>
                  <w:shd w:val="clear" w:color="auto" w:fill="auto"/>
                  <w:vAlign w:val="center"/>
                </w:tcPr>
                <w:p w14:paraId="7F303F5B">
                  <w:pPr>
                    <w:widowControl w:val="0"/>
                    <w:wordWrap/>
                    <w:adjustRightInd/>
                    <w:snapToGrid/>
                    <w:spacing w:line="0" w:lineRule="atLeast"/>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rPr>
                    <w:t>员工生活垃圾暂存垃圾桶委托环卫部门统一处理</w:t>
                  </w:r>
                </w:p>
              </w:tc>
              <w:tc>
                <w:tcPr>
                  <w:tcW w:w="340" w:type="dxa"/>
                  <w:vMerge w:val="continue"/>
                  <w:vAlign w:val="center"/>
                </w:tcPr>
                <w:p w14:paraId="31048A25">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r w14:paraId="4F9196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4B429FCF">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406" w:type="dxa"/>
                  <w:vMerge w:val="continue"/>
                  <w:vAlign w:val="center"/>
                </w:tcPr>
                <w:p w14:paraId="4122B637">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p>
              </w:tc>
              <w:tc>
                <w:tcPr>
                  <w:tcW w:w="1086" w:type="dxa"/>
                  <w:shd w:val="clear" w:color="auto" w:fill="auto"/>
                  <w:vAlign w:val="center"/>
                </w:tcPr>
                <w:p w14:paraId="5594E6A2">
                  <w:pPr>
                    <w:widowControl w:val="0"/>
                    <w:wordWrap/>
                    <w:adjustRightInd/>
                    <w:snapToGrid/>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沉淀煤泥</w:t>
                  </w:r>
                </w:p>
              </w:tc>
              <w:tc>
                <w:tcPr>
                  <w:tcW w:w="5499" w:type="dxa"/>
                  <w:shd w:val="clear" w:color="auto" w:fill="auto"/>
                  <w:vAlign w:val="center"/>
                </w:tcPr>
                <w:p w14:paraId="712312F0">
                  <w:pPr>
                    <w:widowControl w:val="0"/>
                    <w:wordWrap/>
                    <w:adjustRightInd/>
                    <w:snapToGrid/>
                    <w:spacing w:line="0" w:lineRule="atLeast"/>
                    <w:jc w:val="left"/>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rPr>
                    <w:t>沉淀煤泥定期清理后外售综合利用</w:t>
                  </w:r>
                </w:p>
              </w:tc>
              <w:tc>
                <w:tcPr>
                  <w:tcW w:w="340" w:type="dxa"/>
                  <w:vMerge w:val="continue"/>
                  <w:vAlign w:val="center"/>
                </w:tcPr>
                <w:p w14:paraId="3E712924">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r w14:paraId="3C86AB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3B23CCD6">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406" w:type="dxa"/>
                  <w:vMerge w:val="continue"/>
                  <w:vAlign w:val="center"/>
                </w:tcPr>
                <w:p w14:paraId="274D32F2">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p>
              </w:tc>
              <w:tc>
                <w:tcPr>
                  <w:tcW w:w="1086" w:type="dxa"/>
                  <w:shd w:val="clear" w:color="auto" w:fill="auto"/>
                  <w:vAlign w:val="center"/>
                </w:tcPr>
                <w:p w14:paraId="1117B001">
                  <w:pPr>
                    <w:widowControl w:val="0"/>
                    <w:wordWrap/>
                    <w:adjustRightInd/>
                    <w:snapToGrid/>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破损防风抑尘网</w:t>
                  </w:r>
                </w:p>
              </w:tc>
              <w:tc>
                <w:tcPr>
                  <w:tcW w:w="5499" w:type="dxa"/>
                  <w:shd w:val="clear" w:color="auto" w:fill="auto"/>
                  <w:vAlign w:val="center"/>
                </w:tcPr>
                <w:p w14:paraId="472C0F8F">
                  <w:pPr>
                    <w:widowControl w:val="0"/>
                    <w:wordWrap/>
                    <w:adjustRightInd/>
                    <w:snapToGrid/>
                    <w:spacing w:line="0" w:lineRule="atLeast"/>
                    <w:jc w:val="left"/>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rPr>
                    <w:t>作为废旧物资外售</w:t>
                  </w:r>
                </w:p>
              </w:tc>
              <w:tc>
                <w:tcPr>
                  <w:tcW w:w="340" w:type="dxa"/>
                  <w:vMerge w:val="continue"/>
                  <w:vAlign w:val="center"/>
                </w:tcPr>
                <w:p w14:paraId="00A71042">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r w14:paraId="237DF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1" w:type="dxa"/>
                  <w:vMerge w:val="continue"/>
                  <w:vAlign w:val="center"/>
                </w:tcPr>
                <w:p w14:paraId="2B3608D3">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c>
                <w:tcPr>
                  <w:tcW w:w="406" w:type="dxa"/>
                  <w:vMerge w:val="continue"/>
                  <w:vAlign w:val="center"/>
                </w:tcPr>
                <w:p w14:paraId="78078155">
                  <w:pPr>
                    <w:widowControl w:val="0"/>
                    <w:wordWrap/>
                    <w:adjustRightInd/>
                    <w:snapToGrid/>
                    <w:spacing w:line="0" w:lineRule="atLeast"/>
                    <w:jc w:val="center"/>
                    <w:textAlignment w:val="auto"/>
                    <w:rPr>
                      <w:rFonts w:hint="default" w:ascii="Times New Roman" w:hAnsi="Times New Roman" w:eastAsia="宋体" w:cs="Times New Roman"/>
                      <w:color w:val="auto"/>
                      <w:sz w:val="21"/>
                      <w:szCs w:val="21"/>
                      <w:highlight w:val="none"/>
                      <w:lang w:eastAsia="zh-CN"/>
                    </w:rPr>
                  </w:pPr>
                </w:p>
              </w:tc>
              <w:tc>
                <w:tcPr>
                  <w:tcW w:w="1086" w:type="dxa"/>
                  <w:shd w:val="clear" w:color="auto" w:fill="auto"/>
                  <w:vAlign w:val="center"/>
                </w:tcPr>
                <w:p w14:paraId="7A1EA1F3">
                  <w:pPr>
                    <w:widowControl w:val="0"/>
                    <w:wordWrap/>
                    <w:adjustRightInd/>
                    <w:snapToGrid/>
                    <w:spacing w:line="0" w:lineRule="atLeas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破损苫布</w:t>
                  </w:r>
                </w:p>
              </w:tc>
              <w:tc>
                <w:tcPr>
                  <w:tcW w:w="5499" w:type="dxa"/>
                  <w:shd w:val="clear" w:color="auto" w:fill="auto"/>
                  <w:vAlign w:val="center"/>
                </w:tcPr>
                <w:p w14:paraId="2F6BE924">
                  <w:pPr>
                    <w:widowControl w:val="0"/>
                    <w:wordWrap/>
                    <w:adjustRightInd/>
                    <w:snapToGrid/>
                    <w:spacing w:line="0" w:lineRule="atLeast"/>
                    <w:jc w:val="left"/>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rPr>
                    <w:t>作为废旧物资外售</w:t>
                  </w:r>
                </w:p>
              </w:tc>
              <w:tc>
                <w:tcPr>
                  <w:tcW w:w="340" w:type="dxa"/>
                  <w:vMerge w:val="continue"/>
                  <w:vAlign w:val="center"/>
                </w:tcPr>
                <w:p w14:paraId="39A64744">
                  <w:pPr>
                    <w:widowControl w:val="0"/>
                    <w:wordWrap/>
                    <w:adjustRightInd/>
                    <w:snapToGrid/>
                    <w:spacing w:line="0" w:lineRule="atLeast"/>
                    <w:jc w:val="center"/>
                    <w:textAlignment w:val="auto"/>
                    <w:rPr>
                      <w:rFonts w:hint="default" w:ascii="Times New Roman" w:hAnsi="Times New Roman" w:cs="Times New Roman"/>
                      <w:color w:val="auto"/>
                      <w:sz w:val="21"/>
                      <w:szCs w:val="21"/>
                      <w:highlight w:val="none"/>
                    </w:rPr>
                  </w:pPr>
                </w:p>
              </w:tc>
            </w:tr>
          </w:tbl>
          <w:p w14:paraId="7B644E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color w:val="auto"/>
                <w:sz w:val="24"/>
                <w:highlight w:val="none"/>
                <w:lang w:eastAsia="zh-CN"/>
              </w:rPr>
              <w:t>本项目</w:t>
            </w:r>
            <w:r>
              <w:rPr>
                <w:rFonts w:hint="default" w:ascii="Times New Roman" w:hAnsi="Times New Roman" w:cs="Times New Roman"/>
                <w:color w:val="auto"/>
                <w:sz w:val="24"/>
                <w:szCs w:val="24"/>
                <w:highlight w:val="none"/>
                <w:lang w:val="en-US" w:eastAsia="zh-CN"/>
              </w:rPr>
              <w:t>车辆损坏等不在厂内维修，不涉及</w:t>
            </w:r>
            <w:r>
              <w:rPr>
                <w:rFonts w:hint="default" w:ascii="Times New Roman" w:hAnsi="Times New Roman" w:eastAsia="宋体" w:cs="Times New Roman"/>
                <w:color w:val="auto"/>
                <w:sz w:val="24"/>
                <w:szCs w:val="24"/>
                <w:highlight w:val="none"/>
                <w:lang w:val="en-US" w:eastAsia="zh-CN"/>
              </w:rPr>
              <w:t>废矿物油等危险废物</w:t>
            </w:r>
            <w:r>
              <w:rPr>
                <w:rFonts w:hint="default" w:ascii="Times New Roman" w:hAnsi="Times New Roman"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lang w:val="en-US" w:eastAsia="zh-CN"/>
              </w:rPr>
              <w:t>设置</w:t>
            </w:r>
            <w:r>
              <w:rPr>
                <w:rFonts w:hint="default" w:ascii="Times New Roman" w:hAnsi="Times New Roman" w:eastAsia="宋体" w:cs="Times New Roman"/>
                <w:color w:val="auto"/>
                <w:sz w:val="24"/>
                <w:szCs w:val="24"/>
                <w:highlight w:val="none"/>
                <w:lang w:val="en-US" w:eastAsia="zh-CN"/>
              </w:rPr>
              <w:t>危废贮存点</w:t>
            </w:r>
            <w:r>
              <w:rPr>
                <w:rFonts w:hint="default" w:ascii="Times New Roman" w:hAnsi="Times New Roman" w:eastAsia="宋体" w:cs="Times New Roman"/>
                <w:color w:val="auto"/>
                <w:sz w:val="24"/>
                <w:highlight w:val="none"/>
                <w:lang w:eastAsia="zh-CN"/>
              </w:rPr>
              <w:t>。</w:t>
            </w:r>
          </w:p>
          <w:p w14:paraId="2DC28FF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rPr>
              <w:t>、主要设备</w:t>
            </w:r>
          </w:p>
          <w:p w14:paraId="34F904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本项目主要器材设备及环保设备详见表2-</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4C7434F7">
            <w:pPr>
              <w:spacing w:line="360" w:lineRule="auto"/>
              <w:ind w:firstLine="422" w:firstLineChars="20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表2-</w:t>
            </w:r>
            <w:r>
              <w:rPr>
                <w:rFonts w:hint="default" w:ascii="Times New Roman" w:hAnsi="Times New Roman" w:cs="Times New Roman"/>
                <w:b/>
                <w:bCs/>
                <w:color w:val="auto"/>
                <w:highlight w:val="none"/>
                <w:lang w:val="en-US" w:eastAsia="zh-CN"/>
              </w:rPr>
              <w:t>2</w:t>
            </w:r>
            <w:r>
              <w:rPr>
                <w:rFonts w:hint="default" w:ascii="Times New Roman" w:hAnsi="Times New Roman" w:cs="Times New Roman"/>
                <w:b/>
                <w:bCs/>
                <w:color w:val="auto"/>
                <w:highlight w:val="none"/>
              </w:rPr>
              <w:t xml:space="preserve"> 主要生产设备及环保设备一览表</w:t>
            </w:r>
          </w:p>
          <w:tbl>
            <w:tblPr>
              <w:tblStyle w:val="31"/>
              <w:tblW w:w="500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649"/>
              <w:gridCol w:w="1575"/>
              <w:gridCol w:w="1170"/>
              <w:gridCol w:w="1905"/>
            </w:tblGrid>
            <w:tr w14:paraId="53122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6FC90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668" w:type="pct"/>
                  <w:tcBorders>
                    <w:tl2br w:val="nil"/>
                    <w:tr2bl w:val="nil"/>
                  </w:tcBorders>
                  <w:vAlign w:val="center"/>
                </w:tcPr>
                <w:p w14:paraId="400683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设备名称</w:t>
                  </w:r>
                </w:p>
              </w:tc>
              <w:tc>
                <w:tcPr>
                  <w:tcW w:w="992" w:type="pct"/>
                  <w:tcBorders>
                    <w:tl2br w:val="nil"/>
                    <w:tr2bl w:val="nil"/>
                  </w:tcBorders>
                  <w:vAlign w:val="center"/>
                </w:tcPr>
                <w:p w14:paraId="68BF4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设备型号</w:t>
                  </w:r>
                </w:p>
              </w:tc>
              <w:tc>
                <w:tcPr>
                  <w:tcW w:w="737" w:type="pct"/>
                  <w:tcBorders>
                    <w:tl2br w:val="nil"/>
                    <w:tr2bl w:val="nil"/>
                  </w:tcBorders>
                  <w:vAlign w:val="center"/>
                </w:tcPr>
                <w:p w14:paraId="7D710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单位</w:t>
                  </w:r>
                </w:p>
              </w:tc>
              <w:tc>
                <w:tcPr>
                  <w:tcW w:w="1200" w:type="pct"/>
                  <w:tcBorders>
                    <w:tl2br w:val="nil"/>
                    <w:tr2bl w:val="nil"/>
                  </w:tcBorders>
                  <w:vAlign w:val="center"/>
                </w:tcPr>
                <w:p w14:paraId="6FB74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lang w:val="en-US" w:eastAsia="zh-CN"/>
                    </w:rPr>
                    <w:t>数量</w:t>
                  </w:r>
                </w:p>
              </w:tc>
            </w:tr>
            <w:tr w14:paraId="454222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30DDE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668" w:type="pct"/>
                  <w:tcBorders>
                    <w:tl2br w:val="nil"/>
                    <w:tr2bl w:val="nil"/>
                  </w:tcBorders>
                  <w:vAlign w:val="center"/>
                </w:tcPr>
                <w:p w14:paraId="1BF718A5">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铲车</w:t>
                  </w:r>
                </w:p>
              </w:tc>
              <w:tc>
                <w:tcPr>
                  <w:tcW w:w="992" w:type="pct"/>
                  <w:tcBorders>
                    <w:tl2br w:val="nil"/>
                    <w:tr2bl w:val="nil"/>
                  </w:tcBorders>
                  <w:vAlign w:val="center"/>
                </w:tcPr>
                <w:p w14:paraId="1964B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737" w:type="pct"/>
                  <w:tcBorders>
                    <w:tl2br w:val="nil"/>
                    <w:tr2bl w:val="nil"/>
                  </w:tcBorders>
                  <w:vAlign w:val="center"/>
                </w:tcPr>
                <w:p w14:paraId="020B96C7">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辆</w:t>
                  </w:r>
                </w:p>
              </w:tc>
              <w:tc>
                <w:tcPr>
                  <w:tcW w:w="1200" w:type="pct"/>
                  <w:tcBorders>
                    <w:tl2br w:val="nil"/>
                    <w:tr2bl w:val="nil"/>
                  </w:tcBorders>
                  <w:vAlign w:val="center"/>
                </w:tcPr>
                <w:p w14:paraId="23106CA8">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w:t>
                  </w:r>
                </w:p>
              </w:tc>
            </w:tr>
            <w:tr w14:paraId="2F4C32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258376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668" w:type="pct"/>
                  <w:tcBorders>
                    <w:tl2br w:val="nil"/>
                    <w:tr2bl w:val="nil"/>
                  </w:tcBorders>
                  <w:vAlign w:val="center"/>
                </w:tcPr>
                <w:p w14:paraId="176FD7A4">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运输车</w:t>
                  </w:r>
                </w:p>
              </w:tc>
              <w:tc>
                <w:tcPr>
                  <w:tcW w:w="992" w:type="pct"/>
                  <w:tcBorders>
                    <w:tl2br w:val="nil"/>
                    <w:tr2bl w:val="nil"/>
                  </w:tcBorders>
                  <w:vAlign w:val="center"/>
                </w:tcPr>
                <w:p w14:paraId="12C3B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737" w:type="pct"/>
                  <w:tcBorders>
                    <w:tl2br w:val="nil"/>
                    <w:tr2bl w:val="nil"/>
                  </w:tcBorders>
                  <w:vAlign w:val="center"/>
                </w:tcPr>
                <w:p w14:paraId="50806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辆</w:t>
                  </w:r>
                </w:p>
              </w:tc>
              <w:tc>
                <w:tcPr>
                  <w:tcW w:w="1200" w:type="pct"/>
                  <w:tcBorders>
                    <w:tl2br w:val="nil"/>
                    <w:tr2bl w:val="nil"/>
                  </w:tcBorders>
                  <w:vAlign w:val="center"/>
                </w:tcPr>
                <w:p w14:paraId="4CBC1CB7">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w:t>
                  </w:r>
                </w:p>
              </w:tc>
            </w:tr>
            <w:tr w14:paraId="0CFC1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31C5C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1668" w:type="pct"/>
                  <w:tcBorders>
                    <w:tl2br w:val="nil"/>
                    <w:tr2bl w:val="nil"/>
                  </w:tcBorders>
                  <w:vAlign w:val="center"/>
                </w:tcPr>
                <w:p w14:paraId="462BC181">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洒水车</w:t>
                  </w:r>
                </w:p>
              </w:tc>
              <w:tc>
                <w:tcPr>
                  <w:tcW w:w="992" w:type="pct"/>
                  <w:tcBorders>
                    <w:tl2br w:val="nil"/>
                    <w:tr2bl w:val="nil"/>
                  </w:tcBorders>
                  <w:vAlign w:val="center"/>
                </w:tcPr>
                <w:p w14:paraId="0337D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737" w:type="pct"/>
                  <w:tcBorders>
                    <w:tl2br w:val="nil"/>
                    <w:tr2bl w:val="nil"/>
                  </w:tcBorders>
                  <w:vAlign w:val="center"/>
                </w:tcPr>
                <w:p w14:paraId="7E32B8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辆</w:t>
                  </w:r>
                </w:p>
              </w:tc>
              <w:tc>
                <w:tcPr>
                  <w:tcW w:w="1200" w:type="pct"/>
                  <w:tcBorders>
                    <w:tl2br w:val="nil"/>
                    <w:tr2bl w:val="nil"/>
                  </w:tcBorders>
                  <w:vAlign w:val="center"/>
                </w:tcPr>
                <w:p w14:paraId="586F65C1">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r>
            <w:tr w14:paraId="1FBC8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4D120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1668" w:type="pct"/>
                  <w:tcBorders>
                    <w:tl2br w:val="nil"/>
                    <w:tr2bl w:val="nil"/>
                  </w:tcBorders>
                  <w:vAlign w:val="center"/>
                </w:tcPr>
                <w:p w14:paraId="430C4ED7">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挖掘机</w:t>
                  </w:r>
                </w:p>
              </w:tc>
              <w:tc>
                <w:tcPr>
                  <w:tcW w:w="992" w:type="pct"/>
                  <w:tcBorders>
                    <w:tl2br w:val="nil"/>
                    <w:tr2bl w:val="nil"/>
                  </w:tcBorders>
                  <w:vAlign w:val="center"/>
                </w:tcPr>
                <w:p w14:paraId="2556D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737" w:type="pct"/>
                  <w:tcBorders>
                    <w:tl2br w:val="nil"/>
                    <w:tr2bl w:val="nil"/>
                  </w:tcBorders>
                  <w:vAlign w:val="center"/>
                </w:tcPr>
                <w:p w14:paraId="674F0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辆</w:t>
                  </w:r>
                </w:p>
              </w:tc>
              <w:tc>
                <w:tcPr>
                  <w:tcW w:w="1200" w:type="pct"/>
                  <w:tcBorders>
                    <w:tl2br w:val="nil"/>
                    <w:tr2bl w:val="nil"/>
                  </w:tcBorders>
                  <w:vAlign w:val="center"/>
                </w:tcPr>
                <w:p w14:paraId="1ED35769">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r>
            <w:tr w14:paraId="65CBB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1FA3D8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1668" w:type="pct"/>
                  <w:tcBorders>
                    <w:tl2br w:val="nil"/>
                    <w:tr2bl w:val="nil"/>
                  </w:tcBorders>
                  <w:vAlign w:val="center"/>
                </w:tcPr>
                <w:p w14:paraId="209F6823">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初期雨水收集池</w:t>
                  </w:r>
                </w:p>
              </w:tc>
              <w:tc>
                <w:tcPr>
                  <w:tcW w:w="992" w:type="pct"/>
                  <w:tcBorders>
                    <w:tl2br w:val="nil"/>
                    <w:tr2bl w:val="nil"/>
                  </w:tcBorders>
                  <w:vAlign w:val="center"/>
                </w:tcPr>
                <w:p w14:paraId="71DC7F42">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737" w:type="pct"/>
                  <w:tcBorders>
                    <w:tl2br w:val="nil"/>
                    <w:tr2bl w:val="nil"/>
                  </w:tcBorders>
                  <w:vAlign w:val="center"/>
                </w:tcPr>
                <w:p w14:paraId="6D119B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3</w:t>
                  </w:r>
                </w:p>
              </w:tc>
              <w:tc>
                <w:tcPr>
                  <w:tcW w:w="1200" w:type="pct"/>
                  <w:tcBorders>
                    <w:tl2br w:val="nil"/>
                    <w:tr2bl w:val="nil"/>
                  </w:tcBorders>
                  <w:vAlign w:val="center"/>
                </w:tcPr>
                <w:p w14:paraId="06C00AA1">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200</w:t>
                  </w:r>
                </w:p>
              </w:tc>
            </w:tr>
            <w:tr w14:paraId="42A57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tcBorders>
                    <w:tl2br w:val="nil"/>
                    <w:tr2bl w:val="nil"/>
                  </w:tcBorders>
                  <w:vAlign w:val="center"/>
                </w:tcPr>
                <w:p w14:paraId="7A2D91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1668" w:type="pct"/>
                  <w:tcBorders>
                    <w:tl2br w:val="nil"/>
                    <w:tr2bl w:val="nil"/>
                  </w:tcBorders>
                  <w:vAlign w:val="center"/>
                </w:tcPr>
                <w:p w14:paraId="202659F5">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防风抑尘网</w:t>
                  </w:r>
                </w:p>
              </w:tc>
              <w:tc>
                <w:tcPr>
                  <w:tcW w:w="992" w:type="pct"/>
                  <w:tcBorders>
                    <w:tl2br w:val="nil"/>
                    <w:tr2bl w:val="nil"/>
                  </w:tcBorders>
                  <w:vAlign w:val="center"/>
                </w:tcPr>
                <w:p w14:paraId="48FEE71C">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737" w:type="pct"/>
                  <w:tcBorders>
                    <w:tl2br w:val="nil"/>
                    <w:tr2bl w:val="nil"/>
                  </w:tcBorders>
                  <w:vAlign w:val="center"/>
                </w:tcPr>
                <w:p w14:paraId="218E8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m</w:t>
                  </w:r>
                </w:p>
              </w:tc>
              <w:tc>
                <w:tcPr>
                  <w:tcW w:w="1200" w:type="pct"/>
                  <w:tcBorders>
                    <w:tl2br w:val="nil"/>
                    <w:tr2bl w:val="nil"/>
                  </w:tcBorders>
                  <w:vAlign w:val="center"/>
                </w:tcPr>
                <w:p w14:paraId="299DAF29">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长420m，高3m</w:t>
                  </w:r>
                </w:p>
              </w:tc>
            </w:tr>
          </w:tbl>
          <w:p w14:paraId="61DE4B1B">
            <w:pPr>
              <w:pStyle w:val="48"/>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4、原料来源及产品方案</w:t>
            </w:r>
          </w:p>
          <w:p w14:paraId="42A5890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0"/>
                <w:highlight w:val="none"/>
                <w:lang w:val="en-US" w:eastAsia="zh-CN"/>
              </w:rPr>
            </w:pPr>
            <w:r>
              <w:rPr>
                <w:rFonts w:hint="default" w:ascii="Times New Roman" w:hAnsi="Times New Roman" w:cs="Times New Roman"/>
                <w:color w:val="auto"/>
                <w:sz w:val="24"/>
                <w:szCs w:val="20"/>
                <w:highlight w:val="none"/>
              </w:rPr>
              <w:t>本项目建设年周转煤炭为</w:t>
            </w:r>
            <w:r>
              <w:rPr>
                <w:rFonts w:hint="eastAsia" w:cs="Times New Roman"/>
                <w:color w:val="auto"/>
                <w:sz w:val="24"/>
                <w:szCs w:val="20"/>
                <w:highlight w:val="none"/>
                <w:lang w:val="en-US" w:eastAsia="zh-CN"/>
              </w:rPr>
              <w:t>1</w:t>
            </w:r>
            <w:r>
              <w:rPr>
                <w:rFonts w:hint="eastAsia" w:cs="Times New Roman"/>
                <w:color w:val="auto"/>
                <w:sz w:val="24"/>
                <w:szCs w:val="20"/>
                <w:highlight w:val="none"/>
                <w:lang w:val="en-US" w:eastAsia="zh-CN"/>
              </w:rPr>
              <w:t>0万</w:t>
            </w:r>
            <w:r>
              <w:rPr>
                <w:rFonts w:hint="default" w:ascii="Times New Roman" w:hAnsi="Times New Roman" w:cs="Times New Roman"/>
                <w:color w:val="auto"/>
                <w:sz w:val="24"/>
                <w:szCs w:val="20"/>
                <w:highlight w:val="none"/>
                <w:lang w:val="en-US" w:eastAsia="zh-CN"/>
              </w:rPr>
              <w:t>吨</w:t>
            </w:r>
            <w:r>
              <w:rPr>
                <w:rFonts w:hint="default" w:ascii="Times New Roman" w:hAnsi="Times New Roman" w:cs="Times New Roman"/>
                <w:color w:val="auto"/>
                <w:sz w:val="24"/>
                <w:szCs w:val="20"/>
                <w:highlight w:val="none"/>
              </w:rPr>
              <w:t>，项目</w:t>
            </w:r>
            <w:r>
              <w:rPr>
                <w:rFonts w:hint="default" w:ascii="Times New Roman" w:hAnsi="Times New Roman" w:cs="Times New Roman"/>
                <w:color w:val="auto"/>
                <w:sz w:val="24"/>
                <w:szCs w:val="20"/>
                <w:highlight w:val="none"/>
                <w:lang w:eastAsia="zh-CN"/>
              </w:rPr>
              <w:t>原煤采购于鸡西矿业（集团）有限责任公司二道河子煤矿九采区五井和鸡西矿业（集团）有限责任公司二道河子煤矿九采区五井</w:t>
            </w:r>
            <w:r>
              <w:rPr>
                <w:rFonts w:hint="default" w:ascii="Times New Roman" w:hAnsi="Times New Roman" w:cs="Times New Roman"/>
                <w:color w:val="auto"/>
                <w:sz w:val="24"/>
                <w:szCs w:val="20"/>
                <w:highlight w:val="none"/>
                <w:lang w:eastAsia="zh-CN"/>
              </w:rPr>
              <w:t>，</w:t>
            </w:r>
            <w:r>
              <w:rPr>
                <w:rFonts w:hint="eastAsia" w:cs="Times New Roman"/>
                <w:color w:val="auto"/>
                <w:sz w:val="24"/>
                <w:szCs w:val="20"/>
                <w:highlight w:val="none"/>
                <w:lang w:val="en-US" w:eastAsia="zh-CN"/>
              </w:rPr>
              <w:t>距离本项目场地分别为2.0km和2.5km，</w:t>
            </w:r>
            <w:r>
              <w:rPr>
                <w:rFonts w:hint="default" w:ascii="Times New Roman" w:hAnsi="Times New Roman" w:cs="Times New Roman"/>
                <w:color w:val="auto"/>
                <w:sz w:val="24"/>
                <w:szCs w:val="20"/>
                <w:highlight w:val="none"/>
              </w:rPr>
              <w:t>运距较短，</w:t>
            </w:r>
            <w:r>
              <w:rPr>
                <w:rFonts w:hint="default" w:ascii="Times New Roman" w:hAnsi="Times New Roman" w:cs="Times New Roman"/>
                <w:color w:val="auto"/>
                <w:sz w:val="24"/>
                <w:szCs w:val="20"/>
                <w:highlight w:val="none"/>
              </w:rPr>
              <w:t>故</w:t>
            </w:r>
            <w:r>
              <w:rPr>
                <w:rFonts w:hint="eastAsia" w:cs="Times New Roman"/>
                <w:color w:val="auto"/>
                <w:sz w:val="24"/>
                <w:szCs w:val="20"/>
                <w:highlight w:val="none"/>
                <w:lang w:val="en-US" w:eastAsia="zh-CN"/>
              </w:rPr>
              <w:t>选择</w:t>
            </w:r>
            <w:r>
              <w:rPr>
                <w:rFonts w:hint="default" w:ascii="Times New Roman" w:hAnsi="Times New Roman" w:cs="Times New Roman"/>
                <w:color w:val="auto"/>
                <w:sz w:val="24"/>
                <w:szCs w:val="20"/>
                <w:highlight w:val="none"/>
              </w:rPr>
              <w:t>公路运输</w:t>
            </w:r>
            <w:r>
              <w:rPr>
                <w:rFonts w:hint="eastAsia" w:cs="Times New Roman"/>
                <w:color w:val="auto"/>
                <w:sz w:val="24"/>
                <w:szCs w:val="20"/>
                <w:highlight w:val="none"/>
                <w:lang w:eastAsia="zh-CN"/>
              </w:rPr>
              <w:t>，</w:t>
            </w:r>
            <w:r>
              <w:rPr>
                <w:rFonts w:hint="default" w:ascii="Times New Roman" w:hAnsi="Times New Roman" w:cs="Times New Roman"/>
                <w:color w:val="auto"/>
                <w:sz w:val="24"/>
                <w:szCs w:val="20"/>
                <w:highlight w:val="none"/>
                <w:lang w:eastAsia="zh-CN"/>
              </w:rPr>
              <w:t>采用车辆运输到厂</w:t>
            </w:r>
            <w:r>
              <w:rPr>
                <w:rFonts w:hint="default" w:ascii="Times New Roman" w:hAnsi="Times New Roman" w:cs="Times New Roman"/>
                <w:color w:val="auto"/>
                <w:sz w:val="24"/>
                <w:szCs w:val="20"/>
                <w:highlight w:val="none"/>
                <w:lang w:eastAsia="zh-CN"/>
              </w:rPr>
              <w:t>内。</w:t>
            </w:r>
          </w:p>
          <w:p w14:paraId="7CFF7E5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本项目</w:t>
            </w:r>
            <w:r>
              <w:rPr>
                <w:rFonts w:hint="default" w:ascii="Times New Roman" w:hAnsi="Times New Roman" w:cs="Times New Roman"/>
                <w:color w:val="auto"/>
                <w:sz w:val="24"/>
                <w:szCs w:val="20"/>
                <w:highlight w:val="none"/>
                <w:lang w:eastAsia="zh-CN"/>
              </w:rPr>
              <w:t>储煤场</w:t>
            </w:r>
            <w:r>
              <w:rPr>
                <w:rFonts w:hint="default" w:ascii="Times New Roman" w:hAnsi="Times New Roman" w:cs="Times New Roman"/>
                <w:color w:val="auto"/>
                <w:sz w:val="24"/>
                <w:szCs w:val="20"/>
                <w:highlight w:val="none"/>
              </w:rPr>
              <w:t>总建筑面积</w:t>
            </w:r>
            <w:r>
              <w:rPr>
                <w:rFonts w:hint="eastAsia" w:cs="Times New Roman"/>
                <w:color w:val="auto"/>
                <w:sz w:val="24"/>
                <w:szCs w:val="20"/>
                <w:highlight w:val="none"/>
                <w:lang w:eastAsia="zh-CN"/>
              </w:rPr>
              <w:t>11800</w:t>
            </w:r>
            <w:r>
              <w:rPr>
                <w:rFonts w:hint="default" w:ascii="Times New Roman" w:hAnsi="Times New Roman" w:cs="Times New Roman"/>
                <w:color w:val="auto"/>
                <w:sz w:val="24"/>
                <w:szCs w:val="20"/>
                <w:highlight w:val="none"/>
                <w:lang w:eastAsia="zh-CN"/>
              </w:rPr>
              <w:t>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，设计最大</w:t>
            </w:r>
            <w:r>
              <w:rPr>
                <w:rFonts w:hint="eastAsia" w:cs="Times New Roman"/>
                <w:color w:val="auto"/>
                <w:sz w:val="24"/>
                <w:szCs w:val="20"/>
                <w:highlight w:val="none"/>
                <w:lang w:eastAsia="zh-CN"/>
              </w:rPr>
              <w:t>可容纳</w:t>
            </w:r>
            <w:r>
              <w:rPr>
                <w:rFonts w:hint="eastAsia" w:cs="Times New Roman"/>
                <w:color w:val="auto"/>
                <w:sz w:val="24"/>
                <w:szCs w:val="20"/>
                <w:highlight w:val="none"/>
                <w:lang w:val="en-US" w:eastAsia="zh-CN"/>
              </w:rPr>
              <w:t>2.5万</w:t>
            </w:r>
            <w:r>
              <w:rPr>
                <w:rFonts w:hint="default" w:ascii="Times New Roman" w:hAnsi="Times New Roman" w:cs="Times New Roman"/>
                <w:color w:val="auto"/>
                <w:sz w:val="24"/>
                <w:szCs w:val="20"/>
                <w:highlight w:val="none"/>
                <w:lang w:val="en-US" w:eastAsia="zh-CN"/>
              </w:rPr>
              <w:t>吨</w:t>
            </w:r>
            <w:r>
              <w:rPr>
                <w:rFonts w:hint="eastAsia" w:cs="Times New Roman"/>
                <w:color w:val="auto"/>
                <w:sz w:val="24"/>
                <w:szCs w:val="20"/>
                <w:highlight w:val="none"/>
                <w:lang w:val="en-US" w:eastAsia="zh-CN"/>
              </w:rPr>
              <w:t>原煤</w:t>
            </w:r>
            <w:r>
              <w:rPr>
                <w:rFonts w:hint="default" w:ascii="Times New Roman" w:hAnsi="Times New Roman" w:cs="Times New Roman"/>
                <w:color w:val="auto"/>
                <w:sz w:val="24"/>
                <w:szCs w:val="20"/>
                <w:highlight w:val="none"/>
              </w:rPr>
              <w:t>，年周转煤炭</w:t>
            </w:r>
            <w:r>
              <w:rPr>
                <w:rFonts w:hint="eastAsia" w:cs="Times New Roman"/>
                <w:color w:val="auto"/>
                <w:sz w:val="24"/>
                <w:szCs w:val="20"/>
                <w:highlight w:val="none"/>
                <w:lang w:val="en-US" w:eastAsia="zh-CN"/>
              </w:rPr>
              <w:t>10万</w:t>
            </w:r>
            <w:r>
              <w:rPr>
                <w:rFonts w:hint="default" w:ascii="Times New Roman" w:hAnsi="Times New Roman" w:cs="Times New Roman"/>
                <w:color w:val="auto"/>
                <w:sz w:val="24"/>
                <w:szCs w:val="20"/>
                <w:highlight w:val="none"/>
                <w:lang w:val="en-US" w:eastAsia="zh-CN"/>
              </w:rPr>
              <w:t>吨</w:t>
            </w:r>
            <w:r>
              <w:rPr>
                <w:rFonts w:hint="default" w:ascii="Times New Roman" w:hAnsi="Times New Roman" w:cs="Times New Roman"/>
                <w:color w:val="auto"/>
                <w:sz w:val="24"/>
                <w:szCs w:val="20"/>
                <w:highlight w:val="none"/>
              </w:rPr>
              <w:t>。</w:t>
            </w:r>
          </w:p>
          <w:p w14:paraId="79F5132E">
            <w:pPr>
              <w:spacing w:line="360" w:lineRule="auto"/>
              <w:ind w:firstLine="422" w:firstLineChars="20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表2-</w:t>
            </w:r>
            <w:r>
              <w:rPr>
                <w:rFonts w:hint="default" w:ascii="Times New Roman" w:hAnsi="Times New Roman" w:cs="Times New Roman"/>
                <w:b/>
                <w:bCs/>
                <w:color w:val="auto"/>
                <w:highlight w:val="none"/>
                <w:lang w:val="en-US" w:eastAsia="zh-CN"/>
              </w:rPr>
              <w:t>3</w:t>
            </w:r>
            <w:r>
              <w:rPr>
                <w:rFonts w:hint="default" w:ascii="Times New Roman" w:hAnsi="Times New Roman" w:cs="Times New Roman"/>
                <w:b/>
                <w:bCs/>
                <w:color w:val="auto"/>
                <w:highlight w:val="none"/>
              </w:rPr>
              <w:t xml:space="preserve"> 拟建项目产品方案一览表</w:t>
            </w:r>
          </w:p>
          <w:tbl>
            <w:tblPr>
              <w:tblStyle w:val="31"/>
              <w:tblW w:w="801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9"/>
              <w:gridCol w:w="2098"/>
              <w:gridCol w:w="1945"/>
              <w:gridCol w:w="2036"/>
              <w:gridCol w:w="1079"/>
            </w:tblGrid>
            <w:tr w14:paraId="23096A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pct"/>
                  <w:tcBorders>
                    <w:tl2br w:val="nil"/>
                    <w:tr2bl w:val="nil"/>
                  </w:tcBorders>
                  <w:vAlign w:val="center"/>
                </w:tcPr>
                <w:p w14:paraId="6C200E35">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308" w:type="pct"/>
                  <w:tcBorders>
                    <w:tl2br w:val="nil"/>
                    <w:tr2bl w:val="nil"/>
                  </w:tcBorders>
                  <w:vAlign w:val="center"/>
                </w:tcPr>
                <w:p w14:paraId="2429A546">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eastAsia="zh-CN"/>
                    </w:rPr>
                    <w:t>产品</w:t>
                  </w:r>
                  <w:r>
                    <w:rPr>
                      <w:rFonts w:hint="default" w:ascii="Times New Roman" w:hAnsi="Times New Roman" w:cs="Times New Roman"/>
                      <w:b/>
                      <w:bCs/>
                      <w:color w:val="auto"/>
                      <w:sz w:val="21"/>
                      <w:szCs w:val="21"/>
                      <w:highlight w:val="none"/>
                    </w:rPr>
                    <w:t>名称</w:t>
                  </w:r>
                </w:p>
              </w:tc>
              <w:tc>
                <w:tcPr>
                  <w:tcW w:w="1213" w:type="pct"/>
                  <w:tcBorders>
                    <w:tl2br w:val="nil"/>
                    <w:tr2bl w:val="nil"/>
                  </w:tcBorders>
                  <w:vAlign w:val="center"/>
                </w:tcPr>
                <w:p w14:paraId="7BC4C3DC">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规格</w:t>
                  </w:r>
                </w:p>
              </w:tc>
              <w:tc>
                <w:tcPr>
                  <w:tcW w:w="1269" w:type="pct"/>
                  <w:tcBorders>
                    <w:tl2br w:val="nil"/>
                    <w:tr2bl w:val="nil"/>
                  </w:tcBorders>
                  <w:vAlign w:val="center"/>
                </w:tcPr>
                <w:p w14:paraId="439FF896">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rPr>
                    <w:t>年</w:t>
                  </w:r>
                  <w:r>
                    <w:rPr>
                      <w:rFonts w:hint="default" w:ascii="Times New Roman" w:hAnsi="Times New Roman" w:cs="Times New Roman"/>
                      <w:b/>
                      <w:bCs/>
                      <w:color w:val="auto"/>
                      <w:sz w:val="21"/>
                      <w:szCs w:val="21"/>
                      <w:highlight w:val="none"/>
                      <w:lang w:eastAsia="zh-CN"/>
                    </w:rPr>
                    <w:t>产量（周转量）</w:t>
                  </w:r>
                </w:p>
              </w:tc>
              <w:tc>
                <w:tcPr>
                  <w:tcW w:w="672" w:type="pct"/>
                  <w:tcBorders>
                    <w:tl2br w:val="nil"/>
                    <w:tr2bl w:val="nil"/>
                  </w:tcBorders>
                  <w:vAlign w:val="center"/>
                </w:tcPr>
                <w:p w14:paraId="7134856B">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单位</w:t>
                  </w:r>
                </w:p>
              </w:tc>
            </w:tr>
            <w:tr w14:paraId="4613C0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pct"/>
                  <w:tcBorders>
                    <w:tl2br w:val="nil"/>
                    <w:tr2bl w:val="nil"/>
                  </w:tcBorders>
                  <w:vAlign w:val="center"/>
                </w:tcPr>
                <w:p w14:paraId="738C236A">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08" w:type="pct"/>
                  <w:tcBorders>
                    <w:tl2br w:val="nil"/>
                    <w:tr2bl w:val="nil"/>
                  </w:tcBorders>
                  <w:vAlign w:val="center"/>
                </w:tcPr>
                <w:p w14:paraId="7947EBFC">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highlight w:val="none"/>
                      <w:u w:val="none"/>
                      <w:lang w:val="en-US" w:eastAsia="zh-CN" w:bidi="ar"/>
                    </w:rPr>
                    <w:t>煤炭</w:t>
                  </w:r>
                </w:p>
              </w:tc>
              <w:tc>
                <w:tcPr>
                  <w:tcW w:w="1213" w:type="pct"/>
                  <w:tcBorders>
                    <w:tl2br w:val="nil"/>
                    <w:tr2bl w:val="nil"/>
                  </w:tcBorders>
                  <w:vAlign w:val="center"/>
                </w:tcPr>
                <w:p w14:paraId="01495622">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highlight w:val="none"/>
                      <w:u w:val="none"/>
                      <w:lang w:val="en-US" w:eastAsia="zh-CN" w:bidi="ar"/>
                    </w:rPr>
                    <w:t>混合原煤</w:t>
                  </w:r>
                </w:p>
              </w:tc>
              <w:tc>
                <w:tcPr>
                  <w:tcW w:w="1269" w:type="pct"/>
                  <w:tcBorders>
                    <w:tl2br w:val="nil"/>
                    <w:tr2bl w:val="nil"/>
                  </w:tcBorders>
                  <w:vAlign w:val="center"/>
                </w:tcPr>
                <w:p w14:paraId="2523CE7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100000</w:t>
                  </w:r>
                </w:p>
              </w:tc>
              <w:tc>
                <w:tcPr>
                  <w:tcW w:w="672" w:type="pct"/>
                  <w:tcBorders>
                    <w:tl2br w:val="nil"/>
                    <w:tr2bl w:val="nil"/>
                  </w:tcBorders>
                  <w:vAlign w:val="center"/>
                </w:tcPr>
                <w:p w14:paraId="17B6AC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bidi="ar"/>
                    </w:rPr>
                    <w:t>吨/年</w:t>
                  </w:r>
                </w:p>
              </w:tc>
            </w:tr>
          </w:tbl>
          <w:p w14:paraId="67D846E6">
            <w:pPr>
              <w:keepNext w:val="0"/>
              <w:keepLines w:val="0"/>
              <w:pageBreakBefore w:val="0"/>
              <w:widowControl w:val="0"/>
              <w:numPr>
                <w:ilvl w:val="0"/>
                <w:numId w:val="0"/>
              </w:numPr>
              <w:kinsoku/>
              <w:wordWrap/>
              <w:overflowPunct/>
              <w:topLinePunct w:val="0"/>
              <w:autoSpaceDE/>
              <w:autoSpaceDN/>
              <w:bidi w:val="0"/>
              <w:spacing w:line="360" w:lineRule="auto"/>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5、原辅材料用量及物料平衡</w:t>
            </w:r>
          </w:p>
          <w:p w14:paraId="5FB300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color w:val="auto"/>
                <w:sz w:val="24"/>
                <w:highlight w:val="none"/>
              </w:rPr>
              <w:t>拟建项目原辅料如下表所示。</w:t>
            </w:r>
          </w:p>
          <w:p w14:paraId="25FAC26C">
            <w:pPr>
              <w:spacing w:line="360" w:lineRule="auto"/>
              <w:ind w:firstLine="422" w:firstLineChars="20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表2-4  拟建项目原辅材料消耗一览表</w:t>
            </w:r>
          </w:p>
          <w:tbl>
            <w:tblPr>
              <w:tblStyle w:val="31"/>
              <w:tblW w:w="796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41"/>
              <w:gridCol w:w="1020"/>
              <w:gridCol w:w="1725"/>
              <w:gridCol w:w="1276"/>
              <w:gridCol w:w="2665"/>
            </w:tblGrid>
            <w:tr w14:paraId="3DA53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02" w:type="pct"/>
                  <w:tcBorders>
                    <w:tl2br w:val="nil"/>
                    <w:tr2bl w:val="nil"/>
                  </w:tcBorders>
                  <w:noWrap w:val="0"/>
                  <w:vAlign w:val="center"/>
                </w:tcPr>
                <w:p w14:paraId="38BC8E7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402" w:type="pct"/>
                  <w:tcBorders>
                    <w:tl2br w:val="nil"/>
                    <w:tr2bl w:val="nil"/>
                  </w:tcBorders>
                  <w:noWrap w:val="0"/>
                  <w:vAlign w:val="center"/>
                </w:tcPr>
                <w:p w14:paraId="00125EB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640" w:type="pct"/>
                  <w:tcBorders>
                    <w:tl2br w:val="nil"/>
                    <w:tr2bl w:val="nil"/>
                  </w:tcBorders>
                  <w:noWrap w:val="0"/>
                  <w:vAlign w:val="center"/>
                </w:tcPr>
                <w:p w14:paraId="7C1E74D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1082" w:type="pct"/>
                  <w:tcBorders>
                    <w:tl2br w:val="nil"/>
                    <w:tr2bl w:val="nil"/>
                  </w:tcBorders>
                  <w:noWrap w:val="0"/>
                  <w:vAlign w:val="center"/>
                </w:tcPr>
                <w:p w14:paraId="1D8286A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年用量</w:t>
                  </w:r>
                </w:p>
              </w:tc>
              <w:tc>
                <w:tcPr>
                  <w:tcW w:w="800" w:type="pct"/>
                  <w:tcBorders>
                    <w:tl2br w:val="nil"/>
                    <w:tr2bl w:val="nil"/>
                  </w:tcBorders>
                  <w:noWrap w:val="0"/>
                  <w:vAlign w:val="center"/>
                </w:tcPr>
                <w:p w14:paraId="15274F75">
                  <w:pPr>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最大存储量</w:t>
                  </w:r>
                </w:p>
              </w:tc>
              <w:tc>
                <w:tcPr>
                  <w:tcW w:w="1672" w:type="pct"/>
                  <w:tcBorders>
                    <w:tl2br w:val="nil"/>
                    <w:tr2bl w:val="nil"/>
                  </w:tcBorders>
                  <w:noWrap w:val="0"/>
                  <w:vAlign w:val="center"/>
                </w:tcPr>
                <w:p w14:paraId="6201E706">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40B01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02" w:type="pct"/>
                  <w:tcBorders>
                    <w:tl2br w:val="nil"/>
                    <w:tr2bl w:val="nil"/>
                  </w:tcBorders>
                  <w:noWrap w:val="0"/>
                  <w:vAlign w:val="center"/>
                </w:tcPr>
                <w:p w14:paraId="74D189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02" w:type="pct"/>
                  <w:tcBorders>
                    <w:tl2br w:val="nil"/>
                    <w:tr2bl w:val="nil"/>
                  </w:tcBorders>
                  <w:noWrap w:val="0"/>
                  <w:vAlign w:val="center"/>
                </w:tcPr>
                <w:p w14:paraId="02D751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原煤</w:t>
                  </w:r>
                </w:p>
              </w:tc>
              <w:tc>
                <w:tcPr>
                  <w:tcW w:w="640" w:type="pct"/>
                  <w:tcBorders>
                    <w:tl2br w:val="nil"/>
                    <w:tr2bl w:val="nil"/>
                  </w:tcBorders>
                  <w:noWrap w:val="0"/>
                  <w:vAlign w:val="center"/>
                </w:tcPr>
                <w:p w14:paraId="4218EB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082" w:type="pct"/>
                  <w:tcBorders>
                    <w:tl2br w:val="nil"/>
                    <w:tr2bl w:val="nil"/>
                  </w:tcBorders>
                  <w:noWrap w:val="0"/>
                  <w:vAlign w:val="center"/>
                </w:tcPr>
                <w:p w14:paraId="18619C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100000</w:t>
                  </w:r>
                  <w:r>
                    <w:rPr>
                      <w:rFonts w:hint="default" w:ascii="Times New Roman" w:hAnsi="Times New Roman" w:eastAsia="宋体" w:cs="Times New Roman"/>
                      <w:i w:val="0"/>
                      <w:iCs w:val="0"/>
                      <w:color w:val="auto"/>
                      <w:kern w:val="0"/>
                      <w:sz w:val="21"/>
                      <w:szCs w:val="21"/>
                      <w:highlight w:val="none"/>
                      <w:u w:val="none"/>
                      <w:lang w:val="en-US" w:eastAsia="zh-CN" w:bidi="ar"/>
                    </w:rPr>
                    <w:t>（周转量）</w:t>
                  </w:r>
                </w:p>
              </w:tc>
              <w:tc>
                <w:tcPr>
                  <w:tcW w:w="800" w:type="pct"/>
                  <w:tcBorders>
                    <w:tl2br w:val="nil"/>
                    <w:tr2bl w:val="nil"/>
                  </w:tcBorders>
                  <w:noWrap w:val="0"/>
                  <w:vAlign w:val="center"/>
                </w:tcPr>
                <w:p w14:paraId="249B68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25000</w:t>
                  </w:r>
                </w:p>
              </w:tc>
              <w:tc>
                <w:tcPr>
                  <w:tcW w:w="1672" w:type="pct"/>
                  <w:tcBorders>
                    <w:tl2br w:val="nil"/>
                    <w:tr2bl w:val="nil"/>
                  </w:tcBorders>
                  <w:noWrap w:val="0"/>
                  <w:vAlign w:val="center"/>
                </w:tcPr>
                <w:p w14:paraId="49DD23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储煤货场</w:t>
                  </w:r>
                  <w:r>
                    <w:rPr>
                      <w:rFonts w:hint="default" w:ascii="Times New Roman" w:hAnsi="Times New Roman" w:eastAsia="宋体" w:cs="Times New Roman"/>
                      <w:i w:val="0"/>
                      <w:iCs w:val="0"/>
                      <w:color w:val="auto"/>
                      <w:kern w:val="0"/>
                      <w:sz w:val="21"/>
                      <w:szCs w:val="21"/>
                      <w:highlight w:val="none"/>
                      <w:u w:val="none"/>
                      <w:lang w:val="en-US" w:eastAsia="zh-CN" w:bidi="ar"/>
                    </w:rPr>
                    <w:t>存储量</w:t>
                  </w:r>
                </w:p>
              </w:tc>
            </w:tr>
            <w:tr w14:paraId="5D799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02" w:type="pct"/>
                  <w:tcBorders>
                    <w:tl2br w:val="nil"/>
                    <w:tr2bl w:val="nil"/>
                  </w:tcBorders>
                  <w:noWrap w:val="0"/>
                  <w:vAlign w:val="center"/>
                </w:tcPr>
                <w:p w14:paraId="149332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02" w:type="pct"/>
                  <w:tcBorders>
                    <w:tl2br w:val="nil"/>
                    <w:tr2bl w:val="nil"/>
                  </w:tcBorders>
                  <w:noWrap w:val="0"/>
                  <w:vAlign w:val="center"/>
                </w:tcPr>
                <w:p w14:paraId="0B0E56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水</w:t>
                  </w:r>
                </w:p>
              </w:tc>
              <w:tc>
                <w:tcPr>
                  <w:tcW w:w="640" w:type="pct"/>
                  <w:tcBorders>
                    <w:tl2br w:val="nil"/>
                    <w:tr2bl w:val="nil"/>
                  </w:tcBorders>
                  <w:noWrap w:val="0"/>
                  <w:vAlign w:val="center"/>
                </w:tcPr>
                <w:p w14:paraId="64AF3A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/a</w:t>
                  </w:r>
                </w:p>
              </w:tc>
              <w:tc>
                <w:tcPr>
                  <w:tcW w:w="1082" w:type="pct"/>
                  <w:tcBorders>
                    <w:tl2br w:val="nil"/>
                    <w:tr2bl w:val="nil"/>
                  </w:tcBorders>
                  <w:noWrap w:val="0"/>
                  <w:vAlign w:val="center"/>
                </w:tcPr>
                <w:p w14:paraId="08D7FF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lang w:val="en-US" w:eastAsia="zh-CN"/>
                    </w:rPr>
                    <w:t>4475.18</w:t>
                  </w:r>
                </w:p>
              </w:tc>
              <w:tc>
                <w:tcPr>
                  <w:tcW w:w="800" w:type="pct"/>
                  <w:tcBorders>
                    <w:tl2br w:val="nil"/>
                    <w:tr2bl w:val="nil"/>
                  </w:tcBorders>
                  <w:noWrap w:val="0"/>
                  <w:vAlign w:val="center"/>
                </w:tcPr>
                <w:p w14:paraId="718B7A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672" w:type="pct"/>
                  <w:tcBorders>
                    <w:tl2br w:val="nil"/>
                    <w:tr2bl w:val="nil"/>
                  </w:tcBorders>
                  <w:noWrap w:val="0"/>
                  <w:vAlign w:val="center"/>
                </w:tcPr>
                <w:p w14:paraId="4F6540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其中910.67</w:t>
                  </w: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cs="Times New Roman"/>
                      <w:i w:val="0"/>
                      <w:iCs w:val="0"/>
                      <w:color w:val="auto"/>
                      <w:kern w:val="0"/>
                      <w:sz w:val="21"/>
                      <w:szCs w:val="21"/>
                      <w:highlight w:val="none"/>
                      <w:u w:val="none"/>
                      <w:lang w:val="en-US" w:eastAsia="zh-CN" w:bidi="ar"/>
                    </w:rPr>
                    <w:t>由</w:t>
                  </w:r>
                  <w:r>
                    <w:rPr>
                      <w:rFonts w:hint="eastAsia" w:cs="Times New Roman"/>
                      <w:i w:val="0"/>
                      <w:iCs w:val="0"/>
                      <w:color w:val="auto"/>
                      <w:kern w:val="0"/>
                      <w:sz w:val="21"/>
                      <w:szCs w:val="21"/>
                      <w:highlight w:val="none"/>
                      <w:u w:val="none"/>
                      <w:lang w:val="en-US" w:eastAsia="zh-CN" w:bidi="ar"/>
                    </w:rPr>
                    <w:t>初期</w:t>
                  </w:r>
                  <w:r>
                    <w:rPr>
                      <w:rFonts w:hint="default" w:ascii="Times New Roman" w:hAnsi="Times New Roman" w:cs="Times New Roman"/>
                      <w:i w:val="0"/>
                      <w:iCs w:val="0"/>
                      <w:color w:val="auto"/>
                      <w:kern w:val="0"/>
                      <w:sz w:val="21"/>
                      <w:szCs w:val="21"/>
                      <w:highlight w:val="none"/>
                      <w:u w:val="none"/>
                      <w:lang w:val="en-US" w:eastAsia="zh-CN" w:bidi="ar"/>
                    </w:rPr>
                    <w:t>雨水提供，</w:t>
                  </w:r>
                  <w:r>
                    <w:rPr>
                      <w:rFonts w:hint="eastAsia" w:cs="Times New Roman"/>
                      <w:i w:val="0"/>
                      <w:iCs w:val="0"/>
                      <w:color w:val="auto"/>
                      <w:kern w:val="0"/>
                      <w:sz w:val="21"/>
                      <w:szCs w:val="21"/>
                      <w:highlight w:val="none"/>
                      <w:u w:val="none"/>
                      <w:lang w:val="en-US" w:eastAsia="zh-CN" w:bidi="ar"/>
                    </w:rPr>
                    <w:t>剩余3564.51</w:t>
                  </w: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eastAsia" w:cs="Times New Roman"/>
                      <w:i w:val="0"/>
                      <w:iCs w:val="0"/>
                      <w:color w:val="auto"/>
                      <w:kern w:val="0"/>
                      <w:sz w:val="21"/>
                      <w:szCs w:val="21"/>
                      <w:highlight w:val="none"/>
                      <w:u w:val="none"/>
                      <w:lang w:val="en-US" w:eastAsia="zh-CN" w:bidi="ar"/>
                    </w:rPr>
                    <w:t>为新鲜水，</w:t>
                  </w:r>
                  <w:r>
                    <w:rPr>
                      <w:rFonts w:hint="default" w:ascii="Times New Roman" w:hAnsi="Times New Roman" w:cs="Times New Roman"/>
                      <w:i w:val="0"/>
                      <w:iCs w:val="0"/>
                      <w:color w:val="auto"/>
                      <w:kern w:val="0"/>
                      <w:sz w:val="21"/>
                      <w:szCs w:val="21"/>
                      <w:highlight w:val="none"/>
                      <w:u w:val="none"/>
                      <w:lang w:val="en-US" w:eastAsia="zh-CN" w:bidi="ar"/>
                    </w:rPr>
                    <w:t>用于洒水降尘</w:t>
                  </w:r>
                </w:p>
              </w:tc>
            </w:tr>
            <w:tr w14:paraId="385A8B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402" w:type="pct"/>
                  <w:tcBorders>
                    <w:tl2br w:val="nil"/>
                    <w:tr2bl w:val="nil"/>
                  </w:tcBorders>
                  <w:noWrap w:val="0"/>
                  <w:vAlign w:val="center"/>
                </w:tcPr>
                <w:p w14:paraId="339065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02" w:type="pct"/>
                  <w:tcBorders>
                    <w:tl2br w:val="nil"/>
                    <w:tr2bl w:val="nil"/>
                  </w:tcBorders>
                  <w:noWrap w:val="0"/>
                  <w:vAlign w:val="center"/>
                </w:tcPr>
                <w:p w14:paraId="09CA11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电</w:t>
                  </w:r>
                </w:p>
              </w:tc>
              <w:tc>
                <w:tcPr>
                  <w:tcW w:w="640" w:type="pct"/>
                  <w:tcBorders>
                    <w:tl2br w:val="nil"/>
                    <w:tr2bl w:val="nil"/>
                  </w:tcBorders>
                  <w:noWrap w:val="0"/>
                  <w:vAlign w:val="center"/>
                </w:tcPr>
                <w:p w14:paraId="3444BB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万Kwh/a</w:t>
                  </w:r>
                </w:p>
              </w:tc>
              <w:tc>
                <w:tcPr>
                  <w:tcW w:w="1082" w:type="pct"/>
                  <w:tcBorders>
                    <w:tl2br w:val="nil"/>
                    <w:tr2bl w:val="nil"/>
                  </w:tcBorders>
                  <w:noWrap w:val="0"/>
                  <w:vAlign w:val="center"/>
                </w:tcPr>
                <w:p w14:paraId="335288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w:t>
                  </w:r>
                </w:p>
              </w:tc>
              <w:tc>
                <w:tcPr>
                  <w:tcW w:w="800" w:type="pct"/>
                  <w:tcBorders>
                    <w:tl2br w:val="nil"/>
                    <w:tr2bl w:val="nil"/>
                  </w:tcBorders>
                  <w:noWrap w:val="0"/>
                  <w:vAlign w:val="center"/>
                </w:tcPr>
                <w:p w14:paraId="50F19F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672" w:type="pct"/>
                  <w:tcBorders>
                    <w:tl2br w:val="nil"/>
                    <w:tr2bl w:val="nil"/>
                  </w:tcBorders>
                  <w:noWrap w:val="0"/>
                  <w:vAlign w:val="center"/>
                </w:tcPr>
                <w:p w14:paraId="5ADC5E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由鸡西矿业集团双河煤矿电力公司提供</w:t>
                  </w:r>
                </w:p>
              </w:tc>
            </w:tr>
          </w:tbl>
          <w:p w14:paraId="3B738656">
            <w:pPr>
              <w:keepNext w:val="0"/>
              <w:keepLines w:val="0"/>
              <w:pageBreakBefore w:val="0"/>
              <w:tabs>
                <w:tab w:val="left" w:pos="6480"/>
              </w:tabs>
              <w:kinsoku/>
              <w:wordWrap/>
              <w:overflowPunct/>
              <w:topLinePunct w:val="0"/>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本项目用排水情况详见表2-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给排水平衡详见图</w:t>
            </w:r>
            <w:r>
              <w:rPr>
                <w:rFonts w:hint="default" w:ascii="Times New Roman" w:hAnsi="Times New Roman" w:cs="Times New Roman"/>
                <w:color w:val="auto"/>
                <w:sz w:val="24"/>
                <w:highlight w:val="none"/>
                <w:lang w:val="en-US" w:eastAsia="zh-CN"/>
              </w:rPr>
              <w:t>2-1、图2-2</w:t>
            </w:r>
            <w:r>
              <w:rPr>
                <w:rFonts w:hint="default" w:ascii="Times New Roman" w:hAnsi="Times New Roman" w:cs="Times New Roman"/>
                <w:color w:val="auto"/>
                <w:sz w:val="24"/>
                <w:highlight w:val="none"/>
              </w:rPr>
              <w:t>。</w:t>
            </w:r>
          </w:p>
          <w:p w14:paraId="185E9A5B">
            <w:pPr>
              <w:spacing w:line="360" w:lineRule="auto"/>
              <w:ind w:firstLine="422" w:firstLineChars="20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w:t>
            </w:r>
            <w:r>
              <w:rPr>
                <w:rFonts w:hint="default" w:ascii="Times New Roman" w:hAnsi="Times New Roman" w:eastAsia="宋体" w:cs="Times New Roman"/>
                <w:b/>
                <w:bCs/>
                <w:color w:val="auto"/>
                <w:highlight w:val="none"/>
                <w:lang w:val="en-US" w:eastAsia="zh-CN"/>
              </w:rPr>
              <w:t xml:space="preserve">5  </w:t>
            </w:r>
            <w:r>
              <w:rPr>
                <w:rFonts w:hint="default" w:ascii="Times New Roman" w:hAnsi="Times New Roman" w:eastAsia="宋体" w:cs="Times New Roman"/>
                <w:b/>
                <w:bCs/>
                <w:color w:val="auto"/>
                <w:highlight w:val="none"/>
                <w:lang w:eastAsia="zh-CN"/>
              </w:rPr>
              <w:t>本</w:t>
            </w:r>
            <w:r>
              <w:rPr>
                <w:rFonts w:hint="default" w:ascii="Times New Roman" w:hAnsi="Times New Roman" w:eastAsia="宋体" w:cs="Times New Roman"/>
                <w:b/>
                <w:bCs/>
                <w:color w:val="auto"/>
                <w:highlight w:val="none"/>
              </w:rPr>
              <w:t>项目物料平衡表     单位：t/a</w:t>
            </w:r>
          </w:p>
          <w:tbl>
            <w:tblPr>
              <w:tblStyle w:val="3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13"/>
              <w:gridCol w:w="1135"/>
              <w:gridCol w:w="2741"/>
              <w:gridCol w:w="1836"/>
            </w:tblGrid>
            <w:tr w14:paraId="7A25FC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96" w:type="pct"/>
                  <w:tcBorders>
                    <w:tl2br w:val="nil"/>
                    <w:tr2bl w:val="nil"/>
                  </w:tcBorders>
                  <w:noWrap w:val="0"/>
                  <w:vAlign w:val="center"/>
                </w:tcPr>
                <w:p w14:paraId="30CFAF98">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投料名称</w:t>
                  </w:r>
                </w:p>
              </w:tc>
              <w:tc>
                <w:tcPr>
                  <w:tcW w:w="715" w:type="pct"/>
                  <w:tcBorders>
                    <w:tl2br w:val="nil"/>
                    <w:tr2bl w:val="nil"/>
                  </w:tcBorders>
                  <w:noWrap w:val="0"/>
                  <w:vAlign w:val="center"/>
                </w:tcPr>
                <w:p w14:paraId="495DF8F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年用量（t）</w:t>
                  </w:r>
                </w:p>
              </w:tc>
              <w:tc>
                <w:tcPr>
                  <w:tcW w:w="2887" w:type="pct"/>
                  <w:gridSpan w:val="2"/>
                  <w:tcBorders>
                    <w:tl2br w:val="nil"/>
                    <w:tr2bl w:val="nil"/>
                  </w:tcBorders>
                  <w:noWrap w:val="0"/>
                  <w:vAlign w:val="center"/>
                </w:tcPr>
                <w:p w14:paraId="16B87FE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产品及</w:t>
                  </w:r>
                  <w:r>
                    <w:rPr>
                      <w:rFonts w:hint="default" w:ascii="Times New Roman" w:hAnsi="Times New Roman" w:eastAsia="宋体" w:cs="Times New Roman"/>
                      <w:b/>
                      <w:bCs/>
                      <w:color w:val="auto"/>
                      <w:sz w:val="21"/>
                      <w:szCs w:val="21"/>
                      <w:highlight w:val="none"/>
                    </w:rPr>
                    <w:t>污染物产生量（t/a）</w:t>
                  </w:r>
                </w:p>
              </w:tc>
            </w:tr>
            <w:tr w14:paraId="6C169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96" w:type="pct"/>
                  <w:vMerge w:val="restart"/>
                  <w:tcBorders>
                    <w:tl2br w:val="nil"/>
                    <w:tr2bl w:val="nil"/>
                  </w:tcBorders>
                  <w:noWrap w:val="0"/>
                  <w:vAlign w:val="center"/>
                </w:tcPr>
                <w:p w14:paraId="1ADB5E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原煤（不同热值煤炭）</w:t>
                  </w:r>
                </w:p>
              </w:tc>
              <w:tc>
                <w:tcPr>
                  <w:tcW w:w="715" w:type="pct"/>
                  <w:vMerge w:val="restart"/>
                  <w:tcBorders>
                    <w:tl2br w:val="nil"/>
                    <w:tr2bl w:val="nil"/>
                  </w:tcBorders>
                  <w:noWrap w:val="0"/>
                  <w:vAlign w:val="center"/>
                </w:tcPr>
                <w:p w14:paraId="503861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100000</w:t>
                  </w:r>
                </w:p>
              </w:tc>
              <w:tc>
                <w:tcPr>
                  <w:tcW w:w="1729" w:type="pct"/>
                  <w:tcBorders>
                    <w:tl2br w:val="nil"/>
                    <w:tr2bl w:val="nil"/>
                  </w:tcBorders>
                  <w:noWrap w:val="0"/>
                  <w:vAlign w:val="center"/>
                </w:tcPr>
                <w:p w14:paraId="28535F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无组织粉尘排放</w:t>
                  </w:r>
                </w:p>
              </w:tc>
              <w:tc>
                <w:tcPr>
                  <w:tcW w:w="1158" w:type="pct"/>
                  <w:tcBorders>
                    <w:tl2br w:val="nil"/>
                    <w:tr2bl w:val="nil"/>
                  </w:tcBorders>
                  <w:noWrap w:val="0"/>
                  <w:vAlign w:val="center"/>
                </w:tcPr>
                <w:p w14:paraId="239B2C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55.74</w:t>
                  </w:r>
                </w:p>
              </w:tc>
            </w:tr>
            <w:tr w14:paraId="505D4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96" w:type="pct"/>
                  <w:vMerge w:val="continue"/>
                  <w:tcBorders>
                    <w:tl2br w:val="nil"/>
                    <w:tr2bl w:val="nil"/>
                  </w:tcBorders>
                  <w:noWrap w:val="0"/>
                  <w:vAlign w:val="center"/>
                </w:tcPr>
                <w:p w14:paraId="3607AA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715" w:type="pct"/>
                  <w:vMerge w:val="continue"/>
                  <w:tcBorders>
                    <w:tl2br w:val="nil"/>
                    <w:tr2bl w:val="nil"/>
                  </w:tcBorders>
                  <w:noWrap w:val="0"/>
                  <w:vAlign w:val="center"/>
                </w:tcPr>
                <w:p w14:paraId="2C1992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729" w:type="pct"/>
                  <w:tcBorders>
                    <w:tl2br w:val="nil"/>
                    <w:tr2bl w:val="nil"/>
                  </w:tcBorders>
                  <w:noWrap w:val="0"/>
                  <w:vAlign w:val="center"/>
                </w:tcPr>
                <w:p w14:paraId="19F998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混煤（不同热值煤炭混合）</w:t>
                  </w:r>
                </w:p>
              </w:tc>
              <w:tc>
                <w:tcPr>
                  <w:tcW w:w="1158" w:type="pct"/>
                  <w:tcBorders>
                    <w:tl2br w:val="nil"/>
                    <w:tr2bl w:val="nil"/>
                  </w:tcBorders>
                  <w:noWrap w:val="0"/>
                  <w:vAlign w:val="center"/>
                </w:tcPr>
                <w:p w14:paraId="6891C2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99944.26</w:t>
                  </w:r>
                </w:p>
              </w:tc>
            </w:tr>
            <w:tr w14:paraId="6F677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2" w:type="pct"/>
                  <w:gridSpan w:val="2"/>
                  <w:tcBorders>
                    <w:tl2br w:val="nil"/>
                    <w:tr2bl w:val="nil"/>
                  </w:tcBorders>
                  <w:noWrap w:val="0"/>
                  <w:vAlign w:val="center"/>
                </w:tcPr>
                <w:p w14:paraId="718AB8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合计投料量：</w:t>
                  </w:r>
                  <w:r>
                    <w:rPr>
                      <w:rFonts w:hint="eastAsia" w:cs="Times New Roman"/>
                      <w:i w:val="0"/>
                      <w:iCs w:val="0"/>
                      <w:color w:val="auto"/>
                      <w:kern w:val="0"/>
                      <w:sz w:val="21"/>
                      <w:szCs w:val="21"/>
                      <w:highlight w:val="none"/>
                      <w:u w:val="none"/>
                      <w:lang w:val="en-US" w:eastAsia="zh-CN" w:bidi="ar"/>
                    </w:rPr>
                    <w:t>100000</w:t>
                  </w:r>
                </w:p>
              </w:tc>
              <w:tc>
                <w:tcPr>
                  <w:tcW w:w="2887" w:type="pct"/>
                  <w:gridSpan w:val="2"/>
                  <w:tcBorders>
                    <w:tl2br w:val="nil"/>
                    <w:tr2bl w:val="nil"/>
                  </w:tcBorders>
                  <w:noWrap w:val="0"/>
                  <w:vAlign w:val="center"/>
                </w:tcPr>
                <w:p w14:paraId="5A2B76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各物料去向：</w:t>
                  </w:r>
                  <w:r>
                    <w:rPr>
                      <w:rFonts w:hint="eastAsia" w:cs="Times New Roman"/>
                      <w:i w:val="0"/>
                      <w:iCs w:val="0"/>
                      <w:color w:val="auto"/>
                      <w:kern w:val="0"/>
                      <w:sz w:val="21"/>
                      <w:szCs w:val="21"/>
                      <w:highlight w:val="none"/>
                      <w:u w:val="none"/>
                      <w:lang w:val="en-US" w:eastAsia="zh-CN" w:bidi="ar"/>
                    </w:rPr>
                    <w:t>100000</w:t>
                  </w:r>
                </w:p>
              </w:tc>
            </w:tr>
          </w:tbl>
          <w:p w14:paraId="76441992">
            <w:pPr>
              <w:spacing w:line="360" w:lineRule="auto"/>
              <w:ind w:firstLine="480" w:firstLineChars="200"/>
              <w:jc w:val="left"/>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color w:val="auto"/>
                <w:sz w:val="24"/>
                <w:highlight w:val="none"/>
                <w:lang w:val="zh-CN" w:eastAsia="zh-CN"/>
              </w:rPr>
              <w:t>煤炭的物理和化学性质及质量指标</w:t>
            </w:r>
            <w:r>
              <w:rPr>
                <w:rFonts w:hint="default" w:ascii="Times New Roman" w:hAnsi="Times New Roman" w:cs="Times New Roman"/>
                <w:b w:val="0"/>
                <w:bCs w:val="0"/>
                <w:color w:val="auto"/>
                <w:sz w:val="24"/>
                <w:szCs w:val="24"/>
                <w:highlight w:val="none"/>
              </w:rPr>
              <w:t>：</w:t>
            </w:r>
          </w:p>
          <w:p w14:paraId="77C3F87A">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color w:val="auto"/>
                <w:sz w:val="24"/>
                <w:highlight w:val="none"/>
                <w:lang w:val="zh-CN" w:eastAsia="zh-CN"/>
              </w:rPr>
              <w:t>煤的物理性质</w:t>
            </w:r>
          </w:p>
          <w:p w14:paraId="7077DE5B">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zh-CN" w:eastAsia="zh-CN"/>
              </w:rPr>
              <w:t>颜色</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是指新鲜煤表面的自然色彩，是煤对不同波长的光波吸收的结果。旱褐色黑色，一般随煤化程度的提高</w:t>
            </w:r>
            <w:r>
              <w:rPr>
                <w:rFonts w:hint="default" w:ascii="Times New Roman" w:hAnsi="Times New Roman" w:cs="Times New Roman"/>
                <w:color w:val="auto"/>
                <w:sz w:val="24"/>
                <w:highlight w:val="none"/>
                <w:lang w:val="zh-CN" w:eastAsia="zh-CN"/>
              </w:rPr>
              <w:t>逐渐</w:t>
            </w:r>
            <w:r>
              <w:rPr>
                <w:rFonts w:hint="default" w:ascii="Times New Roman" w:hAnsi="Times New Roman" w:eastAsia="宋体" w:cs="Times New Roman"/>
                <w:color w:val="auto"/>
                <w:sz w:val="24"/>
                <w:highlight w:val="none"/>
                <w:lang w:val="zh-CN" w:eastAsia="zh-CN"/>
              </w:rPr>
              <w:t>加深。</w:t>
            </w:r>
          </w:p>
          <w:p w14:paraId="0F91C00F">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zh-CN" w:eastAsia="zh-CN"/>
              </w:rPr>
              <w:t>光泽</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是指煤的表面在普通光下的反光能力。一般</w:t>
            </w:r>
            <w:r>
              <w:rPr>
                <w:rFonts w:hint="default" w:ascii="Times New Roman" w:hAnsi="Times New Roman" w:cs="Times New Roman"/>
                <w:color w:val="auto"/>
                <w:sz w:val="24"/>
                <w:highlight w:val="none"/>
                <w:lang w:val="zh-CN" w:eastAsia="zh-CN"/>
              </w:rPr>
              <w:t>是沥青</w:t>
            </w:r>
            <w:r>
              <w:rPr>
                <w:rFonts w:hint="default" w:ascii="Times New Roman" w:hAnsi="Times New Roman" w:eastAsia="宋体" w:cs="Times New Roman"/>
                <w:color w:val="auto"/>
                <w:sz w:val="24"/>
                <w:highlight w:val="none"/>
                <w:lang w:val="zh-CN" w:eastAsia="zh-CN"/>
              </w:rPr>
              <w:t>、</w:t>
            </w:r>
            <w:r>
              <w:rPr>
                <w:rFonts w:hint="default" w:ascii="Times New Roman" w:hAnsi="Times New Roman" w:cs="Times New Roman"/>
                <w:color w:val="auto"/>
                <w:sz w:val="24"/>
                <w:highlight w:val="none"/>
                <w:lang w:val="zh-CN" w:eastAsia="zh-CN"/>
              </w:rPr>
              <w:t>玻璃</w:t>
            </w:r>
            <w:r>
              <w:rPr>
                <w:rFonts w:hint="default" w:ascii="Times New Roman" w:hAnsi="Times New Roman" w:eastAsia="宋体" w:cs="Times New Roman"/>
                <w:color w:val="auto"/>
                <w:sz w:val="24"/>
                <w:highlight w:val="none"/>
                <w:lang w:val="zh-CN" w:eastAsia="zh-CN"/>
              </w:rPr>
              <w:t>和金咖光泽，煤化程度越高，光泽</w:t>
            </w:r>
            <w:r>
              <w:rPr>
                <w:rFonts w:hint="eastAsia" w:cs="Times New Roman"/>
                <w:color w:val="auto"/>
                <w:sz w:val="24"/>
                <w:highlight w:val="none"/>
                <w:lang w:val="zh-CN" w:eastAsia="zh-CN"/>
              </w:rPr>
              <w:t>越强</w:t>
            </w:r>
            <w:r>
              <w:rPr>
                <w:rFonts w:hint="default" w:ascii="Times New Roman" w:hAnsi="Times New Roman" w:eastAsia="宋体" w:cs="Times New Roman"/>
                <w:color w:val="auto"/>
                <w:sz w:val="24"/>
                <w:highlight w:val="none"/>
                <w:lang w:val="zh-CN" w:eastAsia="zh-CN"/>
              </w:rPr>
              <w:t>，矿物质含量越</w:t>
            </w:r>
            <w:r>
              <w:rPr>
                <w:rFonts w:hint="default" w:ascii="Times New Roman" w:hAnsi="Times New Roman" w:cs="Times New Roman"/>
                <w:color w:val="auto"/>
                <w:sz w:val="24"/>
                <w:highlight w:val="none"/>
                <w:lang w:val="zh-CN" w:eastAsia="zh-CN"/>
              </w:rPr>
              <w:t>多</w:t>
            </w:r>
            <w:r>
              <w:rPr>
                <w:rFonts w:hint="default" w:ascii="Times New Roman" w:hAnsi="Times New Roman" w:eastAsia="宋体" w:cs="Times New Roman"/>
                <w:color w:val="auto"/>
                <w:sz w:val="24"/>
                <w:highlight w:val="none"/>
                <w:lang w:val="zh-CN" w:eastAsia="zh-CN"/>
              </w:rPr>
              <w:t>，光泽越暗，风、氧化</w:t>
            </w:r>
            <w:r>
              <w:rPr>
                <w:rFonts w:hint="eastAsia" w:ascii="Times New Roman" w:hAnsi="Times New Roman" w:cs="Times New Roman"/>
                <w:color w:val="auto"/>
                <w:sz w:val="24"/>
                <w:highlight w:val="none"/>
                <w:lang w:val="zh-CN" w:eastAsia="zh-CN"/>
              </w:rPr>
              <w:t>程度</w:t>
            </w:r>
            <w:r>
              <w:rPr>
                <w:rFonts w:hint="default" w:ascii="Times New Roman" w:hAnsi="Times New Roman" w:eastAsia="宋体" w:cs="Times New Roman"/>
                <w:color w:val="auto"/>
                <w:sz w:val="24"/>
                <w:highlight w:val="none"/>
                <w:lang w:val="zh-CN" w:eastAsia="zh-CN"/>
              </w:rPr>
              <w:t>越深，光泽越</w:t>
            </w:r>
            <w:r>
              <w:rPr>
                <w:rFonts w:hint="eastAsia" w:cs="Times New Roman"/>
                <w:color w:val="auto"/>
                <w:sz w:val="24"/>
                <w:highlight w:val="none"/>
                <w:lang w:val="zh-CN" w:eastAsia="zh-CN"/>
              </w:rPr>
              <w:t>暗</w:t>
            </w:r>
            <w:r>
              <w:rPr>
                <w:rFonts w:hint="default" w:ascii="Times New Roman" w:hAnsi="Times New Roman" w:eastAsia="宋体" w:cs="Times New Roman"/>
                <w:color w:val="auto"/>
                <w:sz w:val="24"/>
                <w:highlight w:val="none"/>
                <w:lang w:val="zh-CN" w:eastAsia="zh-CN"/>
              </w:rPr>
              <w:t>，直到完全消失。</w:t>
            </w:r>
          </w:p>
          <w:p w14:paraId="1D19418C">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lang w:val="zh-CN" w:eastAsia="zh-CN"/>
              </w:rPr>
              <w:t>粉色</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指将煤研成粉末的颜色或煤在抹上釉的瓷板上刻划时留下的痕迹，所以又称为条痕色。呈浅棕色</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黑色。一般是煤化程度越高，粉色越深。</w:t>
            </w:r>
          </w:p>
          <w:p w14:paraId="30A9F71E">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4）</w:t>
            </w:r>
            <w:r>
              <w:rPr>
                <w:rFonts w:hint="default" w:ascii="Times New Roman" w:hAnsi="Times New Roman" w:eastAsia="宋体" w:cs="Times New Roman"/>
                <w:color w:val="auto"/>
                <w:sz w:val="24"/>
                <w:highlight w:val="none"/>
                <w:lang w:val="zh-CN" w:eastAsia="zh-CN"/>
              </w:rPr>
              <w:t>比重和容重</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煤的比重又称煤的密度，它是不包括孔除在内的一定体积的煤的重量与同温度、同体积的水的重量之比。煤的容重又称煤的体重或假比重，它是包括孔障在内的一定体积的煤的重量与同温度、同体积的水的重量之比。煤的容重是计算煤层储量的重要指标。褐煤的容重一般为1.05</w:t>
            </w:r>
            <w:r>
              <w:rPr>
                <w:rFonts w:hint="eastAsia"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1.2</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烟煤为1.2</w:t>
            </w:r>
            <w:r>
              <w:rPr>
                <w:rFonts w:hint="eastAsia"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1.4</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无烟煤变化范围较大</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可由1.35</w:t>
            </w:r>
            <w:r>
              <w:rPr>
                <w:rFonts w:hint="eastAsia"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1.8。煤岩组成、煤化程度、煤中矿物质的成分和含量是影响比重和容重的主要因素。在矿物质含量相同的情况下，煤的比重随煤化程度的加深</w:t>
            </w:r>
            <w:r>
              <w:rPr>
                <w:rFonts w:hint="eastAsia" w:ascii="Times New Roman" w:hAnsi="Times New Roman" w:cs="Times New Roman"/>
                <w:color w:val="auto"/>
                <w:sz w:val="24"/>
                <w:highlight w:val="none"/>
                <w:lang w:val="zh-CN" w:eastAsia="zh-CN"/>
              </w:rPr>
              <w:t>而</w:t>
            </w:r>
            <w:r>
              <w:rPr>
                <w:rFonts w:hint="default" w:ascii="Times New Roman" w:hAnsi="Times New Roman" w:eastAsia="宋体" w:cs="Times New Roman"/>
                <w:color w:val="auto"/>
                <w:sz w:val="24"/>
                <w:highlight w:val="none"/>
                <w:lang w:val="zh-CN" w:eastAsia="zh-CN"/>
              </w:rPr>
              <w:t>增大。</w:t>
            </w:r>
          </w:p>
          <w:p w14:paraId="6D178D24">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zh-CN" w:eastAsia="zh-CN"/>
              </w:rPr>
              <w:t>硬度</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指煤抵抗外来机械作用的能力。根据外来机械力作用方式不同，可进一步将煤的硬度分为刻划硬度、压痕硬度和抗磨硬度三类。煤的硬度与煤化程度有关。褐煤和焦煤硬度最小，约2</w:t>
            </w:r>
            <w:r>
              <w:rPr>
                <w:rFonts w:hint="eastAsia"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2.5</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无烟煤硬度最大，接近4。</w:t>
            </w:r>
          </w:p>
          <w:p w14:paraId="0BAE5256">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zh-CN" w:eastAsia="zh-CN"/>
              </w:rPr>
              <w:t>脆度</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是煤受外力作用而破碎的程度。成煤的原始物质、煤岩成分、煤化程度等都对煤的脆度有影响。在不同变质程度的煤中，长焰煤和气煤的脆度较小，肥煤、焦煤和瘦煤的脆度最大，无烟煤的脆度最小。</w:t>
            </w:r>
          </w:p>
          <w:p w14:paraId="0B354CDA">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7）</w:t>
            </w:r>
            <w:r>
              <w:rPr>
                <w:rFonts w:hint="default" w:ascii="Times New Roman" w:hAnsi="Times New Roman" w:eastAsia="宋体" w:cs="Times New Roman"/>
                <w:color w:val="auto"/>
                <w:sz w:val="24"/>
                <w:highlight w:val="none"/>
                <w:lang w:val="zh-CN" w:eastAsia="zh-CN"/>
              </w:rPr>
              <w:t>断口</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指煤</w:t>
            </w:r>
            <w:r>
              <w:rPr>
                <w:rFonts w:hint="default" w:ascii="Times New Roman" w:hAnsi="Times New Roman" w:cs="Times New Roman"/>
                <w:color w:val="auto"/>
                <w:sz w:val="24"/>
                <w:highlight w:val="none"/>
                <w:lang w:val="zh-CN" w:eastAsia="zh-CN"/>
              </w:rPr>
              <w:t>在</w:t>
            </w:r>
            <w:r>
              <w:rPr>
                <w:rFonts w:hint="default" w:ascii="Times New Roman" w:hAnsi="Times New Roman" w:eastAsia="宋体" w:cs="Times New Roman"/>
                <w:color w:val="auto"/>
                <w:sz w:val="24"/>
                <w:highlight w:val="none"/>
                <w:lang w:val="zh-CN" w:eastAsia="zh-CN"/>
              </w:rPr>
              <w:t>外力打击后形成的断面的形状。在煤中常见的口有目壳状断口，参差状断口等，煤的原始物质组成和煤化程度不同，断口形状各异。</w:t>
            </w:r>
          </w:p>
          <w:p w14:paraId="22D29970">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8）</w:t>
            </w:r>
            <w:r>
              <w:rPr>
                <w:rFonts w:hint="default" w:ascii="Times New Roman" w:hAnsi="Times New Roman" w:eastAsia="宋体" w:cs="Times New Roman"/>
                <w:color w:val="auto"/>
                <w:sz w:val="24"/>
                <w:highlight w:val="none"/>
                <w:lang w:val="zh-CN" w:eastAsia="zh-CN"/>
              </w:rPr>
              <w:t>导电性</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是指煤传导电流的能力，通常用电率来表示。褐煤电率低。褐煤向烟煤过渡时，</w:t>
            </w:r>
            <w:r>
              <w:rPr>
                <w:rFonts w:hint="default" w:ascii="Times New Roman" w:hAnsi="Times New Roman" w:cs="Times New Roman"/>
                <w:color w:val="auto"/>
                <w:sz w:val="24"/>
                <w:highlight w:val="none"/>
                <w:lang w:val="zh-CN" w:eastAsia="zh-CN"/>
              </w:rPr>
              <w:t>电阻率</w:t>
            </w:r>
            <w:r>
              <w:rPr>
                <w:rFonts w:hint="default" w:ascii="Times New Roman" w:hAnsi="Times New Roman" w:eastAsia="宋体" w:cs="Times New Roman"/>
                <w:color w:val="auto"/>
                <w:sz w:val="24"/>
                <w:highlight w:val="none"/>
                <w:lang w:val="zh-CN" w:eastAsia="zh-CN"/>
              </w:rPr>
              <w:t>剧增，烟煤是不良导体，随着煤化程度增高，电阻率减小，至无烟煤时急剧下降，而具良好的导电性。</w:t>
            </w:r>
          </w:p>
          <w:p w14:paraId="1D236C72">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煤的</w:t>
            </w:r>
            <w:r>
              <w:rPr>
                <w:rFonts w:hint="default" w:ascii="Times New Roman" w:hAnsi="Times New Roman" w:cs="Times New Roman"/>
                <w:color w:val="auto"/>
                <w:sz w:val="24"/>
                <w:highlight w:val="none"/>
                <w:lang w:val="zh-CN" w:eastAsia="zh-CN"/>
              </w:rPr>
              <w:t>化学成分</w:t>
            </w:r>
          </w:p>
          <w:p w14:paraId="218EDF93">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eastAsia="zh-CN"/>
              </w:rPr>
              <w:t>煤的化学组成很复杂，但归纳起来可分为有机质和无机质两大类，以有机质为主体。</w:t>
            </w:r>
          </w:p>
          <w:p w14:paraId="1D38FDE8">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zh-CN" w:eastAsia="zh-CN"/>
              </w:rPr>
              <w:t>煤中的有机质主要由碳、氢、氧、氮和有机硫等五种元素组成。其中，碳、氢、氧占有机质的95%以上。此外，还有极少量的和其他元素。</w:t>
            </w:r>
          </w:p>
          <w:p w14:paraId="0CEED180">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zh-CN" w:eastAsia="zh-CN"/>
              </w:rPr>
              <w:t>煤中的无机质主要是水分和矿物质，它们的存在降低了煤的质量和利用价值，其中绝大多数是煤中的有害成分。</w:t>
            </w:r>
          </w:p>
          <w:p w14:paraId="6170474D">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lang w:val="zh-CN" w:eastAsia="zh-CN"/>
              </w:rPr>
              <w:t>还有一些稀有、分散和放射性元素，例如，锗、镓、钢、</w:t>
            </w:r>
            <w:r>
              <w:rPr>
                <w:rFonts w:hint="eastAsia" w:ascii="Times New Roman" w:hAnsi="Times New Roman" w:cs="Times New Roman"/>
                <w:color w:val="auto"/>
                <w:sz w:val="24"/>
                <w:highlight w:val="none"/>
                <w:lang w:val="zh-CN" w:eastAsia="zh-CN"/>
              </w:rPr>
              <w:t>锌</w:t>
            </w:r>
            <w:r>
              <w:rPr>
                <w:rFonts w:hint="default" w:ascii="Times New Roman" w:hAnsi="Times New Roman" w:eastAsia="宋体" w:cs="Times New Roman"/>
                <w:color w:val="auto"/>
                <w:sz w:val="24"/>
                <w:highlight w:val="none"/>
                <w:lang w:val="zh-CN" w:eastAsia="zh-CN"/>
              </w:rPr>
              <w:t>、钒、钛、铀等等，它们分别以有机或无机化合物的形态存在于煤中。其中某些元素的含量，一旦达到工业品位或可综合利用时，就是重要的矿产资源。</w:t>
            </w:r>
          </w:p>
          <w:p w14:paraId="6BD29E75">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煤的质量指标</w:t>
            </w:r>
          </w:p>
          <w:p w14:paraId="3A04EDA9">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eastAsia="zh-CN"/>
              </w:rPr>
              <w:t>煤的质量指标一般指煤的工业质量指标，包括水分、灰分、挥发分的测定和固定碳四项指标：</w:t>
            </w:r>
          </w:p>
          <w:p w14:paraId="32CA11E6">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zh-CN" w:eastAsia="zh-CN"/>
              </w:rPr>
              <w:t>水分</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指单位重量的煤中水的含量。煤中水分有外在水分、内在水分和结水三种</w:t>
            </w:r>
            <w:r>
              <w:rPr>
                <w:rFonts w:hint="default" w:ascii="Times New Roman" w:hAnsi="Times New Roman" w:cs="Times New Roman"/>
                <w:color w:val="auto"/>
                <w:sz w:val="24"/>
                <w:highlight w:val="none"/>
                <w:lang w:val="zh-CN" w:eastAsia="zh-CN"/>
              </w:rPr>
              <w:t>存在</w:t>
            </w:r>
            <w:r>
              <w:rPr>
                <w:rFonts w:hint="default" w:ascii="Times New Roman" w:hAnsi="Times New Roman" w:eastAsia="宋体" w:cs="Times New Roman"/>
                <w:color w:val="auto"/>
                <w:sz w:val="24"/>
                <w:highlight w:val="none"/>
                <w:lang w:val="zh-CN" w:eastAsia="zh-CN"/>
              </w:rPr>
              <w:t>状态。一般以煤的内在水分作为评定煤质的指标。煤化程度越低，煤的内部表面积越大，水分含量越高。</w:t>
            </w:r>
          </w:p>
          <w:p w14:paraId="1EA2653B">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zh-CN" w:eastAsia="zh-CN"/>
              </w:rPr>
              <w:t>灰分</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是指煤在规定条件下完全燃烧后剩下的固体残渣。它是煤中的矿物质经过氧化、分解而来。</w:t>
            </w:r>
          </w:p>
          <w:p w14:paraId="27197B97">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eastAsia="zh-CN"/>
              </w:rPr>
              <w:t>灰分对煤的加工利用极为不利。在评价煤的工业用途时，必须分析灰成分，测定灰熔点。</w:t>
            </w:r>
          </w:p>
          <w:p w14:paraId="44F46EF4">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lang w:val="zh-CN" w:eastAsia="zh-CN"/>
              </w:rPr>
              <w:t>挥发分</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指煤中的有机物质受热分解产生的可燃性气体。它是对煤</w:t>
            </w:r>
            <w:r>
              <w:rPr>
                <w:rFonts w:hint="default" w:ascii="Times New Roman" w:hAnsi="Times New Roman" w:cs="Times New Roman"/>
                <w:color w:val="auto"/>
                <w:sz w:val="24"/>
                <w:highlight w:val="none"/>
                <w:lang w:val="zh-CN" w:eastAsia="zh-CN"/>
              </w:rPr>
              <w:t>进行</w:t>
            </w:r>
            <w:r>
              <w:rPr>
                <w:rFonts w:hint="default" w:ascii="Times New Roman" w:hAnsi="Times New Roman" w:eastAsia="宋体" w:cs="Times New Roman"/>
                <w:color w:val="auto"/>
                <w:sz w:val="24"/>
                <w:highlight w:val="none"/>
                <w:lang w:val="zh-CN" w:eastAsia="zh-CN"/>
              </w:rPr>
              <w:t>分类的主要指标，并被用来初步确定煤的加工利用性。</w:t>
            </w:r>
          </w:p>
          <w:p w14:paraId="44F8D3B9">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eastAsia="zh-CN"/>
              </w:rPr>
              <w:t>煤的挥发分产率与煤化程度有密切关系，煤化程度越低，挥发分越高，随着煤化程度加深，挥发分逐渐降低。</w:t>
            </w:r>
          </w:p>
          <w:p w14:paraId="07A79373">
            <w:pPr>
              <w:spacing w:line="360" w:lineRule="auto"/>
              <w:ind w:firstLine="480" w:firstLineChars="200"/>
              <w:rPr>
                <w:rFonts w:hint="default" w:ascii="Times New Roman" w:hAnsi="Times New Roman" w:eastAsia="宋体" w:cs="Times New Roman"/>
                <w:color w:val="auto"/>
                <w:sz w:val="24"/>
                <w:highlight w:val="none"/>
                <w:lang w:val="zh-CN" w:eastAsia="zh-CN"/>
              </w:rPr>
            </w:pPr>
            <w:r>
              <w:rPr>
                <w:rFonts w:hint="default" w:ascii="Times New Roman" w:hAnsi="Times New Roman" w:cs="Times New Roman"/>
                <w:color w:val="auto"/>
                <w:sz w:val="24"/>
                <w:highlight w:val="none"/>
                <w:lang w:val="en-US" w:eastAsia="zh-CN"/>
              </w:rPr>
              <w:t>4）</w:t>
            </w:r>
            <w:r>
              <w:rPr>
                <w:rFonts w:hint="default" w:ascii="Times New Roman" w:hAnsi="Times New Roman" w:eastAsia="宋体" w:cs="Times New Roman"/>
                <w:color w:val="auto"/>
                <w:sz w:val="24"/>
                <w:highlight w:val="none"/>
                <w:lang w:val="zh-CN" w:eastAsia="zh-CN"/>
              </w:rPr>
              <w:t>固定碳</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测定煤的挥发分时，剩下的不挥发物称为焦渣。焦渣减去灰分称为固定碳。它是煤中不挥发的固体可燃物，焦渣外观与煤中有机质的性质有密切关系。根据焦渣外观特征，可以定性地判断煤的粘结性和工业用途。</w:t>
            </w:r>
          </w:p>
          <w:p w14:paraId="0BCD00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6、</w:t>
            </w:r>
            <w:r>
              <w:rPr>
                <w:rFonts w:hint="default" w:ascii="Times New Roman" w:hAnsi="Times New Roman" w:cs="Times New Roman"/>
                <w:b/>
                <w:bCs/>
                <w:color w:val="auto"/>
                <w:sz w:val="24"/>
                <w:highlight w:val="none"/>
              </w:rPr>
              <w:t>劳动定员及工作制度</w:t>
            </w:r>
          </w:p>
          <w:p w14:paraId="42A7A812">
            <w:pPr>
              <w:keepNext w:val="0"/>
              <w:keepLines w:val="0"/>
              <w:pageBreakBefore w:val="0"/>
              <w:widowControl w:val="0"/>
              <w:tabs>
                <w:tab w:val="left" w:pos="64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eastAsia="zh-CN"/>
              </w:rPr>
              <w:t>建成运营后</w:t>
            </w:r>
            <w:r>
              <w:rPr>
                <w:rFonts w:hint="default" w:ascii="Times New Roman" w:hAnsi="Times New Roman" w:eastAsia="宋体" w:cs="Times New Roman"/>
                <w:color w:val="auto"/>
                <w:sz w:val="24"/>
                <w:highlight w:val="none"/>
              </w:rPr>
              <w:t>劳动定员</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人，项目年工作时间3</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rPr>
              <w:t>0天，</w:t>
            </w:r>
            <w:r>
              <w:rPr>
                <w:rFonts w:hint="default" w:ascii="Times New Roman" w:hAnsi="Times New Roman" w:eastAsia="宋体" w:cs="Times New Roman"/>
                <w:color w:val="auto"/>
                <w:sz w:val="24"/>
                <w:highlight w:val="none"/>
                <w:lang w:val="en-US" w:eastAsia="zh-CN"/>
              </w:rPr>
              <w:t>8h/d</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2400h/a</w:t>
            </w:r>
            <w:r>
              <w:rPr>
                <w:rFonts w:hint="default" w:ascii="Times New Roman" w:hAnsi="Times New Roman" w:eastAsia="宋体" w:cs="Times New Roman"/>
                <w:color w:val="auto"/>
                <w:sz w:val="24"/>
                <w:highlight w:val="none"/>
              </w:rPr>
              <w:t>。</w:t>
            </w:r>
          </w:p>
          <w:p w14:paraId="64E8E0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7</w:t>
            </w:r>
            <w:r>
              <w:rPr>
                <w:rFonts w:hint="default" w:ascii="Times New Roman" w:hAnsi="Times New Roman" w:cs="Times New Roman"/>
                <w:b/>
                <w:bCs/>
                <w:color w:val="auto"/>
                <w:sz w:val="24"/>
                <w:highlight w:val="none"/>
              </w:rPr>
              <w:t>、公用工程</w:t>
            </w:r>
          </w:p>
          <w:p w14:paraId="2762668A">
            <w:pPr>
              <w:spacing w:line="360" w:lineRule="auto"/>
              <w:ind w:firstLine="480" w:firstLineChars="200"/>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本项目厂区内不设置厕所，故无生活用水，无生活污水产生。</w:t>
            </w:r>
          </w:p>
          <w:p w14:paraId="0AE0F22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给水</w:t>
            </w:r>
          </w:p>
          <w:p w14:paraId="4512C460">
            <w:pPr>
              <w:keepNext w:val="0"/>
              <w:keepLines w:val="0"/>
              <w:pageBreakBefore w:val="0"/>
              <w:tabs>
                <w:tab w:val="left" w:pos="6480"/>
              </w:tabs>
              <w:kinsoku/>
              <w:wordWrap/>
              <w:overflowPunct/>
              <w:topLinePunct w:val="0"/>
              <w:bidi w:val="0"/>
              <w:snapToGrid/>
              <w:spacing w:line="360" w:lineRule="auto"/>
              <w:ind w:right="0"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本项目用水主要</w:t>
            </w:r>
            <w:r>
              <w:rPr>
                <w:rFonts w:hint="eastAsia" w:cs="Times New Roman"/>
                <w:color w:val="auto"/>
                <w:sz w:val="24"/>
                <w:highlight w:val="none"/>
                <w:lang w:val="en-US" w:eastAsia="zh-CN"/>
              </w:rPr>
              <w:t>为</w:t>
            </w:r>
            <w:r>
              <w:rPr>
                <w:rFonts w:hint="default" w:ascii="Times New Roman" w:hAnsi="Times New Roman" w:cs="Times New Roman"/>
                <w:color w:val="auto"/>
                <w:sz w:val="24"/>
                <w:highlight w:val="none"/>
                <w:lang w:eastAsia="zh-CN"/>
              </w:rPr>
              <w:t>洒水降尘</w:t>
            </w:r>
            <w:r>
              <w:rPr>
                <w:rFonts w:hint="default" w:ascii="Times New Roman" w:hAnsi="Times New Roman" w:cs="Times New Roman"/>
                <w:color w:val="auto"/>
                <w:sz w:val="24"/>
                <w:highlight w:val="none"/>
              </w:rPr>
              <w:t>用水，</w:t>
            </w:r>
            <w:r>
              <w:rPr>
                <w:rFonts w:hint="eastAsia" w:cs="Times New Roman"/>
                <w:color w:val="auto"/>
                <w:sz w:val="24"/>
                <w:highlight w:val="none"/>
                <w:lang w:val="en-US" w:eastAsia="zh-CN"/>
              </w:rPr>
              <w:t>依托东侧紧邻黑龙江腾邺贸易有限公司厂区内两口水井</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项目不在厂区内洗车，因此无车辆</w:t>
            </w:r>
            <w:r>
              <w:rPr>
                <w:rFonts w:hint="eastAsia" w:cs="Times New Roman"/>
                <w:color w:val="auto"/>
                <w:sz w:val="24"/>
                <w:highlight w:val="none"/>
                <w:lang w:val="en-US" w:eastAsia="zh-CN"/>
              </w:rPr>
              <w:t>清洗用水。</w:t>
            </w:r>
          </w:p>
          <w:p w14:paraId="3294A8E7">
            <w:pPr>
              <w:keepNext w:val="0"/>
              <w:keepLines w:val="0"/>
              <w:pageBreakBefore w:val="0"/>
              <w:tabs>
                <w:tab w:val="left" w:pos="6480"/>
              </w:tabs>
              <w:kinsoku/>
              <w:wordWrap/>
              <w:overflowPunct/>
              <w:topLinePunct w:val="0"/>
              <w:autoSpaceDE/>
              <w:autoSpaceDN/>
              <w:bidi w:val="0"/>
              <w:snapToGrid/>
              <w:spacing w:line="360" w:lineRule="auto"/>
              <w:ind w:right="0"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洒水降尘</w:t>
            </w:r>
            <w:r>
              <w:rPr>
                <w:rFonts w:hint="default" w:ascii="Times New Roman" w:hAnsi="Times New Roman" w:cs="Times New Roman"/>
                <w:color w:val="auto"/>
                <w:sz w:val="24"/>
                <w:highlight w:val="none"/>
              </w:rPr>
              <w:t>用水</w:t>
            </w:r>
          </w:p>
          <w:p w14:paraId="1A644846">
            <w:pPr>
              <w:keepNext w:val="0"/>
              <w:keepLines w:val="0"/>
              <w:pageBreakBefore w:val="0"/>
              <w:kinsoku/>
              <w:wordWrap/>
              <w:overflowPunct/>
              <w:topLinePunct w:val="0"/>
              <w:autoSpaceDE/>
              <w:autoSpaceDN/>
              <w:bidi w:val="0"/>
              <w:adjustRightInd w:val="0"/>
              <w:snapToGrid/>
              <w:spacing w:line="360" w:lineRule="auto"/>
              <w:ind w:right="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w:t>
            </w:r>
            <w:r>
              <w:rPr>
                <w:rFonts w:hint="default" w:ascii="Times New Roman" w:hAnsi="Times New Roman" w:cs="Times New Roman"/>
                <w:color w:val="auto"/>
                <w:sz w:val="24"/>
                <w:highlight w:val="none"/>
                <w:lang w:eastAsia="zh-CN"/>
              </w:rPr>
              <w:t>项目洒水降尘</w:t>
            </w:r>
            <w:r>
              <w:rPr>
                <w:rFonts w:hint="default" w:ascii="Times New Roman" w:hAnsi="Times New Roman" w:cs="Times New Roman"/>
                <w:color w:val="auto"/>
                <w:sz w:val="24"/>
                <w:highlight w:val="none"/>
              </w:rPr>
              <w:t>用水</w:t>
            </w:r>
            <w:r>
              <w:rPr>
                <w:rFonts w:hint="default" w:ascii="Times New Roman" w:hAnsi="Times New Roman" w:cs="Times New Roman"/>
                <w:color w:val="auto"/>
                <w:sz w:val="24"/>
                <w:highlight w:val="none"/>
                <w:lang w:eastAsia="zh-CN"/>
              </w:rPr>
              <w:t>主要为煤场洒水</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道路洒水</w:t>
            </w:r>
            <w:r>
              <w:rPr>
                <w:rFonts w:hint="eastAsia" w:cs="Times New Roman"/>
                <w:color w:val="auto"/>
                <w:sz w:val="24"/>
                <w:highlight w:val="none"/>
                <w:lang w:val="en-US" w:eastAsia="zh-CN"/>
              </w:rPr>
              <w:t>和装卸洒水</w:t>
            </w:r>
            <w:r>
              <w:rPr>
                <w:rFonts w:hint="default" w:ascii="Times New Roman" w:hAnsi="Times New Roman" w:cs="Times New Roman"/>
                <w:color w:val="auto"/>
                <w:sz w:val="24"/>
                <w:highlight w:val="none"/>
              </w:rPr>
              <w:t>。</w:t>
            </w:r>
          </w:p>
          <w:p w14:paraId="76F55F68">
            <w:pPr>
              <w:keepNext w:val="0"/>
              <w:keepLines w:val="0"/>
              <w:pageBreakBefore w:val="0"/>
              <w:kinsoku/>
              <w:wordWrap/>
              <w:overflowPunct/>
              <w:topLinePunct w:val="0"/>
              <w:autoSpaceDE/>
              <w:autoSpaceDN/>
              <w:bidi w:val="0"/>
              <w:adjustRightInd w:val="0"/>
              <w:snapToGrid/>
              <w:spacing w:line="360" w:lineRule="auto"/>
              <w:ind w:right="0" w:firstLine="480" w:firstLineChars="200"/>
              <w:textAlignment w:val="baseline"/>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煤</w:t>
            </w:r>
            <w:r>
              <w:rPr>
                <w:rFonts w:hint="default" w:ascii="Times New Roman" w:hAnsi="Times New Roman" w:cs="Times New Roman"/>
                <w:color w:val="auto"/>
                <w:sz w:val="24"/>
                <w:szCs w:val="20"/>
                <w:highlight w:val="none"/>
                <w:lang w:eastAsia="zh-CN"/>
              </w:rPr>
              <w:t>场</w:t>
            </w:r>
            <w:r>
              <w:rPr>
                <w:rFonts w:hint="default" w:ascii="Times New Roman" w:hAnsi="Times New Roman" w:cs="Times New Roman"/>
                <w:color w:val="auto"/>
                <w:sz w:val="24"/>
                <w:szCs w:val="20"/>
                <w:highlight w:val="none"/>
              </w:rPr>
              <w:t>洒水：</w:t>
            </w:r>
            <w:r>
              <w:rPr>
                <w:rFonts w:hint="eastAsia" w:cs="Times New Roman"/>
                <w:color w:val="auto"/>
                <w:sz w:val="24"/>
                <w:szCs w:val="20"/>
                <w:highlight w:val="none"/>
                <w:lang w:val="en-US" w:eastAsia="zh-CN"/>
              </w:rPr>
              <w:t>根据《煤炭矿石码头粉尘控制设计规范》（JTS/T 156-2024）表8.2.4粉尘控制用水量指标表中</w:t>
            </w:r>
            <w:r>
              <w:rPr>
                <w:rFonts w:ascii="宋体" w:hAnsi="宋体" w:eastAsia="宋体" w:cs="宋体"/>
                <w:color w:val="auto"/>
                <w:sz w:val="24"/>
                <w:szCs w:val="24"/>
              </w:rPr>
              <w:t>煤炭堆</w:t>
            </w:r>
            <w:r>
              <w:rPr>
                <w:rFonts w:hint="eastAsia" w:ascii="宋体" w:hAnsi="宋体" w:eastAsia="宋体" w:cs="宋体"/>
                <w:color w:val="auto"/>
                <w:sz w:val="24"/>
                <w:szCs w:val="24"/>
                <w:lang w:val="en-US" w:eastAsia="zh-CN"/>
              </w:rPr>
              <w:t>场</w:t>
            </w:r>
            <w:r>
              <w:rPr>
                <w:rFonts w:ascii="宋体" w:hAnsi="宋体" w:eastAsia="宋体" w:cs="宋体"/>
                <w:color w:val="auto"/>
                <w:sz w:val="24"/>
                <w:szCs w:val="24"/>
              </w:rPr>
              <w:t>喷</w:t>
            </w:r>
            <w:r>
              <w:rPr>
                <w:rFonts w:hint="eastAsia" w:ascii="宋体" w:hAnsi="宋体" w:eastAsia="宋体" w:cs="宋体"/>
                <w:color w:val="auto"/>
                <w:sz w:val="24"/>
                <w:szCs w:val="24"/>
                <w:lang w:val="en-US" w:eastAsia="zh-CN"/>
              </w:rPr>
              <w:t>洒</w:t>
            </w:r>
            <w:r>
              <w:rPr>
                <w:rFonts w:ascii="宋体" w:hAnsi="宋体" w:eastAsia="宋体" w:cs="宋体"/>
                <w:color w:val="auto"/>
                <w:sz w:val="24"/>
                <w:szCs w:val="24"/>
              </w:rPr>
              <w:t>用水量指标</w:t>
            </w:r>
            <w:r>
              <w:rPr>
                <w:rFonts w:hint="eastAsia" w:ascii="宋体" w:hAnsi="宋体" w:eastAsia="宋体" w:cs="宋体"/>
                <w:color w:val="auto"/>
                <w:sz w:val="24"/>
                <w:szCs w:val="24"/>
                <w:lang w:val="en-US" w:eastAsia="zh-CN"/>
              </w:rPr>
              <w:t>为</w:t>
            </w:r>
            <w:r>
              <w:rPr>
                <w:rFonts w:hint="default" w:ascii="Times New Roman" w:hAnsi="Times New Roman" w:cs="Times New Roman"/>
                <w:color w:val="auto"/>
                <w:sz w:val="24"/>
                <w:szCs w:val="20"/>
                <w:highlight w:val="none"/>
              </w:rPr>
              <w:t>2.0L/（m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·次）</w:t>
            </w:r>
            <w:r>
              <w:rPr>
                <w:rFonts w:hint="eastAsia" w:cs="Times New Roman"/>
                <w:color w:val="auto"/>
                <w:sz w:val="24"/>
                <w:szCs w:val="20"/>
                <w:highlight w:val="none"/>
                <w:lang w:val="en-US" w:eastAsia="zh-CN"/>
              </w:rPr>
              <w:t>~3</w:t>
            </w:r>
            <w:r>
              <w:rPr>
                <w:rFonts w:hint="default" w:ascii="Times New Roman" w:hAnsi="Times New Roman" w:cs="Times New Roman"/>
                <w:color w:val="auto"/>
                <w:sz w:val="24"/>
                <w:szCs w:val="20"/>
                <w:highlight w:val="none"/>
              </w:rPr>
              <w:t>.0L/（m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·次）</w:t>
            </w:r>
            <w:r>
              <w:rPr>
                <w:rFonts w:hint="eastAsia" w:cs="Times New Roman"/>
                <w:color w:val="auto"/>
                <w:sz w:val="24"/>
                <w:szCs w:val="20"/>
                <w:highlight w:val="none"/>
                <w:lang w:val="en-US" w:eastAsia="zh-CN"/>
              </w:rPr>
              <w:t>，</w:t>
            </w:r>
            <w:r>
              <w:rPr>
                <w:rFonts w:hint="eastAsia" w:ascii="Times New Roman" w:hAnsi="Times New Roman" w:eastAsia="宋体" w:cs="Times New Roman"/>
                <w:color w:val="auto"/>
                <w:sz w:val="24"/>
                <w:szCs w:val="20"/>
                <w:highlight w:val="none"/>
                <w:lang w:val="en-US" w:eastAsia="zh-CN"/>
              </w:rPr>
              <w:t>则项</w:t>
            </w:r>
            <w:r>
              <w:rPr>
                <w:rFonts w:hint="eastAsia" w:cs="Times New Roman"/>
                <w:color w:val="auto"/>
                <w:sz w:val="24"/>
                <w:szCs w:val="20"/>
                <w:highlight w:val="none"/>
                <w:lang w:val="en-US" w:eastAsia="zh-CN"/>
              </w:rPr>
              <w:t>目煤炭堆场喷洒用水量</w:t>
            </w:r>
            <w:r>
              <w:rPr>
                <w:rFonts w:hint="default" w:ascii="Times New Roman" w:hAnsi="Times New Roman" w:cs="Times New Roman"/>
                <w:color w:val="auto"/>
                <w:sz w:val="24"/>
                <w:szCs w:val="20"/>
                <w:highlight w:val="none"/>
              </w:rPr>
              <w:t>按2.0L/（m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·次）计，每天洒水1次，本项目</w:t>
            </w:r>
            <w:r>
              <w:rPr>
                <w:rFonts w:hint="default" w:ascii="Times New Roman" w:hAnsi="Times New Roman" w:cs="Times New Roman"/>
                <w:color w:val="auto"/>
                <w:sz w:val="24"/>
                <w:szCs w:val="20"/>
                <w:highlight w:val="none"/>
                <w:lang w:eastAsia="zh-CN"/>
              </w:rPr>
              <w:t>储煤场</w:t>
            </w:r>
            <w:r>
              <w:rPr>
                <w:rFonts w:hint="default" w:ascii="Times New Roman" w:hAnsi="Times New Roman" w:cs="Times New Roman"/>
                <w:color w:val="auto"/>
                <w:sz w:val="24"/>
                <w:szCs w:val="20"/>
                <w:highlight w:val="none"/>
              </w:rPr>
              <w:t>面积</w:t>
            </w:r>
            <w:r>
              <w:rPr>
                <w:rFonts w:hint="eastAsia" w:cs="Times New Roman"/>
                <w:color w:val="auto"/>
                <w:sz w:val="24"/>
                <w:szCs w:val="20"/>
                <w:highlight w:val="none"/>
                <w:lang w:eastAsia="zh-CN"/>
              </w:rPr>
              <w:t>11800</w:t>
            </w:r>
            <w:r>
              <w:rPr>
                <w:rFonts w:hint="default" w:ascii="Times New Roman" w:hAnsi="Times New Roman" w:cs="Times New Roman"/>
                <w:color w:val="auto"/>
                <w:sz w:val="24"/>
                <w:szCs w:val="20"/>
                <w:highlight w:val="none"/>
                <w:lang w:eastAsia="zh-CN"/>
              </w:rPr>
              <w:t>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szCs w:val="24"/>
                <w:highlight w:val="none"/>
              </w:rPr>
              <w:t>冬季无需进行洒水降尘，年用水1</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d</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0"/>
                <w:highlight w:val="none"/>
              </w:rPr>
              <w:t>则每天用水量为</w:t>
            </w:r>
            <w:r>
              <w:rPr>
                <w:rFonts w:hint="eastAsia" w:cs="Times New Roman"/>
                <w:color w:val="auto"/>
                <w:sz w:val="24"/>
                <w:szCs w:val="20"/>
                <w:highlight w:val="none"/>
                <w:lang w:val="en-US" w:eastAsia="zh-CN"/>
              </w:rPr>
              <w:t>23.60</w:t>
            </w:r>
            <w:r>
              <w:rPr>
                <w:rFonts w:hint="default" w:ascii="Times New Roman" w:hAnsi="Times New Roman" w:cs="Times New Roman"/>
                <w:color w:val="auto"/>
                <w:sz w:val="24"/>
                <w:szCs w:val="20"/>
                <w:highlight w:val="none"/>
                <w:lang w:val="en-US" w:eastAsia="zh-CN"/>
              </w:rPr>
              <w:t>m</w:t>
            </w:r>
            <w:r>
              <w:rPr>
                <w:rFonts w:hint="default" w:ascii="Times New Roman" w:hAnsi="Times New Roman" w:cs="Times New Roman"/>
                <w:color w:val="auto"/>
                <w:sz w:val="24"/>
                <w:szCs w:val="20"/>
                <w:highlight w:val="none"/>
                <w:vertAlign w:val="superscript"/>
              </w:rPr>
              <w:t>3</w:t>
            </w:r>
            <w:r>
              <w:rPr>
                <w:rFonts w:hint="default" w:ascii="Times New Roman" w:hAnsi="Times New Roman" w:cs="Times New Roman"/>
                <w:color w:val="auto"/>
                <w:sz w:val="24"/>
                <w:szCs w:val="20"/>
                <w:highlight w:val="none"/>
              </w:rPr>
              <w:t>/d（</w:t>
            </w:r>
            <w:r>
              <w:rPr>
                <w:rFonts w:hint="eastAsia" w:cs="Times New Roman"/>
                <w:color w:val="auto"/>
                <w:sz w:val="24"/>
                <w:szCs w:val="20"/>
                <w:highlight w:val="none"/>
                <w:lang w:val="en-US" w:eastAsia="zh-CN"/>
              </w:rPr>
              <w:t>3540.00</w:t>
            </w:r>
            <w:r>
              <w:rPr>
                <w:rFonts w:hint="default" w:ascii="Times New Roman" w:hAnsi="Times New Roman" w:cs="Times New Roman"/>
                <w:color w:val="auto"/>
                <w:sz w:val="24"/>
                <w:szCs w:val="20"/>
                <w:highlight w:val="none"/>
                <w:lang w:val="en-US" w:eastAsia="zh-CN"/>
              </w:rPr>
              <w:t>m</w:t>
            </w:r>
            <w:r>
              <w:rPr>
                <w:rFonts w:hint="default" w:ascii="Times New Roman" w:hAnsi="Times New Roman" w:cs="Times New Roman"/>
                <w:color w:val="auto"/>
                <w:sz w:val="24"/>
                <w:szCs w:val="20"/>
                <w:highlight w:val="none"/>
                <w:vertAlign w:val="superscript"/>
              </w:rPr>
              <w:t>3</w:t>
            </w:r>
            <w:r>
              <w:rPr>
                <w:rFonts w:hint="default" w:ascii="Times New Roman" w:hAnsi="Times New Roman" w:cs="Times New Roman"/>
                <w:color w:val="auto"/>
                <w:sz w:val="24"/>
                <w:szCs w:val="20"/>
                <w:highlight w:val="none"/>
              </w:rPr>
              <w:t>/a）；</w:t>
            </w:r>
          </w:p>
          <w:p w14:paraId="2490258F">
            <w:pPr>
              <w:keepNext w:val="0"/>
              <w:keepLines w:val="0"/>
              <w:pageBreakBefore w:val="0"/>
              <w:kinsoku/>
              <w:wordWrap/>
              <w:overflowPunct/>
              <w:topLinePunct w:val="0"/>
              <w:bidi w:val="0"/>
              <w:adjustRightInd w:val="0"/>
              <w:snapToGrid/>
              <w:spacing w:line="360" w:lineRule="auto"/>
              <w:ind w:right="0" w:firstLine="480" w:firstLineChars="200"/>
              <w:textAlignment w:val="baseline"/>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道路洒水：</w:t>
            </w:r>
            <w:r>
              <w:rPr>
                <w:rFonts w:hint="eastAsia" w:cs="Times New Roman"/>
                <w:color w:val="auto"/>
                <w:sz w:val="24"/>
                <w:szCs w:val="20"/>
                <w:highlight w:val="none"/>
                <w:lang w:val="en-US" w:eastAsia="zh-CN"/>
              </w:rPr>
              <w:t>根据《</w:t>
            </w:r>
            <w:r>
              <w:rPr>
                <w:rFonts w:hint="eastAsia" w:ascii="Times New Roman" w:hAnsi="Times New Roman" w:eastAsia="宋体" w:cs="Times New Roman"/>
                <w:b w:val="0"/>
                <w:bCs w:val="0"/>
                <w:color w:val="auto"/>
                <w:spacing w:val="0"/>
                <w:kern w:val="2"/>
                <w:sz w:val="24"/>
                <w:szCs w:val="24"/>
                <w:highlight w:val="none"/>
                <w:lang w:val="en-US" w:eastAsia="zh-CN"/>
              </w:rPr>
              <w:t>《黑龙江省地方标准 用水定额》（DB23/T 727-2025）</w:t>
            </w:r>
            <w:r>
              <w:rPr>
                <w:rFonts w:hint="eastAsia" w:cs="Times New Roman"/>
                <w:color w:val="auto"/>
                <w:sz w:val="24"/>
                <w:szCs w:val="20"/>
                <w:highlight w:val="none"/>
                <w:lang w:val="en-US" w:eastAsia="zh-CN"/>
              </w:rPr>
              <w:t>》表44水利、环境和公共设施管理业用水定额中环境卫生管理-浇洒道路先进值为</w:t>
            </w:r>
            <w:r>
              <w:rPr>
                <w:rFonts w:hint="eastAsia" w:ascii="Times New Roman" w:hAnsi="Times New Roman" w:cs="Times New Roman"/>
                <w:color w:val="auto"/>
                <w:sz w:val="24"/>
                <w:szCs w:val="20"/>
                <w:highlight w:val="none"/>
                <w:lang w:val="en-US" w:eastAsia="zh-CN"/>
              </w:rPr>
              <w:t>1.5</w:t>
            </w:r>
            <w:r>
              <w:rPr>
                <w:rFonts w:hint="default" w:ascii="Times New Roman" w:hAnsi="Times New Roman" w:cs="Times New Roman"/>
                <w:color w:val="auto"/>
                <w:sz w:val="24"/>
                <w:szCs w:val="20"/>
                <w:highlight w:val="none"/>
              </w:rPr>
              <w:t>L/（m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w:t>
            </w:r>
            <w:r>
              <w:rPr>
                <w:rFonts w:hint="eastAsia" w:ascii="Times New Roman" w:hAnsi="Times New Roman" w:cs="Times New Roman"/>
                <w:color w:val="auto"/>
                <w:sz w:val="24"/>
                <w:szCs w:val="20"/>
                <w:highlight w:val="none"/>
                <w:lang w:val="en-US" w:eastAsia="zh-CN"/>
              </w:rPr>
              <w:t>d</w:t>
            </w:r>
            <w:r>
              <w:rPr>
                <w:rFonts w:hint="default" w:ascii="Times New Roman" w:hAnsi="Times New Roman" w:cs="Times New Roman"/>
                <w:color w:val="auto"/>
                <w:sz w:val="24"/>
                <w:szCs w:val="20"/>
                <w:highlight w:val="none"/>
              </w:rPr>
              <w:t>）</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lang w:val="en-US" w:eastAsia="zh-CN"/>
              </w:rPr>
              <w:t>则项目</w:t>
            </w:r>
            <w:r>
              <w:rPr>
                <w:rFonts w:hint="default" w:ascii="Times New Roman" w:hAnsi="Times New Roman" w:cs="Times New Roman"/>
                <w:color w:val="auto"/>
                <w:sz w:val="24"/>
                <w:szCs w:val="20"/>
                <w:highlight w:val="none"/>
              </w:rPr>
              <w:t>道路洒水用水指标按1.5L/</w:t>
            </w:r>
            <w:r>
              <w:rPr>
                <w:rFonts w:hint="default" w:ascii="Times New Roman" w:hAnsi="Times New Roman" w:eastAsia="宋体" w:cs="Times New Roman"/>
                <w:color w:val="auto"/>
                <w:sz w:val="24"/>
                <w:szCs w:val="20"/>
                <w:highlight w:val="none"/>
              </w:rPr>
              <w:t>（m</w:t>
            </w:r>
            <w:r>
              <w:rPr>
                <w:rFonts w:hint="default" w:ascii="Times New Roman" w:hAnsi="Times New Roman" w:eastAsia="宋体" w:cs="Times New Roman"/>
                <w:color w:val="auto"/>
                <w:sz w:val="24"/>
                <w:szCs w:val="20"/>
                <w:highlight w:val="none"/>
                <w:vertAlign w:val="superscript"/>
              </w:rPr>
              <w:t>2</w:t>
            </w:r>
            <w:r>
              <w:rPr>
                <w:rFonts w:hint="default" w:ascii="Times New Roman" w:hAnsi="Times New Roman" w:eastAsia="宋体" w:cs="Times New Roman"/>
                <w:color w:val="auto"/>
                <w:sz w:val="24"/>
                <w:szCs w:val="20"/>
                <w:highlight w:val="none"/>
              </w:rPr>
              <w:t>·</w:t>
            </w:r>
            <w:r>
              <w:rPr>
                <w:rFonts w:hint="eastAsia" w:ascii="Times New Roman" w:hAnsi="Times New Roman" w:eastAsia="宋体" w:cs="Times New Roman"/>
                <w:color w:val="auto"/>
                <w:sz w:val="24"/>
                <w:szCs w:val="20"/>
                <w:highlight w:val="none"/>
                <w:lang w:val="en-US" w:eastAsia="zh-CN"/>
              </w:rPr>
              <w:t>d</w:t>
            </w:r>
            <w:r>
              <w:rPr>
                <w:rFonts w:hint="default" w:ascii="Times New Roman" w:hAnsi="Times New Roman" w:eastAsia="宋体" w:cs="Times New Roman"/>
                <w:color w:val="auto"/>
                <w:sz w:val="24"/>
                <w:szCs w:val="20"/>
                <w:highlight w:val="none"/>
              </w:rPr>
              <w:t>）</w:t>
            </w:r>
            <w:r>
              <w:rPr>
                <w:rFonts w:hint="default" w:ascii="Times New Roman" w:hAnsi="Times New Roman" w:cs="Times New Roman"/>
                <w:color w:val="auto"/>
                <w:sz w:val="24"/>
                <w:szCs w:val="20"/>
                <w:highlight w:val="none"/>
              </w:rPr>
              <w:t>计，本工程道路面积</w:t>
            </w:r>
            <w:r>
              <w:rPr>
                <w:rFonts w:hint="default" w:ascii="Times New Roman" w:hAnsi="Times New Roman" w:cs="Times New Roman"/>
                <w:color w:val="auto"/>
                <w:sz w:val="24"/>
                <w:highlight w:val="none"/>
              </w:rPr>
              <w:t>为</w:t>
            </w:r>
            <w:r>
              <w:rPr>
                <w:rFonts w:hint="eastAsia" w:cs="Times New Roman"/>
                <w:color w:val="auto"/>
                <w:sz w:val="24"/>
                <w:highlight w:val="none"/>
                <w:lang w:val="en-US" w:eastAsia="zh-CN"/>
              </w:rPr>
              <w:t>423</w:t>
            </w:r>
            <w:r>
              <w:rPr>
                <w:rFonts w:hint="default" w:ascii="Times New Roman" w:hAnsi="Times New Roman" w:cs="Times New Roman"/>
                <w:color w:val="auto"/>
                <w:sz w:val="24"/>
                <w:highlight w:val="none"/>
              </w:rPr>
              <w:t>m</w:t>
            </w:r>
            <w:r>
              <w:rPr>
                <w:rFonts w:hint="default" w:ascii="Times New Roman" w:hAnsi="Times New Roman" w:cs="Times New Roman"/>
                <w:color w:val="auto"/>
                <w:sz w:val="24"/>
                <w:szCs w:val="20"/>
                <w:highlight w:val="none"/>
                <w:vertAlign w:val="superscript"/>
              </w:rPr>
              <w:t>2</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szCs w:val="24"/>
                <w:highlight w:val="none"/>
              </w:rPr>
              <w:t>冬季无需进行洒水降尘，年用水1</w:t>
            </w:r>
            <w:r>
              <w:rPr>
                <w:rFonts w:hint="default" w:ascii="Times New Roman" w:hAnsi="Times New Roman" w:cs="Times New Roman"/>
                <w:color w:val="auto"/>
                <w:sz w:val="24"/>
                <w:szCs w:val="24"/>
                <w:highlight w:val="none"/>
                <w:lang w:val="en-US" w:eastAsia="zh-CN"/>
              </w:rPr>
              <w:t>50</w:t>
            </w:r>
            <w:r>
              <w:rPr>
                <w:rFonts w:hint="default" w:ascii="Times New Roman" w:hAnsi="Times New Roman" w:cs="Times New Roman"/>
                <w:color w:val="auto"/>
                <w:sz w:val="24"/>
                <w:szCs w:val="24"/>
                <w:highlight w:val="none"/>
              </w:rPr>
              <w:t>d</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pacing w:val="-6"/>
                <w:sz w:val="24"/>
                <w:highlight w:val="none"/>
                <w:shd w:val="clear" w:color="auto" w:fill="FFFFFF"/>
              </w:rPr>
              <w:t>则本项目道路用水量约为</w:t>
            </w:r>
            <w:r>
              <w:rPr>
                <w:rFonts w:hint="eastAsia" w:cs="Times New Roman"/>
                <w:color w:val="auto"/>
                <w:spacing w:val="-6"/>
                <w:sz w:val="24"/>
                <w:highlight w:val="none"/>
                <w:shd w:val="clear" w:color="auto" w:fill="FFFFFF"/>
                <w:lang w:val="en-US" w:eastAsia="zh-CN"/>
              </w:rPr>
              <w:t>0.63</w:t>
            </w:r>
            <w:r>
              <w:rPr>
                <w:rFonts w:hint="default" w:ascii="Times New Roman" w:hAnsi="Times New Roman" w:cs="Times New Roman"/>
                <w:color w:val="auto"/>
                <w:sz w:val="24"/>
                <w:highlight w:val="none"/>
                <w:shd w:val="clear" w:color="auto" w:fill="FFFFFF"/>
              </w:rPr>
              <w:t>m</w:t>
            </w:r>
            <w:r>
              <w:rPr>
                <w:rFonts w:hint="default" w:ascii="Times New Roman" w:hAnsi="Times New Roman" w:cs="Times New Roman"/>
                <w:color w:val="auto"/>
                <w:sz w:val="24"/>
                <w:highlight w:val="none"/>
                <w:shd w:val="clear" w:color="auto" w:fill="FFFFFF"/>
                <w:vertAlign w:val="superscript"/>
              </w:rPr>
              <w:t>3</w:t>
            </w:r>
            <w:r>
              <w:rPr>
                <w:rFonts w:hint="default" w:ascii="Times New Roman" w:hAnsi="Times New Roman" w:cs="Times New Roman"/>
                <w:color w:val="auto"/>
                <w:sz w:val="24"/>
                <w:highlight w:val="none"/>
                <w:shd w:val="clear" w:color="auto" w:fill="FFFFFF"/>
              </w:rPr>
              <w:t>/d（</w:t>
            </w:r>
            <w:r>
              <w:rPr>
                <w:rFonts w:hint="eastAsia" w:cs="Times New Roman"/>
                <w:color w:val="auto"/>
                <w:sz w:val="24"/>
                <w:highlight w:val="none"/>
                <w:shd w:val="clear" w:color="auto" w:fill="FFFFFF"/>
                <w:lang w:val="en-US" w:eastAsia="zh-CN"/>
              </w:rPr>
              <w:t>95.18</w:t>
            </w:r>
            <w:r>
              <w:rPr>
                <w:rFonts w:hint="default" w:ascii="Times New Roman" w:hAnsi="Times New Roman" w:cs="Times New Roman"/>
                <w:color w:val="auto"/>
                <w:sz w:val="24"/>
                <w:highlight w:val="none"/>
                <w:shd w:val="clear" w:color="auto" w:fill="FFFFFF"/>
              </w:rPr>
              <w:t>m</w:t>
            </w:r>
            <w:r>
              <w:rPr>
                <w:rFonts w:hint="default" w:ascii="Times New Roman" w:hAnsi="Times New Roman" w:cs="Times New Roman"/>
                <w:color w:val="auto"/>
                <w:sz w:val="24"/>
                <w:highlight w:val="none"/>
                <w:shd w:val="clear" w:color="auto" w:fill="FFFFFF"/>
                <w:vertAlign w:val="superscript"/>
              </w:rPr>
              <w:t>3</w:t>
            </w:r>
            <w:r>
              <w:rPr>
                <w:rFonts w:hint="default" w:ascii="Times New Roman" w:hAnsi="Times New Roman" w:cs="Times New Roman"/>
                <w:color w:val="auto"/>
                <w:sz w:val="24"/>
                <w:highlight w:val="none"/>
                <w:shd w:val="clear" w:color="auto" w:fill="FFFFFF"/>
              </w:rPr>
              <w:t>/a）</w:t>
            </w:r>
            <w:r>
              <w:rPr>
                <w:rFonts w:hint="default" w:ascii="Times New Roman" w:hAnsi="Times New Roman" w:cs="Times New Roman"/>
                <w:color w:val="auto"/>
                <w:sz w:val="24"/>
                <w:szCs w:val="20"/>
                <w:highlight w:val="none"/>
              </w:rPr>
              <w:t>。</w:t>
            </w:r>
          </w:p>
          <w:p w14:paraId="240F1049">
            <w:pPr>
              <w:keepNext w:val="0"/>
              <w:keepLines w:val="0"/>
              <w:pageBreakBefore w:val="0"/>
              <w:tabs>
                <w:tab w:val="left" w:pos="6480"/>
              </w:tabs>
              <w:kinsoku/>
              <w:wordWrap/>
              <w:overflowPunct/>
              <w:topLinePunct w:val="0"/>
              <w:bidi w:val="0"/>
              <w:adjustRightInd/>
              <w:snapToGrid/>
              <w:spacing w:line="360" w:lineRule="auto"/>
              <w:ind w:right="0" w:firstLine="480" w:firstLineChars="200"/>
              <w:textAlignment w:val="auto"/>
              <w:rPr>
                <w:rFonts w:hint="eastAsia" w:ascii="Times New Roman" w:hAnsi="Times New Roman" w:eastAsia="宋体" w:cs="Times New Roman"/>
                <w:color w:val="auto"/>
                <w:sz w:val="24"/>
                <w:szCs w:val="20"/>
                <w:highlight w:val="none"/>
                <w:lang w:val="en-US" w:eastAsia="zh-CN"/>
              </w:rPr>
            </w:pPr>
            <w:r>
              <w:rPr>
                <w:rFonts w:hint="eastAsia" w:ascii="Times New Roman" w:hAnsi="Times New Roman" w:eastAsia="宋体" w:cs="Times New Roman"/>
                <w:color w:val="auto"/>
                <w:sz w:val="24"/>
                <w:szCs w:val="20"/>
                <w:highlight w:val="none"/>
                <w:lang w:val="en-US" w:eastAsia="zh-CN"/>
              </w:rPr>
              <w:t>装卸洒水：依据《煤炭矿石码头粉尘控制设计规范》（JTS/T 156-2024）第8章，翻车机房、汽车受料槽装卸喷水量控制为卸车煤重0.6%～0.7%，本项目地处黑龙江多风干燥地区，保守取0.7%，洒水损耗不均匀系数取1.2，</w:t>
            </w:r>
            <w:r>
              <w:rPr>
                <w:rFonts w:hint="default" w:ascii="Times New Roman" w:hAnsi="Times New Roman" w:cs="Times New Roman"/>
                <w:color w:val="auto"/>
                <w:sz w:val="24"/>
                <w:szCs w:val="24"/>
                <w:highlight w:val="none"/>
              </w:rPr>
              <w:t>冬季</w:t>
            </w:r>
            <w:r>
              <w:rPr>
                <w:rFonts w:hint="eastAsia" w:ascii="Times New Roman" w:hAnsi="Times New Roman" w:cs="Times New Roman"/>
                <w:color w:val="auto"/>
                <w:sz w:val="24"/>
                <w:szCs w:val="24"/>
                <w:highlight w:val="none"/>
                <w:lang w:val="en-US" w:eastAsia="zh-CN"/>
              </w:rPr>
              <w:t>装卸</w:t>
            </w:r>
            <w:r>
              <w:rPr>
                <w:rFonts w:hint="default" w:ascii="Times New Roman" w:hAnsi="Times New Roman" w:cs="Times New Roman"/>
                <w:color w:val="auto"/>
                <w:sz w:val="24"/>
                <w:szCs w:val="24"/>
                <w:highlight w:val="none"/>
              </w:rPr>
              <w:t>无需进行洒水降尘，</w:t>
            </w:r>
            <w:r>
              <w:rPr>
                <w:rFonts w:hint="eastAsia" w:ascii="Times New Roman" w:hAnsi="Times New Roman" w:cs="Times New Roman"/>
                <w:color w:val="auto"/>
                <w:sz w:val="24"/>
                <w:szCs w:val="24"/>
                <w:highlight w:val="none"/>
                <w:lang w:val="en-US" w:eastAsia="zh-CN"/>
              </w:rPr>
              <w:t>则</w:t>
            </w:r>
            <w:r>
              <w:rPr>
                <w:rFonts w:hint="eastAsia" w:ascii="Times New Roman" w:hAnsi="Times New Roman" w:eastAsia="宋体" w:cs="Times New Roman"/>
                <w:color w:val="auto"/>
                <w:sz w:val="24"/>
                <w:szCs w:val="20"/>
                <w:highlight w:val="none"/>
                <w:lang w:val="en-US" w:eastAsia="zh-CN"/>
              </w:rPr>
              <w:t>项目原煤装卸需洒水降尘的量取总装卸量的50%，为100000t/a，装卸洒水用量=100000×0.7%×1.2=840</w:t>
            </w:r>
            <w:r>
              <w:rPr>
                <w:rFonts w:hint="default" w:ascii="Times New Roman" w:hAnsi="Times New Roman" w:cs="Times New Roman"/>
                <w:color w:val="auto"/>
                <w:sz w:val="24"/>
                <w:highlight w:val="none"/>
                <w:shd w:val="clear" w:color="auto" w:fill="FFFFFF"/>
              </w:rPr>
              <w:t>m</w:t>
            </w:r>
            <w:r>
              <w:rPr>
                <w:rFonts w:hint="default" w:ascii="Times New Roman" w:hAnsi="Times New Roman" w:cs="Times New Roman"/>
                <w:color w:val="auto"/>
                <w:sz w:val="24"/>
                <w:highlight w:val="none"/>
                <w:shd w:val="clear" w:color="auto" w:fill="FFFFFF"/>
                <w:vertAlign w:val="superscript"/>
              </w:rPr>
              <w:t>3</w:t>
            </w:r>
            <w:r>
              <w:rPr>
                <w:rFonts w:hint="default" w:ascii="Times New Roman" w:hAnsi="Times New Roman" w:cs="Times New Roman"/>
                <w:color w:val="auto"/>
                <w:sz w:val="24"/>
                <w:highlight w:val="none"/>
                <w:shd w:val="clear" w:color="auto" w:fill="FFFFFF"/>
              </w:rPr>
              <w:t>/a</w:t>
            </w:r>
            <w:r>
              <w:rPr>
                <w:rFonts w:hint="eastAsia" w:ascii="Times New Roman" w:hAnsi="Times New Roman" w:cs="Times New Roman"/>
                <w:color w:val="auto"/>
                <w:sz w:val="24"/>
                <w:highlight w:val="none"/>
                <w:shd w:val="clear" w:color="auto" w:fill="FFFFFF"/>
                <w:lang w:eastAsia="zh-CN"/>
              </w:rPr>
              <w:t>，</w:t>
            </w:r>
            <w:r>
              <w:rPr>
                <w:rFonts w:hint="eastAsia" w:ascii="Times New Roman" w:hAnsi="Times New Roman" w:cs="Times New Roman"/>
                <w:color w:val="auto"/>
                <w:sz w:val="24"/>
                <w:highlight w:val="none"/>
                <w:shd w:val="clear" w:color="auto" w:fill="FFFFFF"/>
                <w:lang w:val="en-US" w:eastAsia="zh-CN"/>
              </w:rPr>
              <w:t>约5.60</w:t>
            </w:r>
            <w:r>
              <w:rPr>
                <w:rFonts w:hint="default" w:ascii="Times New Roman" w:hAnsi="Times New Roman" w:cs="Times New Roman"/>
                <w:color w:val="auto"/>
                <w:sz w:val="24"/>
                <w:highlight w:val="none"/>
                <w:shd w:val="clear" w:color="auto" w:fill="FFFFFF"/>
              </w:rPr>
              <w:t>m</w:t>
            </w:r>
            <w:r>
              <w:rPr>
                <w:rFonts w:hint="default" w:ascii="Times New Roman" w:hAnsi="Times New Roman" w:cs="Times New Roman"/>
                <w:color w:val="auto"/>
                <w:sz w:val="24"/>
                <w:highlight w:val="none"/>
                <w:shd w:val="clear" w:color="auto" w:fill="FFFFFF"/>
                <w:vertAlign w:val="superscript"/>
              </w:rPr>
              <w:t>3</w:t>
            </w:r>
            <w:r>
              <w:rPr>
                <w:rFonts w:hint="default" w:ascii="Times New Roman" w:hAnsi="Times New Roman" w:cs="Times New Roman"/>
                <w:color w:val="auto"/>
                <w:sz w:val="24"/>
                <w:highlight w:val="none"/>
                <w:shd w:val="clear" w:color="auto" w:fill="FFFFFF"/>
              </w:rPr>
              <w:t>/</w:t>
            </w:r>
            <w:r>
              <w:rPr>
                <w:rFonts w:hint="eastAsia" w:ascii="Times New Roman" w:hAnsi="Times New Roman" w:cs="Times New Roman"/>
                <w:color w:val="auto"/>
                <w:sz w:val="24"/>
                <w:highlight w:val="none"/>
                <w:shd w:val="clear" w:color="auto" w:fill="FFFFFF"/>
                <w:lang w:val="en-US" w:eastAsia="zh-CN"/>
              </w:rPr>
              <w:t>d</w:t>
            </w:r>
            <w:r>
              <w:rPr>
                <w:rFonts w:hint="eastAsia" w:ascii="Times New Roman" w:hAnsi="Times New Roman" w:cs="Times New Roman"/>
                <w:color w:val="auto"/>
                <w:sz w:val="24"/>
                <w:highlight w:val="none"/>
                <w:shd w:val="clear" w:color="auto" w:fill="FFFFFF"/>
                <w:lang w:eastAsia="zh-CN"/>
              </w:rPr>
              <w:t>。</w:t>
            </w:r>
          </w:p>
          <w:p w14:paraId="459E77B8">
            <w:pPr>
              <w:keepNext w:val="0"/>
              <w:keepLines w:val="0"/>
              <w:pageBreakBefore w:val="0"/>
              <w:tabs>
                <w:tab w:val="left" w:pos="6480"/>
              </w:tabs>
              <w:kinsoku/>
              <w:wordWrap/>
              <w:overflowPunct/>
              <w:topLinePunct w:val="0"/>
              <w:bidi w:val="0"/>
              <w:snapToGrid/>
              <w:spacing w:line="360" w:lineRule="auto"/>
              <w:ind w:right="0"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）排水</w:t>
            </w:r>
          </w:p>
          <w:p w14:paraId="133457E5">
            <w:pPr>
              <w:keepNext w:val="0"/>
              <w:keepLines w:val="0"/>
              <w:pageBreakBefore w:val="0"/>
              <w:tabs>
                <w:tab w:val="left" w:pos="6480"/>
              </w:tabs>
              <w:kinsoku/>
              <w:wordWrap/>
              <w:overflowPunct/>
              <w:topLinePunct w:val="0"/>
              <w:bidi w:val="0"/>
              <w:adjustRightInd/>
              <w:snapToGrid/>
              <w:spacing w:line="360" w:lineRule="auto"/>
              <w:ind w:right="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szCs w:val="20"/>
                <w:highlight w:val="none"/>
              </w:rPr>
              <w:t>本工程排水采用雨污分流体制。</w:t>
            </w:r>
          </w:p>
          <w:p w14:paraId="454371D2">
            <w:pPr>
              <w:pStyle w:val="54"/>
              <w:keepNext w:val="0"/>
              <w:keepLines w:val="0"/>
              <w:pageBreakBefore w:val="0"/>
              <w:kinsoku/>
              <w:wordWrap/>
              <w:overflowPunct/>
              <w:topLinePunct w:val="0"/>
              <w:bidi w:val="0"/>
              <w:adjustRightInd/>
              <w:spacing w:beforeLines="0" w:afterLines="0" w:line="360" w:lineRule="auto"/>
              <w:ind w:firstLine="480"/>
              <w:textAlignment w:val="auto"/>
              <w:rPr>
                <w:rFonts w:hint="default" w:ascii="Times New Roman" w:hAnsi="Times New Roman" w:eastAsia="宋体" w:cs="Times New Roman"/>
                <w:bCs/>
                <w:color w:val="auto"/>
                <w:sz w:val="24"/>
                <w:highlight w:val="none"/>
                <w:lang w:val="en-US" w:eastAsia="zh-CN"/>
              </w:rPr>
            </w:pP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初期</w:t>
            </w:r>
            <w:r>
              <w:rPr>
                <w:rFonts w:hint="default" w:ascii="Times New Roman" w:hAnsi="Times New Roman" w:cs="Times New Roman"/>
                <w:bCs/>
                <w:color w:val="auto"/>
                <w:sz w:val="24"/>
                <w:highlight w:val="none"/>
                <w:lang w:val="en-US" w:eastAsia="zh-CN"/>
              </w:rPr>
              <w:t>雨水</w:t>
            </w:r>
          </w:p>
          <w:p w14:paraId="49B37E35">
            <w:pPr>
              <w:pStyle w:val="54"/>
              <w:keepNext w:val="0"/>
              <w:keepLines w:val="0"/>
              <w:pageBreakBefore w:val="0"/>
              <w:widowControl w:val="0"/>
              <w:kinsoku/>
              <w:wordWrap/>
              <w:overflowPunct/>
              <w:topLinePunct w:val="0"/>
              <w:autoSpaceDE/>
              <w:autoSpaceDN/>
              <w:bidi w:val="0"/>
              <w:adjustRightInd/>
              <w:spacing w:beforeLines="0" w:afterLines="0" w:line="360" w:lineRule="auto"/>
              <w:ind w:firstLine="480"/>
              <w:textAlignment w:val="auto"/>
              <w:rPr>
                <w:rFonts w:hint="default" w:ascii="Times New Roman" w:hAnsi="Times New Roman" w:cs="Times New Roman"/>
                <w:bCs/>
                <w:color w:val="auto"/>
                <w:highlight w:val="none"/>
              </w:rPr>
            </w:pPr>
            <w:r>
              <w:rPr>
                <w:rFonts w:hint="default" w:ascii="Times New Roman" w:hAnsi="Times New Roman" w:eastAsia="宋体" w:cs="Times New Roman"/>
                <w:bCs/>
                <w:color w:val="auto"/>
                <w:sz w:val="24"/>
                <w:highlight w:val="none"/>
                <w:lang w:val="en-US" w:eastAsia="zh-CN"/>
              </w:rPr>
              <w:t>以</w:t>
            </w:r>
            <w:r>
              <w:rPr>
                <w:rFonts w:hint="default" w:ascii="Times New Roman" w:hAnsi="Times New Roman" w:cs="Times New Roman"/>
                <w:bCs/>
                <w:color w:val="auto"/>
                <w:sz w:val="24"/>
                <w:highlight w:val="none"/>
                <w:lang w:val="en-US" w:eastAsia="zh-CN"/>
              </w:rPr>
              <w:t>厂区</w:t>
            </w:r>
            <w:r>
              <w:rPr>
                <w:rFonts w:hint="default" w:ascii="Times New Roman" w:hAnsi="Times New Roman" w:eastAsia="宋体" w:cs="Times New Roman"/>
                <w:bCs/>
                <w:color w:val="auto"/>
                <w:sz w:val="24"/>
                <w:highlight w:val="none"/>
                <w:lang w:val="en-US" w:eastAsia="zh-CN"/>
              </w:rPr>
              <w:t>面积</w:t>
            </w:r>
            <w:r>
              <w:rPr>
                <w:rFonts w:hint="eastAsia" w:cs="Times New Roman"/>
                <w:bCs/>
                <w:color w:val="auto"/>
                <w:sz w:val="24"/>
                <w:highlight w:val="none"/>
                <w:lang w:val="en-US" w:eastAsia="zh-CN"/>
              </w:rPr>
              <w:t>12323</w:t>
            </w:r>
            <w:r>
              <w:rPr>
                <w:rFonts w:hint="default" w:ascii="Times New Roman" w:hAnsi="Times New Roman" w:eastAsia="宋体" w:cs="Times New Roman"/>
                <w:bCs/>
                <w:color w:val="auto"/>
                <w:sz w:val="24"/>
                <w:highlight w:val="none"/>
                <w:lang w:val="en-US" w:eastAsia="zh-CN"/>
              </w:rPr>
              <w:t>m</w:t>
            </w:r>
            <w:r>
              <w:rPr>
                <w:rFonts w:hint="default" w:ascii="Times New Roman" w:hAnsi="Times New Roman" w:eastAsia="宋体" w:cs="Times New Roman"/>
                <w:bCs/>
                <w:color w:val="auto"/>
                <w:sz w:val="24"/>
                <w:highlight w:val="none"/>
                <w:vertAlign w:val="superscript"/>
                <w:lang w:val="en-US" w:eastAsia="zh-CN"/>
              </w:rPr>
              <w:t>2</w:t>
            </w:r>
            <w:r>
              <w:rPr>
                <w:rFonts w:hint="default" w:ascii="Times New Roman" w:hAnsi="Times New Roman" w:eastAsia="宋体" w:cs="Times New Roman"/>
                <w:bCs/>
                <w:color w:val="auto"/>
                <w:sz w:val="24"/>
                <w:highlight w:val="none"/>
                <w:lang w:val="en-US" w:eastAsia="zh-CN"/>
              </w:rPr>
              <w:t>计，厂区地面硬化，</w:t>
            </w:r>
            <w:r>
              <w:rPr>
                <w:rFonts w:hint="default" w:ascii="Times New Roman" w:hAnsi="Times New Roman" w:cs="Times New Roman"/>
                <w:bCs/>
                <w:color w:val="auto"/>
                <w:sz w:val="24"/>
                <w:highlight w:val="none"/>
                <w:lang w:val="en-US" w:eastAsia="zh-CN"/>
              </w:rPr>
              <w:t>厂区</w:t>
            </w:r>
            <w:r>
              <w:rPr>
                <w:rFonts w:hint="default" w:ascii="Times New Roman" w:hAnsi="Times New Roman" w:eastAsia="宋体" w:cs="Times New Roman"/>
                <w:bCs/>
                <w:color w:val="auto"/>
                <w:sz w:val="24"/>
                <w:highlight w:val="none"/>
                <w:lang w:val="en-US" w:eastAsia="zh-CN"/>
              </w:rPr>
              <w:t>四周设置雨水收集渠，收集</w:t>
            </w:r>
            <w:r>
              <w:rPr>
                <w:rFonts w:hint="default" w:ascii="Times New Roman" w:hAnsi="Times New Roman" w:cs="Times New Roman"/>
                <w:bCs/>
                <w:color w:val="auto"/>
                <w:sz w:val="24"/>
                <w:highlight w:val="none"/>
                <w:lang w:val="en-US" w:eastAsia="zh-CN"/>
              </w:rPr>
              <w:t>雨水</w:t>
            </w:r>
            <w:r>
              <w:rPr>
                <w:rFonts w:hint="default" w:ascii="Times New Roman" w:hAnsi="Times New Roman" w:eastAsia="宋体" w:cs="Times New Roman"/>
                <w:bCs/>
                <w:color w:val="auto"/>
                <w:sz w:val="24"/>
                <w:highlight w:val="none"/>
                <w:lang w:val="en-US" w:eastAsia="zh-CN"/>
              </w:rPr>
              <w:t>进入</w:t>
            </w:r>
            <w:r>
              <w:rPr>
                <w:rFonts w:hint="eastAsia" w:cs="Times New Roman"/>
                <w:bCs/>
                <w:color w:val="auto"/>
                <w:sz w:val="24"/>
                <w:highlight w:val="none"/>
                <w:lang w:val="en-US" w:eastAsia="zh-CN"/>
              </w:rPr>
              <w:t>初期雨水收集池</w:t>
            </w:r>
            <w:r>
              <w:rPr>
                <w:rFonts w:hint="default" w:ascii="Times New Roman" w:hAnsi="Times New Roman" w:eastAsia="宋体" w:cs="Times New Roman"/>
                <w:bCs/>
                <w:color w:val="auto"/>
                <w:sz w:val="24"/>
                <w:highlight w:val="none"/>
                <w:lang w:val="en-US" w:eastAsia="zh-CN"/>
              </w:rPr>
              <w:t>，经沉淀后用于洒水降尘。</w:t>
            </w:r>
          </w:p>
          <w:p w14:paraId="07F28CF9">
            <w:pPr>
              <w:keepNext w:val="0"/>
              <w:keepLines w:val="0"/>
              <w:pageBreakBefore w:val="0"/>
              <w:widowControl w:val="0"/>
              <w:kinsoku/>
              <w:wordWrap/>
              <w:overflowPunct/>
              <w:topLinePunct w:val="0"/>
              <w:autoSpaceDE/>
              <w:autoSpaceDN/>
              <w:bidi w:val="0"/>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初期</w:t>
            </w:r>
            <w:r>
              <w:rPr>
                <w:rFonts w:hint="default" w:ascii="Times New Roman" w:hAnsi="Times New Roman" w:eastAsia="宋体" w:cs="Times New Roman"/>
                <w:color w:val="auto"/>
                <w:sz w:val="24"/>
                <w:highlight w:val="none"/>
                <w:lang w:eastAsia="zh-CN"/>
              </w:rPr>
              <w:t>雨水</w:t>
            </w:r>
            <w:r>
              <w:rPr>
                <w:rFonts w:hint="default" w:ascii="Times New Roman" w:hAnsi="Times New Roman" w:eastAsia="宋体" w:cs="Times New Roman"/>
                <w:color w:val="auto"/>
                <w:sz w:val="24"/>
                <w:highlight w:val="none"/>
              </w:rPr>
              <w:t>按照暴雨强度公式，进而推出雨水汇水量，暴雨强度根据软件计算：</w:t>
            </w:r>
          </w:p>
          <w:p w14:paraId="283FA5D5">
            <w:pPr>
              <w:keepNext w:val="0"/>
              <w:keepLines w:val="0"/>
              <w:pageBreakBefore w:val="0"/>
              <w:widowControl w:val="0"/>
              <w:kinsoku/>
              <w:wordWrap/>
              <w:overflowPunct/>
              <w:topLinePunct w:val="0"/>
              <w:autoSpaceDE/>
              <w:autoSpaceDN/>
              <w:bidi w:val="0"/>
              <w:spacing w:line="360" w:lineRule="auto"/>
              <w:ind w:firstLine="48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鸡西市暴雨强度公式（修订）</w:t>
            </w:r>
            <w:r>
              <w:rPr>
                <w:rFonts w:hint="eastAsia" w:cs="Times New Roman"/>
                <w:color w:val="auto"/>
                <w:sz w:val="24"/>
                <w:highlight w:val="none"/>
                <w:lang w:eastAsia="zh-CN"/>
              </w:rPr>
              <w:t>：</w:t>
            </w:r>
          </w:p>
          <w:p w14:paraId="4CC62DD5">
            <w:pPr>
              <w:pStyle w:val="43"/>
              <w:keepNext w:val="0"/>
              <w:keepLines w:val="0"/>
              <w:pageBreakBefore w:val="0"/>
              <w:widowControl w:val="0"/>
              <w:kinsoku/>
              <w:wordWrap/>
              <w:overflowPunct/>
              <w:topLinePunct w:val="0"/>
              <w:autoSpaceDE/>
              <w:autoSpaceDN/>
              <w:bidi w:val="0"/>
              <w:spacing w:before="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position w:val="-24"/>
                <w:highlight w:val="none"/>
                <w:lang w:eastAsia="zh-CN"/>
              </w:rPr>
              <w:object>
                <v:shape id="_x0000_i1025" o:spt="75" type="#_x0000_t75" style="height:31pt;width:146pt;" o:ole="t" filled="f" o:preferrelative="t" stroked="f" coordsize="21600,21600">
                  <v:path/>
                  <v:fill on="f" focussize="0,0"/>
                  <v:stroke on="f"/>
                  <v:imagedata r:id="rId13" o:title=""/>
                  <o:lock v:ext="edit" aspectratio="t"/>
                  <w10:wrap type="none"/>
                  <w10:anchorlock/>
                </v:shape>
                <o:OLEObject Type="Embed" ProgID="Equation.KSEE3" ShapeID="_x0000_i1025" DrawAspect="Content" ObjectID="_1468075725" r:id="rId12">
                  <o:LockedField>false</o:LockedField>
                </o:OLEObject>
              </w:object>
            </w:r>
          </w:p>
          <w:p w14:paraId="7FDD69C7">
            <w:pPr>
              <w:pStyle w:val="43"/>
              <w:keepNext w:val="0"/>
              <w:keepLines w:val="0"/>
              <w:pageBreakBefore w:val="0"/>
              <w:widowControl w:val="0"/>
              <w:kinsoku/>
              <w:wordWrap/>
              <w:overflowPunct/>
              <w:topLinePunct w:val="0"/>
              <w:autoSpaceDE/>
              <w:autoSpaceDN/>
              <w:bidi w:val="0"/>
              <w:adjustRightInd w:val="0"/>
              <w:snapToGrid w:val="0"/>
              <w:spacing w:before="0"/>
              <w:ind w:left="0" w:leftChars="0" w:firstLine="480" w:firstLineChars="200"/>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其中</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q一暴雨强度</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升</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秒·公顷</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182.47；</w:t>
            </w:r>
          </w:p>
          <w:p w14:paraId="698CDDBF">
            <w:pPr>
              <w:pStyle w:val="43"/>
              <w:keepNext w:val="0"/>
              <w:keepLines w:val="0"/>
              <w:pageBreakBefore w:val="0"/>
              <w:widowControl w:val="0"/>
              <w:kinsoku/>
              <w:wordWrap/>
              <w:overflowPunct/>
              <w:topLinePunct w:val="0"/>
              <w:autoSpaceDE/>
              <w:autoSpaceDN/>
              <w:bidi w:val="0"/>
              <w:adjustRightInd w:val="0"/>
              <w:snapToGrid w:val="0"/>
              <w:spacing w:before="0"/>
              <w:ind w:left="0" w:leftChars="0" w:firstLine="1200" w:firstLineChars="500"/>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P</w:t>
            </w:r>
            <w:r>
              <w:rPr>
                <w:rFonts w:hint="default" w:ascii="Times New Roman" w:hAnsi="Times New Roman" w:eastAsia="宋体" w:cs="Times New Roman"/>
                <w:color w:val="auto"/>
                <w:sz w:val="24"/>
                <w:szCs w:val="24"/>
                <w:highlight w:val="none"/>
                <w:lang w:eastAsia="zh-CN"/>
              </w:rPr>
              <w:t>一设计重现期</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单位</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w:t>
            </w:r>
          </w:p>
          <w:p w14:paraId="32D555BE">
            <w:pPr>
              <w:pStyle w:val="43"/>
              <w:keepNext w:val="0"/>
              <w:keepLines w:val="0"/>
              <w:pageBreakBefore w:val="0"/>
              <w:widowControl w:val="0"/>
              <w:kinsoku/>
              <w:wordWrap/>
              <w:overflowPunct/>
              <w:topLinePunct w:val="0"/>
              <w:autoSpaceDE/>
              <w:autoSpaceDN/>
              <w:bidi w:val="0"/>
              <w:adjustRightInd w:val="0"/>
              <w:snapToGrid w:val="0"/>
              <w:spacing w:before="0"/>
              <w:ind w:left="0" w:leftChars="0" w:firstLine="1200" w:firstLineChars="5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t一降水历时</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单位</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分钟</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15；</w:t>
            </w:r>
          </w:p>
          <w:p w14:paraId="34101C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雨水流量按下式计算：</w:t>
            </w:r>
          </w:p>
          <w:p w14:paraId="25624218">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Q=q•ψ•F=</w:t>
            </w:r>
            <w:r>
              <w:rPr>
                <w:rFonts w:hint="default" w:ascii="Times New Roman" w:hAnsi="Times New Roman" w:cs="Times New Roman"/>
                <w:color w:val="auto"/>
                <w:sz w:val="24"/>
                <w:highlight w:val="none"/>
                <w:lang w:val="en-US" w:eastAsia="zh-CN"/>
              </w:rPr>
              <w:t>182.47</w:t>
            </w:r>
            <w:r>
              <w:rPr>
                <w:rFonts w:hint="default" w:ascii="Times New Roman" w:hAnsi="Times New Roman" w:eastAsia="宋体" w:cs="Times New Roman"/>
                <w:color w:val="auto"/>
                <w:sz w:val="24"/>
                <w:highlight w:val="none"/>
              </w:rPr>
              <w:t>L/s•ha×0.9×</w:t>
            </w:r>
            <w:r>
              <w:rPr>
                <w:rFonts w:hint="eastAsia" w:cs="Times New Roman"/>
                <w:color w:val="auto"/>
                <w:sz w:val="24"/>
                <w:highlight w:val="none"/>
                <w:lang w:val="en-US" w:eastAsia="zh-CN"/>
              </w:rPr>
              <w:t>1.2323</w:t>
            </w:r>
            <w:r>
              <w:rPr>
                <w:rFonts w:hint="default" w:ascii="Times New Roman" w:hAnsi="Times New Roman" w:eastAsia="宋体" w:cs="Times New Roman"/>
                <w:color w:val="auto"/>
                <w:sz w:val="24"/>
                <w:highlight w:val="none"/>
              </w:rPr>
              <w:t>ha=</w:t>
            </w:r>
            <w:r>
              <w:rPr>
                <w:rFonts w:hint="eastAsia" w:cs="Times New Roman"/>
                <w:color w:val="auto"/>
                <w:sz w:val="24"/>
                <w:highlight w:val="none"/>
                <w:lang w:val="en-US" w:eastAsia="zh-CN"/>
              </w:rPr>
              <w:t>202.37</w:t>
            </w:r>
            <w:r>
              <w:rPr>
                <w:rFonts w:hint="default" w:ascii="Times New Roman" w:hAnsi="Times New Roman" w:eastAsia="宋体" w:cs="Times New Roman"/>
                <w:color w:val="auto"/>
                <w:sz w:val="24"/>
                <w:highlight w:val="none"/>
              </w:rPr>
              <w:t>L/s</w:t>
            </w:r>
          </w:p>
          <w:p w14:paraId="73BAC173">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Q─雨水设计流量（</w:t>
            </w:r>
            <w:r>
              <w:rPr>
                <w:rFonts w:hint="default" w:ascii="Times New Roman" w:hAnsi="Times New Roman" w:cs="Times New Roman"/>
                <w:color w:val="auto"/>
                <w:sz w:val="24"/>
                <w:highlight w:val="none"/>
                <w:lang w:val="en-US" w:eastAsia="zh-CN"/>
              </w:rPr>
              <w:t>L</w:t>
            </w:r>
            <w:r>
              <w:rPr>
                <w:rFonts w:hint="default" w:ascii="Times New Roman" w:hAnsi="Times New Roman" w:eastAsia="宋体" w:cs="Times New Roman"/>
                <w:color w:val="auto"/>
                <w:sz w:val="24"/>
                <w:highlight w:val="none"/>
              </w:rPr>
              <w:t>/s）；</w:t>
            </w:r>
          </w:p>
          <w:p w14:paraId="4630DAF6">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ψ─径流系数，取ψ=0.9；</w:t>
            </w:r>
          </w:p>
          <w:p w14:paraId="41F5819B">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F─汇水面积（ha），汇水面积取</w:t>
            </w:r>
            <w:r>
              <w:rPr>
                <w:rFonts w:hint="default" w:ascii="Times New Roman" w:hAnsi="Times New Roman" w:eastAsia="宋体" w:cs="Times New Roman"/>
                <w:color w:val="auto"/>
                <w:sz w:val="24"/>
                <w:highlight w:val="none"/>
                <w:lang w:eastAsia="zh-CN"/>
              </w:rPr>
              <w:t>煤场</w:t>
            </w:r>
            <w:r>
              <w:rPr>
                <w:rFonts w:hint="default" w:ascii="Times New Roman" w:hAnsi="Times New Roman" w:eastAsia="宋体" w:cs="Times New Roman"/>
                <w:color w:val="auto"/>
                <w:sz w:val="24"/>
                <w:highlight w:val="none"/>
              </w:rPr>
              <w:t>面积为</w:t>
            </w:r>
            <w:r>
              <w:rPr>
                <w:rFonts w:hint="eastAsia" w:cs="Times New Roman"/>
                <w:color w:val="auto"/>
                <w:sz w:val="24"/>
                <w:highlight w:val="none"/>
                <w:lang w:val="en-US" w:eastAsia="zh-CN"/>
              </w:rPr>
              <w:t>1.2323</w:t>
            </w:r>
            <w:r>
              <w:rPr>
                <w:rFonts w:hint="default" w:ascii="Times New Roman" w:hAnsi="Times New Roman" w:eastAsia="宋体" w:cs="Times New Roman"/>
                <w:color w:val="auto"/>
                <w:sz w:val="24"/>
                <w:highlight w:val="none"/>
              </w:rPr>
              <w:t>ha；</w:t>
            </w:r>
          </w:p>
          <w:p w14:paraId="017C0A70">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q—暴雨量，L/s·ha；</w:t>
            </w:r>
          </w:p>
          <w:p w14:paraId="7B9C3753">
            <w:pPr>
              <w:keepNext w:val="0"/>
              <w:keepLines w:val="0"/>
              <w:pageBreakBefore w:val="0"/>
              <w:widowControl w:val="0"/>
              <w:kinsoku/>
              <w:wordWrap/>
              <w:overflowPunct/>
              <w:topLinePunct w:val="0"/>
              <w:autoSpaceDE/>
              <w:autoSpaceDN/>
              <w:bidi w:val="0"/>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V=</w:t>
            </w:r>
            <w:r>
              <w:rPr>
                <w:rFonts w:hint="eastAsia" w:cs="Times New Roman"/>
                <w:color w:val="auto"/>
                <w:sz w:val="24"/>
                <w:highlight w:val="none"/>
                <w:lang w:val="en-US" w:eastAsia="zh-CN"/>
              </w:rPr>
              <w:t>202.37</w:t>
            </w:r>
            <w:r>
              <w:rPr>
                <w:rFonts w:hint="default" w:ascii="Times New Roman" w:hAnsi="Times New Roman" w:eastAsia="宋体" w:cs="Times New Roman"/>
                <w:color w:val="auto"/>
                <w:sz w:val="24"/>
                <w:highlight w:val="none"/>
              </w:rPr>
              <w:t>L/s×900s/1000=</w:t>
            </w:r>
            <w:r>
              <w:rPr>
                <w:rFonts w:hint="eastAsia" w:cs="Times New Roman"/>
                <w:color w:val="auto"/>
                <w:sz w:val="24"/>
                <w:highlight w:val="none"/>
                <w:lang w:val="en-US" w:eastAsia="zh-CN"/>
              </w:rPr>
              <w:t>182.13</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p>
          <w:p w14:paraId="1764D852">
            <w:pPr>
              <w:pStyle w:val="54"/>
              <w:keepNext w:val="0"/>
              <w:keepLines w:val="0"/>
              <w:pageBreakBefore w:val="0"/>
              <w:widowControl w:val="0"/>
              <w:kinsoku/>
              <w:wordWrap/>
              <w:overflowPunct/>
              <w:topLinePunct w:val="0"/>
              <w:autoSpaceDE/>
              <w:autoSpaceDN/>
              <w:bidi w:val="0"/>
              <w:adjustRightInd/>
              <w:spacing w:beforeLines="0" w:afterLines="0" w:line="360" w:lineRule="auto"/>
              <w:ind w:firstLine="480"/>
              <w:textAlignment w:val="auto"/>
              <w:rPr>
                <w:rFonts w:hint="default" w:ascii="Times New Roman" w:hAnsi="Times New Roman" w:cs="Times New Roman"/>
                <w:bCs/>
                <w:color w:val="auto"/>
                <w:highlight w:val="none"/>
              </w:rPr>
            </w:pPr>
            <w:r>
              <w:rPr>
                <w:rFonts w:hint="default" w:ascii="Times New Roman" w:hAnsi="Times New Roman" w:eastAsia="宋体" w:cs="Times New Roman"/>
                <w:color w:val="auto"/>
                <w:sz w:val="24"/>
                <w:highlight w:val="none"/>
              </w:rPr>
              <w:t>暴雨情况下，</w:t>
            </w:r>
            <w:r>
              <w:rPr>
                <w:rFonts w:hint="default" w:ascii="Times New Roman" w:hAnsi="Times New Roman" w:eastAsia="宋体" w:cs="Times New Roman"/>
                <w:color w:val="auto"/>
                <w:sz w:val="24"/>
                <w:highlight w:val="none"/>
                <w:lang w:eastAsia="zh-CN"/>
              </w:rPr>
              <w:t>雨水</w:t>
            </w:r>
            <w:r>
              <w:rPr>
                <w:rFonts w:hint="default" w:ascii="Times New Roman" w:hAnsi="Times New Roman" w:eastAsia="宋体" w:cs="Times New Roman"/>
                <w:color w:val="auto"/>
                <w:sz w:val="24"/>
                <w:highlight w:val="none"/>
              </w:rPr>
              <w:t>15min汇水量为</w:t>
            </w:r>
            <w:r>
              <w:rPr>
                <w:rFonts w:hint="eastAsia" w:cs="Times New Roman"/>
                <w:color w:val="auto"/>
                <w:sz w:val="24"/>
                <w:highlight w:val="none"/>
                <w:lang w:val="en-US" w:eastAsia="zh-CN"/>
              </w:rPr>
              <w:t>182.13</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bCs/>
                <w:color w:val="auto"/>
                <w:sz w:val="24"/>
                <w:highlight w:val="none"/>
              </w:rPr>
              <w:t>暴雨天数按5次/年计算，每年</w:t>
            </w:r>
            <w:r>
              <w:rPr>
                <w:rFonts w:hint="eastAsia" w:cs="Times New Roman"/>
                <w:bCs/>
                <w:color w:val="auto"/>
                <w:sz w:val="24"/>
                <w:highlight w:val="none"/>
                <w:lang w:eastAsia="zh-CN"/>
              </w:rPr>
              <w:t>最大初期雨水</w:t>
            </w:r>
            <w:r>
              <w:rPr>
                <w:rFonts w:hint="default" w:ascii="Times New Roman" w:hAnsi="Times New Roman" w:cs="Times New Roman"/>
                <w:bCs/>
                <w:color w:val="auto"/>
                <w:sz w:val="24"/>
                <w:highlight w:val="none"/>
              </w:rPr>
              <w:t>量为</w:t>
            </w:r>
            <w:r>
              <w:rPr>
                <w:rFonts w:hint="eastAsia" w:cs="Times New Roman"/>
                <w:bCs/>
                <w:color w:val="auto"/>
                <w:sz w:val="24"/>
                <w:highlight w:val="none"/>
                <w:lang w:val="en-US" w:eastAsia="zh-CN"/>
              </w:rPr>
              <w:t>910.67</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/a，</w:t>
            </w:r>
            <w:r>
              <w:rPr>
                <w:rFonts w:hint="default" w:ascii="Times New Roman" w:hAnsi="Times New Roman" w:cs="Times New Roman"/>
                <w:bCs/>
                <w:color w:val="auto"/>
                <w:sz w:val="24"/>
                <w:highlight w:val="none"/>
                <w:lang w:eastAsia="zh-CN"/>
              </w:rPr>
              <w:t>夏季</w:t>
            </w:r>
            <w:r>
              <w:rPr>
                <w:rFonts w:hint="default" w:ascii="Times New Roman" w:hAnsi="Times New Roman" w:cs="Times New Roman"/>
                <w:bCs/>
                <w:color w:val="auto"/>
                <w:sz w:val="24"/>
                <w:highlight w:val="none"/>
                <w:lang w:val="en-US" w:eastAsia="zh-CN"/>
              </w:rPr>
              <w:t>185天。</w:t>
            </w:r>
            <w:r>
              <w:rPr>
                <w:rFonts w:hint="default" w:ascii="Times New Roman" w:hAnsi="Times New Roman" w:cs="Times New Roman"/>
                <w:bCs/>
                <w:color w:val="auto"/>
                <w:sz w:val="24"/>
                <w:highlight w:val="none"/>
              </w:rPr>
              <w:t>本项目设有容积为</w:t>
            </w:r>
            <w:r>
              <w:rPr>
                <w:rFonts w:hint="eastAsia"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00</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的</w:t>
            </w:r>
            <w:r>
              <w:rPr>
                <w:rFonts w:hint="eastAsia" w:cs="Times New Roman"/>
                <w:bCs/>
                <w:color w:val="auto"/>
                <w:sz w:val="24"/>
                <w:highlight w:val="none"/>
                <w:lang w:eastAsia="zh-CN"/>
              </w:rPr>
              <w:t>初期雨水收集池</w:t>
            </w:r>
            <w:r>
              <w:rPr>
                <w:rFonts w:hint="default" w:ascii="Times New Roman" w:hAnsi="Times New Roman" w:cs="Times New Roman"/>
                <w:bCs/>
                <w:color w:val="auto"/>
                <w:sz w:val="24"/>
                <w:highlight w:val="none"/>
              </w:rPr>
              <w:t>，可以容纳暴雨天的</w:t>
            </w:r>
            <w:r>
              <w:rPr>
                <w:rFonts w:hint="default" w:ascii="Times New Roman" w:hAnsi="Times New Roman" w:cs="Times New Roman"/>
                <w:bCs/>
                <w:color w:val="auto"/>
                <w:sz w:val="24"/>
                <w:highlight w:val="none"/>
                <w:lang w:eastAsia="zh-CN"/>
              </w:rPr>
              <w:t>雨水</w:t>
            </w:r>
            <w:r>
              <w:rPr>
                <w:rFonts w:hint="default" w:ascii="Times New Roman" w:hAnsi="Times New Roman" w:cs="Times New Roman"/>
                <w:bCs/>
                <w:color w:val="auto"/>
                <w:sz w:val="24"/>
                <w:highlight w:val="none"/>
              </w:rPr>
              <w:t>，储存量设置符合项目需求。</w:t>
            </w:r>
          </w:p>
          <w:p w14:paraId="45AAF950">
            <w:pPr>
              <w:keepNext w:val="0"/>
              <w:keepLines w:val="0"/>
              <w:pageBreakBefore w:val="0"/>
              <w:tabs>
                <w:tab w:val="left" w:pos="6480"/>
              </w:tabs>
              <w:kinsoku/>
              <w:wordWrap/>
              <w:overflowPunct/>
              <w:topLinePunct w:val="0"/>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本项目用排水情况详见表2-</w:t>
            </w:r>
            <w:r>
              <w:rPr>
                <w:rFonts w:hint="default" w:ascii="Times New Roman" w:hAnsi="Times New Roman" w:cs="Times New Roman"/>
                <w:color w:val="auto"/>
                <w:sz w:val="24"/>
                <w:highlight w:val="none"/>
                <w:lang w:val="en-US" w:eastAsia="zh-CN"/>
              </w:rPr>
              <w:t>6</w:t>
            </w:r>
            <w:r>
              <w:rPr>
                <w:rFonts w:hint="eastAsia" w:cs="Times New Roman"/>
                <w:color w:val="auto"/>
                <w:sz w:val="24"/>
                <w:highlight w:val="none"/>
                <w:lang w:val="en-US" w:eastAsia="zh-CN"/>
              </w:rPr>
              <w:t>和表2-7</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给排水平衡详见图</w:t>
            </w:r>
            <w:r>
              <w:rPr>
                <w:rFonts w:hint="default" w:ascii="Times New Roman" w:hAnsi="Times New Roman" w:cs="Times New Roman"/>
                <w:color w:val="auto"/>
                <w:sz w:val="24"/>
                <w:highlight w:val="none"/>
                <w:lang w:val="en-US" w:eastAsia="zh-CN"/>
              </w:rPr>
              <w:t>2-1、图2-2</w:t>
            </w:r>
            <w:r>
              <w:rPr>
                <w:rFonts w:hint="default" w:ascii="Times New Roman" w:hAnsi="Times New Roman" w:cs="Times New Roman"/>
                <w:color w:val="auto"/>
                <w:sz w:val="24"/>
                <w:highlight w:val="none"/>
              </w:rPr>
              <w:t>。</w:t>
            </w:r>
          </w:p>
          <w:p w14:paraId="3A4839BA">
            <w:pPr>
              <w:pStyle w:val="2"/>
              <w:keepNext/>
              <w:keepLines w:val="0"/>
              <w:pageBreakBefore w:val="0"/>
              <w:widowControl w:val="0"/>
              <w:kinsoku/>
              <w:wordWrap/>
              <w:overflowPunct w:val="0"/>
              <w:topLinePunct w:val="0"/>
              <w:autoSpaceDE/>
              <w:autoSpaceDN/>
              <w:bidi w:val="0"/>
              <w:adjustRightInd/>
              <w:snapToGrid w:val="0"/>
              <w:spacing w:before="10" w:after="10" w:line="360" w:lineRule="auto"/>
              <w:ind w:left="0" w:firstLine="0"/>
              <w:jc w:val="center"/>
              <w:textAlignment w:val="auto"/>
              <w:rPr>
                <w:rFonts w:hint="default" w:ascii="Times New Roman" w:hAnsi="Times New Roman" w:eastAsia="宋体" w:cs="Times New Roman"/>
                <w:color w:val="auto"/>
                <w:sz w:val="21"/>
                <w:szCs w:val="21"/>
                <w:highlight w:val="none"/>
                <w:lang w:val="en-US" w:eastAsia="zh-CN"/>
              </w:rPr>
            </w:pPr>
            <w:bookmarkStart w:id="11" w:name="_Toc19256"/>
            <w:r>
              <w:rPr>
                <w:rFonts w:hint="eastAsia"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表</w:t>
            </w:r>
            <w:r>
              <w:rPr>
                <w:rFonts w:hint="default" w:ascii="Times New Roman" w:hAnsi="Times New Roman" w:eastAsia="宋体" w:cs="Times New Roman"/>
                <w:color w:val="auto"/>
                <w:sz w:val="21"/>
                <w:szCs w:val="21"/>
                <w:highlight w:val="none"/>
                <w:lang w:val="en-US" w:eastAsia="zh-CN"/>
              </w:rPr>
              <w:t>2-6</w:t>
            </w:r>
            <w:r>
              <w:rPr>
                <w:rFonts w:hint="eastAsia"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项目用排水情况一览表</w:t>
            </w:r>
            <w:bookmarkEnd w:id="11"/>
          </w:p>
          <w:tbl>
            <w:tblPr>
              <w:tblStyle w:val="31"/>
              <w:tblW w:w="80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87"/>
              <w:gridCol w:w="900"/>
              <w:gridCol w:w="1305"/>
              <w:gridCol w:w="1005"/>
              <w:gridCol w:w="1425"/>
              <w:gridCol w:w="705"/>
              <w:gridCol w:w="960"/>
              <w:gridCol w:w="660"/>
              <w:gridCol w:w="669"/>
            </w:tblGrid>
            <w:tr w14:paraId="633F99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87" w:type="dxa"/>
                  <w:vMerge w:val="restart"/>
                  <w:tcBorders>
                    <w:tl2br w:val="nil"/>
                    <w:tr2bl w:val="nil"/>
                  </w:tcBorders>
                  <w:vAlign w:val="center"/>
                </w:tcPr>
                <w:p w14:paraId="4EBF1466">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序号</w:t>
                  </w:r>
                </w:p>
              </w:tc>
              <w:tc>
                <w:tcPr>
                  <w:tcW w:w="2205" w:type="dxa"/>
                  <w:gridSpan w:val="2"/>
                  <w:vMerge w:val="restart"/>
                  <w:tcBorders>
                    <w:tl2br w:val="nil"/>
                    <w:tr2bl w:val="nil"/>
                  </w:tcBorders>
                  <w:vAlign w:val="center"/>
                </w:tcPr>
                <w:p w14:paraId="354F06E0">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用水对象</w:t>
                  </w:r>
                </w:p>
              </w:tc>
              <w:tc>
                <w:tcPr>
                  <w:tcW w:w="1005" w:type="dxa"/>
                  <w:vMerge w:val="restart"/>
                  <w:tcBorders>
                    <w:tl2br w:val="nil"/>
                    <w:tr2bl w:val="nil"/>
                  </w:tcBorders>
                  <w:vAlign w:val="center"/>
                </w:tcPr>
                <w:p w14:paraId="37F1C30C">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规模</w:t>
                  </w:r>
                </w:p>
              </w:tc>
              <w:tc>
                <w:tcPr>
                  <w:tcW w:w="1425" w:type="dxa"/>
                  <w:vMerge w:val="restart"/>
                  <w:tcBorders>
                    <w:tl2br w:val="nil"/>
                    <w:tr2bl w:val="nil"/>
                  </w:tcBorders>
                  <w:vAlign w:val="center"/>
                </w:tcPr>
                <w:p w14:paraId="66783D9A">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用水定额</w:t>
                  </w:r>
                </w:p>
              </w:tc>
              <w:tc>
                <w:tcPr>
                  <w:tcW w:w="1665" w:type="dxa"/>
                  <w:gridSpan w:val="2"/>
                  <w:tcBorders>
                    <w:tl2br w:val="nil"/>
                    <w:tr2bl w:val="nil"/>
                  </w:tcBorders>
                  <w:vAlign w:val="center"/>
                </w:tcPr>
                <w:p w14:paraId="7AD7793A">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cs="Times New Roman"/>
                      <w:b/>
                      <w:bCs/>
                      <w:i w:val="0"/>
                      <w:iCs w:val="0"/>
                      <w:color w:val="auto"/>
                      <w:kern w:val="0"/>
                      <w:sz w:val="21"/>
                      <w:szCs w:val="21"/>
                      <w:highlight w:val="none"/>
                      <w:u w:val="none"/>
                      <w:lang w:val="en-US" w:eastAsia="zh-CN"/>
                    </w:rPr>
                    <w:t>总</w:t>
                  </w:r>
                  <w:r>
                    <w:rPr>
                      <w:rFonts w:hint="default" w:ascii="Times New Roman" w:hAnsi="Times New Roman" w:eastAsia="宋体" w:cs="Times New Roman"/>
                      <w:b/>
                      <w:bCs/>
                      <w:i w:val="0"/>
                      <w:iCs w:val="0"/>
                      <w:color w:val="auto"/>
                      <w:kern w:val="0"/>
                      <w:sz w:val="21"/>
                      <w:szCs w:val="21"/>
                      <w:highlight w:val="none"/>
                      <w:u w:val="none"/>
                      <w:lang w:val="en-US" w:eastAsia="zh-CN"/>
                    </w:rPr>
                    <w:t>用水量</w:t>
                  </w:r>
                </w:p>
              </w:tc>
              <w:tc>
                <w:tcPr>
                  <w:tcW w:w="1329" w:type="dxa"/>
                  <w:gridSpan w:val="2"/>
                  <w:tcBorders>
                    <w:tl2br w:val="nil"/>
                    <w:tr2bl w:val="nil"/>
                  </w:tcBorders>
                  <w:vAlign w:val="center"/>
                </w:tcPr>
                <w:p w14:paraId="1819AFF8">
                  <w:pPr>
                    <w:widowControl/>
                    <w:jc w:val="center"/>
                    <w:textAlignment w:val="center"/>
                    <w:rPr>
                      <w:rFonts w:hint="default" w:ascii="Times New Roman" w:hAnsi="Times New Roman" w:eastAsia="宋体" w:cs="Times New Roman"/>
                      <w:b/>
                      <w:bCs/>
                      <w:i w:val="0"/>
                      <w:iCs w:val="0"/>
                      <w:color w:val="auto"/>
                      <w:sz w:val="21"/>
                      <w:szCs w:val="21"/>
                      <w:highlight w:val="none"/>
                      <w:u w:val="none"/>
                      <w:lang w:val="en-US"/>
                    </w:rPr>
                  </w:pPr>
                  <w:r>
                    <w:rPr>
                      <w:rFonts w:hint="eastAsia" w:cs="Times New Roman"/>
                      <w:b/>
                      <w:bCs/>
                      <w:i w:val="0"/>
                      <w:iCs w:val="0"/>
                      <w:color w:val="auto"/>
                      <w:kern w:val="0"/>
                      <w:sz w:val="21"/>
                      <w:szCs w:val="21"/>
                      <w:highlight w:val="none"/>
                      <w:u w:val="none"/>
                      <w:lang w:val="en-US" w:eastAsia="zh-CN"/>
                    </w:rPr>
                    <w:t>废水量</w:t>
                  </w:r>
                </w:p>
              </w:tc>
            </w:tr>
            <w:tr w14:paraId="165432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87" w:type="dxa"/>
                  <w:vMerge w:val="continue"/>
                  <w:tcBorders>
                    <w:tl2br w:val="nil"/>
                    <w:tr2bl w:val="nil"/>
                  </w:tcBorders>
                  <w:vAlign w:val="center"/>
                </w:tcPr>
                <w:p w14:paraId="60A0C94C">
                  <w:pPr>
                    <w:jc w:val="center"/>
                    <w:rPr>
                      <w:rFonts w:hint="default" w:ascii="Times New Roman" w:hAnsi="Times New Roman" w:eastAsia="宋体" w:cs="Times New Roman"/>
                      <w:b/>
                      <w:bCs/>
                      <w:i w:val="0"/>
                      <w:iCs w:val="0"/>
                      <w:color w:val="auto"/>
                      <w:sz w:val="21"/>
                      <w:szCs w:val="21"/>
                      <w:highlight w:val="none"/>
                      <w:u w:val="none"/>
                    </w:rPr>
                  </w:pPr>
                </w:p>
              </w:tc>
              <w:tc>
                <w:tcPr>
                  <w:tcW w:w="2205" w:type="dxa"/>
                  <w:gridSpan w:val="2"/>
                  <w:vMerge w:val="continue"/>
                  <w:tcBorders>
                    <w:tl2br w:val="nil"/>
                    <w:tr2bl w:val="nil"/>
                  </w:tcBorders>
                  <w:vAlign w:val="center"/>
                </w:tcPr>
                <w:p w14:paraId="4FBA806A">
                  <w:pPr>
                    <w:jc w:val="center"/>
                    <w:rPr>
                      <w:rFonts w:hint="default" w:ascii="Times New Roman" w:hAnsi="Times New Roman" w:eastAsia="宋体" w:cs="Times New Roman"/>
                      <w:b/>
                      <w:bCs/>
                      <w:i w:val="0"/>
                      <w:iCs w:val="0"/>
                      <w:color w:val="auto"/>
                      <w:sz w:val="21"/>
                      <w:szCs w:val="21"/>
                      <w:highlight w:val="none"/>
                      <w:u w:val="none"/>
                    </w:rPr>
                  </w:pPr>
                </w:p>
              </w:tc>
              <w:tc>
                <w:tcPr>
                  <w:tcW w:w="1005" w:type="dxa"/>
                  <w:vMerge w:val="continue"/>
                  <w:tcBorders>
                    <w:tl2br w:val="nil"/>
                    <w:tr2bl w:val="nil"/>
                  </w:tcBorders>
                  <w:vAlign w:val="center"/>
                </w:tcPr>
                <w:p w14:paraId="1A878292">
                  <w:pPr>
                    <w:jc w:val="center"/>
                    <w:rPr>
                      <w:rFonts w:hint="default" w:ascii="Times New Roman" w:hAnsi="Times New Roman" w:eastAsia="宋体" w:cs="Times New Roman"/>
                      <w:b/>
                      <w:bCs/>
                      <w:i w:val="0"/>
                      <w:iCs w:val="0"/>
                      <w:color w:val="auto"/>
                      <w:sz w:val="21"/>
                      <w:szCs w:val="21"/>
                      <w:highlight w:val="none"/>
                      <w:u w:val="none"/>
                    </w:rPr>
                  </w:pPr>
                </w:p>
              </w:tc>
              <w:tc>
                <w:tcPr>
                  <w:tcW w:w="1425" w:type="dxa"/>
                  <w:vMerge w:val="continue"/>
                  <w:tcBorders>
                    <w:tl2br w:val="nil"/>
                    <w:tr2bl w:val="nil"/>
                  </w:tcBorders>
                  <w:vAlign w:val="center"/>
                </w:tcPr>
                <w:p w14:paraId="07324CDC">
                  <w:pPr>
                    <w:jc w:val="center"/>
                    <w:rPr>
                      <w:rFonts w:hint="default" w:ascii="Times New Roman" w:hAnsi="Times New Roman" w:eastAsia="宋体" w:cs="Times New Roman"/>
                      <w:b/>
                      <w:bCs/>
                      <w:i w:val="0"/>
                      <w:iCs w:val="0"/>
                      <w:color w:val="auto"/>
                      <w:sz w:val="21"/>
                      <w:szCs w:val="21"/>
                      <w:highlight w:val="none"/>
                      <w:u w:val="none"/>
                    </w:rPr>
                  </w:pPr>
                </w:p>
              </w:tc>
              <w:tc>
                <w:tcPr>
                  <w:tcW w:w="705" w:type="dxa"/>
                  <w:tcBorders>
                    <w:tl2br w:val="nil"/>
                    <w:tr2bl w:val="nil"/>
                  </w:tcBorders>
                  <w:vAlign w:val="center"/>
                </w:tcPr>
                <w:p w14:paraId="63DD5CF4">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960" w:type="dxa"/>
                  <w:tcBorders>
                    <w:tl2br w:val="nil"/>
                    <w:tr2bl w:val="nil"/>
                  </w:tcBorders>
                  <w:vAlign w:val="center"/>
                </w:tcPr>
                <w:p w14:paraId="7E860FDE">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c>
                <w:tcPr>
                  <w:tcW w:w="660" w:type="dxa"/>
                  <w:tcBorders>
                    <w:tl2br w:val="nil"/>
                    <w:tr2bl w:val="nil"/>
                  </w:tcBorders>
                  <w:vAlign w:val="center"/>
                </w:tcPr>
                <w:p w14:paraId="7390F2D9">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669" w:type="dxa"/>
                  <w:tcBorders>
                    <w:tl2br w:val="nil"/>
                    <w:tr2bl w:val="nil"/>
                  </w:tcBorders>
                  <w:vAlign w:val="center"/>
                </w:tcPr>
                <w:p w14:paraId="4D4BF1B6">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r>
            <w:tr w14:paraId="7E93D5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87" w:type="dxa"/>
                  <w:vMerge w:val="restart"/>
                  <w:tcBorders>
                    <w:tl2br w:val="nil"/>
                    <w:tr2bl w:val="nil"/>
                  </w:tcBorders>
                  <w:vAlign w:val="center"/>
                </w:tcPr>
                <w:p w14:paraId="19642D5A">
                  <w:pPr>
                    <w:widowControl/>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1</w:t>
                  </w:r>
                </w:p>
              </w:tc>
              <w:tc>
                <w:tcPr>
                  <w:tcW w:w="900" w:type="dxa"/>
                  <w:vMerge w:val="restart"/>
                  <w:tcBorders>
                    <w:tl2br w:val="nil"/>
                    <w:tr2bl w:val="nil"/>
                  </w:tcBorders>
                  <w:vAlign w:val="center"/>
                </w:tcPr>
                <w:p w14:paraId="4E2D444C">
                  <w:pPr>
                    <w:widowControl/>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cs="Times New Roman"/>
                      <w:i w:val="0"/>
                      <w:iCs w:val="0"/>
                      <w:color w:val="auto"/>
                      <w:kern w:val="0"/>
                      <w:sz w:val="21"/>
                      <w:szCs w:val="21"/>
                      <w:highlight w:val="none"/>
                      <w:u w:val="none"/>
                      <w:lang w:val="en-US" w:eastAsia="zh-CN"/>
                    </w:rPr>
                    <w:t>洒水降尘</w:t>
                  </w:r>
                  <w:r>
                    <w:rPr>
                      <w:rFonts w:hint="default" w:ascii="Times New Roman" w:hAnsi="Times New Roman" w:eastAsia="宋体" w:cs="Times New Roman"/>
                      <w:i w:val="0"/>
                      <w:iCs w:val="0"/>
                      <w:color w:val="auto"/>
                      <w:kern w:val="0"/>
                      <w:sz w:val="21"/>
                      <w:szCs w:val="21"/>
                      <w:highlight w:val="none"/>
                      <w:u w:val="none"/>
                      <w:lang w:val="en-US" w:eastAsia="zh-CN"/>
                    </w:rPr>
                    <w:t>用水</w:t>
                  </w:r>
                </w:p>
              </w:tc>
              <w:tc>
                <w:tcPr>
                  <w:tcW w:w="1305" w:type="dxa"/>
                  <w:tcBorders>
                    <w:tl2br w:val="nil"/>
                    <w:tr2bl w:val="nil"/>
                  </w:tcBorders>
                  <w:vAlign w:val="center"/>
                </w:tcPr>
                <w:p w14:paraId="247211B3">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储煤场洒水</w:t>
                  </w:r>
                </w:p>
              </w:tc>
              <w:tc>
                <w:tcPr>
                  <w:tcW w:w="1005" w:type="dxa"/>
                  <w:tcBorders>
                    <w:tl2br w:val="nil"/>
                    <w:tr2bl w:val="nil"/>
                  </w:tcBorders>
                  <w:vAlign w:val="center"/>
                </w:tcPr>
                <w:p w14:paraId="17527901">
                  <w:pPr>
                    <w:widowControl/>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color w:val="auto"/>
                      <w:sz w:val="21"/>
                      <w:szCs w:val="21"/>
                      <w:highlight w:val="none"/>
                      <w:lang w:val="en-US" w:eastAsia="zh-CN"/>
                    </w:rPr>
                    <w:t>11800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rPr>
                    <w:t>2</w:t>
                  </w:r>
                </w:p>
              </w:tc>
              <w:tc>
                <w:tcPr>
                  <w:tcW w:w="1425" w:type="dxa"/>
                  <w:tcBorders>
                    <w:tl2br w:val="nil"/>
                    <w:tr2bl w:val="nil"/>
                  </w:tcBorders>
                  <w:vAlign w:val="center"/>
                </w:tcPr>
                <w:p w14:paraId="2D6F102F">
                  <w:pPr>
                    <w:widowControl/>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cs="Times New Roman"/>
                      <w:color w:val="auto"/>
                      <w:sz w:val="21"/>
                      <w:szCs w:val="21"/>
                      <w:highlight w:val="none"/>
                    </w:rPr>
                    <w:t>2.0L/（m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·次）</w:t>
                  </w:r>
                </w:p>
              </w:tc>
              <w:tc>
                <w:tcPr>
                  <w:tcW w:w="705" w:type="dxa"/>
                  <w:tcBorders>
                    <w:tl2br w:val="nil"/>
                    <w:tr2bl w:val="nil"/>
                  </w:tcBorders>
                  <w:vAlign w:val="center"/>
                </w:tcPr>
                <w:p w14:paraId="7A08E3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23.60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960" w:type="dxa"/>
                  <w:tcBorders>
                    <w:tl2br w:val="nil"/>
                    <w:tr2bl w:val="nil"/>
                  </w:tcBorders>
                  <w:vAlign w:val="center"/>
                </w:tcPr>
                <w:p w14:paraId="50D5D1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3540.00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660" w:type="dxa"/>
                  <w:tcBorders>
                    <w:tl2br w:val="nil"/>
                    <w:tr2bl w:val="nil"/>
                  </w:tcBorders>
                  <w:vAlign w:val="center"/>
                </w:tcPr>
                <w:p w14:paraId="49043C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c>
                <w:tcPr>
                  <w:tcW w:w="669" w:type="dxa"/>
                  <w:tcBorders>
                    <w:tl2br w:val="nil"/>
                    <w:tr2bl w:val="nil"/>
                  </w:tcBorders>
                  <w:vAlign w:val="center"/>
                </w:tcPr>
                <w:p w14:paraId="6829F5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r>
            <w:tr w14:paraId="6A2FEB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87" w:type="dxa"/>
                  <w:vMerge w:val="continue"/>
                  <w:tcBorders>
                    <w:tl2br w:val="nil"/>
                    <w:tr2bl w:val="nil"/>
                  </w:tcBorders>
                  <w:vAlign w:val="center"/>
                </w:tcPr>
                <w:p w14:paraId="1E024097">
                  <w:pPr>
                    <w:widowControl/>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900" w:type="dxa"/>
                  <w:vMerge w:val="continue"/>
                  <w:tcBorders>
                    <w:tl2br w:val="nil"/>
                    <w:tr2bl w:val="nil"/>
                  </w:tcBorders>
                  <w:vAlign w:val="center"/>
                </w:tcPr>
                <w:p w14:paraId="4D062D5C">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p>
              </w:tc>
              <w:tc>
                <w:tcPr>
                  <w:tcW w:w="1305" w:type="dxa"/>
                  <w:tcBorders>
                    <w:tl2br w:val="nil"/>
                    <w:tr2bl w:val="nil"/>
                  </w:tcBorders>
                  <w:vAlign w:val="center"/>
                </w:tcPr>
                <w:p w14:paraId="4EBF4406">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道路洒水</w:t>
                  </w:r>
                </w:p>
              </w:tc>
              <w:tc>
                <w:tcPr>
                  <w:tcW w:w="1005" w:type="dxa"/>
                  <w:tcBorders>
                    <w:tl2br w:val="nil"/>
                    <w:tr2bl w:val="nil"/>
                  </w:tcBorders>
                  <w:vAlign w:val="center"/>
                </w:tcPr>
                <w:p w14:paraId="2BC8DC78">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color w:val="auto"/>
                      <w:sz w:val="21"/>
                      <w:szCs w:val="21"/>
                      <w:highlight w:val="none"/>
                      <w:lang w:val="en-US" w:eastAsia="zh-CN"/>
                    </w:rPr>
                    <w:t>423</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p>
              </w:tc>
              <w:tc>
                <w:tcPr>
                  <w:tcW w:w="1425" w:type="dxa"/>
                  <w:tcBorders>
                    <w:tl2br w:val="nil"/>
                    <w:tr2bl w:val="nil"/>
                  </w:tcBorders>
                  <w:vAlign w:val="center"/>
                </w:tcPr>
                <w:p w14:paraId="7FFB1017">
                  <w:pPr>
                    <w:widowControl/>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cs="Times New Roman"/>
                      <w:color w:val="auto"/>
                      <w:sz w:val="21"/>
                      <w:szCs w:val="21"/>
                      <w:highlight w:val="none"/>
                      <w:lang w:val="en-US" w:eastAsia="zh-CN"/>
                    </w:rPr>
                    <w:t>1.5</w:t>
                  </w:r>
                  <w:r>
                    <w:rPr>
                      <w:rFonts w:hint="default" w:ascii="Times New Roman" w:hAnsi="Times New Roman" w:cs="Times New Roman"/>
                      <w:color w:val="auto"/>
                      <w:sz w:val="21"/>
                      <w:szCs w:val="21"/>
                      <w:highlight w:val="none"/>
                    </w:rPr>
                    <w:t>L/（m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default" w:ascii="Times New Roman" w:hAnsi="Times New Roman" w:cs="Times New Roman"/>
                      <w:color w:val="auto"/>
                      <w:sz w:val="21"/>
                      <w:szCs w:val="21"/>
                      <w:highlight w:val="none"/>
                    </w:rPr>
                    <w:t>）</w:t>
                  </w:r>
                </w:p>
              </w:tc>
              <w:tc>
                <w:tcPr>
                  <w:tcW w:w="705" w:type="dxa"/>
                  <w:tcBorders>
                    <w:tl2br w:val="nil"/>
                    <w:tr2bl w:val="nil"/>
                  </w:tcBorders>
                  <w:vAlign w:val="center"/>
                </w:tcPr>
                <w:p w14:paraId="268BA9C5">
                  <w:pPr>
                    <w:keepNext w:val="0"/>
                    <w:keepLines w:val="0"/>
                    <w:widowControl/>
                    <w:suppressLineNumbers w:val="0"/>
                    <w:jc w:val="center"/>
                    <w:textAlignment w:val="center"/>
                    <w:rPr>
                      <w:rFonts w:hint="default" w:ascii="Times New Roman" w:hAnsi="Times New Roman"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0.63</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960" w:type="dxa"/>
                  <w:tcBorders>
                    <w:tl2br w:val="nil"/>
                    <w:tr2bl w:val="nil"/>
                  </w:tcBorders>
                  <w:vAlign w:val="center"/>
                </w:tcPr>
                <w:p w14:paraId="57E758D9">
                  <w:pPr>
                    <w:keepNext w:val="0"/>
                    <w:keepLines w:val="0"/>
                    <w:widowControl/>
                    <w:suppressLineNumbers w:val="0"/>
                    <w:jc w:val="center"/>
                    <w:textAlignment w:val="center"/>
                    <w:rPr>
                      <w:rFonts w:hint="default" w:ascii="Times New Roman" w:hAnsi="Times New Roman"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95.18</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660" w:type="dxa"/>
                  <w:tcBorders>
                    <w:tl2br w:val="nil"/>
                    <w:tr2bl w:val="nil"/>
                  </w:tcBorders>
                  <w:vAlign w:val="center"/>
                </w:tcPr>
                <w:p w14:paraId="6F5485B9">
                  <w:pPr>
                    <w:keepNext w:val="0"/>
                    <w:keepLines w:val="0"/>
                    <w:widowControl/>
                    <w:suppressLineNumbers w:val="0"/>
                    <w:jc w:val="center"/>
                    <w:textAlignment w:val="center"/>
                    <w:rPr>
                      <w:rFonts w:hint="default" w:ascii="Times New Roman" w:hAnsi="Times New Roman"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c>
                <w:tcPr>
                  <w:tcW w:w="669" w:type="dxa"/>
                  <w:tcBorders>
                    <w:tl2br w:val="nil"/>
                    <w:tr2bl w:val="nil"/>
                  </w:tcBorders>
                  <w:vAlign w:val="center"/>
                </w:tcPr>
                <w:p w14:paraId="10606188">
                  <w:pPr>
                    <w:keepNext w:val="0"/>
                    <w:keepLines w:val="0"/>
                    <w:widowControl/>
                    <w:suppressLineNumbers w:val="0"/>
                    <w:jc w:val="center"/>
                    <w:textAlignment w:val="center"/>
                    <w:rPr>
                      <w:rFonts w:hint="default" w:ascii="Times New Roman" w:hAnsi="Times New Roman"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r>
            <w:tr w14:paraId="15E1D5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87" w:type="dxa"/>
                  <w:vMerge w:val="continue"/>
                  <w:tcBorders>
                    <w:tl2br w:val="nil"/>
                    <w:tr2bl w:val="nil"/>
                  </w:tcBorders>
                  <w:vAlign w:val="center"/>
                </w:tcPr>
                <w:p w14:paraId="31582012">
                  <w:pPr>
                    <w:widowControl/>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900" w:type="dxa"/>
                  <w:vMerge w:val="continue"/>
                  <w:tcBorders>
                    <w:tl2br w:val="nil"/>
                    <w:tr2bl w:val="nil"/>
                  </w:tcBorders>
                  <w:vAlign w:val="center"/>
                </w:tcPr>
                <w:p w14:paraId="2C6C4CCD">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p>
              </w:tc>
              <w:tc>
                <w:tcPr>
                  <w:tcW w:w="1305" w:type="dxa"/>
                  <w:tcBorders>
                    <w:tl2br w:val="nil"/>
                    <w:tr2bl w:val="nil"/>
                  </w:tcBorders>
                  <w:vAlign w:val="center"/>
                </w:tcPr>
                <w:p w14:paraId="0E49B75D">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装卸洒水</w:t>
                  </w:r>
                </w:p>
              </w:tc>
              <w:tc>
                <w:tcPr>
                  <w:tcW w:w="1005" w:type="dxa"/>
                  <w:tcBorders>
                    <w:tl2br w:val="nil"/>
                    <w:tr2bl w:val="nil"/>
                  </w:tcBorders>
                  <w:vAlign w:val="center"/>
                </w:tcPr>
                <w:p w14:paraId="2DB58165">
                  <w:pPr>
                    <w:widowControl/>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100000t</w:t>
                  </w:r>
                </w:p>
              </w:tc>
              <w:tc>
                <w:tcPr>
                  <w:tcW w:w="1425" w:type="dxa"/>
                  <w:tcBorders>
                    <w:tl2br w:val="nil"/>
                    <w:tr2bl w:val="nil"/>
                  </w:tcBorders>
                  <w:vAlign w:val="center"/>
                </w:tcPr>
                <w:p w14:paraId="600D386C">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05" w:type="dxa"/>
                  <w:tcBorders>
                    <w:tl2br w:val="nil"/>
                    <w:tr2bl w:val="nil"/>
                  </w:tcBorders>
                  <w:vAlign w:val="center"/>
                </w:tcPr>
                <w:p w14:paraId="176296B3">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5.60</w:t>
                  </w:r>
                </w:p>
              </w:tc>
              <w:tc>
                <w:tcPr>
                  <w:tcW w:w="960" w:type="dxa"/>
                  <w:tcBorders>
                    <w:tl2br w:val="nil"/>
                    <w:tr2bl w:val="nil"/>
                  </w:tcBorders>
                  <w:vAlign w:val="center"/>
                </w:tcPr>
                <w:p w14:paraId="45E46490">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840</w:t>
                  </w:r>
                </w:p>
              </w:tc>
              <w:tc>
                <w:tcPr>
                  <w:tcW w:w="660" w:type="dxa"/>
                  <w:tcBorders>
                    <w:tl2br w:val="nil"/>
                    <w:tr2bl w:val="nil"/>
                  </w:tcBorders>
                  <w:vAlign w:val="center"/>
                </w:tcPr>
                <w:p w14:paraId="796DFA48">
                  <w:pPr>
                    <w:keepNext w:val="0"/>
                    <w:keepLines w:val="0"/>
                    <w:widowControl/>
                    <w:suppressLineNumbers w:val="0"/>
                    <w:jc w:val="center"/>
                    <w:textAlignment w:val="center"/>
                    <w:rPr>
                      <w:rFonts w:hint="default"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c>
                <w:tcPr>
                  <w:tcW w:w="669" w:type="dxa"/>
                  <w:tcBorders>
                    <w:tl2br w:val="nil"/>
                    <w:tr2bl w:val="nil"/>
                  </w:tcBorders>
                  <w:vAlign w:val="center"/>
                </w:tcPr>
                <w:p w14:paraId="4B60226E">
                  <w:pPr>
                    <w:keepNext w:val="0"/>
                    <w:keepLines w:val="0"/>
                    <w:widowControl/>
                    <w:suppressLineNumbers w:val="0"/>
                    <w:jc w:val="center"/>
                    <w:textAlignment w:val="center"/>
                    <w:rPr>
                      <w:rFonts w:hint="default"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w:t>
                  </w:r>
                </w:p>
              </w:tc>
            </w:tr>
            <w:tr w14:paraId="6B6287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22" w:type="dxa"/>
                  <w:gridSpan w:val="5"/>
                  <w:tcBorders>
                    <w:tl2br w:val="nil"/>
                    <w:tr2bl w:val="nil"/>
                  </w:tcBorders>
                  <w:vAlign w:val="center"/>
                </w:tcPr>
                <w:p w14:paraId="703303D6">
                  <w:pPr>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合计</w:t>
                  </w:r>
                </w:p>
              </w:tc>
              <w:tc>
                <w:tcPr>
                  <w:tcW w:w="705" w:type="dxa"/>
                  <w:tcBorders>
                    <w:tl2br w:val="nil"/>
                    <w:tr2bl w:val="nil"/>
                  </w:tcBorders>
                  <w:vAlign w:val="center"/>
                </w:tcPr>
                <w:p w14:paraId="3AD38B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u w:val="none"/>
                      <w:lang w:val="en-US" w:eastAsia="zh-CN" w:bidi="ar"/>
                    </w:rPr>
                    <w:t>29.83</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960" w:type="dxa"/>
                  <w:tcBorders>
                    <w:tl2br w:val="nil"/>
                    <w:tr2bl w:val="nil"/>
                  </w:tcBorders>
                  <w:vAlign w:val="center"/>
                </w:tcPr>
                <w:p w14:paraId="7BADB9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u w:val="none"/>
                      <w:lang w:val="en-US" w:eastAsia="zh-CN" w:bidi="ar"/>
                    </w:rPr>
                    <w:t>4475.18</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660" w:type="dxa"/>
                  <w:tcBorders>
                    <w:tl2br w:val="nil"/>
                    <w:tr2bl w:val="nil"/>
                  </w:tcBorders>
                  <w:vAlign w:val="center"/>
                </w:tcPr>
                <w:p w14:paraId="1A1210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669" w:type="dxa"/>
                  <w:tcBorders>
                    <w:tl2br w:val="nil"/>
                    <w:tr2bl w:val="nil"/>
                  </w:tcBorders>
                  <w:vAlign w:val="center"/>
                </w:tcPr>
                <w:p w14:paraId="2B0A4E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 </w:t>
                  </w:r>
                </w:p>
              </w:tc>
            </w:tr>
          </w:tbl>
          <w:p w14:paraId="16C8E700">
            <w:pPr>
              <w:pStyle w:val="2"/>
              <w:keepNext/>
              <w:keepLines w:val="0"/>
              <w:pageBreakBefore w:val="0"/>
              <w:widowControl w:val="0"/>
              <w:kinsoku/>
              <w:wordWrap/>
              <w:overflowPunct w:val="0"/>
              <w:topLinePunct w:val="0"/>
              <w:autoSpaceDE/>
              <w:autoSpaceDN/>
              <w:bidi w:val="0"/>
              <w:adjustRightInd/>
              <w:snapToGrid w:val="0"/>
              <w:spacing w:before="10" w:after="10" w:line="360" w:lineRule="auto"/>
              <w:ind w:left="0"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表</w:t>
            </w:r>
            <w:r>
              <w:rPr>
                <w:rFonts w:hint="default" w:ascii="Times New Roman" w:hAnsi="Times New Roman" w:eastAsia="宋体" w:cs="Times New Roman"/>
                <w:color w:val="auto"/>
                <w:sz w:val="21"/>
                <w:szCs w:val="21"/>
                <w:highlight w:val="none"/>
                <w:lang w:val="en-US" w:eastAsia="zh-CN"/>
              </w:rPr>
              <w:t>2-</w:t>
            </w:r>
            <w:r>
              <w:rPr>
                <w:rFonts w:hint="eastAsia" w:eastAsia="宋体" w:cs="Times New Roman"/>
                <w:color w:val="auto"/>
                <w:sz w:val="21"/>
                <w:szCs w:val="21"/>
                <w:highlight w:val="none"/>
                <w:lang w:val="en-US" w:eastAsia="zh-CN"/>
              </w:rPr>
              <w:t xml:space="preserve">7 </w:t>
            </w:r>
            <w:r>
              <w:rPr>
                <w:rFonts w:hint="default" w:ascii="Times New Roman" w:hAnsi="Times New Roman" w:eastAsia="宋体" w:cs="Times New Roman"/>
                <w:color w:val="auto"/>
                <w:sz w:val="21"/>
                <w:szCs w:val="21"/>
                <w:highlight w:val="none"/>
                <w:lang w:val="en-US" w:eastAsia="zh-CN"/>
              </w:rPr>
              <w:t>项目</w:t>
            </w:r>
            <w:r>
              <w:rPr>
                <w:rFonts w:hint="eastAsia" w:eastAsia="宋体" w:cs="Times New Roman"/>
                <w:color w:val="auto"/>
                <w:sz w:val="21"/>
                <w:szCs w:val="21"/>
                <w:highlight w:val="none"/>
                <w:lang w:val="en-US" w:eastAsia="zh-CN"/>
              </w:rPr>
              <w:t>水平衡</w:t>
            </w:r>
            <w:r>
              <w:rPr>
                <w:rFonts w:hint="default" w:ascii="Times New Roman" w:hAnsi="Times New Roman" w:eastAsia="宋体" w:cs="Times New Roman"/>
                <w:color w:val="auto"/>
                <w:sz w:val="21"/>
                <w:szCs w:val="21"/>
                <w:highlight w:val="none"/>
                <w:lang w:val="en-US" w:eastAsia="zh-CN"/>
              </w:rPr>
              <w:t>一览表</w:t>
            </w:r>
          </w:p>
          <w:tbl>
            <w:tblPr>
              <w:tblStyle w:val="31"/>
              <w:tblW w:w="805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692"/>
              <w:gridCol w:w="901"/>
              <w:gridCol w:w="635"/>
              <w:gridCol w:w="794"/>
              <w:gridCol w:w="692"/>
              <w:gridCol w:w="901"/>
              <w:gridCol w:w="692"/>
              <w:gridCol w:w="903"/>
              <w:gridCol w:w="675"/>
              <w:gridCol w:w="523"/>
            </w:tblGrid>
            <w:tr w14:paraId="5CBCC1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46" w:type="dxa"/>
                  <w:vMerge w:val="restart"/>
                  <w:tcBorders>
                    <w:tl2br w:val="nil"/>
                    <w:tr2bl w:val="nil"/>
                  </w:tcBorders>
                  <w:vAlign w:val="center"/>
                </w:tcPr>
                <w:p w14:paraId="10A944FE">
                  <w:pPr>
                    <w:widowControl/>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eastAsia" w:cs="Times New Roman"/>
                      <w:b/>
                      <w:bCs/>
                      <w:i w:val="0"/>
                      <w:iCs w:val="0"/>
                      <w:color w:val="auto"/>
                      <w:kern w:val="0"/>
                      <w:sz w:val="21"/>
                      <w:szCs w:val="21"/>
                      <w:highlight w:val="none"/>
                      <w:u w:val="none"/>
                      <w:lang w:val="en-US" w:eastAsia="zh-CN"/>
                    </w:rPr>
                    <w:t>用水对象</w:t>
                  </w:r>
                </w:p>
              </w:tc>
              <w:tc>
                <w:tcPr>
                  <w:tcW w:w="1593" w:type="dxa"/>
                  <w:gridSpan w:val="2"/>
                  <w:tcBorders>
                    <w:tl2br w:val="nil"/>
                    <w:tr2bl w:val="nil"/>
                  </w:tcBorders>
                  <w:vAlign w:val="center"/>
                </w:tcPr>
                <w:p w14:paraId="1187E9EE">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cs="Times New Roman"/>
                      <w:b/>
                      <w:bCs/>
                      <w:i w:val="0"/>
                      <w:iCs w:val="0"/>
                      <w:color w:val="auto"/>
                      <w:kern w:val="0"/>
                      <w:sz w:val="21"/>
                      <w:szCs w:val="21"/>
                      <w:highlight w:val="none"/>
                      <w:u w:val="none"/>
                      <w:lang w:val="en-US" w:eastAsia="zh-CN"/>
                    </w:rPr>
                    <w:t>总</w:t>
                  </w:r>
                  <w:r>
                    <w:rPr>
                      <w:rFonts w:hint="default" w:ascii="Times New Roman" w:hAnsi="Times New Roman" w:eastAsia="宋体" w:cs="Times New Roman"/>
                      <w:b/>
                      <w:bCs/>
                      <w:i w:val="0"/>
                      <w:iCs w:val="0"/>
                      <w:color w:val="auto"/>
                      <w:kern w:val="0"/>
                      <w:sz w:val="21"/>
                      <w:szCs w:val="21"/>
                      <w:highlight w:val="none"/>
                      <w:u w:val="none"/>
                      <w:lang w:val="en-US" w:eastAsia="zh-CN"/>
                    </w:rPr>
                    <w:t>用水量</w:t>
                  </w:r>
                </w:p>
              </w:tc>
              <w:tc>
                <w:tcPr>
                  <w:tcW w:w="1429" w:type="dxa"/>
                  <w:gridSpan w:val="2"/>
                  <w:tcBorders>
                    <w:tl2br w:val="nil"/>
                    <w:tr2bl w:val="nil"/>
                  </w:tcBorders>
                  <w:vAlign w:val="center"/>
                </w:tcPr>
                <w:p w14:paraId="1146B93E">
                  <w:pPr>
                    <w:widowControl/>
                    <w:jc w:val="center"/>
                    <w:textAlignment w:val="center"/>
                    <w:rPr>
                      <w:rFonts w:hint="eastAsia" w:cs="Times New Roman"/>
                      <w:b/>
                      <w:bCs/>
                      <w:i w:val="0"/>
                      <w:iCs w:val="0"/>
                      <w:color w:val="auto"/>
                      <w:kern w:val="0"/>
                      <w:sz w:val="21"/>
                      <w:szCs w:val="21"/>
                      <w:highlight w:val="none"/>
                      <w:u w:val="none"/>
                      <w:lang w:val="en-US" w:eastAsia="zh-CN"/>
                    </w:rPr>
                  </w:pPr>
                  <w:r>
                    <w:rPr>
                      <w:rFonts w:hint="eastAsia" w:cs="Times New Roman"/>
                      <w:b/>
                      <w:bCs/>
                      <w:i w:val="0"/>
                      <w:iCs w:val="0"/>
                      <w:color w:val="auto"/>
                      <w:kern w:val="0"/>
                      <w:sz w:val="21"/>
                      <w:szCs w:val="21"/>
                      <w:highlight w:val="none"/>
                      <w:u w:val="none"/>
                      <w:lang w:val="en-US" w:eastAsia="zh-CN"/>
                    </w:rPr>
                    <w:t>回</w:t>
                  </w:r>
                  <w:r>
                    <w:rPr>
                      <w:rFonts w:hint="default" w:ascii="Times New Roman" w:hAnsi="Times New Roman" w:eastAsia="宋体" w:cs="Times New Roman"/>
                      <w:b/>
                      <w:bCs/>
                      <w:i w:val="0"/>
                      <w:iCs w:val="0"/>
                      <w:color w:val="auto"/>
                      <w:kern w:val="0"/>
                      <w:sz w:val="21"/>
                      <w:szCs w:val="21"/>
                      <w:highlight w:val="none"/>
                      <w:u w:val="none"/>
                      <w:lang w:val="en-US" w:eastAsia="zh-CN"/>
                    </w:rPr>
                    <w:t>用水量</w:t>
                  </w:r>
                </w:p>
              </w:tc>
              <w:tc>
                <w:tcPr>
                  <w:tcW w:w="1593" w:type="dxa"/>
                  <w:gridSpan w:val="2"/>
                  <w:tcBorders>
                    <w:tl2br w:val="nil"/>
                    <w:tr2bl w:val="nil"/>
                  </w:tcBorders>
                  <w:vAlign w:val="center"/>
                </w:tcPr>
                <w:p w14:paraId="3F97ADF0">
                  <w:pPr>
                    <w:widowControl/>
                    <w:jc w:val="center"/>
                    <w:textAlignment w:val="center"/>
                    <w:rPr>
                      <w:rFonts w:hint="default" w:ascii="Times New Roman" w:hAnsi="Times New Roman" w:eastAsia="宋体" w:cs="Times New Roman"/>
                      <w:b/>
                      <w:bCs/>
                      <w:i w:val="0"/>
                      <w:iCs w:val="0"/>
                      <w:color w:val="auto"/>
                      <w:sz w:val="21"/>
                      <w:szCs w:val="21"/>
                      <w:highlight w:val="none"/>
                      <w:u w:val="none"/>
                      <w:lang w:val="en-US"/>
                    </w:rPr>
                  </w:pPr>
                  <w:r>
                    <w:rPr>
                      <w:rFonts w:hint="eastAsia" w:cs="Times New Roman"/>
                      <w:b/>
                      <w:bCs/>
                      <w:i w:val="0"/>
                      <w:iCs w:val="0"/>
                      <w:color w:val="auto"/>
                      <w:kern w:val="0"/>
                      <w:sz w:val="21"/>
                      <w:szCs w:val="21"/>
                      <w:highlight w:val="none"/>
                      <w:u w:val="none"/>
                      <w:lang w:val="en-US" w:eastAsia="zh-CN"/>
                    </w:rPr>
                    <w:t>新鲜水用量</w:t>
                  </w:r>
                </w:p>
              </w:tc>
              <w:tc>
                <w:tcPr>
                  <w:tcW w:w="1595" w:type="dxa"/>
                  <w:gridSpan w:val="2"/>
                  <w:tcBorders>
                    <w:tl2br w:val="nil"/>
                    <w:tr2bl w:val="nil"/>
                  </w:tcBorders>
                  <w:vAlign w:val="center"/>
                </w:tcPr>
                <w:p w14:paraId="070BEB61">
                  <w:pPr>
                    <w:widowControl/>
                    <w:jc w:val="center"/>
                    <w:textAlignment w:val="center"/>
                    <w:rPr>
                      <w:rFonts w:hint="default" w:cs="Times New Roman"/>
                      <w:b/>
                      <w:bCs/>
                      <w:i w:val="0"/>
                      <w:iCs w:val="0"/>
                      <w:color w:val="auto"/>
                      <w:kern w:val="0"/>
                      <w:sz w:val="21"/>
                      <w:szCs w:val="21"/>
                      <w:highlight w:val="none"/>
                      <w:u w:val="none"/>
                      <w:lang w:val="en-US" w:eastAsia="zh-CN"/>
                    </w:rPr>
                  </w:pPr>
                  <w:r>
                    <w:rPr>
                      <w:rFonts w:hint="eastAsia" w:cs="Times New Roman"/>
                      <w:b/>
                      <w:bCs/>
                      <w:i w:val="0"/>
                      <w:iCs w:val="0"/>
                      <w:color w:val="auto"/>
                      <w:kern w:val="0"/>
                      <w:sz w:val="21"/>
                      <w:szCs w:val="21"/>
                      <w:highlight w:val="none"/>
                      <w:u w:val="none"/>
                      <w:lang w:val="en-US" w:eastAsia="zh-CN"/>
                    </w:rPr>
                    <w:t>耗水量</w:t>
                  </w:r>
                </w:p>
              </w:tc>
              <w:tc>
                <w:tcPr>
                  <w:tcW w:w="1198" w:type="dxa"/>
                  <w:gridSpan w:val="2"/>
                  <w:tcBorders>
                    <w:tl2br w:val="nil"/>
                    <w:tr2bl w:val="nil"/>
                  </w:tcBorders>
                  <w:vAlign w:val="center"/>
                </w:tcPr>
                <w:p w14:paraId="3C0ABD80">
                  <w:pPr>
                    <w:widowControl/>
                    <w:jc w:val="center"/>
                    <w:textAlignment w:val="center"/>
                    <w:rPr>
                      <w:rFonts w:hint="default" w:cs="Times New Roman"/>
                      <w:b/>
                      <w:bCs/>
                      <w:i w:val="0"/>
                      <w:iCs w:val="0"/>
                      <w:color w:val="auto"/>
                      <w:kern w:val="0"/>
                      <w:sz w:val="21"/>
                      <w:szCs w:val="21"/>
                      <w:highlight w:val="none"/>
                      <w:u w:val="none"/>
                      <w:lang w:val="en-US" w:eastAsia="zh-CN"/>
                    </w:rPr>
                  </w:pPr>
                  <w:r>
                    <w:rPr>
                      <w:rFonts w:hint="eastAsia" w:cs="Times New Roman"/>
                      <w:b/>
                      <w:bCs/>
                      <w:i w:val="0"/>
                      <w:iCs w:val="0"/>
                      <w:color w:val="auto"/>
                      <w:kern w:val="0"/>
                      <w:sz w:val="21"/>
                      <w:szCs w:val="21"/>
                      <w:highlight w:val="none"/>
                      <w:u w:val="none"/>
                      <w:lang w:val="en-US" w:eastAsia="zh-CN"/>
                    </w:rPr>
                    <w:t>排水量</w:t>
                  </w:r>
                </w:p>
              </w:tc>
            </w:tr>
            <w:tr w14:paraId="63875E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46" w:type="dxa"/>
                  <w:vMerge w:val="continue"/>
                  <w:tcBorders>
                    <w:tl2br w:val="nil"/>
                    <w:tr2bl w:val="nil"/>
                  </w:tcBorders>
                  <w:vAlign w:val="center"/>
                </w:tcPr>
                <w:p w14:paraId="630084C3">
                  <w:pPr>
                    <w:jc w:val="center"/>
                    <w:rPr>
                      <w:rFonts w:hint="default" w:ascii="Times New Roman" w:hAnsi="Times New Roman" w:eastAsia="宋体" w:cs="Times New Roman"/>
                      <w:b/>
                      <w:bCs/>
                      <w:i w:val="0"/>
                      <w:iCs w:val="0"/>
                      <w:color w:val="auto"/>
                      <w:sz w:val="21"/>
                      <w:szCs w:val="21"/>
                      <w:highlight w:val="none"/>
                      <w:u w:val="none"/>
                    </w:rPr>
                  </w:pPr>
                </w:p>
              </w:tc>
              <w:tc>
                <w:tcPr>
                  <w:tcW w:w="692" w:type="dxa"/>
                  <w:tcBorders>
                    <w:tl2br w:val="nil"/>
                    <w:tr2bl w:val="nil"/>
                  </w:tcBorders>
                  <w:vAlign w:val="center"/>
                </w:tcPr>
                <w:p w14:paraId="096A4627">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901" w:type="dxa"/>
                  <w:tcBorders>
                    <w:tl2br w:val="nil"/>
                    <w:tr2bl w:val="nil"/>
                  </w:tcBorders>
                  <w:vAlign w:val="center"/>
                </w:tcPr>
                <w:p w14:paraId="7D17C3F4">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c>
                <w:tcPr>
                  <w:tcW w:w="635" w:type="dxa"/>
                  <w:tcBorders>
                    <w:tl2br w:val="nil"/>
                    <w:tr2bl w:val="nil"/>
                  </w:tcBorders>
                  <w:vAlign w:val="center"/>
                </w:tcPr>
                <w:p w14:paraId="424A74BE">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794" w:type="dxa"/>
                  <w:tcBorders>
                    <w:tl2br w:val="nil"/>
                    <w:tr2bl w:val="nil"/>
                  </w:tcBorders>
                  <w:vAlign w:val="center"/>
                </w:tcPr>
                <w:p w14:paraId="4B0AB17D">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c>
                <w:tcPr>
                  <w:tcW w:w="692" w:type="dxa"/>
                  <w:tcBorders>
                    <w:tl2br w:val="nil"/>
                    <w:tr2bl w:val="nil"/>
                  </w:tcBorders>
                  <w:vAlign w:val="center"/>
                </w:tcPr>
                <w:p w14:paraId="77B93553">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901" w:type="dxa"/>
                  <w:tcBorders>
                    <w:tl2br w:val="nil"/>
                    <w:tr2bl w:val="nil"/>
                  </w:tcBorders>
                  <w:vAlign w:val="center"/>
                </w:tcPr>
                <w:p w14:paraId="405DEDFD">
                  <w:pPr>
                    <w:widowControl/>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c>
                <w:tcPr>
                  <w:tcW w:w="692" w:type="dxa"/>
                  <w:tcBorders>
                    <w:tl2br w:val="nil"/>
                    <w:tr2bl w:val="nil"/>
                  </w:tcBorders>
                  <w:vAlign w:val="center"/>
                </w:tcPr>
                <w:p w14:paraId="6F4CB928">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903" w:type="dxa"/>
                  <w:tcBorders>
                    <w:tl2br w:val="nil"/>
                    <w:tr2bl w:val="nil"/>
                  </w:tcBorders>
                  <w:vAlign w:val="center"/>
                </w:tcPr>
                <w:p w14:paraId="50BD3E81">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c>
                <w:tcPr>
                  <w:tcW w:w="675" w:type="dxa"/>
                  <w:tcBorders>
                    <w:tl2br w:val="nil"/>
                    <w:tr2bl w:val="nil"/>
                  </w:tcBorders>
                  <w:shd w:val="clear" w:color="auto" w:fill="auto"/>
                  <w:vAlign w:val="center"/>
                </w:tcPr>
                <w:p w14:paraId="0B4DBCA1">
                  <w:pPr>
                    <w:widowControl/>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/d</w:t>
                  </w:r>
                </w:p>
              </w:tc>
              <w:tc>
                <w:tcPr>
                  <w:tcW w:w="523" w:type="dxa"/>
                  <w:tcBorders>
                    <w:tl2br w:val="nil"/>
                    <w:tr2bl w:val="nil"/>
                  </w:tcBorders>
                  <w:shd w:val="clear" w:color="auto" w:fill="auto"/>
                  <w:vAlign w:val="center"/>
                </w:tcPr>
                <w:p w14:paraId="54E08DE3">
                  <w:pPr>
                    <w:widowControl/>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eastAsia="宋体" w:cs="Times New Roman"/>
                      <w:b/>
                      <w:bCs/>
                      <w:i w:val="0"/>
                      <w:iCs w:val="0"/>
                      <w:color w:val="auto"/>
                      <w:kern w:val="0"/>
                      <w:sz w:val="21"/>
                      <w:szCs w:val="21"/>
                      <w:highlight w:val="none"/>
                      <w:u w:val="none"/>
                      <w:lang w:val="en-US" w:eastAsia="zh-CN"/>
                    </w:rPr>
                    <w:t>/a</w:t>
                  </w:r>
                </w:p>
              </w:tc>
            </w:tr>
            <w:tr w14:paraId="4FA674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46" w:type="dxa"/>
                  <w:tcBorders>
                    <w:tl2br w:val="nil"/>
                    <w:tr2bl w:val="nil"/>
                  </w:tcBorders>
                  <w:vAlign w:val="center"/>
                </w:tcPr>
                <w:p w14:paraId="38185157">
                  <w:pPr>
                    <w:widowControl/>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cs="Times New Roman"/>
                      <w:i w:val="0"/>
                      <w:iCs w:val="0"/>
                      <w:color w:val="auto"/>
                      <w:kern w:val="0"/>
                      <w:sz w:val="21"/>
                      <w:szCs w:val="21"/>
                      <w:highlight w:val="none"/>
                      <w:u w:val="none"/>
                      <w:lang w:val="en-US" w:eastAsia="zh-CN"/>
                    </w:rPr>
                    <w:t>洒水降尘</w:t>
                  </w:r>
                </w:p>
              </w:tc>
              <w:tc>
                <w:tcPr>
                  <w:tcW w:w="692" w:type="dxa"/>
                  <w:tcBorders>
                    <w:tl2br w:val="nil"/>
                    <w:tr2bl w:val="nil"/>
                  </w:tcBorders>
                  <w:vAlign w:val="center"/>
                </w:tcPr>
                <w:p w14:paraId="4EE144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u w:val="none"/>
                      <w:lang w:val="en-US" w:eastAsia="zh-CN" w:bidi="ar"/>
                    </w:rPr>
                    <w:t>29.83</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901" w:type="dxa"/>
                  <w:tcBorders>
                    <w:tl2br w:val="nil"/>
                    <w:tr2bl w:val="nil"/>
                  </w:tcBorders>
                  <w:vAlign w:val="center"/>
                </w:tcPr>
                <w:p w14:paraId="27EA08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u w:val="none"/>
                      <w:lang w:val="en-US" w:eastAsia="zh-CN" w:bidi="ar"/>
                    </w:rPr>
                    <w:t>4475.18</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635" w:type="dxa"/>
                  <w:tcBorders>
                    <w:tl2br w:val="nil"/>
                    <w:tr2bl w:val="nil"/>
                  </w:tcBorders>
                  <w:vAlign w:val="center"/>
                </w:tcPr>
                <w:p w14:paraId="36496F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6.07</w:t>
                  </w:r>
                </w:p>
              </w:tc>
              <w:tc>
                <w:tcPr>
                  <w:tcW w:w="794" w:type="dxa"/>
                  <w:tcBorders>
                    <w:tl2br w:val="nil"/>
                    <w:tr2bl w:val="nil"/>
                  </w:tcBorders>
                  <w:vAlign w:val="center"/>
                </w:tcPr>
                <w:p w14:paraId="22E508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910.67</w:t>
                  </w:r>
                </w:p>
              </w:tc>
              <w:tc>
                <w:tcPr>
                  <w:tcW w:w="692" w:type="dxa"/>
                  <w:tcBorders>
                    <w:tl2br w:val="nil"/>
                    <w:tr2bl w:val="nil"/>
                  </w:tcBorders>
                  <w:vAlign w:val="center"/>
                </w:tcPr>
                <w:p w14:paraId="720B36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23.76</w:t>
                  </w:r>
                </w:p>
              </w:tc>
              <w:tc>
                <w:tcPr>
                  <w:tcW w:w="901" w:type="dxa"/>
                  <w:tcBorders>
                    <w:tl2br w:val="nil"/>
                    <w:tr2bl w:val="nil"/>
                  </w:tcBorders>
                  <w:vAlign w:val="center"/>
                </w:tcPr>
                <w:p w14:paraId="4AA0AF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kern w:val="0"/>
                      <w:sz w:val="21"/>
                      <w:szCs w:val="21"/>
                      <w:highlight w:val="none"/>
                      <w:u w:val="none"/>
                      <w:lang w:val="en-US" w:eastAsia="zh-CN" w:bidi="ar"/>
                    </w:rPr>
                    <w:t>3564.51</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692" w:type="dxa"/>
                  <w:tcBorders>
                    <w:tl2br w:val="nil"/>
                    <w:tr2bl w:val="nil"/>
                  </w:tcBorders>
                  <w:vAlign w:val="center"/>
                </w:tcPr>
                <w:p w14:paraId="2D4666A3">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u w:val="none"/>
                      <w:lang w:val="en-US" w:eastAsia="zh-CN" w:bidi="ar"/>
                    </w:rPr>
                    <w:t>29.83</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903" w:type="dxa"/>
                  <w:tcBorders>
                    <w:tl2br w:val="nil"/>
                    <w:tr2bl w:val="nil"/>
                  </w:tcBorders>
                  <w:vAlign w:val="center"/>
                </w:tcPr>
                <w:p w14:paraId="23708D24">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u w:val="none"/>
                      <w:lang w:val="en-US" w:eastAsia="zh-CN" w:bidi="ar"/>
                    </w:rPr>
                    <w:t>4475.18</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675" w:type="dxa"/>
                  <w:tcBorders>
                    <w:tl2br w:val="nil"/>
                    <w:tr2bl w:val="nil"/>
                  </w:tcBorders>
                  <w:vAlign w:val="center"/>
                </w:tcPr>
                <w:p w14:paraId="1238A1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w:t>
                  </w:r>
                </w:p>
              </w:tc>
              <w:tc>
                <w:tcPr>
                  <w:tcW w:w="523" w:type="dxa"/>
                  <w:tcBorders>
                    <w:tl2br w:val="nil"/>
                    <w:tr2bl w:val="nil"/>
                  </w:tcBorders>
                  <w:vAlign w:val="center"/>
                </w:tcPr>
                <w:p w14:paraId="6638A7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w:t>
                  </w:r>
                </w:p>
              </w:tc>
            </w:tr>
          </w:tbl>
          <w:p w14:paraId="5CA604E8">
            <w:pPr>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3615690" cy="1259205"/>
                  <wp:effectExtent l="0" t="0" r="0" b="17145"/>
                  <wp:docPr id="81" name="ECB019B1-382A-4266-B25C-5B523AA43C14-1" descr="C:/Users/Administrator/AppData/Local/Temp/wps.bnptG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ECB019B1-382A-4266-B25C-5B523AA43C14-1" descr="C:/Users/Administrator/AppData/Local/Temp/wps.bnptGqwps"/>
                          <pic:cNvPicPr>
                            <a:picLocks noChangeAspect="1"/>
                          </pic:cNvPicPr>
                        </pic:nvPicPr>
                        <pic:blipFill>
                          <a:blip r:embed="rId14"/>
                          <a:srcRect l="437" t="5684" b="8852"/>
                          <a:stretch>
                            <a:fillRect/>
                          </a:stretch>
                        </pic:blipFill>
                        <pic:spPr>
                          <a:xfrm>
                            <a:off x="0" y="0"/>
                            <a:ext cx="3615690" cy="1259205"/>
                          </a:xfrm>
                          <a:prstGeom prst="rect">
                            <a:avLst/>
                          </a:prstGeom>
                        </pic:spPr>
                      </pic:pic>
                    </a:graphicData>
                  </a:graphic>
                </wp:inline>
              </w:drawing>
            </w:r>
          </w:p>
          <w:p w14:paraId="362CC3F4">
            <w:pPr>
              <w:tabs>
                <w:tab w:val="left" w:pos="6480"/>
              </w:tabs>
              <w:spacing w:line="360" w:lineRule="auto"/>
              <w:ind w:firstLine="422" w:firstLineChars="20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图2-</w:t>
            </w:r>
            <w:r>
              <w:rPr>
                <w:rFonts w:hint="default" w:ascii="Times New Roman" w:hAnsi="Times New Roman" w:cs="Times New Roman"/>
                <w:b/>
                <w:bCs/>
                <w:color w:val="auto"/>
                <w:sz w:val="21"/>
                <w:szCs w:val="21"/>
                <w:highlight w:val="none"/>
                <w:lang w:val="en-US" w:eastAsia="zh-CN"/>
              </w:rPr>
              <w:t>1</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eastAsia="zh-CN"/>
              </w:rPr>
              <w:t>本项目夏季</w:t>
            </w:r>
            <w:r>
              <w:rPr>
                <w:rFonts w:hint="default" w:ascii="Times New Roman" w:hAnsi="Times New Roman" w:cs="Times New Roman"/>
                <w:b/>
                <w:bCs/>
                <w:color w:val="auto"/>
                <w:sz w:val="21"/>
                <w:szCs w:val="21"/>
                <w:highlight w:val="none"/>
              </w:rPr>
              <w:t>水平衡图 （单位：</w:t>
            </w:r>
            <w:r>
              <w:rPr>
                <w:rFonts w:hint="default" w:ascii="Times New Roman" w:hAnsi="Times New Roman" w:cs="Times New Roman"/>
                <w:b/>
                <w:bCs/>
                <w:color w:val="auto"/>
                <w:sz w:val="21"/>
                <w:szCs w:val="21"/>
                <w:highlight w:val="none"/>
                <w:lang w:val="en-US" w:eastAsia="zh-CN"/>
              </w:rPr>
              <w:t>m</w:t>
            </w:r>
            <w:r>
              <w:rPr>
                <w:rFonts w:hint="default" w:ascii="Times New Roman" w:hAnsi="Times New Roman" w:cs="Times New Roman"/>
                <w:b/>
                <w:bCs/>
                <w:color w:val="auto"/>
                <w:sz w:val="21"/>
                <w:szCs w:val="21"/>
                <w:highlight w:val="none"/>
                <w:vertAlign w:val="superscript"/>
                <w:lang w:val="en-US" w:eastAsia="zh-CN"/>
              </w:rPr>
              <w:t>3</w:t>
            </w:r>
            <w:r>
              <w:rPr>
                <w:rFonts w:hint="default" w:ascii="Times New Roman" w:hAnsi="Times New Roman" w:cs="Times New Roman"/>
                <w:b/>
                <w:bCs/>
                <w:color w:val="auto"/>
                <w:sz w:val="21"/>
                <w:szCs w:val="21"/>
                <w:highlight w:val="none"/>
              </w:rPr>
              <w:t>/</w:t>
            </w:r>
            <w:r>
              <w:rPr>
                <w:rFonts w:hint="default" w:ascii="Times New Roman" w:hAnsi="Times New Roman" w:cs="Times New Roman"/>
                <w:b/>
                <w:bCs/>
                <w:color w:val="auto"/>
                <w:sz w:val="21"/>
                <w:szCs w:val="21"/>
                <w:highlight w:val="none"/>
                <w:lang w:val="en-US" w:eastAsia="zh-CN"/>
              </w:rPr>
              <w:t>d</w:t>
            </w:r>
            <w:r>
              <w:rPr>
                <w:rFonts w:hint="default" w:ascii="Times New Roman" w:hAnsi="Times New Roman" w:cs="Times New Roman"/>
                <w:b/>
                <w:bCs/>
                <w:color w:val="auto"/>
                <w:sz w:val="21"/>
                <w:szCs w:val="21"/>
                <w:highlight w:val="none"/>
              </w:rPr>
              <w:t>）</w:t>
            </w:r>
          </w:p>
          <w:p w14:paraId="286C09D1">
            <w:pPr>
              <w:numPr>
                <w:ilvl w:val="0"/>
                <w:numId w:val="0"/>
              </w:numPr>
              <w:tabs>
                <w:tab w:val="left" w:pos="6480"/>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供热</w:t>
            </w:r>
          </w:p>
          <w:p w14:paraId="3A861232">
            <w:pPr>
              <w:tabs>
                <w:tab w:val="left" w:pos="6480"/>
              </w:tabs>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本项目生产区无需供暖，办公区冬季采暖采用电采暖。</w:t>
            </w:r>
          </w:p>
          <w:p w14:paraId="7CE6291B">
            <w:pPr>
              <w:numPr>
                <w:ilvl w:val="0"/>
                <w:numId w:val="0"/>
              </w:numPr>
              <w:tabs>
                <w:tab w:val="left" w:pos="6480"/>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供电</w:t>
            </w:r>
          </w:p>
          <w:p w14:paraId="7DD8A264">
            <w:pPr>
              <w:pStyle w:val="52"/>
              <w:rPr>
                <w:rFonts w:hint="default" w:ascii="Times New Roman" w:hAnsi="Times New Roman" w:eastAsia="宋体" w:cs="Times New Roman"/>
                <w:color w:val="auto"/>
                <w:szCs w:val="22"/>
                <w:highlight w:val="none"/>
              </w:rPr>
            </w:pPr>
            <w:r>
              <w:rPr>
                <w:rFonts w:hint="default" w:ascii="Times New Roman" w:hAnsi="Times New Roman" w:eastAsia="宋体" w:cs="Times New Roman"/>
                <w:color w:val="auto"/>
                <w:kern w:val="0"/>
                <w:highlight w:val="none"/>
              </w:rPr>
              <w:t>本项目用电</w:t>
            </w:r>
            <w:r>
              <w:rPr>
                <w:rFonts w:hint="default" w:ascii="Times New Roman" w:hAnsi="Times New Roman" w:eastAsia="宋体" w:cs="Times New Roman"/>
                <w:color w:val="auto"/>
                <w:kern w:val="0"/>
                <w:highlight w:val="none"/>
                <w:lang w:eastAsia="zh-CN"/>
              </w:rPr>
              <w:t>由</w:t>
            </w:r>
            <w:r>
              <w:rPr>
                <w:rFonts w:hint="default" w:ascii="Times New Roman" w:hAnsi="Times New Roman" w:cs="Times New Roman"/>
                <w:color w:val="auto"/>
                <w:kern w:val="0"/>
                <w:highlight w:val="none"/>
                <w:lang w:eastAsia="zh-CN"/>
              </w:rPr>
              <w:t>鸡西矿业集团双河煤矿电力公司</w:t>
            </w:r>
            <w:r>
              <w:rPr>
                <w:rFonts w:hint="default" w:ascii="Times New Roman" w:hAnsi="Times New Roman" w:eastAsia="宋体" w:cs="Times New Roman"/>
                <w:color w:val="auto"/>
                <w:kern w:val="0"/>
                <w:highlight w:val="none"/>
              </w:rPr>
              <w:t>提供</w:t>
            </w:r>
            <w:r>
              <w:rPr>
                <w:rFonts w:hint="default" w:ascii="Times New Roman" w:hAnsi="Times New Roman" w:eastAsia="宋体" w:cs="Times New Roman"/>
                <w:color w:val="auto"/>
                <w:szCs w:val="22"/>
                <w:highlight w:val="none"/>
              </w:rPr>
              <w:t>，可满足项目生产及生活的用电需求。</w:t>
            </w:r>
          </w:p>
          <w:p w14:paraId="3C82E19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sz w:val="24"/>
                <w:highlight w:val="none"/>
                <w:lang w:val="en-US" w:eastAsia="zh-CN"/>
              </w:rPr>
              <w:t>8</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eastAsia="zh-CN"/>
              </w:rPr>
              <w:t>总平面布置</w:t>
            </w:r>
          </w:p>
          <w:p w14:paraId="1A10F2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lang w:eastAsia="zh-CN"/>
              </w:rPr>
              <w:t>（</w:t>
            </w:r>
            <w:r>
              <w:rPr>
                <w:rFonts w:hint="default" w:ascii="Times New Roman" w:hAnsi="Times New Roman" w:cs="Times New Roman"/>
                <w:bCs/>
                <w:snapToGrid w:val="0"/>
                <w:color w:val="auto"/>
                <w:kern w:val="0"/>
                <w:sz w:val="24"/>
                <w:highlight w:val="none"/>
              </w:rPr>
              <w:t>1）总平面布置原则</w:t>
            </w:r>
          </w:p>
          <w:p w14:paraId="2EED087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rPr>
              <w:t>根据当地自然条件，总平面布置本着流程合理，布置紧凑，节省用地，充分利用地形，减少土方工程量，缩短运输距离，满足防火、卫生、防爆等要求，使之有利生产、方便管理，同时关注全厂总平面布置的整体性，使建筑群体达到统一协调。</w:t>
            </w:r>
          </w:p>
          <w:p w14:paraId="5B9EC96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lang w:eastAsia="zh-CN"/>
              </w:rPr>
              <w:t>（</w:t>
            </w:r>
            <w:r>
              <w:rPr>
                <w:rFonts w:hint="default" w:ascii="Times New Roman" w:hAnsi="Times New Roman" w:cs="Times New Roman"/>
                <w:bCs/>
                <w:snapToGrid w:val="0"/>
                <w:color w:val="auto"/>
                <w:kern w:val="0"/>
                <w:sz w:val="24"/>
                <w:highlight w:val="none"/>
              </w:rPr>
              <w:t>2）总平面布置</w:t>
            </w:r>
          </w:p>
          <w:p w14:paraId="2D12C1A1">
            <w:pPr>
              <w:widowControl/>
              <w:spacing w:line="490" w:lineRule="exact"/>
              <w:ind w:firstLine="480" w:firstLineChars="200"/>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rPr>
              <w:t>本项目选址位于</w:t>
            </w:r>
            <w:r>
              <w:rPr>
                <w:rFonts w:hint="default" w:ascii="Times New Roman" w:hAnsi="Times New Roman" w:cs="Times New Roman"/>
                <w:bCs/>
                <w:snapToGrid w:val="0"/>
                <w:color w:val="auto"/>
                <w:kern w:val="0"/>
                <w:sz w:val="24"/>
                <w:highlight w:val="none"/>
                <w:lang w:eastAsia="zh-CN"/>
              </w:rPr>
              <w:t>黑龙江省</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cs="Times New Roman"/>
                <w:bCs/>
                <w:snapToGrid w:val="0"/>
                <w:color w:val="auto"/>
                <w:kern w:val="0"/>
                <w:sz w:val="24"/>
                <w:highlight w:val="none"/>
              </w:rPr>
              <w:t>。</w:t>
            </w:r>
          </w:p>
          <w:p w14:paraId="5713B1DA">
            <w:pPr>
              <w:widowControl/>
              <w:spacing w:line="490" w:lineRule="exact"/>
              <w:ind w:firstLine="480" w:firstLineChars="200"/>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rPr>
              <w:t>根据厂区地势走向，</w:t>
            </w:r>
            <w:r>
              <w:rPr>
                <w:rFonts w:hint="eastAsia" w:cs="Times New Roman"/>
                <w:bCs/>
                <w:snapToGrid w:val="0"/>
                <w:color w:val="auto"/>
                <w:kern w:val="0"/>
                <w:sz w:val="24"/>
                <w:highlight w:val="none"/>
                <w:lang w:eastAsia="zh-CN"/>
              </w:rPr>
              <w:t>初期雨水收集池</w:t>
            </w:r>
            <w:r>
              <w:rPr>
                <w:rFonts w:hint="default" w:ascii="Times New Roman" w:hAnsi="Times New Roman" w:cs="Times New Roman"/>
                <w:bCs/>
                <w:snapToGrid w:val="0"/>
                <w:color w:val="auto"/>
                <w:kern w:val="0"/>
                <w:sz w:val="24"/>
                <w:highlight w:val="none"/>
              </w:rPr>
              <w:t>位于厂区地势最低处（</w:t>
            </w:r>
            <w:r>
              <w:rPr>
                <w:rFonts w:hint="eastAsia" w:cs="Times New Roman"/>
                <w:bCs/>
                <w:snapToGrid w:val="0"/>
                <w:color w:val="auto"/>
                <w:kern w:val="0"/>
                <w:sz w:val="24"/>
                <w:highlight w:val="none"/>
                <w:lang w:val="en-US" w:eastAsia="zh-CN"/>
              </w:rPr>
              <w:t>西</w:t>
            </w:r>
            <w:r>
              <w:rPr>
                <w:rFonts w:hint="default" w:ascii="Times New Roman" w:hAnsi="Times New Roman" w:cs="Times New Roman"/>
                <w:bCs/>
                <w:snapToGrid w:val="0"/>
                <w:color w:val="auto"/>
                <w:kern w:val="0"/>
                <w:sz w:val="24"/>
                <w:highlight w:val="none"/>
                <w:lang w:eastAsia="zh-CN"/>
              </w:rPr>
              <w:t>北侧</w:t>
            </w:r>
            <w:r>
              <w:rPr>
                <w:rFonts w:hint="default" w:ascii="Times New Roman" w:hAnsi="Times New Roman" w:cs="Times New Roman"/>
                <w:bCs/>
                <w:snapToGrid w:val="0"/>
                <w:color w:val="auto"/>
                <w:kern w:val="0"/>
                <w:sz w:val="24"/>
                <w:highlight w:val="none"/>
              </w:rPr>
              <w:t>）。</w:t>
            </w:r>
          </w:p>
          <w:p w14:paraId="30558AC2">
            <w:pPr>
              <w:widowControl/>
              <w:spacing w:line="490" w:lineRule="exact"/>
              <w:ind w:firstLine="480" w:firstLineChars="200"/>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rPr>
              <w:t>根据国家《工业企业总平面设计规范》的要求，总图布置在满足生产工艺流程的前提下，严格遵循安全、卫生等有关规定，充分利用地形优势，做到功能分区明确合理。</w:t>
            </w:r>
          </w:p>
          <w:p w14:paraId="17B1E377">
            <w:pPr>
              <w:tabs>
                <w:tab w:val="left" w:pos="6480"/>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bCs/>
                <w:snapToGrid w:val="0"/>
                <w:color w:val="auto"/>
                <w:kern w:val="0"/>
                <w:sz w:val="24"/>
                <w:highlight w:val="none"/>
              </w:rPr>
              <w:t>本项目总平面布置图见附图</w:t>
            </w:r>
            <w:r>
              <w:rPr>
                <w:rFonts w:hint="eastAsia" w:ascii="Times New Roman" w:hAnsi="Times New Roman" w:cs="Times New Roman"/>
                <w:bCs/>
                <w:snapToGrid w:val="0"/>
                <w:color w:val="auto"/>
                <w:kern w:val="0"/>
                <w:sz w:val="24"/>
                <w:highlight w:val="none"/>
                <w:lang w:val="en-US" w:eastAsia="zh-CN"/>
              </w:rPr>
              <w:t>5</w:t>
            </w:r>
            <w:r>
              <w:rPr>
                <w:rFonts w:hint="default" w:ascii="Times New Roman" w:hAnsi="Times New Roman" w:cs="Times New Roman"/>
                <w:bCs/>
                <w:snapToGrid w:val="0"/>
                <w:color w:val="auto"/>
                <w:kern w:val="0"/>
                <w:sz w:val="24"/>
                <w:highlight w:val="none"/>
              </w:rPr>
              <w:t>。</w:t>
            </w:r>
          </w:p>
        </w:tc>
      </w:tr>
      <w:tr w14:paraId="38BB2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40" w:type="dxa"/>
            <w:vAlign w:val="center"/>
          </w:tcPr>
          <w:p w14:paraId="029E250C">
            <w:pPr>
              <w:pStyle w:val="27"/>
              <w:adjustRightInd w:val="0"/>
              <w:snapToGrid w:val="0"/>
              <w:spacing w:before="0" w:beforeAutospacing="0" w:after="0" w:afterAutospacing="0"/>
              <w:jc w:val="both"/>
              <w:rPr>
                <w:rFonts w:hint="default" w:ascii="Times New Roman" w:hAnsi="Times New Roman" w:cs="Times New Roman"/>
                <w:color w:val="auto"/>
                <w:kern w:val="2"/>
                <w:szCs w:val="32"/>
                <w:highlight w:val="none"/>
              </w:rPr>
            </w:pPr>
          </w:p>
          <w:p w14:paraId="25458C88">
            <w:pPr>
              <w:pStyle w:val="27"/>
              <w:adjustRightInd w:val="0"/>
              <w:snapToGrid w:val="0"/>
              <w:spacing w:before="0" w:beforeAutospacing="0" w:after="0" w:afterAutospacing="0"/>
              <w:jc w:val="center"/>
              <w:rPr>
                <w:rFonts w:hint="default" w:ascii="Times New Roman" w:hAnsi="Times New Roman" w:cs="Times New Roman"/>
                <w:color w:val="auto"/>
                <w:kern w:val="2"/>
                <w:szCs w:val="32"/>
                <w:highlight w:val="none"/>
              </w:rPr>
            </w:pPr>
          </w:p>
          <w:p w14:paraId="20B3377A">
            <w:pPr>
              <w:pStyle w:val="27"/>
              <w:adjustRightInd w:val="0"/>
              <w:snapToGrid w:val="0"/>
              <w:spacing w:before="0" w:beforeAutospacing="0" w:after="0" w:afterAutospacing="0"/>
              <w:jc w:val="center"/>
              <w:rPr>
                <w:rFonts w:hint="default" w:ascii="Times New Roman" w:hAnsi="Times New Roman" w:cs="Times New Roman"/>
                <w:color w:val="auto"/>
                <w:szCs w:val="24"/>
                <w:highlight w:val="none"/>
              </w:rPr>
            </w:pPr>
            <w:r>
              <w:rPr>
                <w:rFonts w:hint="default" w:ascii="Times New Roman" w:hAnsi="Times New Roman" w:cs="Times New Roman"/>
                <w:color w:val="auto"/>
                <w:kern w:val="2"/>
                <w:szCs w:val="32"/>
                <w:highlight w:val="none"/>
              </w:rPr>
              <w:t>工 艺流 程和 产排 污环 节</w:t>
            </w:r>
          </w:p>
        </w:tc>
        <w:tc>
          <w:tcPr>
            <w:tcW w:w="8144" w:type="dxa"/>
            <w:vAlign w:val="top"/>
          </w:tcPr>
          <w:p w14:paraId="3E83B99D">
            <w:pPr>
              <w:widowControl/>
              <w:spacing w:line="360" w:lineRule="auto"/>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 xml:space="preserve">工艺流程简述： </w:t>
            </w:r>
          </w:p>
          <w:p w14:paraId="6EDFC177">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lang w:val="en-US" w:eastAsia="zh-CN"/>
              </w:rPr>
              <w:t xml:space="preserve">、施工期 </w:t>
            </w:r>
          </w:p>
          <w:p w14:paraId="0D4642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snapToGrid w:val="0"/>
                <w:color w:val="auto"/>
                <w:kern w:val="0"/>
                <w:sz w:val="24"/>
                <w:highlight w:val="none"/>
              </w:rPr>
            </w:pPr>
            <w:r>
              <w:rPr>
                <w:rFonts w:hint="default" w:ascii="Times New Roman" w:hAnsi="Times New Roman" w:eastAsia="宋体" w:cs="Times New Roman"/>
                <w:bCs/>
                <w:snapToGrid w:val="0"/>
                <w:color w:val="auto"/>
                <w:kern w:val="0"/>
                <w:sz w:val="24"/>
                <w:highlight w:val="none"/>
              </w:rPr>
              <w:t>本项目选址于</w:t>
            </w:r>
            <w:r>
              <w:rPr>
                <w:rFonts w:hint="default" w:ascii="Times New Roman" w:hAnsi="Times New Roman" w:cs="Times New Roman"/>
                <w:bCs/>
                <w:snapToGrid w:val="0"/>
                <w:color w:val="auto"/>
                <w:kern w:val="0"/>
                <w:sz w:val="24"/>
                <w:highlight w:val="none"/>
                <w:lang w:eastAsia="zh-CN"/>
              </w:rPr>
              <w:t>黑龙江省</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eastAsia="宋体" w:cs="Times New Roman"/>
                <w:bCs/>
                <w:snapToGrid w:val="0"/>
                <w:color w:val="auto"/>
                <w:kern w:val="0"/>
                <w:sz w:val="24"/>
                <w:highlight w:val="none"/>
              </w:rPr>
              <w:t>，项目选址用地平整，</w:t>
            </w:r>
            <w:r>
              <w:rPr>
                <w:rFonts w:hint="default" w:ascii="Times New Roman" w:hAnsi="Times New Roman" w:eastAsia="宋体" w:cs="Times New Roman"/>
                <w:bCs/>
                <w:snapToGrid w:val="0"/>
                <w:color w:val="auto"/>
                <w:kern w:val="0"/>
                <w:sz w:val="24"/>
                <w:highlight w:val="none"/>
                <w:lang w:eastAsia="zh-CN"/>
              </w:rPr>
              <w:t>无现有建筑需要拆除，</w:t>
            </w:r>
            <w:r>
              <w:rPr>
                <w:rFonts w:hint="default" w:ascii="Times New Roman" w:hAnsi="Times New Roman" w:eastAsia="宋体" w:cs="Times New Roman"/>
                <w:bCs/>
                <w:snapToGrid w:val="0"/>
                <w:color w:val="auto"/>
                <w:kern w:val="0"/>
                <w:sz w:val="24"/>
                <w:highlight w:val="none"/>
              </w:rPr>
              <w:t>使用水源方便，交通十分便利。</w:t>
            </w:r>
          </w:p>
          <w:p w14:paraId="23CF85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snapToGrid w:val="0"/>
                <w:color w:val="auto"/>
                <w:kern w:val="0"/>
                <w:sz w:val="24"/>
                <w:highlight w:val="none"/>
              </w:rPr>
            </w:pPr>
            <w:r>
              <w:rPr>
                <w:rFonts w:hint="default" w:ascii="Times New Roman" w:hAnsi="Times New Roman" w:eastAsia="宋体" w:cs="Times New Roman"/>
                <w:bCs/>
                <w:snapToGrid w:val="0"/>
                <w:color w:val="auto"/>
                <w:kern w:val="0"/>
                <w:sz w:val="24"/>
                <w:highlight w:val="none"/>
              </w:rPr>
              <w:t>施工期主要建设内容为</w:t>
            </w:r>
            <w:r>
              <w:rPr>
                <w:rFonts w:hint="default" w:ascii="Times New Roman" w:hAnsi="Times New Roman" w:eastAsia="宋体" w:cs="Times New Roman"/>
                <w:bCs/>
                <w:snapToGrid w:val="0"/>
                <w:color w:val="auto"/>
                <w:kern w:val="0"/>
                <w:sz w:val="24"/>
                <w:highlight w:val="none"/>
                <w:lang w:eastAsia="zh-CN"/>
              </w:rPr>
              <w:t>储煤场</w:t>
            </w:r>
            <w:r>
              <w:rPr>
                <w:rFonts w:hint="default" w:ascii="Times New Roman" w:hAnsi="Times New Roman" w:eastAsia="宋体" w:cs="Times New Roman"/>
                <w:bCs/>
                <w:snapToGrid w:val="0"/>
                <w:color w:val="auto"/>
                <w:kern w:val="0"/>
                <w:sz w:val="24"/>
                <w:highlight w:val="none"/>
              </w:rPr>
              <w:t>的建设</w:t>
            </w:r>
            <w:r>
              <w:rPr>
                <w:rFonts w:hint="default" w:ascii="Times New Roman" w:hAnsi="Times New Roman" w:cs="Times New Roman"/>
                <w:bCs/>
                <w:snapToGrid w:val="0"/>
                <w:color w:val="auto"/>
                <w:kern w:val="0"/>
                <w:sz w:val="24"/>
                <w:highlight w:val="none"/>
                <w:lang w:eastAsia="zh-CN"/>
              </w:rPr>
              <w:t>、地面硬化</w:t>
            </w:r>
            <w:r>
              <w:rPr>
                <w:rFonts w:hint="default" w:ascii="Times New Roman" w:hAnsi="Times New Roman" w:eastAsia="宋体" w:cs="Times New Roman"/>
                <w:bCs/>
                <w:snapToGrid w:val="0"/>
                <w:color w:val="auto"/>
                <w:kern w:val="0"/>
                <w:sz w:val="24"/>
                <w:highlight w:val="none"/>
              </w:rPr>
              <w:t>以及</w:t>
            </w:r>
            <w:r>
              <w:rPr>
                <w:rFonts w:hint="default" w:ascii="Times New Roman" w:hAnsi="Times New Roman" w:eastAsia="宋体" w:cs="Times New Roman"/>
                <w:bCs/>
                <w:snapToGrid w:val="0"/>
                <w:color w:val="auto"/>
                <w:kern w:val="0"/>
                <w:sz w:val="24"/>
                <w:highlight w:val="none"/>
                <w:lang w:eastAsia="zh-CN"/>
              </w:rPr>
              <w:t>防风抑尘网等</w:t>
            </w:r>
            <w:r>
              <w:rPr>
                <w:rFonts w:hint="default" w:ascii="Times New Roman" w:hAnsi="Times New Roman" w:eastAsia="宋体" w:cs="Times New Roman"/>
                <w:bCs/>
                <w:snapToGrid w:val="0"/>
                <w:color w:val="auto"/>
                <w:kern w:val="0"/>
                <w:sz w:val="24"/>
                <w:highlight w:val="none"/>
              </w:rPr>
              <w:t>的安装。其工艺流程见图2-</w:t>
            </w:r>
            <w:r>
              <w:rPr>
                <w:rFonts w:hint="eastAsia" w:cs="Times New Roman"/>
                <w:bCs/>
                <w:snapToGrid w:val="0"/>
                <w:color w:val="auto"/>
                <w:kern w:val="0"/>
                <w:sz w:val="24"/>
                <w:highlight w:val="none"/>
                <w:lang w:val="en-US" w:eastAsia="zh-CN"/>
              </w:rPr>
              <w:t>3</w:t>
            </w:r>
            <w:r>
              <w:rPr>
                <w:rFonts w:hint="default" w:ascii="Times New Roman" w:hAnsi="Times New Roman" w:eastAsia="宋体" w:cs="Times New Roman"/>
                <w:bCs/>
                <w:snapToGrid w:val="0"/>
                <w:color w:val="auto"/>
                <w:kern w:val="0"/>
                <w:sz w:val="24"/>
                <w:highlight w:val="none"/>
              </w:rPr>
              <w:t>。</w:t>
            </w:r>
          </w:p>
          <w:p w14:paraId="74A288C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4714875" cy="1367790"/>
                  <wp:effectExtent l="0" t="0" r="9525" b="3810"/>
                  <wp:docPr id="1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
                          <pic:cNvPicPr>
                            <a:picLocks noChangeAspect="1"/>
                          </pic:cNvPicPr>
                        </pic:nvPicPr>
                        <pic:blipFill>
                          <a:blip r:embed="rId15"/>
                          <a:srcRect b="8835"/>
                          <a:stretch>
                            <a:fillRect/>
                          </a:stretch>
                        </pic:blipFill>
                        <pic:spPr>
                          <a:xfrm>
                            <a:off x="0" y="0"/>
                            <a:ext cx="4714875" cy="1367790"/>
                          </a:xfrm>
                          <a:prstGeom prst="rect">
                            <a:avLst/>
                          </a:prstGeom>
                          <a:noFill/>
                          <a:ln>
                            <a:noFill/>
                          </a:ln>
                        </pic:spPr>
                      </pic:pic>
                    </a:graphicData>
                  </a:graphic>
                </wp:inline>
              </w:drawing>
            </w:r>
          </w:p>
          <w:p w14:paraId="2C8F1B21">
            <w:pPr>
              <w:tabs>
                <w:tab w:val="left" w:pos="6480"/>
              </w:tabs>
              <w:spacing w:line="360" w:lineRule="auto"/>
              <w:ind w:firstLine="422" w:firstLineChars="20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w:t>
            </w: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w:t>
            </w:r>
            <w:r>
              <w:rPr>
                <w:rFonts w:hint="default" w:ascii="Times New Roman" w:hAnsi="Times New Roman"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 xml:space="preserve"> 施工期工艺流程及产排污示意图</w:t>
            </w:r>
          </w:p>
          <w:p w14:paraId="152F3761">
            <w:pPr>
              <w:keepNext w:val="0"/>
              <w:keepLines w:val="0"/>
              <w:pageBreakBefore w:val="0"/>
              <w:widowControl w:val="0"/>
              <w:tabs>
                <w:tab w:val="left" w:pos="6480"/>
              </w:tabs>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color w:val="auto"/>
                <w:sz w:val="24"/>
                <w:highlight w:val="none"/>
              </w:rPr>
            </w:pPr>
            <w:r>
              <w:rPr>
                <w:rFonts w:hint="default" w:ascii="Times New Roman" w:hAnsi="Times New Roman" w:cs="Times New Roman"/>
                <w:color w:val="auto"/>
                <w:sz w:val="24"/>
                <w:highlight w:val="none"/>
              </w:rPr>
              <w:t>本项目为</w:t>
            </w:r>
            <w:r>
              <w:rPr>
                <w:rFonts w:hint="default" w:ascii="Times New Roman" w:hAnsi="Times New Roman" w:cs="Times New Roman"/>
                <w:color w:val="auto"/>
                <w:sz w:val="24"/>
                <w:highlight w:val="none"/>
                <w:lang w:eastAsia="zh-CN"/>
              </w:rPr>
              <w:t>储煤场建设</w:t>
            </w:r>
            <w:r>
              <w:rPr>
                <w:rFonts w:hint="default" w:ascii="Times New Roman" w:hAnsi="Times New Roman" w:cs="Times New Roman"/>
                <w:color w:val="auto"/>
                <w:sz w:val="24"/>
                <w:highlight w:val="none"/>
              </w:rPr>
              <w:t>项目，项目施工期约</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个月，施工过程中产生的噪声、粉尘、废水、固废等会对周围环境产生一定影响。</w:t>
            </w:r>
          </w:p>
          <w:p w14:paraId="4B22BC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kern w:val="0"/>
                <w:sz w:val="24"/>
                <w:highlight w:val="none"/>
                <w:lang w:eastAsia="zh-CN"/>
              </w:rPr>
            </w:pPr>
            <w:r>
              <w:rPr>
                <w:rFonts w:hint="default" w:ascii="Times New Roman" w:hAnsi="Times New Roman" w:cs="Times New Roman"/>
                <w:b/>
                <w:bCs/>
                <w:color w:val="auto"/>
                <w:kern w:val="0"/>
                <w:sz w:val="24"/>
                <w:highlight w:val="none"/>
                <w:lang w:val="en-US" w:eastAsia="zh-CN"/>
              </w:rPr>
              <w:t>2、</w:t>
            </w:r>
            <w:r>
              <w:rPr>
                <w:rFonts w:hint="default" w:ascii="Times New Roman" w:hAnsi="Times New Roman" w:cs="Times New Roman"/>
                <w:b/>
                <w:bCs/>
                <w:color w:val="auto"/>
                <w:kern w:val="0"/>
                <w:sz w:val="24"/>
                <w:highlight w:val="none"/>
                <w:lang w:eastAsia="zh-CN"/>
              </w:rPr>
              <w:t>营运期</w:t>
            </w:r>
          </w:p>
          <w:p w14:paraId="2FC6E8E6">
            <w:pPr>
              <w:pStyle w:val="2"/>
              <w:ind w:left="0" w:firstLine="0"/>
              <w:jc w:val="center"/>
              <w:rPr>
                <w:rFonts w:hint="default" w:ascii="Times New Roman" w:hAnsi="Times New Roman" w:eastAsia="黑体" w:cs="Times New Roman"/>
                <w:color w:val="auto"/>
                <w:highlight w:val="none"/>
                <w:lang w:eastAsia="zh-CN"/>
              </w:rPr>
            </w:pPr>
            <w:r>
              <w:rPr>
                <w:color w:val="auto"/>
                <w:highlight w:val="none"/>
              </w:rPr>
              <w:drawing>
                <wp:inline distT="0" distB="0" distL="114300" distR="114300">
                  <wp:extent cx="3749675" cy="3587750"/>
                  <wp:effectExtent l="0" t="0" r="3175" b="1270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6"/>
                          <a:srcRect l="14317" t="9183" r="10324" b="7615"/>
                          <a:stretch>
                            <a:fillRect/>
                          </a:stretch>
                        </pic:blipFill>
                        <pic:spPr>
                          <a:xfrm>
                            <a:off x="0" y="0"/>
                            <a:ext cx="3749675" cy="3587750"/>
                          </a:xfrm>
                          <a:prstGeom prst="rect">
                            <a:avLst/>
                          </a:prstGeom>
                          <a:noFill/>
                          <a:ln>
                            <a:noFill/>
                          </a:ln>
                        </pic:spPr>
                      </pic:pic>
                    </a:graphicData>
                  </a:graphic>
                </wp:inline>
              </w:drawing>
            </w:r>
          </w:p>
          <w:p w14:paraId="03FD6C38">
            <w:pPr>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kern w:val="0"/>
                <w:sz w:val="21"/>
                <w:szCs w:val="21"/>
                <w:highlight w:val="none"/>
              </w:rPr>
              <w:t>图2</w:t>
            </w:r>
            <w:r>
              <w:rPr>
                <w:rFonts w:hint="default" w:ascii="Times New Roman" w:hAnsi="Times New Roman" w:cs="Times New Roman"/>
                <w:b/>
                <w:bCs/>
                <w:color w:val="auto"/>
                <w:kern w:val="0"/>
                <w:sz w:val="21"/>
                <w:szCs w:val="21"/>
                <w:highlight w:val="none"/>
                <w:lang w:val="en-US" w:eastAsia="zh-CN"/>
              </w:rPr>
              <w:t>-4</w:t>
            </w:r>
            <w:r>
              <w:rPr>
                <w:rFonts w:hint="default" w:ascii="Times New Roman" w:hAnsi="Times New Roman" w:cs="Times New Roman"/>
                <w:b/>
                <w:bCs/>
                <w:color w:val="auto"/>
                <w:kern w:val="0"/>
                <w:sz w:val="21"/>
                <w:szCs w:val="21"/>
                <w:highlight w:val="none"/>
              </w:rPr>
              <w:t xml:space="preserve"> 项目营运期工艺流程</w:t>
            </w:r>
            <w:r>
              <w:rPr>
                <w:rFonts w:hint="default" w:ascii="Times New Roman" w:hAnsi="Times New Roman" w:cs="Times New Roman"/>
                <w:b/>
                <w:bCs/>
                <w:color w:val="auto"/>
                <w:kern w:val="0"/>
                <w:sz w:val="21"/>
                <w:szCs w:val="21"/>
                <w:highlight w:val="none"/>
                <w:lang w:eastAsia="zh-CN"/>
              </w:rPr>
              <w:t>及产排污节点</w:t>
            </w:r>
            <w:r>
              <w:rPr>
                <w:rFonts w:hint="default" w:ascii="Times New Roman" w:hAnsi="Times New Roman" w:cs="Times New Roman"/>
                <w:b/>
                <w:bCs/>
                <w:color w:val="auto"/>
                <w:kern w:val="0"/>
                <w:sz w:val="21"/>
                <w:szCs w:val="21"/>
                <w:highlight w:val="none"/>
              </w:rPr>
              <w:t>图</w:t>
            </w:r>
          </w:p>
          <w:p w14:paraId="1978B878">
            <w:pPr>
              <w:pStyle w:val="2"/>
              <w:rPr>
                <w:rFonts w:hint="default" w:ascii="Times New Roman" w:hAnsi="Times New Roman" w:eastAsia="宋体" w:cs="Times New Roman"/>
                <w:color w:val="auto"/>
                <w:kern w:val="0"/>
                <w:sz w:val="24"/>
                <w:szCs w:val="24"/>
                <w:highlight w:val="none"/>
              </w:rPr>
            </w:pPr>
            <w:bookmarkStart w:id="12" w:name="_Toc26617"/>
            <w:r>
              <w:rPr>
                <w:rFonts w:hint="default" w:ascii="Times New Roman" w:hAnsi="Times New Roman" w:eastAsia="宋体" w:cs="Times New Roman"/>
                <w:color w:val="auto"/>
                <w:kern w:val="0"/>
                <w:sz w:val="24"/>
                <w:szCs w:val="24"/>
                <w:highlight w:val="none"/>
              </w:rPr>
              <w:t>营运期工艺流程简述：</w:t>
            </w:r>
            <w:bookmarkEnd w:id="12"/>
          </w:p>
          <w:p w14:paraId="7159ADC0">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cs="Times New Roman"/>
                <w:color w:val="auto"/>
                <w:sz w:val="24"/>
                <w:szCs w:val="20"/>
                <w:highlight w:val="none"/>
                <w:lang w:eastAsia="zh-CN"/>
              </w:rPr>
            </w:pPr>
            <w:r>
              <w:rPr>
                <w:rFonts w:hint="default" w:ascii="Times New Roman" w:hAnsi="Times New Roman" w:eastAsia="宋体" w:cs="Times New Roman"/>
                <w:color w:val="auto"/>
                <w:sz w:val="24"/>
                <w:highlight w:val="none"/>
                <w:lang w:val="en-US" w:eastAsia="zh-CN"/>
              </w:rPr>
              <w:t>（1）运进：</w:t>
            </w:r>
            <w:r>
              <w:rPr>
                <w:rFonts w:hint="default" w:ascii="Times New Roman" w:hAnsi="Times New Roman" w:eastAsia="宋体" w:cs="Times New Roman"/>
                <w:snapToGrid w:val="0"/>
                <w:color w:val="auto"/>
                <w:kern w:val="0"/>
                <w:sz w:val="24"/>
                <w:highlight w:val="none"/>
                <w:lang w:val="en-US" w:eastAsia="zh-CN" w:bidi="ar"/>
              </w:rPr>
              <w:t>原煤（煤炭热值不同）由</w:t>
            </w:r>
            <w:r>
              <w:rPr>
                <w:rFonts w:hint="default" w:ascii="Times New Roman" w:hAnsi="Times New Roman" w:cs="Times New Roman"/>
                <w:color w:val="auto"/>
                <w:sz w:val="24"/>
                <w:szCs w:val="20"/>
                <w:highlight w:val="none"/>
                <w:lang w:eastAsia="zh-CN"/>
              </w:rPr>
              <w:t>周围各煤矿提供货车直接运输到厂内，货车顶部覆盖苫布。对厂区道路硬化并派专人管理，经常维护以保持良好的路面状况；专人清扫抛洒在道路上的散状物料，对道路经常洒水可起到抑尘作用。</w:t>
            </w:r>
          </w:p>
          <w:p w14:paraId="2D83C6C9">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（2）称重：</w:t>
            </w:r>
            <w:r>
              <w:rPr>
                <w:rFonts w:hint="default"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不设置</w:t>
            </w:r>
            <w:r>
              <w:rPr>
                <w:rFonts w:hint="default" w:ascii="Times New Roman" w:hAnsi="Times New Roman" w:eastAsia="宋体" w:cs="Times New Roman"/>
                <w:color w:val="auto"/>
                <w:sz w:val="24"/>
                <w:highlight w:val="none"/>
                <w:lang w:val="en-US" w:eastAsia="zh-CN"/>
              </w:rPr>
              <w:t>设置</w:t>
            </w:r>
            <w:r>
              <w:rPr>
                <w:rFonts w:hint="default" w:ascii="Times New Roman" w:hAnsi="Times New Roman" w:cs="Times New Roman"/>
                <w:color w:val="auto"/>
                <w:sz w:val="24"/>
                <w:highlight w:val="none"/>
                <w:lang w:val="en-US" w:eastAsia="zh-CN"/>
              </w:rPr>
              <w:t>汽车衡</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车辆</w:t>
            </w:r>
            <w:r>
              <w:rPr>
                <w:rFonts w:hint="eastAsia" w:cs="Times New Roman"/>
                <w:color w:val="auto"/>
                <w:sz w:val="24"/>
                <w:highlight w:val="none"/>
                <w:lang w:val="en-US" w:eastAsia="zh-CN"/>
              </w:rPr>
              <w:t>依托</w:t>
            </w:r>
            <w:r>
              <w:rPr>
                <w:rFonts w:hint="default" w:ascii="Times New Roman" w:hAnsi="Times New Roman" w:eastAsia="宋体" w:cs="Times New Roman"/>
                <w:color w:val="auto"/>
                <w:sz w:val="24"/>
                <w:highlight w:val="none"/>
                <w:lang w:val="en-US" w:eastAsia="zh-CN"/>
              </w:rPr>
              <w:t>厂区</w:t>
            </w:r>
            <w:r>
              <w:rPr>
                <w:rFonts w:hint="default" w:ascii="Times New Roman" w:hAnsi="Times New Roman" w:cs="Times New Roman"/>
                <w:color w:val="auto"/>
                <w:sz w:val="24"/>
                <w:highlight w:val="none"/>
                <w:lang w:val="en-US" w:eastAsia="zh-CN"/>
              </w:rPr>
              <w:t>东侧黑龙江腾邺贸易有限公司汽车衡</w:t>
            </w:r>
            <w:r>
              <w:rPr>
                <w:rFonts w:hint="default" w:ascii="Times New Roman" w:hAnsi="Times New Roman" w:eastAsia="宋体" w:cs="Times New Roman"/>
                <w:color w:val="auto"/>
                <w:sz w:val="24"/>
                <w:highlight w:val="none"/>
                <w:lang w:val="en-US" w:eastAsia="zh-CN"/>
              </w:rPr>
              <w:t>称重后进厂。</w:t>
            </w:r>
          </w:p>
          <w:p w14:paraId="1442EF86">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（3）卸煤：货车自动卸煤，在卸煤时同时进行洒水，卸完后空车驶</w:t>
            </w:r>
            <w:r>
              <w:rPr>
                <w:rFonts w:hint="default" w:ascii="Times New Roman" w:hAnsi="Times New Roman" w:cs="Times New Roman"/>
                <w:color w:val="auto"/>
                <w:sz w:val="24"/>
                <w:highlight w:val="none"/>
                <w:lang w:val="en-US" w:eastAsia="zh-CN"/>
              </w:rPr>
              <w:t>入车库</w:t>
            </w:r>
            <w:r>
              <w:rPr>
                <w:rFonts w:hint="default" w:ascii="Times New Roman" w:hAnsi="Times New Roman" w:eastAsia="宋体" w:cs="Times New Roman"/>
                <w:color w:val="auto"/>
                <w:sz w:val="24"/>
                <w:highlight w:val="none"/>
                <w:lang w:val="en-US" w:eastAsia="zh-CN"/>
              </w:rPr>
              <w:t>。</w:t>
            </w:r>
          </w:p>
          <w:p w14:paraId="508C6126">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w:t>
            </w:r>
            <w:r>
              <w:rPr>
                <w:rFonts w:hint="eastAsia" w:cs="Times New Roman"/>
                <w:color w:val="auto"/>
                <w:sz w:val="24"/>
                <w:highlight w:val="none"/>
                <w:lang w:val="en-US" w:eastAsia="zh-CN"/>
              </w:rPr>
              <w:t>储煤：</w:t>
            </w:r>
            <w:r>
              <w:rPr>
                <w:rFonts w:hint="default" w:ascii="Times New Roman" w:hAnsi="Times New Roman" w:eastAsia="宋体" w:cs="Times New Roman"/>
                <w:color w:val="auto"/>
                <w:sz w:val="24"/>
                <w:highlight w:val="none"/>
                <w:lang w:val="en-US" w:eastAsia="zh-CN"/>
              </w:rPr>
              <w:t>煤炭采用储煤场储存，在储煤场四周设置防风抑尘网并</w:t>
            </w:r>
            <w:r>
              <w:rPr>
                <w:rFonts w:hint="eastAsia" w:cs="Times New Roman"/>
                <w:color w:val="auto"/>
                <w:sz w:val="24"/>
                <w:highlight w:val="none"/>
                <w:lang w:val="en-US" w:eastAsia="zh-CN"/>
              </w:rPr>
              <w:t>在堆场</w:t>
            </w:r>
            <w:r>
              <w:rPr>
                <w:rFonts w:hint="default" w:ascii="Times New Roman" w:hAnsi="Times New Roman" w:eastAsia="宋体" w:cs="Times New Roman"/>
                <w:color w:val="auto"/>
                <w:sz w:val="24"/>
                <w:highlight w:val="none"/>
                <w:lang w:val="en-US" w:eastAsia="zh-CN"/>
              </w:rPr>
              <w:t>顶部</w:t>
            </w:r>
            <w:r>
              <w:rPr>
                <w:rFonts w:hint="default" w:ascii="Times New Roman" w:hAnsi="Times New Roman" w:cs="Times New Roman"/>
                <w:color w:val="auto"/>
                <w:sz w:val="24"/>
                <w:highlight w:val="none"/>
                <w:lang w:val="en-US" w:eastAsia="zh-CN"/>
              </w:rPr>
              <w:t>苫盖苫布</w:t>
            </w:r>
            <w:r>
              <w:rPr>
                <w:rFonts w:hint="default" w:ascii="Times New Roman" w:hAnsi="Times New Roman" w:eastAsia="宋体" w:cs="Times New Roman"/>
                <w:color w:val="auto"/>
                <w:sz w:val="24"/>
                <w:highlight w:val="none"/>
                <w:lang w:val="en-US" w:eastAsia="zh-CN"/>
              </w:rPr>
              <w:t>，洒水</w:t>
            </w:r>
            <w:r>
              <w:rPr>
                <w:rFonts w:hint="default" w:ascii="Times New Roman" w:hAnsi="Times New Roman" w:cs="Times New Roman"/>
                <w:color w:val="auto"/>
                <w:sz w:val="24"/>
                <w:highlight w:val="none"/>
                <w:lang w:val="en-US" w:eastAsia="zh-CN"/>
              </w:rPr>
              <w:t>范围</w:t>
            </w:r>
            <w:r>
              <w:rPr>
                <w:rFonts w:hint="default" w:ascii="Times New Roman" w:hAnsi="Times New Roman" w:eastAsia="宋体" w:cs="Times New Roman"/>
                <w:color w:val="auto"/>
                <w:sz w:val="24"/>
                <w:highlight w:val="none"/>
                <w:lang w:val="en-US" w:eastAsia="zh-CN"/>
              </w:rPr>
              <w:t>全面覆盖储煤场。</w:t>
            </w:r>
          </w:p>
          <w:p w14:paraId="7445907A">
            <w:pPr>
              <w:keepNext w:val="0"/>
              <w:keepLines w:val="0"/>
              <w:pageBreakBefore w:val="0"/>
              <w:widowControl/>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）运出：</w:t>
            </w:r>
            <w:r>
              <w:rPr>
                <w:rFonts w:hint="default" w:ascii="Times New Roman" w:hAnsi="Times New Roman" w:cs="Times New Roman"/>
                <w:color w:val="auto"/>
                <w:sz w:val="24"/>
                <w:highlight w:val="none"/>
              </w:rPr>
              <w:t>在装载过程同时进行洒水，然后采用</w:t>
            </w:r>
            <w:r>
              <w:rPr>
                <w:rFonts w:hint="default" w:ascii="Times New Roman" w:hAnsi="Times New Roman" w:cs="Times New Roman"/>
                <w:color w:val="auto"/>
                <w:sz w:val="24"/>
                <w:highlight w:val="none"/>
                <w:lang w:eastAsia="zh-CN"/>
              </w:rPr>
              <w:t>货车</w:t>
            </w:r>
            <w:r>
              <w:rPr>
                <w:rFonts w:hint="default" w:ascii="Times New Roman" w:hAnsi="Times New Roman" w:cs="Times New Roman"/>
                <w:color w:val="auto"/>
                <w:sz w:val="24"/>
                <w:highlight w:val="none"/>
              </w:rPr>
              <w:t>运输</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eastAsia="zh-CN"/>
              </w:rPr>
              <w:t>货车</w:t>
            </w:r>
            <w:r>
              <w:rPr>
                <w:rFonts w:hint="default" w:ascii="Times New Roman" w:hAnsi="Times New Roman" w:cs="Times New Roman"/>
                <w:color w:val="auto"/>
                <w:sz w:val="24"/>
                <w:highlight w:val="none"/>
              </w:rPr>
              <w:t>顶部覆盖</w:t>
            </w:r>
            <w:r>
              <w:rPr>
                <w:rFonts w:hint="default" w:ascii="Times New Roman" w:hAnsi="Times New Roman" w:cs="Times New Roman"/>
                <w:color w:val="auto"/>
                <w:sz w:val="24"/>
                <w:highlight w:val="none"/>
                <w:lang w:eastAsia="zh-CN"/>
              </w:rPr>
              <w:t>苫布，</w:t>
            </w:r>
            <w:r>
              <w:rPr>
                <w:rFonts w:hint="default" w:ascii="Times New Roman" w:hAnsi="Times New Roman" w:cs="Times New Roman"/>
                <w:color w:val="auto"/>
                <w:sz w:val="24"/>
                <w:highlight w:val="none"/>
              </w:rPr>
              <w:t>按序</w:t>
            </w:r>
            <w:r>
              <w:rPr>
                <w:rFonts w:hint="default" w:ascii="Times New Roman" w:hAnsi="Times New Roman" w:cs="Times New Roman"/>
                <w:color w:val="auto"/>
                <w:sz w:val="24"/>
                <w:highlight w:val="none"/>
                <w:lang w:eastAsia="zh-CN"/>
              </w:rPr>
              <w:t>驶出</w:t>
            </w:r>
            <w:r>
              <w:rPr>
                <w:rFonts w:hint="default" w:ascii="Times New Roman" w:hAnsi="Times New Roman" w:cs="Times New Roman"/>
                <w:color w:val="auto"/>
                <w:sz w:val="24"/>
                <w:highlight w:val="none"/>
              </w:rPr>
              <w:t>场外</w:t>
            </w:r>
            <w:r>
              <w:rPr>
                <w:rFonts w:hint="default" w:ascii="Times New Roman" w:hAnsi="Times New Roman" w:cs="Times New Roman"/>
                <w:color w:val="auto"/>
                <w:sz w:val="24"/>
                <w:highlight w:val="none"/>
                <w:lang w:eastAsia="zh-CN"/>
              </w:rPr>
              <w:t>。通过</w:t>
            </w:r>
            <w:r>
              <w:rPr>
                <w:rFonts w:hint="default" w:ascii="Times New Roman" w:hAnsi="Times New Roman" w:eastAsia="宋体" w:cs="Times New Roman"/>
                <w:color w:val="auto"/>
                <w:sz w:val="24"/>
                <w:highlight w:val="none"/>
                <w:lang w:val="en-US" w:eastAsia="zh-CN"/>
              </w:rPr>
              <w:t>厂区</w:t>
            </w:r>
            <w:r>
              <w:rPr>
                <w:rFonts w:hint="default" w:ascii="Times New Roman" w:hAnsi="Times New Roman" w:cs="Times New Roman"/>
                <w:color w:val="auto"/>
                <w:sz w:val="24"/>
                <w:highlight w:val="none"/>
                <w:lang w:val="en-US" w:eastAsia="zh-CN"/>
              </w:rPr>
              <w:t>东侧黑龙江腾邺贸易有限公司汽车衡</w:t>
            </w:r>
            <w:r>
              <w:rPr>
                <w:rFonts w:hint="default" w:ascii="Times New Roman" w:hAnsi="Times New Roman" w:eastAsia="宋体" w:cs="Times New Roman"/>
                <w:color w:val="auto"/>
                <w:sz w:val="24"/>
                <w:highlight w:val="none"/>
                <w:lang w:val="en-US" w:eastAsia="zh-CN"/>
              </w:rPr>
              <w:t>称重后运出，运输全部采用公路运输。</w:t>
            </w:r>
          </w:p>
          <w:p w14:paraId="0AE75218">
            <w:pPr>
              <w:pStyle w:val="2"/>
              <w:spacing w:line="0" w:lineRule="atLeast"/>
              <w:ind w:left="431" w:hanging="431"/>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表2-</w:t>
            </w:r>
            <w:r>
              <w:rPr>
                <w:rFonts w:hint="eastAsia"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eastAsia="zh-CN"/>
              </w:rPr>
              <w:t xml:space="preserve"> 本项目主要产污</w:t>
            </w:r>
            <w:r>
              <w:rPr>
                <w:rFonts w:hint="default" w:ascii="Times New Roman" w:hAnsi="Times New Roman" w:eastAsia="宋体" w:cs="Times New Roman"/>
                <w:color w:val="auto"/>
                <w:sz w:val="21"/>
                <w:szCs w:val="21"/>
                <w:highlight w:val="none"/>
                <w:lang w:val="en-US" w:eastAsia="zh-CN"/>
              </w:rPr>
              <w:t>环节和污染因子汇总表</w:t>
            </w:r>
          </w:p>
          <w:tbl>
            <w:tblPr>
              <w:tblStyle w:val="31"/>
              <w:tblW w:w="8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704"/>
              <w:gridCol w:w="661"/>
              <w:gridCol w:w="1125"/>
              <w:gridCol w:w="3957"/>
              <w:gridCol w:w="863"/>
            </w:tblGrid>
            <w:tr w14:paraId="4CB5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6" w:type="dxa"/>
                  <w:tcBorders>
                    <w:top w:val="single" w:color="auto" w:sz="12" w:space="0"/>
                    <w:left w:val="nil"/>
                  </w:tcBorders>
                  <w:noWrap w:val="0"/>
                  <w:vAlign w:val="center"/>
                </w:tcPr>
                <w:p w14:paraId="25603A8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项目</w:t>
                  </w:r>
                </w:p>
              </w:tc>
              <w:tc>
                <w:tcPr>
                  <w:tcW w:w="1365" w:type="dxa"/>
                  <w:gridSpan w:val="2"/>
                  <w:tcBorders>
                    <w:top w:val="single" w:color="auto" w:sz="12" w:space="0"/>
                  </w:tcBorders>
                  <w:noWrap w:val="0"/>
                  <w:vAlign w:val="center"/>
                </w:tcPr>
                <w:p w14:paraId="41213F61">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产污环节</w:t>
                  </w:r>
                </w:p>
              </w:tc>
              <w:tc>
                <w:tcPr>
                  <w:tcW w:w="1125" w:type="dxa"/>
                  <w:tcBorders>
                    <w:top w:val="single" w:color="auto" w:sz="12" w:space="0"/>
                  </w:tcBorders>
                  <w:noWrap w:val="0"/>
                  <w:vAlign w:val="center"/>
                </w:tcPr>
                <w:p w14:paraId="138F9CE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主要污染因子</w:t>
                  </w:r>
                </w:p>
              </w:tc>
              <w:tc>
                <w:tcPr>
                  <w:tcW w:w="3957" w:type="dxa"/>
                  <w:tcBorders>
                    <w:top w:val="single" w:color="auto" w:sz="12" w:space="0"/>
                  </w:tcBorders>
                  <w:noWrap w:val="0"/>
                  <w:vAlign w:val="center"/>
                </w:tcPr>
                <w:p w14:paraId="496BBE0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处理措施</w:t>
                  </w:r>
                </w:p>
              </w:tc>
              <w:tc>
                <w:tcPr>
                  <w:tcW w:w="863" w:type="dxa"/>
                  <w:tcBorders>
                    <w:top w:val="single" w:color="auto" w:sz="12" w:space="0"/>
                    <w:right w:val="nil"/>
                  </w:tcBorders>
                  <w:noWrap w:val="0"/>
                  <w:vAlign w:val="center"/>
                </w:tcPr>
                <w:p w14:paraId="4728625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排放去向</w:t>
                  </w:r>
                </w:p>
              </w:tc>
            </w:tr>
            <w:tr w14:paraId="5383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6" w:type="dxa"/>
                  <w:vMerge w:val="restart"/>
                  <w:tcBorders>
                    <w:left w:val="nil"/>
                  </w:tcBorders>
                  <w:noWrap w:val="0"/>
                  <w:vAlign w:val="center"/>
                </w:tcPr>
                <w:p w14:paraId="6AA8BA77">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704" w:type="dxa"/>
                  <w:vMerge w:val="restart"/>
                  <w:noWrap w:val="0"/>
                  <w:vAlign w:val="center"/>
                </w:tcPr>
                <w:p w14:paraId="382B6D06">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无组织排放</w:t>
                  </w:r>
                </w:p>
              </w:tc>
              <w:tc>
                <w:tcPr>
                  <w:tcW w:w="661" w:type="dxa"/>
                  <w:noWrap w:val="0"/>
                  <w:vAlign w:val="center"/>
                </w:tcPr>
                <w:p w14:paraId="1D5CE969">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装卸扬尘</w:t>
                  </w:r>
                </w:p>
              </w:tc>
              <w:tc>
                <w:tcPr>
                  <w:tcW w:w="1125" w:type="dxa"/>
                  <w:noWrap w:val="0"/>
                  <w:vAlign w:val="center"/>
                </w:tcPr>
                <w:p w14:paraId="00EE7D7A">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3957" w:type="dxa"/>
                  <w:noWrap w:val="0"/>
                  <w:vAlign w:val="center"/>
                </w:tcPr>
                <w:p w14:paraId="29D2FADD">
                  <w:pPr>
                    <w:pStyle w:val="6"/>
                    <w:spacing w:line="20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洒水降尘，装卸过程在防风抑尘网内进行</w:t>
                  </w:r>
                </w:p>
              </w:tc>
              <w:tc>
                <w:tcPr>
                  <w:tcW w:w="863" w:type="dxa"/>
                  <w:vMerge w:val="restart"/>
                  <w:tcBorders>
                    <w:right w:val="nil"/>
                  </w:tcBorders>
                  <w:noWrap w:val="0"/>
                  <w:vAlign w:val="center"/>
                </w:tcPr>
                <w:p w14:paraId="41EB294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无组织排放</w:t>
                  </w:r>
                </w:p>
              </w:tc>
            </w:tr>
            <w:tr w14:paraId="2ABC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6" w:type="dxa"/>
                  <w:vMerge w:val="continue"/>
                  <w:tcBorders>
                    <w:left w:val="nil"/>
                  </w:tcBorders>
                  <w:noWrap w:val="0"/>
                  <w:vAlign w:val="center"/>
                </w:tcPr>
                <w:p w14:paraId="225BD115">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704" w:type="dxa"/>
                  <w:vMerge w:val="continue"/>
                  <w:noWrap w:val="0"/>
                  <w:vAlign w:val="center"/>
                </w:tcPr>
                <w:p w14:paraId="64BAF8DC">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661" w:type="dxa"/>
                  <w:noWrap w:val="0"/>
                  <w:vAlign w:val="center"/>
                </w:tcPr>
                <w:p w14:paraId="30430903">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堆场粉尘</w:t>
                  </w:r>
                </w:p>
              </w:tc>
              <w:tc>
                <w:tcPr>
                  <w:tcW w:w="1125" w:type="dxa"/>
                  <w:shd w:val="clear" w:color="auto" w:fill="auto"/>
                  <w:noWrap w:val="0"/>
                  <w:vAlign w:val="center"/>
                </w:tcPr>
                <w:p w14:paraId="2935E38B">
                  <w:pPr>
                    <w:pStyle w:val="30"/>
                    <w:spacing w:before="0" w:after="0" w:line="240" w:lineRule="auto"/>
                    <w:ind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颗粒物</w:t>
                  </w:r>
                </w:p>
              </w:tc>
              <w:tc>
                <w:tcPr>
                  <w:tcW w:w="3957" w:type="dxa"/>
                  <w:shd w:val="clear" w:color="auto" w:fill="auto"/>
                  <w:noWrap w:val="0"/>
                  <w:vAlign w:val="center"/>
                </w:tcPr>
                <w:p w14:paraId="4EA6ED09">
                  <w:pPr>
                    <w:pStyle w:val="6"/>
                    <w:spacing w:line="20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洒水降尘，</w:t>
                  </w:r>
                  <w:r>
                    <w:rPr>
                      <w:rFonts w:hint="default" w:ascii="Times New Roman" w:hAnsi="Times New Roman" w:eastAsia="宋体" w:cs="Times New Roman"/>
                      <w:color w:val="auto"/>
                      <w:sz w:val="21"/>
                      <w:szCs w:val="21"/>
                      <w:highlight w:val="none"/>
                      <w:lang w:val="en-US" w:eastAsia="zh-CN"/>
                    </w:rPr>
                    <w:t>四周设置防风抑尘网并在堆场顶部苫盖苫布</w:t>
                  </w:r>
                </w:p>
              </w:tc>
              <w:tc>
                <w:tcPr>
                  <w:tcW w:w="863" w:type="dxa"/>
                  <w:vMerge w:val="continue"/>
                  <w:tcBorders>
                    <w:right w:val="nil"/>
                  </w:tcBorders>
                  <w:noWrap w:val="0"/>
                  <w:vAlign w:val="center"/>
                </w:tcPr>
                <w:p w14:paraId="63E47263">
                  <w:pPr>
                    <w:jc w:val="center"/>
                    <w:rPr>
                      <w:rFonts w:hint="default" w:ascii="Times New Roman" w:hAnsi="Times New Roman" w:eastAsia="宋体" w:cs="Times New Roman"/>
                      <w:color w:val="auto"/>
                      <w:sz w:val="21"/>
                      <w:szCs w:val="21"/>
                      <w:highlight w:val="none"/>
                    </w:rPr>
                  </w:pPr>
                </w:p>
              </w:tc>
            </w:tr>
            <w:tr w14:paraId="2C6B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6" w:type="dxa"/>
                  <w:vMerge w:val="continue"/>
                  <w:tcBorders>
                    <w:left w:val="nil"/>
                  </w:tcBorders>
                  <w:noWrap w:val="0"/>
                  <w:vAlign w:val="center"/>
                </w:tcPr>
                <w:p w14:paraId="7631C329">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704" w:type="dxa"/>
                  <w:vMerge w:val="continue"/>
                  <w:noWrap w:val="0"/>
                  <w:vAlign w:val="center"/>
                </w:tcPr>
                <w:p w14:paraId="3406CD87">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661" w:type="dxa"/>
                  <w:noWrap w:val="0"/>
                  <w:vAlign w:val="center"/>
                </w:tcPr>
                <w:p w14:paraId="66ABFA40">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运输扬尘</w:t>
                  </w:r>
                </w:p>
              </w:tc>
              <w:tc>
                <w:tcPr>
                  <w:tcW w:w="1125" w:type="dxa"/>
                  <w:noWrap w:val="0"/>
                  <w:vAlign w:val="center"/>
                </w:tcPr>
                <w:p w14:paraId="4BD21AC3">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3957" w:type="dxa"/>
                  <w:noWrap w:val="0"/>
                  <w:vAlign w:val="center"/>
                </w:tcPr>
                <w:p w14:paraId="47B74AC6">
                  <w:pPr>
                    <w:pStyle w:val="6"/>
                    <w:spacing w:line="20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道路硬化，及时清扫地面并在运输道路路面和两侧洒水</w:t>
                  </w:r>
                </w:p>
              </w:tc>
              <w:tc>
                <w:tcPr>
                  <w:tcW w:w="863" w:type="dxa"/>
                  <w:vMerge w:val="continue"/>
                  <w:tcBorders>
                    <w:right w:val="nil"/>
                  </w:tcBorders>
                  <w:noWrap w:val="0"/>
                  <w:vAlign w:val="center"/>
                </w:tcPr>
                <w:p w14:paraId="6981A91E">
                  <w:pPr>
                    <w:jc w:val="center"/>
                    <w:rPr>
                      <w:rFonts w:hint="default" w:ascii="Times New Roman" w:hAnsi="Times New Roman" w:eastAsia="宋体" w:cs="Times New Roman"/>
                      <w:color w:val="auto"/>
                      <w:sz w:val="21"/>
                      <w:szCs w:val="21"/>
                      <w:highlight w:val="none"/>
                    </w:rPr>
                  </w:pPr>
                </w:p>
              </w:tc>
            </w:tr>
            <w:tr w14:paraId="3EC7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6" w:type="dxa"/>
                  <w:tcBorders>
                    <w:left w:val="nil"/>
                  </w:tcBorders>
                  <w:noWrap w:val="0"/>
                  <w:vAlign w:val="center"/>
                </w:tcPr>
                <w:p w14:paraId="33F38162">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1365" w:type="dxa"/>
                  <w:gridSpan w:val="2"/>
                  <w:shd w:val="clear" w:color="auto" w:fill="auto"/>
                  <w:noWrap w:val="0"/>
                  <w:vAlign w:val="center"/>
                </w:tcPr>
                <w:p w14:paraId="6294D82A">
                  <w:pPr>
                    <w:pStyle w:val="30"/>
                    <w:spacing w:before="0" w:after="0" w:line="240" w:lineRule="auto"/>
                    <w:ind w:right="0" w:rightChars="0"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初期雨水</w:t>
                  </w:r>
                </w:p>
              </w:tc>
              <w:tc>
                <w:tcPr>
                  <w:tcW w:w="1125" w:type="dxa"/>
                  <w:shd w:val="clear" w:color="auto" w:fill="auto"/>
                  <w:noWrap w:val="0"/>
                  <w:vAlign w:val="center"/>
                </w:tcPr>
                <w:p w14:paraId="4D3289F2">
                  <w:pPr>
                    <w:pStyle w:val="30"/>
                    <w:spacing w:before="0" w:after="0" w:line="240" w:lineRule="auto"/>
                    <w:ind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SS</w:t>
                  </w:r>
                </w:p>
              </w:tc>
              <w:tc>
                <w:tcPr>
                  <w:tcW w:w="3957" w:type="dxa"/>
                  <w:shd w:val="clear" w:color="auto" w:fill="auto"/>
                  <w:noWrap w:val="0"/>
                  <w:vAlign w:val="center"/>
                </w:tcPr>
                <w:p w14:paraId="734C9CE8">
                  <w:pPr>
                    <w:pStyle w:val="30"/>
                    <w:spacing w:before="0" w:after="0" w:line="240" w:lineRule="auto"/>
                    <w:ind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沉淀后用于洒水降尘</w:t>
                  </w:r>
                </w:p>
              </w:tc>
              <w:tc>
                <w:tcPr>
                  <w:tcW w:w="863" w:type="dxa"/>
                  <w:tcBorders>
                    <w:right w:val="nil"/>
                  </w:tcBorders>
                  <w:shd w:val="clear" w:color="auto" w:fill="auto"/>
                  <w:noWrap w:val="0"/>
                  <w:vAlign w:val="center"/>
                </w:tcPr>
                <w:p w14:paraId="109D002D">
                  <w:pPr>
                    <w:spacing w:before="0" w:after="0" w:line="240" w:lineRule="auto"/>
                    <w:ind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不外排</w:t>
                  </w:r>
                </w:p>
              </w:tc>
            </w:tr>
            <w:tr w14:paraId="6677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6" w:type="dxa"/>
                  <w:vMerge w:val="restart"/>
                  <w:tcBorders>
                    <w:left w:val="nil"/>
                  </w:tcBorders>
                  <w:noWrap w:val="0"/>
                  <w:vAlign w:val="center"/>
                </w:tcPr>
                <w:p w14:paraId="501757D6">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1365" w:type="dxa"/>
                  <w:gridSpan w:val="2"/>
                  <w:noWrap w:val="0"/>
                  <w:vAlign w:val="center"/>
                </w:tcPr>
                <w:p w14:paraId="3B2C5EFB">
                  <w:pPr>
                    <w:pStyle w:val="86"/>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初期雨水收集池</w:t>
                  </w:r>
                </w:p>
              </w:tc>
              <w:tc>
                <w:tcPr>
                  <w:tcW w:w="1125" w:type="dxa"/>
                  <w:noWrap w:val="0"/>
                  <w:vAlign w:val="center"/>
                </w:tcPr>
                <w:p w14:paraId="6053A2A8">
                  <w:pPr>
                    <w:pStyle w:val="86"/>
                    <w:jc w:val="center"/>
                    <w:rPr>
                      <w:rFonts w:hint="default" w:cs="Times New Roman"/>
                      <w:color w:val="auto"/>
                      <w:kern w:val="2"/>
                      <w:sz w:val="21"/>
                      <w:szCs w:val="21"/>
                      <w:highlight w:val="none"/>
                      <w:lang w:val="zh-CN" w:eastAsia="zh-CN" w:bidi="ar-SA"/>
                    </w:rPr>
                  </w:pPr>
                  <w:r>
                    <w:rPr>
                      <w:rFonts w:hint="default" w:cs="Times New Roman"/>
                      <w:color w:val="auto"/>
                      <w:kern w:val="2"/>
                      <w:sz w:val="21"/>
                      <w:szCs w:val="21"/>
                      <w:highlight w:val="none"/>
                      <w:lang w:val="zh-CN" w:eastAsia="zh-CN" w:bidi="ar-SA"/>
                    </w:rPr>
                    <w:t>煤泥</w:t>
                  </w:r>
                </w:p>
              </w:tc>
              <w:tc>
                <w:tcPr>
                  <w:tcW w:w="3957" w:type="dxa"/>
                  <w:noWrap w:val="0"/>
                  <w:vAlign w:val="center"/>
                </w:tcPr>
                <w:p w14:paraId="0DECE090">
                  <w:pPr>
                    <w:pStyle w:val="86"/>
                    <w:jc w:val="center"/>
                    <w:rPr>
                      <w:rFonts w:hint="default" w:cs="Times New Roman"/>
                      <w:color w:val="auto"/>
                      <w:kern w:val="2"/>
                      <w:sz w:val="21"/>
                      <w:szCs w:val="21"/>
                      <w:highlight w:val="none"/>
                      <w:lang w:val="zh-CN" w:eastAsia="zh-CN" w:bidi="ar-SA"/>
                    </w:rPr>
                  </w:pPr>
                  <w:r>
                    <w:rPr>
                      <w:rFonts w:hint="eastAsia" w:cs="Times New Roman"/>
                      <w:color w:val="auto"/>
                      <w:kern w:val="2"/>
                      <w:sz w:val="21"/>
                      <w:szCs w:val="21"/>
                      <w:highlight w:val="none"/>
                      <w:lang w:val="zh-CN" w:eastAsia="zh-CN" w:bidi="ar-SA"/>
                    </w:rPr>
                    <w:t>定期清理后外售综合利用</w:t>
                  </w:r>
                </w:p>
              </w:tc>
              <w:tc>
                <w:tcPr>
                  <w:tcW w:w="863" w:type="dxa"/>
                  <w:tcBorders>
                    <w:right w:val="nil"/>
                  </w:tcBorders>
                  <w:noWrap w:val="0"/>
                  <w:vAlign w:val="center"/>
                </w:tcPr>
                <w:p w14:paraId="77EF934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不外排</w:t>
                  </w:r>
                </w:p>
              </w:tc>
            </w:tr>
            <w:tr w14:paraId="140C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6" w:type="dxa"/>
                  <w:vMerge w:val="continue"/>
                  <w:tcBorders>
                    <w:left w:val="nil"/>
                  </w:tcBorders>
                  <w:noWrap w:val="0"/>
                  <w:vAlign w:val="center"/>
                </w:tcPr>
                <w:p w14:paraId="1AE259EC">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1365" w:type="dxa"/>
                  <w:gridSpan w:val="2"/>
                  <w:noWrap w:val="0"/>
                  <w:vAlign w:val="center"/>
                </w:tcPr>
                <w:p w14:paraId="22842A45">
                  <w:pPr>
                    <w:pStyle w:val="86"/>
                    <w:jc w:val="center"/>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员工生活</w:t>
                  </w:r>
                </w:p>
              </w:tc>
              <w:tc>
                <w:tcPr>
                  <w:tcW w:w="1125" w:type="dxa"/>
                  <w:noWrap w:val="0"/>
                  <w:vAlign w:val="center"/>
                </w:tcPr>
                <w:p w14:paraId="1D69A9AD">
                  <w:pPr>
                    <w:pStyle w:val="86"/>
                    <w:jc w:val="center"/>
                    <w:rPr>
                      <w:rFonts w:hint="default" w:cs="Times New Roman"/>
                      <w:color w:val="auto"/>
                      <w:kern w:val="2"/>
                      <w:sz w:val="21"/>
                      <w:szCs w:val="21"/>
                      <w:highlight w:val="none"/>
                      <w:lang w:val="zh-CN" w:eastAsia="zh-CN" w:bidi="ar-SA"/>
                    </w:rPr>
                  </w:pPr>
                  <w:r>
                    <w:rPr>
                      <w:rFonts w:hint="default" w:cs="Times New Roman"/>
                      <w:color w:val="auto"/>
                      <w:kern w:val="2"/>
                      <w:sz w:val="21"/>
                      <w:szCs w:val="21"/>
                      <w:highlight w:val="none"/>
                      <w:lang w:val="zh-CN" w:eastAsia="zh-CN" w:bidi="ar-SA"/>
                    </w:rPr>
                    <w:t>生活垃圾</w:t>
                  </w:r>
                </w:p>
              </w:tc>
              <w:tc>
                <w:tcPr>
                  <w:tcW w:w="3957" w:type="dxa"/>
                  <w:noWrap w:val="0"/>
                  <w:vAlign w:val="center"/>
                </w:tcPr>
                <w:p w14:paraId="142BBC35">
                  <w:pPr>
                    <w:pStyle w:val="86"/>
                    <w:jc w:val="center"/>
                    <w:rPr>
                      <w:rFonts w:hint="default" w:cs="Times New Roman"/>
                      <w:color w:val="auto"/>
                      <w:kern w:val="2"/>
                      <w:sz w:val="21"/>
                      <w:szCs w:val="21"/>
                      <w:highlight w:val="none"/>
                      <w:lang w:val="zh-CN" w:eastAsia="zh-CN" w:bidi="ar-SA"/>
                    </w:rPr>
                  </w:pPr>
                  <w:r>
                    <w:rPr>
                      <w:rFonts w:hint="default" w:cs="Times New Roman"/>
                      <w:color w:val="auto"/>
                      <w:kern w:val="2"/>
                      <w:sz w:val="21"/>
                      <w:szCs w:val="21"/>
                      <w:highlight w:val="none"/>
                      <w:lang w:val="zh-CN" w:eastAsia="zh-CN" w:bidi="ar-SA"/>
                    </w:rPr>
                    <w:t>委托环卫部门统一处理</w:t>
                  </w:r>
                </w:p>
              </w:tc>
              <w:tc>
                <w:tcPr>
                  <w:tcW w:w="863" w:type="dxa"/>
                  <w:tcBorders>
                    <w:right w:val="nil"/>
                  </w:tcBorders>
                  <w:noWrap w:val="0"/>
                  <w:vAlign w:val="center"/>
                </w:tcPr>
                <w:p w14:paraId="65C7A6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不外排</w:t>
                  </w:r>
                </w:p>
              </w:tc>
            </w:tr>
            <w:tr w14:paraId="6329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96" w:type="dxa"/>
                  <w:vMerge w:val="continue"/>
                  <w:tcBorders>
                    <w:left w:val="nil"/>
                  </w:tcBorders>
                  <w:noWrap w:val="0"/>
                  <w:vAlign w:val="center"/>
                </w:tcPr>
                <w:p w14:paraId="79138C6C">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1365" w:type="dxa"/>
                  <w:gridSpan w:val="2"/>
                  <w:noWrap w:val="0"/>
                  <w:vAlign w:val="center"/>
                </w:tcPr>
                <w:p w14:paraId="27527E4D">
                  <w:pPr>
                    <w:pStyle w:val="30"/>
                    <w:spacing w:before="0" w:after="0" w:line="240" w:lineRule="auto"/>
                    <w:ind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废气处理</w:t>
                  </w:r>
                </w:p>
              </w:tc>
              <w:tc>
                <w:tcPr>
                  <w:tcW w:w="1125" w:type="dxa"/>
                  <w:noWrap w:val="0"/>
                  <w:vAlign w:val="center"/>
                </w:tcPr>
                <w:p w14:paraId="51CD1D40">
                  <w:pPr>
                    <w:spacing w:line="0" w:lineRule="atLeast"/>
                    <w:jc w:val="center"/>
                    <w:rPr>
                      <w:rFonts w:hint="default" w:ascii="Times New Roman" w:hAnsi="Times New Roman" w:cs="Times New Roman"/>
                      <w:color w:val="auto"/>
                      <w:kern w:val="2"/>
                      <w:sz w:val="21"/>
                      <w:szCs w:val="21"/>
                      <w:highlight w:val="none"/>
                      <w:lang w:val="zh-CN" w:eastAsia="zh-CN" w:bidi="ar-SA"/>
                    </w:rPr>
                  </w:pPr>
                  <w:r>
                    <w:rPr>
                      <w:rFonts w:hint="eastAsia" w:cs="Times New Roman"/>
                      <w:color w:val="auto"/>
                      <w:szCs w:val="21"/>
                      <w:highlight w:val="none"/>
                      <w:lang w:val="en-US" w:eastAsia="zh-CN"/>
                    </w:rPr>
                    <w:t>破损防风抑尘网</w:t>
                  </w:r>
                </w:p>
              </w:tc>
              <w:tc>
                <w:tcPr>
                  <w:tcW w:w="3957" w:type="dxa"/>
                  <w:noWrap w:val="0"/>
                  <w:vAlign w:val="center"/>
                </w:tcPr>
                <w:p w14:paraId="6ED18EFD">
                  <w:pPr>
                    <w:pStyle w:val="86"/>
                    <w:jc w:val="center"/>
                    <w:rPr>
                      <w:rFonts w:hint="default"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zh-CN" w:eastAsia="zh-CN" w:bidi="ar-SA"/>
                    </w:rPr>
                    <w:t>作为废旧物资外售</w:t>
                  </w:r>
                </w:p>
              </w:tc>
              <w:tc>
                <w:tcPr>
                  <w:tcW w:w="863" w:type="dxa"/>
                  <w:tcBorders>
                    <w:right w:val="nil"/>
                  </w:tcBorders>
                  <w:noWrap w:val="0"/>
                  <w:vAlign w:val="center"/>
                </w:tcPr>
                <w:p w14:paraId="5A9055E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不外排</w:t>
                  </w:r>
                </w:p>
              </w:tc>
            </w:tr>
            <w:tr w14:paraId="5048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6" w:type="dxa"/>
                  <w:vMerge w:val="continue"/>
                  <w:tcBorders>
                    <w:left w:val="nil"/>
                  </w:tcBorders>
                  <w:noWrap w:val="0"/>
                  <w:vAlign w:val="center"/>
                </w:tcPr>
                <w:p w14:paraId="0923F343">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p>
              </w:tc>
              <w:tc>
                <w:tcPr>
                  <w:tcW w:w="1365" w:type="dxa"/>
                  <w:gridSpan w:val="2"/>
                  <w:noWrap w:val="0"/>
                  <w:vAlign w:val="center"/>
                </w:tcPr>
                <w:p w14:paraId="1BA0A281">
                  <w:pPr>
                    <w:pStyle w:val="30"/>
                    <w:spacing w:before="0" w:after="0" w:line="240" w:lineRule="auto"/>
                    <w:ind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废气处理</w:t>
                  </w:r>
                </w:p>
              </w:tc>
              <w:tc>
                <w:tcPr>
                  <w:tcW w:w="1125" w:type="dxa"/>
                  <w:noWrap w:val="0"/>
                  <w:vAlign w:val="center"/>
                </w:tcPr>
                <w:p w14:paraId="268A20B8">
                  <w:pPr>
                    <w:spacing w:line="0" w:lineRule="atLeast"/>
                    <w:jc w:val="center"/>
                    <w:rPr>
                      <w:rFonts w:hint="default" w:ascii="Times New Roman" w:hAnsi="Times New Roman" w:cs="Times New Roman"/>
                      <w:color w:val="auto"/>
                      <w:kern w:val="2"/>
                      <w:sz w:val="21"/>
                      <w:szCs w:val="21"/>
                      <w:highlight w:val="none"/>
                      <w:lang w:val="zh-CN" w:eastAsia="zh-CN" w:bidi="ar-SA"/>
                    </w:rPr>
                  </w:pPr>
                  <w:r>
                    <w:rPr>
                      <w:rFonts w:hint="eastAsia" w:cs="Times New Roman"/>
                      <w:color w:val="auto"/>
                      <w:szCs w:val="21"/>
                      <w:highlight w:val="none"/>
                      <w:lang w:val="en-US" w:eastAsia="zh-CN"/>
                    </w:rPr>
                    <w:t>破损苫布</w:t>
                  </w:r>
                </w:p>
              </w:tc>
              <w:tc>
                <w:tcPr>
                  <w:tcW w:w="3957" w:type="dxa"/>
                  <w:noWrap w:val="0"/>
                  <w:vAlign w:val="center"/>
                </w:tcPr>
                <w:p w14:paraId="024F89D0">
                  <w:pPr>
                    <w:pStyle w:val="86"/>
                    <w:jc w:val="center"/>
                    <w:rPr>
                      <w:rFonts w:hint="default"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zh-CN" w:eastAsia="zh-CN" w:bidi="ar-SA"/>
                    </w:rPr>
                    <w:t>作为废旧物资外售</w:t>
                  </w:r>
                </w:p>
              </w:tc>
              <w:tc>
                <w:tcPr>
                  <w:tcW w:w="863" w:type="dxa"/>
                  <w:tcBorders>
                    <w:right w:val="nil"/>
                  </w:tcBorders>
                  <w:noWrap w:val="0"/>
                  <w:vAlign w:val="center"/>
                </w:tcPr>
                <w:p w14:paraId="09A368E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不外排</w:t>
                  </w:r>
                </w:p>
              </w:tc>
            </w:tr>
            <w:tr w14:paraId="11C1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6" w:type="dxa"/>
                  <w:tcBorders>
                    <w:left w:val="nil"/>
                    <w:bottom w:val="single" w:color="auto" w:sz="12" w:space="0"/>
                  </w:tcBorders>
                  <w:noWrap w:val="0"/>
                  <w:vAlign w:val="center"/>
                </w:tcPr>
                <w:p w14:paraId="615DB85D">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2490" w:type="dxa"/>
                  <w:gridSpan w:val="3"/>
                  <w:tcBorders>
                    <w:bottom w:val="single" w:color="auto" w:sz="12" w:space="0"/>
                  </w:tcBorders>
                  <w:noWrap w:val="0"/>
                  <w:vAlign w:val="center"/>
                </w:tcPr>
                <w:p w14:paraId="57E0F4A1">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设备运行时产生的噪声</w:t>
                  </w:r>
                </w:p>
              </w:tc>
              <w:tc>
                <w:tcPr>
                  <w:tcW w:w="4820" w:type="dxa"/>
                  <w:gridSpan w:val="2"/>
                  <w:tcBorders>
                    <w:bottom w:val="single" w:color="auto" w:sz="12" w:space="0"/>
                    <w:right w:val="nil"/>
                  </w:tcBorders>
                  <w:noWrap w:val="0"/>
                  <w:vAlign w:val="center"/>
                </w:tcPr>
                <w:p w14:paraId="2DE4558A">
                  <w:pPr>
                    <w:pStyle w:val="30"/>
                    <w:spacing w:before="0" w:after="0" w:line="240" w:lineRule="auto"/>
                    <w:ind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采取低噪设备、距离衰减、夜间不作业</w:t>
                  </w:r>
                </w:p>
              </w:tc>
            </w:tr>
          </w:tbl>
          <w:p w14:paraId="09E37361">
            <w:pPr>
              <w:tabs>
                <w:tab w:val="left" w:pos="6480"/>
              </w:tabs>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营运期主要污染工序：</w:t>
            </w:r>
          </w:p>
          <w:p w14:paraId="5E65A2D2">
            <w:pPr>
              <w:tabs>
                <w:tab w:val="left" w:pos="6480"/>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废气：运输过程产生的道路运输扬尘</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煤炭装卸及堆放产生的煤尘；</w:t>
            </w:r>
          </w:p>
          <w:p w14:paraId="4D5FEC58">
            <w:pPr>
              <w:tabs>
                <w:tab w:val="left" w:pos="6480"/>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废水：</w:t>
            </w:r>
            <w:r>
              <w:rPr>
                <w:rFonts w:hint="default" w:ascii="Times New Roman" w:hAnsi="Times New Roman" w:cs="Times New Roman"/>
                <w:color w:val="auto"/>
                <w:sz w:val="24"/>
                <w:highlight w:val="none"/>
                <w:lang w:eastAsia="zh-CN"/>
              </w:rPr>
              <w:t>雨水</w:t>
            </w:r>
            <w:r>
              <w:rPr>
                <w:rFonts w:hint="default" w:ascii="Times New Roman" w:hAnsi="Times New Roman" w:cs="Times New Roman"/>
                <w:color w:val="auto"/>
                <w:sz w:val="24"/>
                <w:highlight w:val="none"/>
              </w:rPr>
              <w:t xml:space="preserve">； </w:t>
            </w:r>
          </w:p>
          <w:p w14:paraId="03357D93">
            <w:pPr>
              <w:pStyle w:val="11"/>
              <w:wordWrap/>
              <w:adjustRightInd/>
              <w:snapToGrid/>
              <w:spacing w:before="0" w:after="0" w:line="360" w:lineRule="auto"/>
              <w:ind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噪声：主要来自</w:t>
            </w:r>
            <w:r>
              <w:rPr>
                <w:rFonts w:hint="default" w:ascii="Times New Roman" w:hAnsi="Times New Roman" w:cs="Times New Roman"/>
                <w:color w:val="auto"/>
                <w:sz w:val="24"/>
                <w:szCs w:val="24"/>
                <w:highlight w:val="none"/>
                <w:lang w:val="en-US" w:eastAsia="zh-CN"/>
              </w:rPr>
              <w:t>煤场煤炭装卸和</w:t>
            </w:r>
            <w:r>
              <w:rPr>
                <w:rFonts w:hint="default" w:ascii="Times New Roman" w:hAnsi="Times New Roman" w:eastAsia="宋体" w:cs="Times New Roman"/>
                <w:color w:val="auto"/>
                <w:sz w:val="24"/>
                <w:szCs w:val="24"/>
                <w:highlight w:val="none"/>
                <w:lang w:val="en-US" w:eastAsia="zh-CN"/>
              </w:rPr>
              <w:t>设备</w:t>
            </w:r>
            <w:r>
              <w:rPr>
                <w:rFonts w:hint="default" w:ascii="Times New Roman" w:hAnsi="Times New Roman" w:cs="Times New Roman"/>
                <w:color w:val="auto"/>
                <w:sz w:val="24"/>
                <w:szCs w:val="24"/>
                <w:highlight w:val="none"/>
                <w:lang w:val="en-US" w:eastAsia="zh-CN"/>
              </w:rPr>
              <w:t>运行时</w:t>
            </w:r>
            <w:r>
              <w:rPr>
                <w:rFonts w:hint="default" w:ascii="Times New Roman" w:hAnsi="Times New Roman" w:eastAsia="宋体" w:cs="Times New Roman"/>
                <w:color w:val="auto"/>
                <w:sz w:val="24"/>
                <w:szCs w:val="24"/>
                <w:highlight w:val="none"/>
                <w:lang w:val="en-US" w:eastAsia="zh-CN"/>
              </w:rPr>
              <w:t>产生的噪声；</w:t>
            </w:r>
          </w:p>
          <w:p w14:paraId="7C43DB6B">
            <w:pPr>
              <w:tabs>
                <w:tab w:val="left" w:pos="6480"/>
              </w:tabs>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固废：生活垃圾</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eastAsia="zh-CN"/>
              </w:rPr>
              <w:t>沉淀煤泥、破损防风抑尘网和破损苫布</w:t>
            </w:r>
            <w:r>
              <w:rPr>
                <w:rFonts w:hint="default" w:ascii="Times New Roman" w:hAnsi="Times New Roman" w:cs="Times New Roman"/>
                <w:color w:val="auto"/>
                <w:sz w:val="24"/>
                <w:highlight w:val="none"/>
              </w:rPr>
              <w:t>。</w:t>
            </w:r>
          </w:p>
        </w:tc>
      </w:tr>
      <w:tr w14:paraId="18082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3" w:hRule="atLeast"/>
          <w:jc w:val="center"/>
        </w:trPr>
        <w:tc>
          <w:tcPr>
            <w:tcW w:w="840" w:type="dxa"/>
            <w:vAlign w:val="center"/>
          </w:tcPr>
          <w:p w14:paraId="5A219EF1">
            <w:pPr>
              <w:pStyle w:val="27"/>
              <w:adjustRightInd w:val="0"/>
              <w:snapToGrid w:val="0"/>
              <w:spacing w:before="0" w:beforeAutospacing="0" w:after="0" w:afterAutospacing="0"/>
              <w:jc w:val="center"/>
              <w:rPr>
                <w:rFonts w:hint="default" w:ascii="Times New Roman" w:hAnsi="Times New Roman" w:cs="Times New Roman"/>
                <w:color w:val="auto"/>
                <w:kern w:val="2"/>
                <w:szCs w:val="32"/>
                <w:highlight w:val="none"/>
              </w:rPr>
            </w:pPr>
            <w:r>
              <w:rPr>
                <w:rFonts w:hint="default" w:ascii="Times New Roman" w:hAnsi="Times New Roman" w:cs="Times New Roman"/>
                <w:color w:val="auto"/>
                <w:szCs w:val="32"/>
                <w:highlight w:val="none"/>
              </w:rPr>
              <w:t>与 项目 有关 的原 有环 境污 染问 题</w:t>
            </w:r>
          </w:p>
        </w:tc>
        <w:tc>
          <w:tcPr>
            <w:tcW w:w="8144" w:type="dxa"/>
            <w:vAlign w:val="top"/>
          </w:tcPr>
          <w:p w14:paraId="1055DDD1">
            <w:pPr>
              <w:tabs>
                <w:tab w:val="left" w:pos="6480"/>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lang w:eastAsia="zh-CN"/>
              </w:rPr>
              <w:t>本项目为新建项目，无与项目有关的原有环境污染问题。</w:t>
            </w:r>
          </w:p>
        </w:tc>
      </w:tr>
    </w:tbl>
    <w:p w14:paraId="015C3889">
      <w:pPr>
        <w:pStyle w:val="27"/>
        <w:jc w:val="center"/>
        <w:outlineLvl w:val="0"/>
        <w:rPr>
          <w:rFonts w:hint="default" w:ascii="Times New Roman" w:hAnsi="Times New Roman" w:eastAsia="黑体" w:cs="Times New Roman"/>
          <w:snapToGrid w:val="0"/>
          <w:color w:val="auto"/>
          <w:sz w:val="30"/>
          <w:szCs w:val="30"/>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6A1BF8E">
      <w:pPr>
        <w:pStyle w:val="27"/>
        <w:jc w:val="center"/>
        <w:outlineLvl w:val="0"/>
        <w:rPr>
          <w:rFonts w:hint="default" w:ascii="Times New Roman" w:hAnsi="Times New Roman" w:eastAsia="黑体" w:cs="Times New Roman"/>
          <w:snapToGrid w:val="0"/>
          <w:color w:val="auto"/>
          <w:sz w:val="30"/>
          <w:szCs w:val="30"/>
          <w:highlight w:val="none"/>
        </w:rPr>
      </w:pPr>
      <w:bookmarkStart w:id="13" w:name="_Toc4837"/>
      <w:r>
        <w:rPr>
          <w:rFonts w:hint="default" w:ascii="Times New Roman" w:hAnsi="Times New Roman" w:eastAsia="黑体" w:cs="Times New Roman"/>
          <w:snapToGrid w:val="0"/>
          <w:color w:val="auto"/>
          <w:sz w:val="30"/>
          <w:szCs w:val="30"/>
          <w:highlight w:val="none"/>
        </w:rPr>
        <w:t>三、区域环境质量现状、环境保护目标及评价标准</w:t>
      </w:r>
      <w:bookmarkEnd w:id="13"/>
    </w:p>
    <w:tbl>
      <w:tblPr>
        <w:tblStyle w:val="31"/>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7D3FE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800" w:type="dxa"/>
            <w:vAlign w:val="center"/>
          </w:tcPr>
          <w:p w14:paraId="436E5E2D">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区域</w:t>
            </w:r>
          </w:p>
          <w:p w14:paraId="094EB394">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495D21B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质量</w:t>
            </w:r>
          </w:p>
          <w:p w14:paraId="5A9BC3A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现状</w:t>
            </w:r>
          </w:p>
        </w:tc>
        <w:tc>
          <w:tcPr>
            <w:tcW w:w="8190" w:type="dxa"/>
            <w:vAlign w:val="center"/>
          </w:tcPr>
          <w:p w14:paraId="6046C41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以202</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年为评价基准年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根据</w:t>
            </w:r>
            <w:r>
              <w:rPr>
                <w:rFonts w:hint="default" w:ascii="Times New Roman" w:hAnsi="Times New Roman" w:eastAsia="宋体" w:cs="Times New Roman"/>
                <w:snapToGrid w:val="0"/>
                <w:color w:val="auto"/>
                <w:kern w:val="0"/>
                <w:sz w:val="24"/>
                <w:szCs w:val="20"/>
                <w:highlight w:val="none"/>
                <w:lang w:val="en-US" w:eastAsia="zh-CN" w:bidi="ar-SA"/>
              </w:rPr>
              <w:t>黑龙江省生态环境厅官方网站发布的《</w:t>
            </w:r>
            <w:r>
              <w:rPr>
                <w:rFonts w:hint="default" w:ascii="Times New Roman" w:hAnsi="Times New Roman" w:eastAsia="宋体" w:cs="Times New Roman"/>
                <w:snapToGrid w:val="0"/>
                <w:color w:val="auto"/>
                <w:kern w:val="0"/>
                <w:sz w:val="24"/>
                <w:szCs w:val="20"/>
                <w:highlight w:val="none"/>
                <w:lang w:val="en-US" w:eastAsia="zh-CN" w:bidi="ar-SA"/>
              </w:rPr>
              <w:t>202</w:t>
            </w:r>
            <w:r>
              <w:rPr>
                <w:rFonts w:hint="eastAsia" w:cs="Times New Roman"/>
                <w:snapToGrid w:val="0"/>
                <w:color w:val="auto"/>
                <w:kern w:val="0"/>
                <w:sz w:val="24"/>
                <w:szCs w:val="20"/>
                <w:highlight w:val="none"/>
                <w:lang w:val="en-US" w:eastAsia="zh-CN" w:bidi="ar-SA"/>
              </w:rPr>
              <w:t>5</w:t>
            </w:r>
            <w:r>
              <w:rPr>
                <w:rFonts w:hint="default" w:ascii="Times New Roman" w:hAnsi="Times New Roman" w:eastAsia="宋体" w:cs="Times New Roman"/>
                <w:snapToGrid w:val="0"/>
                <w:color w:val="auto"/>
                <w:kern w:val="0"/>
                <w:sz w:val="24"/>
                <w:szCs w:val="20"/>
                <w:highlight w:val="none"/>
                <w:lang w:val="en-US" w:eastAsia="zh-CN" w:bidi="ar-SA"/>
              </w:rPr>
              <w:t>年黑龙江省生态环境状况</w:t>
            </w:r>
            <w:r>
              <w:rPr>
                <w:rFonts w:hint="default" w:ascii="Times New Roman" w:hAnsi="Times New Roman" w:cs="Times New Roman"/>
                <w:snapToGrid w:val="0"/>
                <w:color w:val="auto"/>
                <w:kern w:val="0"/>
                <w:sz w:val="24"/>
                <w:szCs w:val="20"/>
                <w:highlight w:val="none"/>
                <w:lang w:val="en-US" w:eastAsia="zh-CN" w:bidi="ar-SA"/>
              </w:rPr>
              <w:t>公报</w:t>
            </w:r>
            <w:r>
              <w:rPr>
                <w:rFonts w:hint="default" w:ascii="Times New Roman" w:hAnsi="Times New Roman" w:eastAsia="宋体" w:cs="Times New Roman"/>
                <w:snapToGrid w:val="0"/>
                <w:color w:val="auto"/>
                <w:kern w:val="0"/>
                <w:sz w:val="24"/>
                <w:szCs w:val="20"/>
                <w:highlight w:val="none"/>
                <w:lang w:val="en-US" w:eastAsia="zh-CN" w:bidi="ar-SA"/>
              </w:rPr>
              <w:t>》</w:t>
            </w:r>
            <w:r>
              <w:rPr>
                <w:rFonts w:hint="default" w:ascii="Times New Roman" w:hAnsi="Times New Roman" w:cs="Times New Roman"/>
                <w:color w:val="auto"/>
                <w:sz w:val="24"/>
                <w:highlight w:val="none"/>
                <w:lang w:eastAsia="zh-CN"/>
              </w:rPr>
              <w:t>对</w:t>
            </w:r>
            <w:r>
              <w:rPr>
                <w:rFonts w:hint="default" w:ascii="Times New Roman" w:hAnsi="Times New Roman" w:cs="Times New Roman"/>
                <w:color w:val="auto"/>
                <w:sz w:val="24"/>
                <w:highlight w:val="none"/>
              </w:rPr>
              <w:t>建设项目所在地</w:t>
            </w:r>
            <w:r>
              <w:rPr>
                <w:rFonts w:hint="default" w:ascii="Times New Roman" w:hAnsi="Times New Roman" w:cs="Times New Roman"/>
                <w:color w:val="auto"/>
                <w:sz w:val="24"/>
                <w:highlight w:val="none"/>
                <w:lang w:eastAsia="zh-CN"/>
              </w:rPr>
              <w:t>的</w:t>
            </w:r>
            <w:r>
              <w:rPr>
                <w:rFonts w:hint="default" w:ascii="Times New Roman" w:hAnsi="Times New Roman" w:cs="Times New Roman"/>
                <w:color w:val="auto"/>
                <w:sz w:val="24"/>
                <w:highlight w:val="none"/>
              </w:rPr>
              <w:t>区域质量现状及主要环境问题（环境空气、地面水、地下水、声环境、生态环境等）进行评价。</w:t>
            </w:r>
          </w:p>
          <w:p w14:paraId="5AD3432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sz w:val="24"/>
                <w:highlight w:val="none"/>
                <w:lang w:val="en-US" w:eastAsia="zh-CN"/>
              </w:rPr>
              <w:t>1</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eastAsia="zh-CN"/>
              </w:rPr>
              <w:t>环境空气质量现状</w:t>
            </w:r>
          </w:p>
          <w:p w14:paraId="03B0C8C7">
            <w:pPr>
              <w:spacing w:line="360" w:lineRule="auto"/>
              <w:ind w:firstLine="480" w:firstLineChars="200"/>
              <w:outlineLvl w:val="2"/>
              <w:rPr>
                <w:rFonts w:hint="default" w:ascii="Times New Roman" w:hAnsi="Times New Roman" w:cs="Times New Roman"/>
                <w:color w:val="auto"/>
                <w:kern w:val="21"/>
                <w:sz w:val="24"/>
                <w:highlight w:val="none"/>
              </w:rPr>
            </w:pPr>
            <w:r>
              <w:rPr>
                <w:rFonts w:hint="default" w:ascii="Times New Roman" w:hAnsi="Times New Roman" w:cs="Times New Roman"/>
                <w:color w:val="auto"/>
                <w:kern w:val="21"/>
                <w:sz w:val="24"/>
                <w:highlight w:val="none"/>
              </w:rPr>
              <w:t>（1）基本污染物环境质量现状</w:t>
            </w:r>
          </w:p>
          <w:p w14:paraId="55AE3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1"/>
                <w:sz w:val="24"/>
                <w:szCs w:val="24"/>
                <w:highlight w:val="none"/>
              </w:rPr>
            </w:pPr>
            <w:r>
              <w:rPr>
                <w:rFonts w:hint="default" w:ascii="Times New Roman" w:hAnsi="Times New Roman" w:eastAsia="宋体" w:cs="Times New Roman"/>
                <w:color w:val="auto"/>
                <w:kern w:val="21"/>
                <w:sz w:val="24"/>
                <w:szCs w:val="24"/>
                <w:highlight w:val="none"/>
              </w:rPr>
              <w:t>根据《环境影响评价技术导则大气环境》（HJ2.2-2018），环境空气质量现状调查与评价数据来源于</w:t>
            </w:r>
            <w:r>
              <w:rPr>
                <w:rFonts w:hint="default" w:ascii="Times New Roman" w:hAnsi="Times New Roman" w:eastAsia="宋体" w:cs="Times New Roman"/>
                <w:color w:val="auto"/>
                <w:sz w:val="24"/>
                <w:szCs w:val="24"/>
                <w:highlight w:val="none"/>
              </w:rPr>
              <w:t>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年度《202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年黑龙江省生态环境状况公报》。</w:t>
            </w:r>
          </w:p>
          <w:p w14:paraId="09468B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1"/>
                <w:sz w:val="24"/>
                <w:szCs w:val="24"/>
                <w:highlight w:val="none"/>
              </w:rPr>
              <w:t>为了解项目所在区域的环境空气质量现状，本次评价采用黑龙江省生态环境厅发布的</w:t>
            </w:r>
            <w:r>
              <w:rPr>
                <w:rFonts w:hint="default" w:ascii="Times New Roman" w:hAnsi="Times New Roman" w:eastAsia="宋体" w:cs="Times New Roman"/>
                <w:color w:val="auto"/>
                <w:sz w:val="24"/>
                <w:szCs w:val="24"/>
                <w:highlight w:val="none"/>
              </w:rPr>
              <w:t>《202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年黑龙江省生态环境状况公报》</w:t>
            </w:r>
            <w:r>
              <w:rPr>
                <w:rFonts w:hint="default" w:ascii="Times New Roman" w:hAnsi="Times New Roman" w:eastAsia="宋体" w:cs="Times New Roman"/>
                <w:color w:val="auto"/>
                <w:kern w:val="21"/>
                <w:sz w:val="24"/>
                <w:szCs w:val="24"/>
                <w:highlight w:val="none"/>
              </w:rPr>
              <w:t>中监测数据，由于公报内无鸡西市完整数据，因此采用省内监测数据，分析项目所在区域基本污染物环境质量现状，详见表3-1。</w:t>
            </w:r>
          </w:p>
          <w:p w14:paraId="2518AD07">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 xml:space="preserve">表3-1  </w:t>
            </w:r>
            <w:r>
              <w:rPr>
                <w:rFonts w:hint="default" w:ascii="Times New Roman" w:hAnsi="Times New Roman" w:cs="Times New Roman"/>
                <w:b/>
                <w:color w:val="auto"/>
                <w:szCs w:val="21"/>
                <w:highlight w:val="none"/>
                <w:lang w:eastAsia="zh-CN"/>
              </w:rPr>
              <w:t>鸡西市</w:t>
            </w:r>
            <w:r>
              <w:rPr>
                <w:rFonts w:hint="default" w:ascii="Times New Roman" w:hAnsi="Times New Roman" w:cs="Times New Roman"/>
                <w:b/>
                <w:color w:val="auto"/>
                <w:szCs w:val="21"/>
                <w:highlight w:val="none"/>
              </w:rPr>
              <w:t>202</w:t>
            </w:r>
            <w:r>
              <w:rPr>
                <w:rFonts w:hint="eastAsia" w:cs="Times New Roman"/>
                <w:b/>
                <w:color w:val="auto"/>
                <w:szCs w:val="21"/>
                <w:highlight w:val="none"/>
                <w:lang w:val="en-US" w:eastAsia="zh-CN"/>
              </w:rPr>
              <w:t>5</w:t>
            </w:r>
            <w:r>
              <w:rPr>
                <w:rFonts w:hint="default" w:ascii="Times New Roman" w:hAnsi="Times New Roman" w:cs="Times New Roman"/>
                <w:b/>
                <w:color w:val="auto"/>
                <w:szCs w:val="21"/>
                <w:highlight w:val="none"/>
              </w:rPr>
              <w:t>年区域空气质量现状评价表</w:t>
            </w:r>
          </w:p>
          <w:tbl>
            <w:tblPr>
              <w:tblStyle w:val="88"/>
              <w:tblW w:w="799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Layout w:type="fixed"/>
              <w:tblCellMar>
                <w:top w:w="0" w:type="dxa"/>
                <w:left w:w="0" w:type="dxa"/>
                <w:bottom w:w="0" w:type="dxa"/>
                <w:right w:w="0" w:type="dxa"/>
              </w:tblCellMar>
            </w:tblPr>
            <w:tblGrid>
              <w:gridCol w:w="950"/>
              <w:gridCol w:w="2416"/>
              <w:gridCol w:w="1341"/>
              <w:gridCol w:w="1161"/>
              <w:gridCol w:w="1098"/>
              <w:gridCol w:w="1030"/>
            </w:tblGrid>
            <w:tr w14:paraId="54AB894E">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772" w:hRule="atLeast"/>
                <w:jc w:val="center"/>
              </w:trPr>
              <w:tc>
                <w:tcPr>
                  <w:tcW w:w="950" w:type="dxa"/>
                  <w:tcBorders>
                    <w:tl2br w:val="nil"/>
                    <w:tr2bl w:val="nil"/>
                  </w:tcBorders>
                  <w:noWrap w:val="0"/>
                  <w:vAlign w:val="center"/>
                </w:tcPr>
                <w:p w14:paraId="2D066431">
                  <w:pPr>
                    <w:widowControl w:val="0"/>
                    <w:kinsoku/>
                    <w:adjustRightInd/>
                    <w:snapToGrid/>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4"/>
                    </w:rPr>
                    <w:t>污染物</w:t>
                  </w:r>
                </w:p>
              </w:tc>
              <w:tc>
                <w:tcPr>
                  <w:tcW w:w="2416" w:type="dxa"/>
                  <w:tcBorders>
                    <w:tl2br w:val="nil"/>
                    <w:tr2bl w:val="nil"/>
                  </w:tcBorders>
                  <w:noWrap w:val="0"/>
                  <w:vAlign w:val="center"/>
                </w:tcPr>
                <w:p w14:paraId="70B3EDF0">
                  <w:pPr>
                    <w:widowControl w:val="0"/>
                    <w:kinsoku/>
                    <w:adjustRightInd/>
                    <w:snapToGrid/>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3"/>
                    </w:rPr>
                    <w:t>年评价指标</w:t>
                  </w:r>
                </w:p>
              </w:tc>
              <w:tc>
                <w:tcPr>
                  <w:tcW w:w="1341" w:type="dxa"/>
                  <w:tcBorders>
                    <w:tl2br w:val="nil"/>
                    <w:tr2bl w:val="nil"/>
                  </w:tcBorders>
                  <w:noWrap w:val="0"/>
                  <w:vAlign w:val="center"/>
                </w:tcPr>
                <w:p w14:paraId="02D1ED43">
                  <w:pPr>
                    <w:widowControl w:val="0"/>
                    <w:kinsoku/>
                    <w:adjustRightInd/>
                    <w:snapToGrid/>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4"/>
                    </w:rPr>
                    <w:t>现状浓度</w:t>
                  </w:r>
                  <w:r>
                    <w:rPr>
                      <w:rFonts w:hint="default" w:ascii="Times New Roman" w:hAnsi="Times New Roman" w:eastAsia="宋体" w:cs="Times New Roman"/>
                      <w:b/>
                      <w:bCs/>
                      <w:color w:val="auto"/>
                      <w:spacing w:val="-5"/>
                    </w:rPr>
                    <w:t>（μg/m</w:t>
                  </w:r>
                  <w:r>
                    <w:rPr>
                      <w:rFonts w:hint="default" w:ascii="Times New Roman" w:hAnsi="Times New Roman" w:eastAsia="宋体" w:cs="Times New Roman"/>
                      <w:b/>
                      <w:bCs/>
                      <w:color w:val="auto"/>
                      <w:spacing w:val="-5"/>
                      <w:vertAlign w:val="superscript"/>
                    </w:rPr>
                    <w:t>3</w:t>
                  </w:r>
                  <w:r>
                    <w:rPr>
                      <w:rFonts w:hint="default" w:ascii="Times New Roman" w:hAnsi="Times New Roman" w:eastAsia="宋体" w:cs="Times New Roman"/>
                      <w:b/>
                      <w:bCs/>
                      <w:color w:val="auto"/>
                      <w:spacing w:val="-5"/>
                    </w:rPr>
                    <w:t>）</w:t>
                  </w:r>
                </w:p>
              </w:tc>
              <w:tc>
                <w:tcPr>
                  <w:tcW w:w="1161" w:type="dxa"/>
                  <w:tcBorders>
                    <w:tl2br w:val="nil"/>
                    <w:tr2bl w:val="nil"/>
                  </w:tcBorders>
                  <w:noWrap w:val="0"/>
                  <w:vAlign w:val="center"/>
                </w:tcPr>
                <w:p w14:paraId="0BBC3533">
                  <w:pPr>
                    <w:widowControl w:val="0"/>
                    <w:kinsoku/>
                    <w:adjustRightInd/>
                    <w:snapToGrid/>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4"/>
                    </w:rPr>
                    <w:t>标准值</w:t>
                  </w:r>
                  <w:r>
                    <w:rPr>
                      <w:rFonts w:hint="default" w:ascii="Times New Roman" w:hAnsi="Times New Roman" w:eastAsia="宋体" w:cs="Times New Roman"/>
                      <w:b/>
                      <w:bCs/>
                      <w:color w:val="auto"/>
                      <w:spacing w:val="-5"/>
                    </w:rPr>
                    <w:t>（μg/m</w:t>
                  </w:r>
                  <w:r>
                    <w:rPr>
                      <w:rFonts w:hint="default" w:ascii="Times New Roman" w:hAnsi="Times New Roman" w:eastAsia="宋体" w:cs="Times New Roman"/>
                      <w:b/>
                      <w:bCs/>
                      <w:color w:val="auto"/>
                      <w:spacing w:val="-5"/>
                      <w:vertAlign w:val="superscript"/>
                    </w:rPr>
                    <w:t>3</w:t>
                  </w:r>
                  <w:r>
                    <w:rPr>
                      <w:rFonts w:hint="default" w:ascii="Times New Roman" w:hAnsi="Times New Roman" w:eastAsia="宋体" w:cs="Times New Roman"/>
                      <w:b/>
                      <w:bCs/>
                      <w:color w:val="auto"/>
                      <w:spacing w:val="-5"/>
                    </w:rPr>
                    <w:t>）</w:t>
                  </w:r>
                </w:p>
              </w:tc>
              <w:tc>
                <w:tcPr>
                  <w:tcW w:w="1098" w:type="dxa"/>
                  <w:tcBorders>
                    <w:tl2br w:val="nil"/>
                    <w:tr2bl w:val="nil"/>
                  </w:tcBorders>
                  <w:noWrap w:val="0"/>
                  <w:vAlign w:val="center"/>
                </w:tcPr>
                <w:p w14:paraId="0EDCFB4D">
                  <w:pPr>
                    <w:widowControl w:val="0"/>
                    <w:kinsoku/>
                    <w:adjustRightInd/>
                    <w:snapToGrid/>
                    <w:jc w:val="center"/>
                    <w:textAlignment w:val="auto"/>
                    <w:outlineLvl w:val="9"/>
                    <w:rPr>
                      <w:rFonts w:hint="default" w:ascii="Times New Roman" w:hAnsi="Times New Roman" w:eastAsia="Times New Roman" w:cs="Times New Roman"/>
                      <w:b/>
                      <w:bCs/>
                      <w:color w:val="auto"/>
                      <w:sz w:val="21"/>
                      <w:szCs w:val="21"/>
                      <w:highlight w:val="none"/>
                    </w:rPr>
                  </w:pPr>
                  <w:r>
                    <w:rPr>
                      <w:rFonts w:hint="default" w:ascii="Times New Roman" w:hAnsi="Times New Roman" w:eastAsia="宋体" w:cs="Times New Roman"/>
                      <w:b/>
                      <w:bCs/>
                      <w:color w:val="auto"/>
                      <w:spacing w:val="-11"/>
                    </w:rPr>
                    <w:t>占标率%</w:t>
                  </w:r>
                </w:p>
              </w:tc>
              <w:tc>
                <w:tcPr>
                  <w:tcW w:w="1030" w:type="dxa"/>
                  <w:tcBorders>
                    <w:tl2br w:val="nil"/>
                    <w:tr2bl w:val="nil"/>
                  </w:tcBorders>
                  <w:noWrap w:val="0"/>
                  <w:vAlign w:val="center"/>
                </w:tcPr>
                <w:p w14:paraId="4ED82CA6">
                  <w:pPr>
                    <w:widowControl w:val="0"/>
                    <w:kinsoku/>
                    <w:adjustRightInd/>
                    <w:snapToGrid/>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3"/>
                    </w:rPr>
                    <w:t>达标情况</w:t>
                  </w:r>
                </w:p>
              </w:tc>
            </w:tr>
            <w:tr w14:paraId="11E09E47">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413" w:hRule="atLeast"/>
                <w:jc w:val="center"/>
              </w:trPr>
              <w:tc>
                <w:tcPr>
                  <w:tcW w:w="950" w:type="dxa"/>
                  <w:tcBorders>
                    <w:tl2br w:val="nil"/>
                    <w:tr2bl w:val="nil"/>
                  </w:tcBorders>
                  <w:noWrap w:val="0"/>
                  <w:vAlign w:val="center"/>
                </w:tcPr>
                <w:p w14:paraId="0617C6EB">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rPr>
                    <w:t>SO</w:t>
                  </w:r>
                  <w:r>
                    <w:rPr>
                      <w:rFonts w:hint="default" w:ascii="Times New Roman" w:hAnsi="Times New Roman" w:eastAsia="宋体" w:cs="Times New Roman"/>
                      <w:color w:val="auto"/>
                      <w:spacing w:val="-6"/>
                      <w:vertAlign w:val="subscript"/>
                    </w:rPr>
                    <w:t>2</w:t>
                  </w:r>
                </w:p>
              </w:tc>
              <w:tc>
                <w:tcPr>
                  <w:tcW w:w="2416" w:type="dxa"/>
                  <w:tcBorders>
                    <w:tl2br w:val="nil"/>
                    <w:tr2bl w:val="nil"/>
                  </w:tcBorders>
                  <w:noWrap w:val="0"/>
                  <w:vAlign w:val="center"/>
                </w:tcPr>
                <w:p w14:paraId="74FDEDB5">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rPr>
                    <w:t>年平均质量浓度</w:t>
                  </w:r>
                </w:p>
              </w:tc>
              <w:tc>
                <w:tcPr>
                  <w:tcW w:w="1341" w:type="dxa"/>
                  <w:tcBorders>
                    <w:tl2br w:val="nil"/>
                    <w:tr2bl w:val="nil"/>
                  </w:tcBorders>
                  <w:noWrap w:val="0"/>
                  <w:vAlign w:val="center"/>
                </w:tcPr>
                <w:p w14:paraId="45E584FD">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lang w:eastAsia="zh-CN"/>
                    </w:rPr>
                    <w:t>8</w:t>
                  </w:r>
                </w:p>
              </w:tc>
              <w:tc>
                <w:tcPr>
                  <w:tcW w:w="1161" w:type="dxa"/>
                  <w:tcBorders>
                    <w:tl2br w:val="nil"/>
                    <w:tr2bl w:val="nil"/>
                  </w:tcBorders>
                  <w:noWrap w:val="0"/>
                  <w:vAlign w:val="center"/>
                </w:tcPr>
                <w:p w14:paraId="4DAC5456">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rPr>
                    <w:t>60</w:t>
                  </w:r>
                </w:p>
              </w:tc>
              <w:tc>
                <w:tcPr>
                  <w:tcW w:w="1098" w:type="dxa"/>
                  <w:tcBorders>
                    <w:tl2br w:val="nil"/>
                    <w:tr2bl w:val="nil"/>
                  </w:tcBorders>
                  <w:noWrap w:val="0"/>
                  <w:vAlign w:val="center"/>
                </w:tcPr>
                <w:p w14:paraId="284E96A7">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eastAsia="zh-CN"/>
                    </w:rPr>
                    <w:t>3.3</w:t>
                  </w:r>
                </w:p>
              </w:tc>
              <w:tc>
                <w:tcPr>
                  <w:tcW w:w="1030" w:type="dxa"/>
                  <w:tcBorders>
                    <w:tl2br w:val="nil"/>
                    <w:tr2bl w:val="nil"/>
                  </w:tcBorders>
                  <w:noWrap w:val="0"/>
                  <w:vAlign w:val="center"/>
                </w:tcPr>
                <w:p w14:paraId="3A48D47D">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rPr>
                    <w:t>达标</w:t>
                  </w:r>
                </w:p>
              </w:tc>
            </w:tr>
            <w:tr w14:paraId="48575B5F">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380" w:hRule="atLeast"/>
                <w:jc w:val="center"/>
              </w:trPr>
              <w:tc>
                <w:tcPr>
                  <w:tcW w:w="950" w:type="dxa"/>
                  <w:tcBorders>
                    <w:tl2br w:val="nil"/>
                    <w:tr2bl w:val="nil"/>
                  </w:tcBorders>
                  <w:noWrap w:val="0"/>
                  <w:vAlign w:val="center"/>
                </w:tcPr>
                <w:p w14:paraId="3A821CEE">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rPr>
                    <w:t>NO</w:t>
                  </w:r>
                  <w:r>
                    <w:rPr>
                      <w:rFonts w:hint="default" w:ascii="Times New Roman" w:hAnsi="Times New Roman" w:eastAsia="宋体" w:cs="Times New Roman"/>
                      <w:color w:val="auto"/>
                      <w:vertAlign w:val="subscript"/>
                    </w:rPr>
                    <w:t>2</w:t>
                  </w:r>
                </w:p>
              </w:tc>
              <w:tc>
                <w:tcPr>
                  <w:tcW w:w="2416" w:type="dxa"/>
                  <w:tcBorders>
                    <w:tl2br w:val="nil"/>
                    <w:tr2bl w:val="nil"/>
                  </w:tcBorders>
                  <w:noWrap w:val="0"/>
                  <w:vAlign w:val="center"/>
                </w:tcPr>
                <w:p w14:paraId="0A9A15C1">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rPr>
                    <w:t>年平均质量浓度</w:t>
                  </w:r>
                </w:p>
              </w:tc>
              <w:tc>
                <w:tcPr>
                  <w:tcW w:w="1341" w:type="dxa"/>
                  <w:tcBorders>
                    <w:tl2br w:val="nil"/>
                    <w:tr2bl w:val="nil"/>
                  </w:tcBorders>
                  <w:noWrap w:val="0"/>
                  <w:vAlign w:val="center"/>
                </w:tcPr>
                <w:p w14:paraId="776ECC3B">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lang w:eastAsia="zh-CN"/>
                    </w:rPr>
                    <w:t>1</w:t>
                  </w:r>
                  <w:r>
                    <w:rPr>
                      <w:rFonts w:hint="default" w:ascii="Times New Roman" w:hAnsi="Times New Roman" w:cs="Times New Roman"/>
                      <w:color w:val="auto"/>
                      <w:lang w:val="en-US" w:eastAsia="zh-CN"/>
                    </w:rPr>
                    <w:t>7</w:t>
                  </w:r>
                </w:p>
              </w:tc>
              <w:tc>
                <w:tcPr>
                  <w:tcW w:w="1161" w:type="dxa"/>
                  <w:tcBorders>
                    <w:tl2br w:val="nil"/>
                    <w:tr2bl w:val="nil"/>
                  </w:tcBorders>
                  <w:noWrap w:val="0"/>
                  <w:vAlign w:val="center"/>
                </w:tcPr>
                <w:p w14:paraId="3A4FE216">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rPr>
                    <w:t>40</w:t>
                  </w:r>
                </w:p>
              </w:tc>
              <w:tc>
                <w:tcPr>
                  <w:tcW w:w="1098" w:type="dxa"/>
                  <w:tcBorders>
                    <w:tl2br w:val="nil"/>
                    <w:tr2bl w:val="nil"/>
                  </w:tcBorders>
                  <w:noWrap w:val="0"/>
                  <w:vAlign w:val="center"/>
                </w:tcPr>
                <w:p w14:paraId="42483932">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lang w:eastAsia="zh-CN"/>
                    </w:rPr>
                    <w:t>4</w:t>
                  </w:r>
                  <w:r>
                    <w:rPr>
                      <w:rFonts w:hint="default" w:ascii="Times New Roman" w:hAnsi="Times New Roman" w:cs="Times New Roman"/>
                      <w:color w:val="auto"/>
                      <w:lang w:val="en-US" w:eastAsia="zh-CN"/>
                    </w:rPr>
                    <w:t>2.5</w:t>
                  </w:r>
                </w:p>
              </w:tc>
              <w:tc>
                <w:tcPr>
                  <w:tcW w:w="1030" w:type="dxa"/>
                  <w:tcBorders>
                    <w:tl2br w:val="nil"/>
                    <w:tr2bl w:val="nil"/>
                  </w:tcBorders>
                  <w:noWrap w:val="0"/>
                  <w:vAlign w:val="center"/>
                </w:tcPr>
                <w:p w14:paraId="79DE79A5">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rPr>
                    <w:t>达标</w:t>
                  </w:r>
                </w:p>
              </w:tc>
            </w:tr>
            <w:tr w14:paraId="4EC2B8A6">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413" w:hRule="atLeast"/>
                <w:jc w:val="center"/>
              </w:trPr>
              <w:tc>
                <w:tcPr>
                  <w:tcW w:w="950" w:type="dxa"/>
                  <w:tcBorders>
                    <w:tl2br w:val="nil"/>
                    <w:tr2bl w:val="nil"/>
                  </w:tcBorders>
                  <w:noWrap w:val="0"/>
                  <w:vAlign w:val="center"/>
                </w:tcPr>
                <w:p w14:paraId="423DDCFB">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pacing w:val="-1"/>
                    </w:rPr>
                    <w:t>PM</w:t>
                  </w:r>
                  <w:r>
                    <w:rPr>
                      <w:rFonts w:hint="default" w:ascii="Times New Roman" w:hAnsi="Times New Roman" w:eastAsia="宋体" w:cs="Times New Roman"/>
                      <w:color w:val="auto"/>
                      <w:spacing w:val="-1"/>
                      <w:position w:val="-1"/>
                      <w:vertAlign w:val="subscript"/>
                    </w:rPr>
                    <w:t>10</w:t>
                  </w:r>
                </w:p>
              </w:tc>
              <w:tc>
                <w:tcPr>
                  <w:tcW w:w="2416" w:type="dxa"/>
                  <w:tcBorders>
                    <w:tl2br w:val="nil"/>
                    <w:tr2bl w:val="nil"/>
                  </w:tcBorders>
                  <w:noWrap w:val="0"/>
                  <w:vAlign w:val="center"/>
                </w:tcPr>
                <w:p w14:paraId="0ED218B1">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rPr>
                    <w:t>年平均质量浓度</w:t>
                  </w:r>
                </w:p>
              </w:tc>
              <w:tc>
                <w:tcPr>
                  <w:tcW w:w="1341" w:type="dxa"/>
                  <w:tcBorders>
                    <w:tl2br w:val="nil"/>
                    <w:tr2bl w:val="nil"/>
                  </w:tcBorders>
                  <w:noWrap w:val="0"/>
                  <w:vAlign w:val="center"/>
                </w:tcPr>
                <w:p w14:paraId="6F7C421C">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43</w:t>
                  </w:r>
                </w:p>
              </w:tc>
              <w:tc>
                <w:tcPr>
                  <w:tcW w:w="1161" w:type="dxa"/>
                  <w:tcBorders>
                    <w:tl2br w:val="nil"/>
                    <w:tr2bl w:val="nil"/>
                  </w:tcBorders>
                  <w:noWrap w:val="0"/>
                  <w:vAlign w:val="center"/>
                </w:tcPr>
                <w:p w14:paraId="0F0806AD">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lang w:val="en-US"/>
                    </w:rPr>
                  </w:pPr>
                  <w:r>
                    <w:rPr>
                      <w:rFonts w:hint="eastAsia" w:cs="Times New Roman"/>
                      <w:color w:val="auto"/>
                      <w:lang w:val="en-US" w:eastAsia="zh-CN"/>
                    </w:rPr>
                    <w:t>60</w:t>
                  </w:r>
                </w:p>
              </w:tc>
              <w:tc>
                <w:tcPr>
                  <w:tcW w:w="1098" w:type="dxa"/>
                  <w:tcBorders>
                    <w:tl2br w:val="nil"/>
                    <w:tr2bl w:val="nil"/>
                  </w:tcBorders>
                  <w:noWrap w:val="0"/>
                  <w:vAlign w:val="center"/>
                </w:tcPr>
                <w:p w14:paraId="254372AE">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71.7</w:t>
                  </w:r>
                </w:p>
              </w:tc>
              <w:tc>
                <w:tcPr>
                  <w:tcW w:w="1030" w:type="dxa"/>
                  <w:tcBorders>
                    <w:tl2br w:val="nil"/>
                    <w:tr2bl w:val="nil"/>
                  </w:tcBorders>
                  <w:noWrap w:val="0"/>
                  <w:vAlign w:val="center"/>
                </w:tcPr>
                <w:p w14:paraId="7098C640">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rPr>
                    <w:t>达标</w:t>
                  </w:r>
                </w:p>
              </w:tc>
            </w:tr>
            <w:tr w14:paraId="37842114">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413" w:hRule="atLeast"/>
                <w:jc w:val="center"/>
              </w:trPr>
              <w:tc>
                <w:tcPr>
                  <w:tcW w:w="950" w:type="dxa"/>
                  <w:tcBorders>
                    <w:tl2br w:val="nil"/>
                    <w:tr2bl w:val="nil"/>
                  </w:tcBorders>
                  <w:noWrap w:val="0"/>
                  <w:vAlign w:val="center"/>
                </w:tcPr>
                <w:p w14:paraId="49124DD7">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rPr>
                    <w:t>PM</w:t>
                  </w:r>
                  <w:r>
                    <w:rPr>
                      <w:rFonts w:hint="default" w:ascii="Times New Roman" w:hAnsi="Times New Roman" w:eastAsia="宋体" w:cs="Times New Roman"/>
                      <w:color w:val="auto"/>
                      <w:position w:val="-1"/>
                      <w:vertAlign w:val="subscript"/>
                    </w:rPr>
                    <w:t>2.5</w:t>
                  </w:r>
                </w:p>
              </w:tc>
              <w:tc>
                <w:tcPr>
                  <w:tcW w:w="2416" w:type="dxa"/>
                  <w:tcBorders>
                    <w:tl2br w:val="nil"/>
                    <w:tr2bl w:val="nil"/>
                  </w:tcBorders>
                  <w:noWrap w:val="0"/>
                  <w:vAlign w:val="center"/>
                </w:tcPr>
                <w:p w14:paraId="1959EBA7">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rPr>
                    <w:t>年平均质量浓度</w:t>
                  </w:r>
                </w:p>
              </w:tc>
              <w:tc>
                <w:tcPr>
                  <w:tcW w:w="1341" w:type="dxa"/>
                  <w:tcBorders>
                    <w:tl2br w:val="nil"/>
                    <w:tr2bl w:val="nil"/>
                  </w:tcBorders>
                  <w:noWrap w:val="0"/>
                  <w:vAlign w:val="center"/>
                </w:tcPr>
                <w:p w14:paraId="475B2CEA">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26</w:t>
                  </w:r>
                </w:p>
              </w:tc>
              <w:tc>
                <w:tcPr>
                  <w:tcW w:w="1161" w:type="dxa"/>
                  <w:tcBorders>
                    <w:tl2br w:val="nil"/>
                    <w:tr2bl w:val="nil"/>
                  </w:tcBorders>
                  <w:noWrap w:val="0"/>
                  <w:vAlign w:val="center"/>
                </w:tcPr>
                <w:p w14:paraId="4E29043C">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eastAsia" w:cs="Times New Roman"/>
                      <w:color w:val="auto"/>
                      <w:lang w:val="en-US" w:eastAsia="zh-CN"/>
                    </w:rPr>
                    <w:t>30</w:t>
                  </w:r>
                </w:p>
              </w:tc>
              <w:tc>
                <w:tcPr>
                  <w:tcW w:w="1098" w:type="dxa"/>
                  <w:tcBorders>
                    <w:tl2br w:val="nil"/>
                    <w:tr2bl w:val="nil"/>
                  </w:tcBorders>
                  <w:noWrap w:val="0"/>
                  <w:vAlign w:val="center"/>
                </w:tcPr>
                <w:p w14:paraId="7C17F779">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86.7</w:t>
                  </w:r>
                </w:p>
              </w:tc>
              <w:tc>
                <w:tcPr>
                  <w:tcW w:w="1030" w:type="dxa"/>
                  <w:tcBorders>
                    <w:tl2br w:val="nil"/>
                    <w:tr2bl w:val="nil"/>
                  </w:tcBorders>
                  <w:noWrap w:val="0"/>
                  <w:vAlign w:val="center"/>
                </w:tcPr>
                <w:p w14:paraId="4F2A6BB4">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rPr>
                    <w:t>达标</w:t>
                  </w:r>
                </w:p>
              </w:tc>
            </w:tr>
            <w:tr w14:paraId="34600F91">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748" w:hRule="atLeast"/>
                <w:jc w:val="center"/>
              </w:trPr>
              <w:tc>
                <w:tcPr>
                  <w:tcW w:w="950" w:type="dxa"/>
                  <w:tcBorders>
                    <w:tl2br w:val="nil"/>
                    <w:tr2bl w:val="nil"/>
                  </w:tcBorders>
                  <w:noWrap w:val="0"/>
                  <w:vAlign w:val="center"/>
                </w:tcPr>
                <w:p w14:paraId="1D2FC712">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pacing w:val="-5"/>
                    </w:rPr>
                    <w:t>CO</w:t>
                  </w:r>
                </w:p>
              </w:tc>
              <w:tc>
                <w:tcPr>
                  <w:tcW w:w="2416" w:type="dxa"/>
                  <w:tcBorders>
                    <w:tl2br w:val="nil"/>
                    <w:tr2bl w:val="nil"/>
                  </w:tcBorders>
                  <w:noWrap w:val="0"/>
                  <w:vAlign w:val="center"/>
                </w:tcPr>
                <w:p w14:paraId="3E897CF1">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lang w:eastAsia="zh-CN"/>
                    </w:rPr>
                    <w:t>第95百分位数24小时平均</w:t>
                  </w:r>
                  <w:r>
                    <w:rPr>
                      <w:rFonts w:hint="default" w:ascii="Times New Roman" w:hAnsi="Times New Roman" w:eastAsia="宋体" w:cs="Times New Roman"/>
                      <w:color w:val="auto"/>
                      <w:spacing w:val="-3"/>
                      <w:lang w:eastAsia="zh-CN"/>
                    </w:rPr>
                    <w:t>质量浓度</w:t>
                  </w:r>
                </w:p>
              </w:tc>
              <w:tc>
                <w:tcPr>
                  <w:tcW w:w="1341" w:type="dxa"/>
                  <w:tcBorders>
                    <w:tl2br w:val="nil"/>
                    <w:tr2bl w:val="nil"/>
                  </w:tcBorders>
                  <w:noWrap w:val="0"/>
                  <w:vAlign w:val="center"/>
                </w:tcPr>
                <w:p w14:paraId="1397CBAC">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0.9</w:t>
                  </w:r>
                  <w:r>
                    <w:rPr>
                      <w:rFonts w:hint="default" w:ascii="Times New Roman" w:hAnsi="Times New Roman" w:eastAsia="宋体" w:cs="Times New Roman"/>
                      <w:color w:val="auto"/>
                    </w:rPr>
                    <w:t>mg/m</w:t>
                  </w:r>
                  <w:r>
                    <w:rPr>
                      <w:rFonts w:hint="default" w:ascii="Times New Roman" w:hAnsi="Times New Roman" w:eastAsia="宋体" w:cs="Times New Roman"/>
                      <w:color w:val="auto"/>
                      <w:vertAlign w:val="superscript"/>
                    </w:rPr>
                    <w:t>3</w:t>
                  </w:r>
                </w:p>
              </w:tc>
              <w:tc>
                <w:tcPr>
                  <w:tcW w:w="1161" w:type="dxa"/>
                  <w:tcBorders>
                    <w:tl2br w:val="nil"/>
                    <w:tr2bl w:val="nil"/>
                  </w:tcBorders>
                  <w:noWrap w:val="0"/>
                  <w:vAlign w:val="center"/>
                </w:tcPr>
                <w:p w14:paraId="2B1890CA">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rPr>
                    <w:t>4mg/m</w:t>
                  </w:r>
                  <w:r>
                    <w:rPr>
                      <w:rFonts w:hint="default" w:ascii="Times New Roman" w:hAnsi="Times New Roman" w:eastAsia="宋体" w:cs="Times New Roman"/>
                      <w:color w:val="auto"/>
                      <w:vertAlign w:val="superscript"/>
                    </w:rPr>
                    <w:t>3</w:t>
                  </w:r>
                </w:p>
              </w:tc>
              <w:tc>
                <w:tcPr>
                  <w:tcW w:w="1098" w:type="dxa"/>
                  <w:tcBorders>
                    <w:tl2br w:val="nil"/>
                    <w:tr2bl w:val="nil"/>
                  </w:tcBorders>
                  <w:noWrap w:val="0"/>
                  <w:vAlign w:val="center"/>
                </w:tcPr>
                <w:p w14:paraId="5EE70E1F">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22.5</w:t>
                  </w:r>
                </w:p>
              </w:tc>
              <w:tc>
                <w:tcPr>
                  <w:tcW w:w="1030" w:type="dxa"/>
                  <w:tcBorders>
                    <w:tl2br w:val="nil"/>
                    <w:tr2bl w:val="nil"/>
                  </w:tcBorders>
                  <w:noWrap w:val="0"/>
                  <w:vAlign w:val="center"/>
                </w:tcPr>
                <w:p w14:paraId="7CB3440A">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rPr>
                    <w:t>达标</w:t>
                  </w:r>
                </w:p>
              </w:tc>
            </w:tr>
            <w:tr w14:paraId="3D181071">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783" w:hRule="atLeast"/>
                <w:jc w:val="center"/>
              </w:trPr>
              <w:tc>
                <w:tcPr>
                  <w:tcW w:w="950" w:type="dxa"/>
                  <w:tcBorders>
                    <w:tl2br w:val="nil"/>
                    <w:tr2bl w:val="nil"/>
                  </w:tcBorders>
                  <w:noWrap w:val="0"/>
                  <w:vAlign w:val="center"/>
                </w:tcPr>
                <w:p w14:paraId="44371AA2">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5"/>
                    </w:rPr>
                    <w:t>O</w:t>
                  </w:r>
                  <w:r>
                    <w:rPr>
                      <w:rFonts w:hint="default" w:ascii="Times New Roman" w:hAnsi="Times New Roman" w:eastAsia="宋体" w:cs="Times New Roman"/>
                      <w:color w:val="auto"/>
                      <w:spacing w:val="-5"/>
                      <w:vertAlign w:val="subscript"/>
                    </w:rPr>
                    <w:t>3</w:t>
                  </w:r>
                </w:p>
              </w:tc>
              <w:tc>
                <w:tcPr>
                  <w:tcW w:w="2416" w:type="dxa"/>
                  <w:tcBorders>
                    <w:tl2br w:val="nil"/>
                    <w:tr2bl w:val="nil"/>
                  </w:tcBorders>
                  <w:noWrap w:val="0"/>
                  <w:vAlign w:val="center"/>
                </w:tcPr>
                <w:p w14:paraId="25601389">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lang w:eastAsia="zh-CN"/>
                    </w:rPr>
                    <w:t>第90百分位数日最大8小时</w:t>
                  </w:r>
                  <w:r>
                    <w:rPr>
                      <w:rFonts w:hint="default" w:ascii="Times New Roman" w:hAnsi="Times New Roman" w:eastAsia="宋体" w:cs="Times New Roman"/>
                      <w:color w:val="auto"/>
                      <w:spacing w:val="-2"/>
                      <w:lang w:eastAsia="zh-CN"/>
                    </w:rPr>
                    <w:t>平均质量浓度</w:t>
                  </w:r>
                </w:p>
              </w:tc>
              <w:tc>
                <w:tcPr>
                  <w:tcW w:w="1341" w:type="dxa"/>
                  <w:tcBorders>
                    <w:tl2br w:val="nil"/>
                    <w:tr2bl w:val="nil"/>
                  </w:tcBorders>
                  <w:noWrap w:val="0"/>
                  <w:vAlign w:val="center"/>
                </w:tcPr>
                <w:p w14:paraId="172651FE">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115</w:t>
                  </w:r>
                </w:p>
              </w:tc>
              <w:tc>
                <w:tcPr>
                  <w:tcW w:w="1161" w:type="dxa"/>
                  <w:tcBorders>
                    <w:tl2br w:val="nil"/>
                    <w:tr2bl w:val="nil"/>
                  </w:tcBorders>
                  <w:noWrap w:val="0"/>
                  <w:vAlign w:val="center"/>
                </w:tcPr>
                <w:p w14:paraId="26CA66C1">
                  <w:pPr>
                    <w:widowControl w:val="0"/>
                    <w:kinsoku/>
                    <w:adjustRightInd/>
                    <w:snapToGrid/>
                    <w:jc w:val="center"/>
                    <w:textAlignment w:val="auto"/>
                    <w:outlineLvl w:val="9"/>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lang w:eastAsia="zh-CN"/>
                    </w:rPr>
                    <w:t>160</w:t>
                  </w:r>
                </w:p>
              </w:tc>
              <w:tc>
                <w:tcPr>
                  <w:tcW w:w="1098" w:type="dxa"/>
                  <w:tcBorders>
                    <w:tl2br w:val="nil"/>
                    <w:tr2bl w:val="nil"/>
                  </w:tcBorders>
                  <w:noWrap w:val="0"/>
                  <w:vAlign w:val="center"/>
                </w:tcPr>
                <w:p w14:paraId="4B374448">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lang w:val="en-US" w:eastAsia="zh-CN"/>
                    </w:rPr>
                    <w:t>71.9</w:t>
                  </w:r>
                </w:p>
              </w:tc>
              <w:tc>
                <w:tcPr>
                  <w:tcW w:w="1030" w:type="dxa"/>
                  <w:tcBorders>
                    <w:tl2br w:val="nil"/>
                    <w:tr2bl w:val="nil"/>
                  </w:tcBorders>
                  <w:noWrap w:val="0"/>
                  <w:vAlign w:val="center"/>
                </w:tcPr>
                <w:p w14:paraId="10F639C2">
                  <w:pPr>
                    <w:widowControl w:val="0"/>
                    <w:kinsoku/>
                    <w:adjustRightInd/>
                    <w:snapToGrid/>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lang w:eastAsia="zh-CN"/>
                    </w:rPr>
                    <w:t>达标</w:t>
                  </w:r>
                </w:p>
              </w:tc>
            </w:tr>
          </w:tbl>
          <w:p w14:paraId="12E6DD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1"/>
                <w:sz w:val="24"/>
                <w:szCs w:val="24"/>
                <w:highlight w:val="none"/>
              </w:rPr>
            </w:pPr>
            <w:r>
              <w:rPr>
                <w:rFonts w:hint="default" w:ascii="Times New Roman" w:hAnsi="Times New Roman" w:eastAsia="宋体" w:cs="Times New Roman"/>
                <w:color w:val="auto"/>
                <w:kern w:val="21"/>
                <w:sz w:val="24"/>
                <w:szCs w:val="24"/>
                <w:highlight w:val="none"/>
              </w:rPr>
              <w:t>根据上表数据可知，项目所在区域SO</w:t>
            </w:r>
            <w:r>
              <w:rPr>
                <w:rFonts w:hint="default" w:ascii="Times New Roman" w:hAnsi="Times New Roman" w:eastAsia="宋体" w:cs="Times New Roman"/>
                <w:color w:val="auto"/>
                <w:kern w:val="21"/>
                <w:sz w:val="24"/>
                <w:szCs w:val="24"/>
                <w:highlight w:val="none"/>
                <w:vertAlign w:val="subscript"/>
              </w:rPr>
              <w:t>2</w:t>
            </w:r>
            <w:r>
              <w:rPr>
                <w:rFonts w:hint="default" w:ascii="Times New Roman" w:hAnsi="Times New Roman" w:eastAsia="宋体" w:cs="Times New Roman"/>
                <w:color w:val="auto"/>
                <w:kern w:val="21"/>
                <w:sz w:val="24"/>
                <w:szCs w:val="24"/>
                <w:highlight w:val="none"/>
              </w:rPr>
              <w:t>、NO</w:t>
            </w:r>
            <w:r>
              <w:rPr>
                <w:rFonts w:hint="default" w:ascii="Times New Roman" w:hAnsi="Times New Roman" w:eastAsia="宋体" w:cs="Times New Roman"/>
                <w:color w:val="auto"/>
                <w:kern w:val="21"/>
                <w:sz w:val="24"/>
                <w:szCs w:val="24"/>
                <w:highlight w:val="none"/>
                <w:vertAlign w:val="subscript"/>
              </w:rPr>
              <w:t>2</w:t>
            </w:r>
            <w:r>
              <w:rPr>
                <w:rFonts w:hint="default" w:ascii="Times New Roman" w:hAnsi="Times New Roman" w:eastAsia="宋体" w:cs="Times New Roman"/>
                <w:color w:val="auto"/>
                <w:kern w:val="21"/>
                <w:sz w:val="24"/>
                <w:szCs w:val="24"/>
                <w:highlight w:val="none"/>
              </w:rPr>
              <w:t>、PM</w:t>
            </w:r>
            <w:r>
              <w:rPr>
                <w:rFonts w:hint="default" w:ascii="Times New Roman" w:hAnsi="Times New Roman" w:eastAsia="宋体" w:cs="Times New Roman"/>
                <w:color w:val="auto"/>
                <w:kern w:val="21"/>
                <w:sz w:val="24"/>
                <w:szCs w:val="24"/>
                <w:highlight w:val="none"/>
                <w:vertAlign w:val="subscript"/>
              </w:rPr>
              <w:t>10</w:t>
            </w:r>
            <w:r>
              <w:rPr>
                <w:rFonts w:hint="default" w:ascii="Times New Roman" w:hAnsi="Times New Roman" w:eastAsia="宋体" w:cs="Times New Roman"/>
                <w:color w:val="auto"/>
                <w:kern w:val="21"/>
                <w:sz w:val="24"/>
                <w:szCs w:val="24"/>
                <w:highlight w:val="none"/>
              </w:rPr>
              <w:t>、PM</w:t>
            </w:r>
            <w:r>
              <w:rPr>
                <w:rFonts w:hint="default" w:ascii="Times New Roman" w:hAnsi="Times New Roman" w:eastAsia="宋体" w:cs="Times New Roman"/>
                <w:color w:val="auto"/>
                <w:kern w:val="21"/>
                <w:sz w:val="24"/>
                <w:szCs w:val="24"/>
                <w:highlight w:val="none"/>
                <w:vertAlign w:val="subscript"/>
              </w:rPr>
              <w:t>2.5</w:t>
            </w:r>
            <w:r>
              <w:rPr>
                <w:rFonts w:hint="default" w:ascii="Times New Roman" w:hAnsi="Times New Roman" w:eastAsia="宋体" w:cs="Times New Roman"/>
                <w:color w:val="auto"/>
                <w:kern w:val="21"/>
                <w:sz w:val="24"/>
                <w:szCs w:val="24"/>
                <w:highlight w:val="none"/>
              </w:rPr>
              <w:t>、CO、O</w:t>
            </w:r>
            <w:r>
              <w:rPr>
                <w:rFonts w:hint="default" w:ascii="Times New Roman" w:hAnsi="Times New Roman" w:eastAsia="宋体" w:cs="Times New Roman"/>
                <w:color w:val="auto"/>
                <w:kern w:val="21"/>
                <w:sz w:val="24"/>
                <w:szCs w:val="24"/>
                <w:highlight w:val="none"/>
                <w:vertAlign w:val="subscript"/>
              </w:rPr>
              <w:t>3</w:t>
            </w:r>
            <w:r>
              <w:rPr>
                <w:rFonts w:hint="default" w:ascii="Times New Roman" w:hAnsi="Times New Roman" w:eastAsia="宋体" w:cs="Times New Roman"/>
                <w:color w:val="auto"/>
                <w:kern w:val="21"/>
                <w:sz w:val="24"/>
                <w:szCs w:val="24"/>
                <w:highlight w:val="none"/>
              </w:rPr>
              <w:t>的年评价指标均能达到</w:t>
            </w:r>
            <w:r>
              <w:rPr>
                <w:rFonts w:hint="eastAsia" w:cs="Times New Roman"/>
                <w:color w:val="auto"/>
                <w:kern w:val="21"/>
                <w:sz w:val="24"/>
                <w:szCs w:val="24"/>
                <w:highlight w:val="none"/>
                <w:lang w:eastAsia="zh-CN"/>
              </w:rPr>
              <w:t>《环境空气质量标准》（GB3095-2026）中二级标准限值</w:t>
            </w:r>
            <w:r>
              <w:rPr>
                <w:rFonts w:hint="default" w:ascii="Times New Roman" w:hAnsi="Times New Roman" w:eastAsia="宋体" w:cs="Times New Roman"/>
                <w:color w:val="auto"/>
                <w:kern w:val="21"/>
                <w:sz w:val="24"/>
                <w:szCs w:val="24"/>
                <w:highlight w:val="none"/>
              </w:rPr>
              <w:t>，因此，项目所在区域为达标区。</w:t>
            </w:r>
          </w:p>
          <w:p w14:paraId="005477B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21"/>
                <w:sz w:val="24"/>
                <w:highlight w:val="none"/>
              </w:rPr>
            </w:pPr>
            <w:r>
              <w:rPr>
                <w:rFonts w:hint="default" w:ascii="Times New Roman" w:hAnsi="Times New Roman" w:cs="Times New Roman"/>
                <w:color w:val="auto"/>
                <w:kern w:val="21"/>
                <w:sz w:val="24"/>
                <w:highlight w:val="none"/>
              </w:rPr>
              <w:t>（2）其他污染物环境质量现状</w:t>
            </w:r>
          </w:p>
          <w:p w14:paraId="23E685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Times New Roman" w:cs="Times New Roman"/>
                <w:color w:val="auto"/>
                <w:kern w:val="21"/>
                <w:sz w:val="24"/>
                <w:highlight w:val="none"/>
              </w:rPr>
            </w:pPr>
            <w:r>
              <w:rPr>
                <w:rFonts w:hint="default" w:ascii="Times New Roman" w:hAnsi="Times New Roman" w:cs="Times New Roman"/>
                <w:color w:val="auto"/>
                <w:kern w:val="21"/>
                <w:sz w:val="24"/>
                <w:highlight w:val="none"/>
              </w:rPr>
              <w:t>根据《建设项目环境影响报告表编制技术指南（污染影响类）（试行）》（环办环评</w:t>
            </w:r>
            <w:r>
              <w:rPr>
                <w:rFonts w:hint="default" w:ascii="Times New Roman" w:hAnsi="Times New Roman" w:eastAsia="Times New Roman" w:cs="Times New Roman"/>
                <w:color w:val="auto"/>
                <w:kern w:val="21"/>
                <w:sz w:val="24"/>
                <w:highlight w:val="none"/>
              </w:rPr>
              <w:t>[2020]33</w:t>
            </w:r>
            <w:r>
              <w:rPr>
                <w:rFonts w:hint="default" w:ascii="Times New Roman" w:hAnsi="Times New Roman" w:cs="Times New Roman"/>
                <w:color w:val="auto"/>
                <w:kern w:val="21"/>
                <w:sz w:val="24"/>
                <w:highlight w:val="none"/>
              </w:rPr>
              <w:t>号），</w:t>
            </w:r>
            <w:r>
              <w:rPr>
                <w:rFonts w:hint="eastAsia" w:ascii="Times New Roman" w:hAnsi="Times New Roman" w:cs="Times New Roman"/>
                <w:color w:val="auto"/>
                <w:kern w:val="21"/>
                <w:sz w:val="24"/>
                <w:highlight w:val="none"/>
                <w:lang w:eastAsia="zh-CN"/>
              </w:rPr>
              <w:t>“</w:t>
            </w:r>
            <w:r>
              <w:rPr>
                <w:rFonts w:hint="default" w:ascii="Times New Roman" w:hAnsi="Times New Roman" w:cs="Times New Roman"/>
                <w:color w:val="auto"/>
                <w:kern w:val="21"/>
                <w:sz w:val="24"/>
                <w:highlight w:val="none"/>
              </w:rPr>
              <w:t>排放国家、地方环境空气质量标准中有标准限值要求的特征污染物时，引用建设项目周边</w:t>
            </w:r>
            <w:r>
              <w:rPr>
                <w:rFonts w:hint="default" w:ascii="Times New Roman" w:hAnsi="Times New Roman" w:eastAsia="Times New Roman" w:cs="Times New Roman"/>
                <w:color w:val="auto"/>
                <w:kern w:val="21"/>
                <w:sz w:val="24"/>
                <w:highlight w:val="none"/>
              </w:rPr>
              <w:t>5</w:t>
            </w:r>
            <w:r>
              <w:rPr>
                <w:rFonts w:hint="default" w:ascii="Times New Roman" w:hAnsi="Times New Roman" w:cs="Times New Roman"/>
                <w:color w:val="auto"/>
                <w:kern w:val="21"/>
                <w:sz w:val="24"/>
                <w:highlight w:val="none"/>
              </w:rPr>
              <w:t>千米范围内近</w:t>
            </w:r>
            <w:r>
              <w:rPr>
                <w:rFonts w:hint="default" w:ascii="Times New Roman" w:hAnsi="Times New Roman" w:eastAsia="Times New Roman" w:cs="Times New Roman"/>
                <w:color w:val="auto"/>
                <w:kern w:val="21"/>
                <w:sz w:val="24"/>
                <w:highlight w:val="none"/>
              </w:rPr>
              <w:t>3</w:t>
            </w:r>
            <w:r>
              <w:rPr>
                <w:rFonts w:hint="default" w:ascii="Times New Roman" w:hAnsi="Times New Roman" w:cs="Times New Roman"/>
                <w:color w:val="auto"/>
                <w:kern w:val="21"/>
                <w:sz w:val="24"/>
                <w:highlight w:val="none"/>
              </w:rPr>
              <w:t>年的现有监测数据，无相关数据的选择当季主导风向下风向</w:t>
            </w:r>
            <w:r>
              <w:rPr>
                <w:rFonts w:hint="default" w:ascii="Times New Roman" w:hAnsi="Times New Roman" w:eastAsia="Times New Roman" w:cs="Times New Roman"/>
                <w:color w:val="auto"/>
                <w:kern w:val="21"/>
                <w:sz w:val="24"/>
                <w:highlight w:val="none"/>
              </w:rPr>
              <w:t>1</w:t>
            </w:r>
            <w:r>
              <w:rPr>
                <w:rFonts w:hint="default" w:ascii="Times New Roman" w:hAnsi="Times New Roman" w:cs="Times New Roman"/>
                <w:color w:val="auto"/>
                <w:kern w:val="21"/>
                <w:sz w:val="24"/>
                <w:highlight w:val="none"/>
              </w:rPr>
              <w:t>个点位补充不少于</w:t>
            </w:r>
            <w:r>
              <w:rPr>
                <w:rFonts w:hint="default" w:ascii="Times New Roman" w:hAnsi="Times New Roman" w:eastAsia="Times New Roman" w:cs="Times New Roman"/>
                <w:color w:val="auto"/>
                <w:kern w:val="21"/>
                <w:sz w:val="24"/>
                <w:highlight w:val="none"/>
              </w:rPr>
              <w:t>3</w:t>
            </w:r>
            <w:r>
              <w:rPr>
                <w:rFonts w:hint="default" w:ascii="Times New Roman" w:hAnsi="Times New Roman" w:cs="Times New Roman"/>
                <w:color w:val="auto"/>
                <w:kern w:val="21"/>
                <w:sz w:val="24"/>
                <w:highlight w:val="none"/>
              </w:rPr>
              <w:t>天的监测数</w:t>
            </w:r>
            <w:r>
              <w:rPr>
                <w:rFonts w:hint="default" w:ascii="Times New Roman" w:hAnsi="Times New Roman" w:eastAsia="Times New Roman" w:cs="Times New Roman"/>
                <w:color w:val="auto"/>
                <w:kern w:val="21"/>
                <w:sz w:val="24"/>
                <w:highlight w:val="none"/>
              </w:rPr>
              <w:t>据</w:t>
            </w:r>
            <w:r>
              <w:rPr>
                <w:rFonts w:hint="eastAsia" w:ascii="Times New Roman" w:hAnsi="Times New Roman" w:cs="Times New Roman"/>
                <w:color w:val="auto"/>
                <w:kern w:val="21"/>
                <w:sz w:val="24"/>
                <w:highlight w:val="none"/>
                <w:lang w:eastAsia="zh-CN"/>
              </w:rPr>
              <w:t>”</w:t>
            </w:r>
            <w:r>
              <w:rPr>
                <w:rFonts w:hint="default" w:ascii="Times New Roman" w:hAnsi="Times New Roman" w:eastAsia="Times New Roman" w:cs="Times New Roman"/>
                <w:color w:val="auto"/>
                <w:kern w:val="21"/>
                <w:sz w:val="24"/>
                <w:highlight w:val="none"/>
              </w:rPr>
              <w:t>。</w:t>
            </w:r>
          </w:p>
          <w:p w14:paraId="3FDD7CE2">
            <w:pPr>
              <w:keepNext w:val="0"/>
              <w:keepLines w:val="0"/>
              <w:pageBreakBefore w:val="0"/>
              <w:widowControl/>
              <w:kinsoku/>
              <w:wordWrap/>
              <w:overflowPunct/>
              <w:topLinePunct w:val="0"/>
              <w:autoSpaceDE/>
              <w:autoSpaceDN/>
              <w:bidi w:val="0"/>
              <w:spacing w:line="360" w:lineRule="auto"/>
              <w:ind w:firstLine="480" w:firstLineChars="200"/>
              <w:rPr>
                <w:rFonts w:hint="default" w:ascii="Times New Roman" w:hAnsi="Times New Roman" w:eastAsia="宋体" w:cs="Times New Roman"/>
                <w:color w:val="auto"/>
                <w:kern w:val="21"/>
                <w:sz w:val="24"/>
                <w:highlight w:val="none"/>
                <w:lang w:val="en-US" w:eastAsia="zh-CN"/>
              </w:rPr>
            </w:pPr>
            <w:r>
              <w:rPr>
                <w:rFonts w:hint="default" w:ascii="Times New Roman" w:hAnsi="Times New Roman" w:eastAsia="Times New Roman" w:cs="Times New Roman"/>
                <w:color w:val="auto"/>
                <w:kern w:val="21"/>
                <w:sz w:val="24"/>
                <w:highlight w:val="none"/>
                <w:lang w:val="en-US" w:eastAsia="zh-CN"/>
              </w:rPr>
              <w:t>本项目运营过程中产生的特征因子主要为TSP。</w:t>
            </w:r>
            <w:r>
              <w:rPr>
                <w:rFonts w:hint="default" w:ascii="Times New Roman" w:hAnsi="Times New Roman" w:eastAsia="Times New Roman" w:cs="Times New Roman"/>
                <w:color w:val="auto"/>
                <w:kern w:val="21"/>
                <w:sz w:val="24"/>
                <w:highlight w:val="none"/>
              </w:rPr>
              <w:t>为了解工程所在区域环境空气中特征污染因子质量现状，</w:t>
            </w:r>
            <w:r>
              <w:rPr>
                <w:rFonts w:hint="default" w:ascii="Times New Roman" w:hAnsi="Times New Roman" w:eastAsia="宋体" w:cs="Times New Roman"/>
                <w:color w:val="auto"/>
                <w:kern w:val="21"/>
                <w:sz w:val="24"/>
                <w:highlight w:val="none"/>
                <w:lang w:eastAsia="zh-CN"/>
              </w:rPr>
              <w:t>本项目引用《</w:t>
            </w:r>
            <w:r>
              <w:rPr>
                <w:rFonts w:hint="default" w:ascii="Times New Roman" w:hAnsi="Times New Roman" w:cs="Times New Roman"/>
                <w:color w:val="auto"/>
                <w:sz w:val="24"/>
                <w:highlight w:val="none"/>
                <w:lang w:val="en-US" w:eastAsia="zh-CN"/>
              </w:rPr>
              <w:t>鸡西市恒锐煤炭销售有限公司储煤货场建设项目环境影响报告表</w:t>
            </w:r>
            <w:r>
              <w:rPr>
                <w:rFonts w:hint="default" w:ascii="Times New Roman" w:hAnsi="Times New Roman" w:eastAsia="宋体" w:cs="Times New Roman"/>
                <w:color w:val="auto"/>
                <w:kern w:val="21"/>
                <w:sz w:val="24"/>
                <w:highlight w:val="none"/>
                <w:lang w:eastAsia="zh-CN"/>
              </w:rPr>
              <w:t>》</w:t>
            </w:r>
            <w:r>
              <w:rPr>
                <w:rFonts w:hint="default" w:ascii="Times New Roman" w:hAnsi="Times New Roman" w:eastAsia="宋体" w:cs="Times New Roman"/>
                <w:color w:val="auto"/>
                <w:kern w:val="21"/>
                <w:sz w:val="24"/>
                <w:highlight w:val="none"/>
                <w:lang w:val="en-US" w:eastAsia="zh-CN"/>
              </w:rPr>
              <w:t>环境质量现状监测数据进行分析</w:t>
            </w:r>
            <w:r>
              <w:rPr>
                <w:rFonts w:hint="default" w:ascii="Times New Roman" w:hAnsi="Times New Roman" w:cs="Times New Roman"/>
                <w:color w:val="auto"/>
                <w:kern w:val="21"/>
                <w:sz w:val="24"/>
                <w:highlight w:val="none"/>
                <w:lang w:eastAsia="zh-CN"/>
              </w:rPr>
              <w:t>，</w:t>
            </w:r>
            <w:r>
              <w:rPr>
                <w:rFonts w:hint="eastAsia" w:cs="Times New Roman"/>
                <w:color w:val="auto"/>
                <w:kern w:val="21"/>
                <w:sz w:val="24"/>
                <w:highlight w:val="none"/>
                <w:lang w:eastAsia="zh-CN"/>
              </w:rPr>
              <w:t>“</w:t>
            </w:r>
            <w:r>
              <w:rPr>
                <w:rFonts w:hint="default" w:ascii="Times New Roman" w:hAnsi="Times New Roman" w:cs="Times New Roman"/>
                <w:color w:val="auto"/>
                <w:sz w:val="24"/>
                <w:highlight w:val="none"/>
                <w:lang w:val="en-US" w:eastAsia="zh-CN"/>
              </w:rPr>
              <w:t>鸡西市恒锐煤炭销售有限公司储煤货场建设项目</w:t>
            </w:r>
            <w:r>
              <w:rPr>
                <w:rFonts w:hint="eastAsia" w:cs="Times New Roman"/>
                <w:color w:val="auto"/>
                <w:kern w:val="21"/>
                <w:sz w:val="24"/>
                <w:highlight w:val="none"/>
                <w:lang w:eastAsia="zh-CN"/>
              </w:rPr>
              <w:t>”</w:t>
            </w:r>
            <w:r>
              <w:rPr>
                <w:rFonts w:hint="default" w:ascii="Times New Roman" w:hAnsi="Times New Roman" w:cs="Times New Roman"/>
                <w:color w:val="auto"/>
                <w:kern w:val="21"/>
                <w:sz w:val="24"/>
                <w:highlight w:val="none"/>
                <w:lang w:eastAsia="zh-CN"/>
              </w:rPr>
              <w:t>委托</w:t>
            </w:r>
            <w:r>
              <w:rPr>
                <w:rFonts w:hint="default" w:ascii="Times New Roman" w:hAnsi="Times New Roman" w:eastAsia="Times New Roman" w:cs="Times New Roman"/>
                <w:color w:val="auto"/>
                <w:kern w:val="21"/>
                <w:sz w:val="24"/>
                <w:highlight w:val="none"/>
              </w:rPr>
              <w:t>黑龙江泓泽检测评价有限公司于</w:t>
            </w:r>
            <w:r>
              <w:rPr>
                <w:rFonts w:hint="default" w:ascii="Times New Roman" w:hAnsi="Times New Roman" w:eastAsia="宋体" w:cs="Times New Roman"/>
                <w:color w:val="auto"/>
                <w:kern w:val="21"/>
                <w:sz w:val="24"/>
                <w:szCs w:val="24"/>
                <w:highlight w:val="none"/>
              </w:rPr>
              <w:t>202</w:t>
            </w:r>
            <w:r>
              <w:rPr>
                <w:rFonts w:hint="default" w:ascii="Times New Roman" w:hAnsi="Times New Roman" w:eastAsia="宋体" w:cs="Times New Roman"/>
                <w:color w:val="auto"/>
                <w:kern w:val="21"/>
                <w:sz w:val="24"/>
                <w:szCs w:val="24"/>
                <w:highlight w:val="none"/>
                <w:lang w:val="en-US" w:eastAsia="zh-CN"/>
              </w:rPr>
              <w:t>3</w:t>
            </w:r>
            <w:r>
              <w:rPr>
                <w:rFonts w:hint="default" w:ascii="Times New Roman" w:hAnsi="Times New Roman" w:eastAsia="宋体" w:cs="Times New Roman"/>
                <w:color w:val="auto"/>
                <w:kern w:val="21"/>
                <w:sz w:val="24"/>
                <w:szCs w:val="24"/>
                <w:highlight w:val="none"/>
              </w:rPr>
              <w:t>年</w:t>
            </w:r>
            <w:r>
              <w:rPr>
                <w:rFonts w:hint="default" w:ascii="Times New Roman" w:hAnsi="Times New Roman" w:eastAsia="宋体" w:cs="Times New Roman"/>
                <w:color w:val="auto"/>
                <w:kern w:val="21"/>
                <w:sz w:val="24"/>
                <w:szCs w:val="24"/>
                <w:highlight w:val="none"/>
                <w:lang w:val="en-US" w:eastAsia="zh-CN"/>
              </w:rPr>
              <w:t>9</w:t>
            </w:r>
            <w:r>
              <w:rPr>
                <w:rFonts w:hint="default" w:ascii="Times New Roman" w:hAnsi="Times New Roman" w:eastAsia="宋体" w:cs="Times New Roman"/>
                <w:color w:val="auto"/>
                <w:kern w:val="21"/>
                <w:sz w:val="24"/>
                <w:szCs w:val="24"/>
                <w:highlight w:val="none"/>
              </w:rPr>
              <w:t>月</w:t>
            </w:r>
            <w:r>
              <w:rPr>
                <w:rFonts w:hint="default" w:ascii="Times New Roman" w:hAnsi="Times New Roman" w:eastAsia="宋体" w:cs="Times New Roman"/>
                <w:color w:val="auto"/>
                <w:kern w:val="21"/>
                <w:sz w:val="24"/>
                <w:szCs w:val="24"/>
                <w:highlight w:val="none"/>
                <w:lang w:val="en-US" w:eastAsia="zh-CN"/>
              </w:rPr>
              <w:t>26</w:t>
            </w:r>
            <w:r>
              <w:rPr>
                <w:rFonts w:hint="default" w:ascii="Times New Roman" w:hAnsi="Times New Roman" w:eastAsia="宋体" w:cs="Times New Roman"/>
                <w:color w:val="auto"/>
                <w:kern w:val="21"/>
                <w:sz w:val="24"/>
                <w:szCs w:val="24"/>
                <w:highlight w:val="none"/>
              </w:rPr>
              <w:t>日至202</w:t>
            </w:r>
            <w:r>
              <w:rPr>
                <w:rFonts w:hint="default" w:ascii="Times New Roman" w:hAnsi="Times New Roman" w:eastAsia="宋体" w:cs="Times New Roman"/>
                <w:color w:val="auto"/>
                <w:kern w:val="21"/>
                <w:sz w:val="24"/>
                <w:szCs w:val="24"/>
                <w:highlight w:val="none"/>
                <w:lang w:val="en-US" w:eastAsia="zh-CN"/>
              </w:rPr>
              <w:t>3</w:t>
            </w:r>
            <w:r>
              <w:rPr>
                <w:rFonts w:hint="default" w:ascii="Times New Roman" w:hAnsi="Times New Roman" w:eastAsia="宋体" w:cs="Times New Roman"/>
                <w:color w:val="auto"/>
                <w:kern w:val="21"/>
                <w:sz w:val="24"/>
                <w:szCs w:val="24"/>
                <w:highlight w:val="none"/>
              </w:rPr>
              <w:t>年</w:t>
            </w:r>
            <w:r>
              <w:rPr>
                <w:rFonts w:hint="default" w:ascii="Times New Roman" w:hAnsi="Times New Roman" w:eastAsia="宋体" w:cs="Times New Roman"/>
                <w:color w:val="auto"/>
                <w:kern w:val="21"/>
                <w:sz w:val="24"/>
                <w:szCs w:val="24"/>
                <w:highlight w:val="none"/>
                <w:lang w:val="en-US" w:eastAsia="zh-CN"/>
              </w:rPr>
              <w:t>9月28</w:t>
            </w:r>
            <w:r>
              <w:rPr>
                <w:rFonts w:hint="default" w:ascii="Times New Roman" w:hAnsi="Times New Roman" w:eastAsia="宋体" w:cs="Times New Roman"/>
                <w:color w:val="auto"/>
                <w:kern w:val="21"/>
                <w:sz w:val="24"/>
                <w:szCs w:val="24"/>
                <w:highlight w:val="none"/>
              </w:rPr>
              <w:t>日</w:t>
            </w:r>
            <w:r>
              <w:rPr>
                <w:rFonts w:hint="default" w:ascii="Times New Roman" w:hAnsi="Times New Roman" w:eastAsia="Times New Roman" w:cs="Times New Roman"/>
                <w:color w:val="auto"/>
                <w:kern w:val="21"/>
                <w:sz w:val="24"/>
                <w:highlight w:val="none"/>
              </w:rPr>
              <w:t>对项目所在区域</w:t>
            </w:r>
            <w:r>
              <w:rPr>
                <w:rFonts w:hint="default" w:ascii="Times New Roman" w:hAnsi="Times New Roman" w:eastAsia="宋体" w:cs="Times New Roman"/>
                <w:color w:val="auto"/>
                <w:kern w:val="21"/>
                <w:sz w:val="24"/>
                <w:highlight w:val="none"/>
                <w:lang w:val="en-US" w:eastAsia="zh-CN"/>
              </w:rPr>
              <w:t>TSP进行了监测</w:t>
            </w:r>
            <w:r>
              <w:rPr>
                <w:rFonts w:hint="default" w:ascii="Times New Roman" w:hAnsi="Times New Roman" w:eastAsia="Times New Roman" w:cs="Times New Roman"/>
                <w:color w:val="auto"/>
                <w:kern w:val="21"/>
                <w:sz w:val="24"/>
                <w:highlight w:val="none"/>
              </w:rPr>
              <w:t>，监测点位于</w:t>
            </w:r>
            <w:r>
              <w:rPr>
                <w:rFonts w:hint="default" w:ascii="Times New Roman" w:hAnsi="Times New Roman" w:eastAsia="宋体" w:cs="Times New Roman"/>
                <w:color w:val="auto"/>
                <w:kern w:val="21"/>
                <w:sz w:val="24"/>
                <w:highlight w:val="none"/>
                <w:lang w:eastAsia="zh-CN"/>
              </w:rPr>
              <w:t>本</w:t>
            </w:r>
            <w:r>
              <w:rPr>
                <w:rFonts w:hint="default" w:ascii="Times New Roman" w:hAnsi="Times New Roman" w:eastAsia="Times New Roman" w:cs="Times New Roman"/>
                <w:color w:val="auto"/>
                <w:kern w:val="21"/>
                <w:sz w:val="24"/>
                <w:highlight w:val="none"/>
              </w:rPr>
              <w:t>项目厂址下风向</w:t>
            </w:r>
            <w:r>
              <w:rPr>
                <w:rFonts w:hint="default" w:ascii="Times New Roman" w:hAnsi="Times New Roman" w:eastAsia="宋体" w:cs="Times New Roman"/>
                <w:color w:val="auto"/>
                <w:kern w:val="21"/>
                <w:sz w:val="24"/>
                <w:highlight w:val="none"/>
                <w:lang w:eastAsia="zh-CN"/>
              </w:rPr>
              <w:t>约</w:t>
            </w:r>
            <w:r>
              <w:rPr>
                <w:rFonts w:hint="default" w:ascii="Times New Roman" w:hAnsi="Times New Roman" w:eastAsia="宋体" w:cs="Times New Roman"/>
                <w:color w:val="auto"/>
                <w:kern w:val="21"/>
                <w:sz w:val="24"/>
                <w:highlight w:val="none"/>
                <w:lang w:val="en-US" w:eastAsia="zh-CN"/>
              </w:rPr>
              <w:t>1</w:t>
            </w:r>
            <w:r>
              <w:rPr>
                <w:rFonts w:hint="eastAsia" w:cs="Times New Roman"/>
                <w:color w:val="auto"/>
                <w:kern w:val="21"/>
                <w:sz w:val="24"/>
                <w:highlight w:val="none"/>
                <w:lang w:val="en-US" w:eastAsia="zh-CN"/>
              </w:rPr>
              <w:t>58</w:t>
            </w:r>
            <w:r>
              <w:rPr>
                <w:rFonts w:hint="default" w:ascii="Times New Roman" w:hAnsi="Times New Roman" w:eastAsia="宋体" w:cs="Times New Roman"/>
                <w:color w:val="auto"/>
                <w:kern w:val="21"/>
                <w:sz w:val="24"/>
                <w:highlight w:val="none"/>
                <w:lang w:val="en-US" w:eastAsia="zh-CN"/>
              </w:rPr>
              <w:t>0m处</w:t>
            </w:r>
            <w:r>
              <w:rPr>
                <w:rFonts w:hint="default" w:ascii="Times New Roman" w:hAnsi="Times New Roman" w:cs="Times New Roman"/>
                <w:color w:val="auto"/>
                <w:kern w:val="21"/>
                <w:sz w:val="24"/>
                <w:highlight w:val="none"/>
                <w:lang w:val="en-US" w:eastAsia="zh-CN"/>
              </w:rPr>
              <w:t>，</w:t>
            </w:r>
            <w:r>
              <w:rPr>
                <w:rFonts w:hint="eastAsia" w:ascii="Times New Roman" w:hAnsi="Times New Roman" w:eastAsia="宋体" w:cs="Times New Roman"/>
                <w:color w:val="auto"/>
                <w:sz w:val="24"/>
                <w:szCs w:val="32"/>
                <w:highlight w:val="none"/>
                <w:lang w:val="en-US" w:eastAsia="zh-CN"/>
              </w:rPr>
              <w:t>属于建设项目周边5</w:t>
            </w:r>
            <w:r>
              <w:rPr>
                <w:rFonts w:hint="eastAsia" w:cs="Times New Roman"/>
                <w:color w:val="auto"/>
                <w:sz w:val="24"/>
                <w:szCs w:val="32"/>
                <w:highlight w:val="none"/>
                <w:lang w:val="en-US" w:eastAsia="zh-CN"/>
              </w:rPr>
              <w:t>km</w:t>
            </w:r>
            <w:r>
              <w:rPr>
                <w:rFonts w:hint="eastAsia" w:ascii="Times New Roman" w:hAnsi="Times New Roman" w:eastAsia="宋体" w:cs="Times New Roman"/>
                <w:color w:val="auto"/>
                <w:sz w:val="24"/>
                <w:szCs w:val="32"/>
                <w:highlight w:val="none"/>
                <w:lang w:val="en-US" w:eastAsia="zh-CN"/>
              </w:rPr>
              <w:t>范围内近3年的现有监测数据</w:t>
            </w:r>
            <w:r>
              <w:rPr>
                <w:rFonts w:hint="default" w:ascii="Times New Roman" w:hAnsi="Times New Roman" w:cs="Times New Roman"/>
                <w:color w:val="auto"/>
                <w:kern w:val="21"/>
                <w:sz w:val="24"/>
                <w:highlight w:val="none"/>
                <w:lang w:val="en-US" w:eastAsia="zh-CN"/>
              </w:rPr>
              <w:t>，项目引用数据时间、点位合理可行，引用环境空气质量现状监测点位与本项目位置关系</w:t>
            </w:r>
            <w:r>
              <w:rPr>
                <w:rFonts w:hint="eastAsia" w:ascii="Times New Roman" w:hAnsi="Times New Roman" w:cs="Times New Roman"/>
                <w:color w:val="auto"/>
                <w:kern w:val="21"/>
                <w:sz w:val="24"/>
                <w:highlight w:val="none"/>
                <w:lang w:val="en-US" w:eastAsia="zh-CN"/>
              </w:rPr>
              <w:t>图</w:t>
            </w:r>
            <w:r>
              <w:rPr>
                <w:rFonts w:hint="default" w:ascii="Times New Roman" w:hAnsi="Times New Roman" w:cs="Times New Roman"/>
                <w:color w:val="auto"/>
                <w:kern w:val="21"/>
                <w:sz w:val="24"/>
                <w:highlight w:val="none"/>
                <w:lang w:val="en-US" w:eastAsia="zh-CN"/>
              </w:rPr>
              <w:t>见附图</w:t>
            </w:r>
            <w:r>
              <w:rPr>
                <w:rFonts w:hint="eastAsia" w:ascii="Times New Roman" w:hAnsi="Times New Roman" w:cs="Times New Roman"/>
                <w:color w:val="auto"/>
                <w:kern w:val="21"/>
                <w:sz w:val="24"/>
                <w:highlight w:val="none"/>
                <w:lang w:val="en-US" w:eastAsia="zh-CN"/>
              </w:rPr>
              <w:t>6</w:t>
            </w:r>
            <w:r>
              <w:rPr>
                <w:rFonts w:hint="default" w:ascii="Times New Roman" w:hAnsi="Times New Roman" w:eastAsia="Times New Roman" w:cs="Times New Roman"/>
                <w:color w:val="auto"/>
                <w:kern w:val="21"/>
                <w:sz w:val="24"/>
                <w:highlight w:val="none"/>
              </w:rPr>
              <w:t>。</w:t>
            </w:r>
            <w:r>
              <w:rPr>
                <w:rFonts w:hint="default" w:ascii="Times New Roman" w:hAnsi="Times New Roman" w:eastAsia="宋体" w:cs="Times New Roman"/>
                <w:color w:val="auto"/>
                <w:kern w:val="21"/>
                <w:sz w:val="24"/>
                <w:highlight w:val="none"/>
                <w:lang w:eastAsia="zh-CN"/>
              </w:rPr>
              <w:t>引用检测报告见附件</w:t>
            </w:r>
            <w:r>
              <w:rPr>
                <w:rFonts w:hint="eastAsia" w:cs="Times New Roman"/>
                <w:color w:val="auto"/>
                <w:kern w:val="21"/>
                <w:sz w:val="24"/>
                <w:highlight w:val="none"/>
                <w:lang w:val="en-US" w:eastAsia="zh-CN"/>
              </w:rPr>
              <w:t>5</w:t>
            </w:r>
            <w:r>
              <w:rPr>
                <w:rFonts w:hint="default" w:ascii="Times New Roman" w:hAnsi="Times New Roman" w:eastAsia="宋体" w:cs="Times New Roman"/>
                <w:color w:val="auto"/>
                <w:kern w:val="21"/>
                <w:sz w:val="24"/>
                <w:highlight w:val="none"/>
                <w:lang w:val="en-US" w:eastAsia="zh-CN"/>
              </w:rPr>
              <w:t>。</w:t>
            </w:r>
          </w:p>
          <w:p w14:paraId="495D94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21"/>
                <w:sz w:val="24"/>
                <w:highlight w:val="none"/>
              </w:rPr>
            </w:pP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kern w:val="21"/>
                <w:sz w:val="24"/>
                <w:highlight w:val="none"/>
              </w:rPr>
              <w:t>监测时间和频次</w:t>
            </w:r>
          </w:p>
          <w:p w14:paraId="1B4F4031">
            <w:pPr>
              <w:pStyle w:val="95"/>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kern w:val="21"/>
                <w:sz w:val="24"/>
                <w:szCs w:val="24"/>
                <w:highlight w:val="none"/>
              </w:rPr>
            </w:pPr>
            <w:r>
              <w:rPr>
                <w:rFonts w:hint="default" w:ascii="Times New Roman" w:hAnsi="Times New Roman" w:cs="Times New Roman"/>
                <w:color w:val="auto"/>
                <w:kern w:val="21"/>
                <w:sz w:val="24"/>
                <w:szCs w:val="24"/>
                <w:highlight w:val="none"/>
              </w:rPr>
              <w:t>监测时间为</w:t>
            </w:r>
            <w:r>
              <w:rPr>
                <w:rFonts w:hint="default" w:ascii="Times New Roman" w:hAnsi="Times New Roman" w:eastAsia="宋体" w:cs="Times New Roman"/>
                <w:color w:val="auto"/>
                <w:kern w:val="21"/>
                <w:sz w:val="24"/>
                <w:szCs w:val="24"/>
                <w:highlight w:val="none"/>
              </w:rPr>
              <w:t>202</w:t>
            </w:r>
            <w:r>
              <w:rPr>
                <w:rFonts w:hint="default" w:ascii="Times New Roman" w:hAnsi="Times New Roman" w:eastAsia="宋体" w:cs="Times New Roman"/>
                <w:color w:val="auto"/>
                <w:kern w:val="21"/>
                <w:sz w:val="24"/>
                <w:szCs w:val="24"/>
                <w:highlight w:val="none"/>
                <w:lang w:val="en-US" w:eastAsia="zh-CN"/>
              </w:rPr>
              <w:t>3</w:t>
            </w:r>
            <w:r>
              <w:rPr>
                <w:rFonts w:hint="default" w:ascii="Times New Roman" w:hAnsi="Times New Roman" w:eastAsia="宋体" w:cs="Times New Roman"/>
                <w:color w:val="auto"/>
                <w:kern w:val="21"/>
                <w:sz w:val="24"/>
                <w:szCs w:val="24"/>
                <w:highlight w:val="none"/>
              </w:rPr>
              <w:t>年</w:t>
            </w:r>
            <w:r>
              <w:rPr>
                <w:rFonts w:hint="default" w:ascii="Times New Roman" w:hAnsi="Times New Roman" w:eastAsia="宋体" w:cs="Times New Roman"/>
                <w:color w:val="auto"/>
                <w:kern w:val="21"/>
                <w:sz w:val="24"/>
                <w:szCs w:val="24"/>
                <w:highlight w:val="none"/>
                <w:lang w:val="en-US" w:eastAsia="zh-CN"/>
              </w:rPr>
              <w:t>9</w:t>
            </w:r>
            <w:r>
              <w:rPr>
                <w:rFonts w:hint="default" w:ascii="Times New Roman" w:hAnsi="Times New Roman" w:eastAsia="宋体" w:cs="Times New Roman"/>
                <w:color w:val="auto"/>
                <w:kern w:val="21"/>
                <w:sz w:val="24"/>
                <w:szCs w:val="24"/>
                <w:highlight w:val="none"/>
              </w:rPr>
              <w:t>月</w:t>
            </w:r>
            <w:r>
              <w:rPr>
                <w:rFonts w:hint="default" w:ascii="Times New Roman" w:hAnsi="Times New Roman" w:eastAsia="宋体" w:cs="Times New Roman"/>
                <w:color w:val="auto"/>
                <w:kern w:val="21"/>
                <w:sz w:val="24"/>
                <w:szCs w:val="24"/>
                <w:highlight w:val="none"/>
                <w:lang w:val="en-US" w:eastAsia="zh-CN"/>
              </w:rPr>
              <w:t>26</w:t>
            </w:r>
            <w:r>
              <w:rPr>
                <w:rFonts w:hint="default" w:ascii="Times New Roman" w:hAnsi="Times New Roman" w:eastAsia="宋体" w:cs="Times New Roman"/>
                <w:color w:val="auto"/>
                <w:kern w:val="21"/>
                <w:sz w:val="24"/>
                <w:szCs w:val="24"/>
                <w:highlight w:val="none"/>
              </w:rPr>
              <w:t>日至202</w:t>
            </w:r>
            <w:r>
              <w:rPr>
                <w:rFonts w:hint="default" w:ascii="Times New Roman" w:hAnsi="Times New Roman" w:eastAsia="宋体" w:cs="Times New Roman"/>
                <w:color w:val="auto"/>
                <w:kern w:val="21"/>
                <w:sz w:val="24"/>
                <w:szCs w:val="24"/>
                <w:highlight w:val="none"/>
                <w:lang w:val="en-US" w:eastAsia="zh-CN"/>
              </w:rPr>
              <w:t>3</w:t>
            </w:r>
            <w:r>
              <w:rPr>
                <w:rFonts w:hint="default" w:ascii="Times New Roman" w:hAnsi="Times New Roman" w:eastAsia="宋体" w:cs="Times New Roman"/>
                <w:color w:val="auto"/>
                <w:kern w:val="21"/>
                <w:sz w:val="24"/>
                <w:szCs w:val="24"/>
                <w:highlight w:val="none"/>
              </w:rPr>
              <w:t>年</w:t>
            </w:r>
            <w:r>
              <w:rPr>
                <w:rFonts w:hint="default" w:ascii="Times New Roman" w:hAnsi="Times New Roman" w:eastAsia="宋体" w:cs="Times New Roman"/>
                <w:color w:val="auto"/>
                <w:kern w:val="21"/>
                <w:sz w:val="24"/>
                <w:szCs w:val="24"/>
                <w:highlight w:val="none"/>
                <w:lang w:val="en-US" w:eastAsia="zh-CN"/>
              </w:rPr>
              <w:t>9月28</w:t>
            </w:r>
            <w:r>
              <w:rPr>
                <w:rFonts w:hint="default" w:ascii="Times New Roman" w:hAnsi="Times New Roman" w:eastAsia="宋体" w:cs="Times New Roman"/>
                <w:color w:val="auto"/>
                <w:kern w:val="21"/>
                <w:sz w:val="24"/>
                <w:szCs w:val="24"/>
                <w:highlight w:val="none"/>
              </w:rPr>
              <w:t>日</w:t>
            </w:r>
            <w:r>
              <w:rPr>
                <w:rFonts w:hint="default" w:ascii="Times New Roman" w:hAnsi="Times New Roman" w:cs="Times New Roman"/>
                <w:color w:val="auto"/>
                <w:kern w:val="21"/>
                <w:sz w:val="24"/>
                <w:szCs w:val="24"/>
                <w:highlight w:val="none"/>
              </w:rPr>
              <w:t>，连续监测3天，TSP取日均值。</w:t>
            </w:r>
          </w:p>
          <w:p w14:paraId="577E5850">
            <w:pPr>
              <w:pStyle w:val="95"/>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kern w:val="21"/>
                <w:sz w:val="24"/>
                <w:szCs w:val="24"/>
                <w:highlight w:val="none"/>
              </w:rPr>
            </w:pP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kern w:val="21"/>
                <w:sz w:val="24"/>
                <w:szCs w:val="24"/>
                <w:highlight w:val="none"/>
              </w:rPr>
              <w:t>补充监测点布设</w:t>
            </w:r>
          </w:p>
          <w:p w14:paraId="2C9F1B8B">
            <w:pPr>
              <w:pStyle w:val="96"/>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 xml:space="preserve">表3-2 </w:t>
            </w:r>
            <w:r>
              <w:rPr>
                <w:rFonts w:hint="default" w:ascii="Times New Roman" w:hAnsi="Times New Roman" w:cs="Times New Roman"/>
                <w:b/>
                <w:bCs/>
                <w:color w:val="auto"/>
                <w:sz w:val="21"/>
                <w:szCs w:val="21"/>
                <w:highlight w:val="none"/>
                <w:lang w:eastAsia="zh-CN"/>
              </w:rPr>
              <w:t>引用</w:t>
            </w:r>
            <w:r>
              <w:rPr>
                <w:rFonts w:hint="default" w:ascii="Times New Roman" w:hAnsi="Times New Roman" w:cs="Times New Roman"/>
                <w:b/>
                <w:bCs/>
                <w:color w:val="auto"/>
                <w:sz w:val="21"/>
                <w:szCs w:val="21"/>
                <w:highlight w:val="none"/>
              </w:rPr>
              <w:t>其他污染物补充监测点位基本信息</w:t>
            </w:r>
          </w:p>
          <w:tbl>
            <w:tblPr>
              <w:tblStyle w:val="31"/>
              <w:tblW w:w="803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6"/>
              <w:gridCol w:w="1245"/>
              <w:gridCol w:w="1155"/>
              <w:gridCol w:w="855"/>
              <w:gridCol w:w="1080"/>
              <w:gridCol w:w="1971"/>
              <w:gridCol w:w="744"/>
            </w:tblGrid>
            <w:tr w14:paraId="21D689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986" w:type="dxa"/>
                  <w:vMerge w:val="restart"/>
                  <w:noWrap w:val="0"/>
                  <w:vAlign w:val="center"/>
                </w:tcPr>
                <w:p w14:paraId="7BFFA5C2">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监测点名称</w:t>
                  </w:r>
                </w:p>
              </w:tc>
              <w:tc>
                <w:tcPr>
                  <w:tcW w:w="2400" w:type="dxa"/>
                  <w:gridSpan w:val="2"/>
                  <w:noWrap w:val="0"/>
                  <w:vAlign w:val="center"/>
                </w:tcPr>
                <w:p w14:paraId="0EC9C532">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监测点坐标/</w:t>
                  </w:r>
                  <w:r>
                    <w:rPr>
                      <w:rFonts w:hint="default" w:ascii="Times New Roman" w:hAnsi="Times New Roman" w:cs="Times New Roman"/>
                      <w:b/>
                      <w:bCs/>
                      <w:color w:val="auto"/>
                      <w:sz w:val="21"/>
                      <w:szCs w:val="21"/>
                      <w:highlight w:val="none"/>
                      <w:lang w:val="en-US" w:eastAsia="zh-CN"/>
                    </w:rPr>
                    <w:t>°</w:t>
                  </w:r>
                </w:p>
              </w:tc>
              <w:tc>
                <w:tcPr>
                  <w:tcW w:w="855" w:type="dxa"/>
                  <w:vMerge w:val="restart"/>
                  <w:noWrap w:val="0"/>
                  <w:vAlign w:val="center"/>
                </w:tcPr>
                <w:p w14:paraId="7AF8E1BF">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相对厂址方位</w:t>
                  </w:r>
                </w:p>
              </w:tc>
              <w:tc>
                <w:tcPr>
                  <w:tcW w:w="1080" w:type="dxa"/>
                  <w:vMerge w:val="restart"/>
                  <w:noWrap w:val="0"/>
                  <w:vAlign w:val="center"/>
                </w:tcPr>
                <w:p w14:paraId="0CEDA9B2">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相对厂界距离/m</w:t>
                  </w:r>
                </w:p>
              </w:tc>
              <w:tc>
                <w:tcPr>
                  <w:tcW w:w="1971" w:type="dxa"/>
                  <w:vMerge w:val="restart"/>
                  <w:noWrap w:val="0"/>
                  <w:vAlign w:val="center"/>
                </w:tcPr>
                <w:p w14:paraId="19DA6ACA">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监测时间</w:t>
                  </w:r>
                </w:p>
              </w:tc>
              <w:tc>
                <w:tcPr>
                  <w:tcW w:w="744" w:type="dxa"/>
                  <w:vMerge w:val="restart"/>
                  <w:noWrap w:val="0"/>
                  <w:vAlign w:val="center"/>
                </w:tcPr>
                <w:p w14:paraId="3CB97E5B">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监测因子</w:t>
                  </w:r>
                </w:p>
              </w:tc>
            </w:tr>
            <w:tr w14:paraId="095F7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86" w:type="dxa"/>
                  <w:vMerge w:val="continue"/>
                  <w:noWrap w:val="0"/>
                  <w:vAlign w:val="center"/>
                </w:tcPr>
                <w:p w14:paraId="2CE7380C">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p>
              </w:tc>
              <w:tc>
                <w:tcPr>
                  <w:tcW w:w="1245" w:type="dxa"/>
                  <w:noWrap w:val="0"/>
                  <w:vAlign w:val="center"/>
                </w:tcPr>
                <w:p w14:paraId="51F93652">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val="en-US" w:eastAsia="zh-CN"/>
                    </w:rPr>
                    <w:t>X</w:t>
                  </w:r>
                </w:p>
              </w:tc>
              <w:tc>
                <w:tcPr>
                  <w:tcW w:w="1155" w:type="dxa"/>
                  <w:noWrap w:val="0"/>
                  <w:vAlign w:val="center"/>
                </w:tcPr>
                <w:p w14:paraId="4D05A4AC">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val="en-US" w:eastAsia="zh-CN"/>
                    </w:rPr>
                    <w:t>Y</w:t>
                  </w:r>
                </w:p>
              </w:tc>
              <w:tc>
                <w:tcPr>
                  <w:tcW w:w="855" w:type="dxa"/>
                  <w:vMerge w:val="continue"/>
                  <w:noWrap w:val="0"/>
                  <w:vAlign w:val="center"/>
                </w:tcPr>
                <w:p w14:paraId="0CD59C8A">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p>
              </w:tc>
              <w:tc>
                <w:tcPr>
                  <w:tcW w:w="1080" w:type="dxa"/>
                  <w:vMerge w:val="continue"/>
                  <w:noWrap w:val="0"/>
                  <w:vAlign w:val="center"/>
                </w:tcPr>
                <w:p w14:paraId="28EDB013">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p>
              </w:tc>
              <w:tc>
                <w:tcPr>
                  <w:tcW w:w="1971" w:type="dxa"/>
                  <w:vMerge w:val="continue"/>
                  <w:noWrap w:val="0"/>
                  <w:vAlign w:val="center"/>
                </w:tcPr>
                <w:p w14:paraId="7CA98B34">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p>
              </w:tc>
              <w:tc>
                <w:tcPr>
                  <w:tcW w:w="744" w:type="dxa"/>
                  <w:vMerge w:val="continue"/>
                  <w:noWrap w:val="0"/>
                  <w:vAlign w:val="center"/>
                </w:tcPr>
                <w:p w14:paraId="56B25507">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p>
              </w:tc>
            </w:tr>
            <w:tr w14:paraId="162986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86" w:type="dxa"/>
                  <w:noWrap w:val="0"/>
                  <w:vAlign w:val="center"/>
                </w:tcPr>
                <w:p w14:paraId="1F6EFF5D">
                  <w:pPr>
                    <w:pStyle w:val="49"/>
                    <w:keepNext w:val="0"/>
                    <w:keepLines w:val="0"/>
                    <w:pageBreakBefore w:val="0"/>
                    <w:tabs>
                      <w:tab w:val="left" w:pos="567"/>
                    </w:tabs>
                    <w:kinsoku/>
                    <w:wordWrap/>
                    <w:overflowPunct/>
                    <w:topLinePunct w:val="0"/>
                    <w:autoSpaceDE w:val="0"/>
                    <w:autoSpaceDN w:val="0"/>
                    <w:bidi w:val="0"/>
                    <w:adjustRightInd/>
                    <w:snapToGrid/>
                    <w:spacing w:line="240" w:lineRule="auto"/>
                    <w:jc w:val="center"/>
                    <w:textAlignment w:val="bottom"/>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大气监测点位</w:t>
                  </w:r>
                </w:p>
              </w:tc>
              <w:tc>
                <w:tcPr>
                  <w:tcW w:w="1245" w:type="dxa"/>
                  <w:noWrap w:val="0"/>
                  <w:vAlign w:val="center"/>
                </w:tcPr>
                <w:p w14:paraId="6D9FD19B">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highlight w:val="none"/>
                    </w:rPr>
                    <w:t>131.0024</w:t>
                  </w:r>
                  <w:r>
                    <w:rPr>
                      <w:rFonts w:hint="default" w:ascii="Times New Roman" w:hAnsi="Times New Roman" w:cs="Times New Roman"/>
                      <w:color w:val="auto"/>
                      <w:highlight w:val="none"/>
                      <w:lang w:val="en-US" w:eastAsia="zh-CN"/>
                    </w:rPr>
                    <w:t>6</w:t>
                  </w:r>
                </w:p>
              </w:tc>
              <w:tc>
                <w:tcPr>
                  <w:tcW w:w="1155" w:type="dxa"/>
                  <w:noWrap w:val="0"/>
                  <w:vAlign w:val="center"/>
                </w:tcPr>
                <w:p w14:paraId="4831D357">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highlight w:val="none"/>
                    </w:rPr>
                    <w:t>45.2201</w:t>
                  </w:r>
                  <w:r>
                    <w:rPr>
                      <w:rFonts w:hint="default" w:ascii="Times New Roman" w:hAnsi="Times New Roman" w:cs="Times New Roman"/>
                      <w:color w:val="auto"/>
                      <w:highlight w:val="none"/>
                      <w:lang w:val="en-US" w:eastAsia="zh-CN"/>
                    </w:rPr>
                    <w:t>8</w:t>
                  </w:r>
                </w:p>
              </w:tc>
              <w:tc>
                <w:tcPr>
                  <w:tcW w:w="855" w:type="dxa"/>
                  <w:noWrap w:val="0"/>
                  <w:vAlign w:val="center"/>
                </w:tcPr>
                <w:p w14:paraId="07657284">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东</w:t>
                  </w:r>
                  <w:r>
                    <w:rPr>
                      <w:rFonts w:hint="default" w:ascii="Times New Roman" w:hAnsi="Times New Roman" w:eastAsia="宋体" w:cs="Times New Roman"/>
                      <w:color w:val="auto"/>
                      <w:sz w:val="21"/>
                      <w:szCs w:val="21"/>
                      <w:highlight w:val="none"/>
                    </w:rPr>
                    <w:t>侧</w:t>
                  </w:r>
                </w:p>
              </w:tc>
              <w:tc>
                <w:tcPr>
                  <w:tcW w:w="1080" w:type="dxa"/>
                  <w:noWrap w:val="0"/>
                  <w:vAlign w:val="center"/>
                </w:tcPr>
                <w:p w14:paraId="24C77B3F">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eastAsia" w:cs="Times New Roman"/>
                      <w:color w:val="auto"/>
                      <w:sz w:val="21"/>
                      <w:szCs w:val="21"/>
                      <w:highlight w:val="none"/>
                      <w:lang w:val="en-US" w:eastAsia="zh-CN"/>
                    </w:rPr>
                    <w:t>58</w:t>
                  </w:r>
                  <w:r>
                    <w:rPr>
                      <w:rFonts w:hint="default" w:ascii="Times New Roman" w:hAnsi="Times New Roman" w:cs="Times New Roman"/>
                      <w:color w:val="auto"/>
                      <w:sz w:val="21"/>
                      <w:szCs w:val="21"/>
                      <w:highlight w:val="none"/>
                      <w:lang w:val="en-US" w:eastAsia="zh-CN"/>
                    </w:rPr>
                    <w:t>0</w:t>
                  </w:r>
                </w:p>
              </w:tc>
              <w:tc>
                <w:tcPr>
                  <w:tcW w:w="1971" w:type="dxa"/>
                  <w:noWrap w:val="0"/>
                  <w:vAlign w:val="center"/>
                </w:tcPr>
                <w:p w14:paraId="4B3EDA36">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202</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日至202</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28</w:t>
                  </w:r>
                  <w:r>
                    <w:rPr>
                      <w:rFonts w:hint="default" w:ascii="Times New Roman" w:hAnsi="Times New Roman" w:eastAsia="宋体" w:cs="Times New Roman"/>
                      <w:color w:val="auto"/>
                      <w:sz w:val="21"/>
                      <w:szCs w:val="21"/>
                      <w:highlight w:val="none"/>
                    </w:rPr>
                    <w:t>日</w:t>
                  </w:r>
                </w:p>
              </w:tc>
              <w:tc>
                <w:tcPr>
                  <w:tcW w:w="744" w:type="dxa"/>
                  <w:noWrap w:val="0"/>
                  <w:vAlign w:val="center"/>
                </w:tcPr>
                <w:p w14:paraId="0336A222">
                  <w:pPr>
                    <w:keepNext w:val="0"/>
                    <w:keepLines w:val="0"/>
                    <w:pageBreakBefore w:val="0"/>
                    <w:kinsoku/>
                    <w:wordWrap/>
                    <w:overflowPunct/>
                    <w:topLinePunct w:val="0"/>
                    <w:bidi w:val="0"/>
                    <w:adjustRightInd/>
                    <w:snapToGrid/>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TSP</w:t>
                  </w:r>
                </w:p>
              </w:tc>
            </w:tr>
          </w:tbl>
          <w:p w14:paraId="57A1F417">
            <w:pPr>
              <w:pStyle w:val="95"/>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szCs w:val="24"/>
                <w:highlight w:val="none"/>
              </w:rPr>
              <w:t>补充监测结果</w:t>
            </w:r>
          </w:p>
          <w:p w14:paraId="73065367">
            <w:pPr>
              <w:pStyle w:val="95"/>
              <w:spacing w:line="360" w:lineRule="auto"/>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补充监测结果</w:t>
            </w:r>
            <w:r>
              <w:rPr>
                <w:rFonts w:hint="default" w:ascii="Times New Roman" w:hAnsi="Times New Roman" w:eastAsia="宋体" w:cs="Times New Roman"/>
                <w:color w:val="auto"/>
                <w:sz w:val="24"/>
                <w:szCs w:val="24"/>
                <w:highlight w:val="none"/>
              </w:rPr>
              <w:t>详见表3-3</w:t>
            </w:r>
            <w:r>
              <w:rPr>
                <w:rFonts w:hint="default" w:ascii="Times New Roman" w:hAnsi="Times New Roman" w:cs="Times New Roman"/>
                <w:color w:val="auto"/>
                <w:sz w:val="24"/>
                <w:szCs w:val="24"/>
                <w:highlight w:val="none"/>
              </w:rPr>
              <w:t>。</w:t>
            </w:r>
          </w:p>
          <w:p w14:paraId="7B0601C8">
            <w:pPr>
              <w:pStyle w:val="14"/>
              <w:spacing w:after="0" w:line="360" w:lineRule="auto"/>
              <w:ind w:left="0" w:left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 xml:space="preserve">表3-3 </w:t>
            </w:r>
            <w:r>
              <w:rPr>
                <w:rFonts w:hint="default" w:ascii="Times New Roman" w:hAnsi="Times New Roman" w:cs="Times New Roman"/>
                <w:b/>
                <w:bCs/>
                <w:color w:val="auto"/>
                <w:sz w:val="21"/>
                <w:szCs w:val="21"/>
                <w:highlight w:val="none"/>
                <w:lang w:eastAsia="zh-CN"/>
              </w:rPr>
              <w:t>引用</w:t>
            </w:r>
            <w:r>
              <w:rPr>
                <w:rFonts w:hint="default" w:ascii="Times New Roman" w:hAnsi="Times New Roman" w:cs="Times New Roman"/>
                <w:b/>
                <w:bCs/>
                <w:color w:val="auto"/>
                <w:sz w:val="21"/>
                <w:szCs w:val="21"/>
                <w:highlight w:val="none"/>
              </w:rPr>
              <w:t>其他污染物环境质量现状监测结果表</w:t>
            </w:r>
          </w:p>
          <w:tbl>
            <w:tblPr>
              <w:tblStyle w:val="31"/>
              <w:tblW w:w="801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62"/>
              <w:gridCol w:w="1032"/>
              <w:gridCol w:w="581"/>
              <w:gridCol w:w="469"/>
              <w:gridCol w:w="1068"/>
              <w:gridCol w:w="1105"/>
              <w:gridCol w:w="720"/>
              <w:gridCol w:w="651"/>
              <w:gridCol w:w="531"/>
            </w:tblGrid>
            <w:tr w14:paraId="56215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97" w:type="dxa"/>
                  <w:vMerge w:val="restart"/>
                  <w:noWrap w:val="0"/>
                  <w:vAlign w:val="center"/>
                </w:tcPr>
                <w:p w14:paraId="373F83FF">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bCs/>
                      <w:color w:val="auto"/>
                      <w:sz w:val="21"/>
                      <w:szCs w:val="21"/>
                      <w:highlight w:val="none"/>
                    </w:rPr>
                    <w:t>监测点名称</w:t>
                  </w:r>
                </w:p>
              </w:tc>
              <w:tc>
                <w:tcPr>
                  <w:tcW w:w="2194" w:type="dxa"/>
                  <w:gridSpan w:val="2"/>
                  <w:noWrap w:val="0"/>
                  <w:vAlign w:val="center"/>
                </w:tcPr>
                <w:p w14:paraId="083A2558">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bCs/>
                      <w:color w:val="auto"/>
                      <w:sz w:val="21"/>
                      <w:szCs w:val="21"/>
                      <w:highlight w:val="none"/>
                    </w:rPr>
                    <w:t>监测点坐标/</w:t>
                  </w:r>
                  <w:r>
                    <w:rPr>
                      <w:rFonts w:hint="default" w:ascii="Times New Roman" w:hAnsi="Times New Roman" w:cs="Times New Roman"/>
                      <w:b/>
                      <w:bCs/>
                      <w:color w:val="auto"/>
                      <w:sz w:val="21"/>
                      <w:szCs w:val="21"/>
                      <w:highlight w:val="none"/>
                      <w:lang w:val="en-US" w:eastAsia="zh-CN"/>
                    </w:rPr>
                    <w:t>°</w:t>
                  </w:r>
                </w:p>
              </w:tc>
              <w:tc>
                <w:tcPr>
                  <w:tcW w:w="581" w:type="dxa"/>
                  <w:vMerge w:val="restart"/>
                  <w:noWrap w:val="0"/>
                  <w:vAlign w:val="center"/>
                </w:tcPr>
                <w:p w14:paraId="1C34E8C1">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w:t>
                  </w:r>
                </w:p>
              </w:tc>
              <w:tc>
                <w:tcPr>
                  <w:tcW w:w="469" w:type="dxa"/>
                  <w:vMerge w:val="restart"/>
                  <w:noWrap w:val="0"/>
                  <w:vAlign w:val="center"/>
                </w:tcPr>
                <w:p w14:paraId="5092E640">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平均</w:t>
                  </w:r>
                </w:p>
                <w:p w14:paraId="05495FC7">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时间</w:t>
                  </w:r>
                </w:p>
              </w:tc>
              <w:tc>
                <w:tcPr>
                  <w:tcW w:w="1068" w:type="dxa"/>
                  <w:vMerge w:val="restart"/>
                  <w:noWrap w:val="0"/>
                  <w:vAlign w:val="center"/>
                </w:tcPr>
                <w:p w14:paraId="66205B61">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评价标准（μg/m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1105" w:type="dxa"/>
                  <w:vMerge w:val="restart"/>
                  <w:noWrap w:val="0"/>
                  <w:vAlign w:val="center"/>
                </w:tcPr>
                <w:p w14:paraId="7EC29D38">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监测浓度范围（μg/m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720" w:type="dxa"/>
                  <w:vMerge w:val="restart"/>
                  <w:noWrap w:val="0"/>
                  <w:vAlign w:val="center"/>
                </w:tcPr>
                <w:p w14:paraId="56B6E911">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最大浓度占标率%</w:t>
                  </w:r>
                </w:p>
              </w:tc>
              <w:tc>
                <w:tcPr>
                  <w:tcW w:w="651" w:type="dxa"/>
                  <w:vMerge w:val="restart"/>
                  <w:noWrap w:val="0"/>
                  <w:vAlign w:val="center"/>
                </w:tcPr>
                <w:p w14:paraId="7987E7DC">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超标率%</w:t>
                  </w:r>
                </w:p>
              </w:tc>
              <w:tc>
                <w:tcPr>
                  <w:tcW w:w="531" w:type="dxa"/>
                  <w:vMerge w:val="restart"/>
                  <w:noWrap w:val="0"/>
                  <w:vAlign w:val="center"/>
                </w:tcPr>
                <w:p w14:paraId="7E9FAFF7">
                  <w:pPr>
                    <w:keepNext w:val="0"/>
                    <w:keepLines w:val="0"/>
                    <w:pageBreakBefore w:val="0"/>
                    <w:kinsoku/>
                    <w:wordWrap/>
                    <w:overflowPunct/>
                    <w:topLinePunct w:val="0"/>
                    <w:bidi w:val="0"/>
                    <w:adjustRightInd/>
                    <w:snapToGrid/>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达标情况</w:t>
                  </w:r>
                </w:p>
              </w:tc>
            </w:tr>
            <w:tr w14:paraId="1D255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97" w:type="dxa"/>
                  <w:vMerge w:val="continue"/>
                  <w:noWrap w:val="0"/>
                  <w:vAlign w:val="center"/>
                </w:tcPr>
                <w:p w14:paraId="5BC5283E">
                  <w:pPr>
                    <w:keepNext w:val="0"/>
                    <w:keepLines w:val="0"/>
                    <w:pageBreakBefore w:val="0"/>
                    <w:widowControl/>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1162" w:type="dxa"/>
                  <w:noWrap w:val="0"/>
                  <w:vAlign w:val="center"/>
                </w:tcPr>
                <w:p w14:paraId="76B6F7F0">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X</w:t>
                  </w:r>
                </w:p>
              </w:tc>
              <w:tc>
                <w:tcPr>
                  <w:tcW w:w="1032" w:type="dxa"/>
                  <w:noWrap w:val="0"/>
                  <w:vAlign w:val="center"/>
                </w:tcPr>
                <w:p w14:paraId="61990F37">
                  <w:pPr>
                    <w:pStyle w:val="58"/>
                    <w:keepNext w:val="0"/>
                    <w:keepLines w:val="0"/>
                    <w:pageBreakBefore w:val="0"/>
                    <w:kinsoku/>
                    <w:wordWrap/>
                    <w:overflowPunct/>
                    <w:topLinePunct w:val="0"/>
                    <w:bidi w:val="0"/>
                    <w:adjustRightInd/>
                    <w:snapToGrid/>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Y</w:t>
                  </w:r>
                </w:p>
              </w:tc>
              <w:tc>
                <w:tcPr>
                  <w:tcW w:w="581" w:type="dxa"/>
                  <w:vMerge w:val="continue"/>
                  <w:noWrap w:val="0"/>
                  <w:vAlign w:val="center"/>
                </w:tcPr>
                <w:p w14:paraId="15A713A1">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469" w:type="dxa"/>
                  <w:vMerge w:val="continue"/>
                  <w:noWrap w:val="0"/>
                  <w:vAlign w:val="center"/>
                </w:tcPr>
                <w:p w14:paraId="7C47E673">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1068" w:type="dxa"/>
                  <w:vMerge w:val="continue"/>
                  <w:noWrap w:val="0"/>
                  <w:vAlign w:val="center"/>
                </w:tcPr>
                <w:p w14:paraId="2FE57AC5">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1105" w:type="dxa"/>
                  <w:vMerge w:val="continue"/>
                  <w:noWrap w:val="0"/>
                  <w:vAlign w:val="center"/>
                </w:tcPr>
                <w:p w14:paraId="388B57EA">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720" w:type="dxa"/>
                  <w:vMerge w:val="continue"/>
                  <w:noWrap w:val="0"/>
                  <w:vAlign w:val="center"/>
                </w:tcPr>
                <w:p w14:paraId="457FF817">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651" w:type="dxa"/>
                  <w:vMerge w:val="continue"/>
                  <w:noWrap w:val="0"/>
                  <w:vAlign w:val="center"/>
                </w:tcPr>
                <w:p w14:paraId="31F455F1">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c>
                <w:tcPr>
                  <w:tcW w:w="531" w:type="dxa"/>
                  <w:vMerge w:val="continue"/>
                  <w:noWrap w:val="0"/>
                  <w:vAlign w:val="center"/>
                </w:tcPr>
                <w:p w14:paraId="6DC3FA4A">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p>
              </w:tc>
            </w:tr>
            <w:tr w14:paraId="22EE9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97" w:type="dxa"/>
                  <w:noWrap w:val="0"/>
                  <w:vAlign w:val="center"/>
                </w:tcPr>
                <w:p w14:paraId="0636301A">
                  <w:pPr>
                    <w:pStyle w:val="49"/>
                    <w:keepNext w:val="0"/>
                    <w:keepLines w:val="0"/>
                    <w:pageBreakBefore w:val="0"/>
                    <w:tabs>
                      <w:tab w:val="left" w:pos="567"/>
                    </w:tabs>
                    <w:kinsoku/>
                    <w:wordWrap/>
                    <w:overflowPunct/>
                    <w:topLinePunct w:val="0"/>
                    <w:autoSpaceDE w:val="0"/>
                    <w:autoSpaceDN w:val="0"/>
                    <w:bidi w:val="0"/>
                    <w:adjustRightInd/>
                    <w:snapToGrid/>
                    <w:spacing w:line="240" w:lineRule="auto"/>
                    <w:jc w:val="center"/>
                    <w:textAlignment w:val="bottom"/>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rPr>
                    <w:t>大气监测点位</w:t>
                  </w:r>
                </w:p>
              </w:tc>
              <w:tc>
                <w:tcPr>
                  <w:tcW w:w="1162" w:type="dxa"/>
                  <w:noWrap w:val="0"/>
                  <w:vAlign w:val="center"/>
                </w:tcPr>
                <w:p w14:paraId="5F3A313B">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cs="Times New Roman"/>
                      <w:color w:val="auto"/>
                      <w:highlight w:val="none"/>
                    </w:rPr>
                    <w:t>131.0024</w:t>
                  </w:r>
                  <w:r>
                    <w:rPr>
                      <w:rFonts w:hint="default" w:ascii="Times New Roman" w:hAnsi="Times New Roman" w:cs="Times New Roman"/>
                      <w:color w:val="auto"/>
                      <w:highlight w:val="none"/>
                      <w:lang w:val="en-US" w:eastAsia="zh-CN"/>
                    </w:rPr>
                    <w:t>6</w:t>
                  </w:r>
                </w:p>
              </w:tc>
              <w:tc>
                <w:tcPr>
                  <w:tcW w:w="1032" w:type="dxa"/>
                  <w:noWrap w:val="0"/>
                  <w:vAlign w:val="center"/>
                </w:tcPr>
                <w:p w14:paraId="72356B15">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cs="Times New Roman"/>
                      <w:color w:val="auto"/>
                      <w:highlight w:val="none"/>
                    </w:rPr>
                    <w:t>45.2201</w:t>
                  </w:r>
                  <w:r>
                    <w:rPr>
                      <w:rFonts w:hint="default" w:ascii="Times New Roman" w:hAnsi="Times New Roman" w:cs="Times New Roman"/>
                      <w:color w:val="auto"/>
                      <w:highlight w:val="none"/>
                      <w:lang w:val="en-US" w:eastAsia="zh-CN"/>
                    </w:rPr>
                    <w:t>8</w:t>
                  </w:r>
                </w:p>
              </w:tc>
              <w:tc>
                <w:tcPr>
                  <w:tcW w:w="581" w:type="dxa"/>
                  <w:noWrap w:val="0"/>
                  <w:vAlign w:val="center"/>
                </w:tcPr>
                <w:p w14:paraId="05B6AEFD">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TSP</w:t>
                  </w:r>
                </w:p>
              </w:tc>
              <w:tc>
                <w:tcPr>
                  <w:tcW w:w="469" w:type="dxa"/>
                  <w:noWrap w:val="0"/>
                  <w:vAlign w:val="center"/>
                </w:tcPr>
                <w:p w14:paraId="36113EA7">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日均值</w:t>
                  </w:r>
                </w:p>
              </w:tc>
              <w:tc>
                <w:tcPr>
                  <w:tcW w:w="1068" w:type="dxa"/>
                  <w:noWrap w:val="0"/>
                  <w:vAlign w:val="center"/>
                </w:tcPr>
                <w:p w14:paraId="7E93F3A1">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300</w:t>
                  </w:r>
                </w:p>
              </w:tc>
              <w:tc>
                <w:tcPr>
                  <w:tcW w:w="1105" w:type="dxa"/>
                  <w:noWrap w:val="0"/>
                  <w:vAlign w:val="center"/>
                </w:tcPr>
                <w:p w14:paraId="3C4C38E8">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107-109</w:t>
                  </w:r>
                </w:p>
              </w:tc>
              <w:tc>
                <w:tcPr>
                  <w:tcW w:w="720" w:type="dxa"/>
                  <w:noWrap w:val="0"/>
                  <w:vAlign w:val="center"/>
                </w:tcPr>
                <w:p w14:paraId="70D30684">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36.3</w:t>
                  </w:r>
                </w:p>
              </w:tc>
              <w:tc>
                <w:tcPr>
                  <w:tcW w:w="651" w:type="dxa"/>
                  <w:noWrap w:val="0"/>
                  <w:vAlign w:val="center"/>
                </w:tcPr>
                <w:p w14:paraId="5562EF9C">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w:t>
                  </w:r>
                </w:p>
              </w:tc>
              <w:tc>
                <w:tcPr>
                  <w:tcW w:w="531" w:type="dxa"/>
                  <w:noWrap w:val="0"/>
                  <w:vAlign w:val="center"/>
                </w:tcPr>
                <w:p w14:paraId="5015E3B8">
                  <w:pPr>
                    <w:keepNext w:val="0"/>
                    <w:keepLines w:val="0"/>
                    <w:pageBreakBefore w:val="0"/>
                    <w:kinsoku/>
                    <w:wordWrap/>
                    <w:overflowPunct/>
                    <w:topLinePunct w:val="0"/>
                    <w:bidi w:val="0"/>
                    <w:adjustRightInd/>
                    <w:snapToGrid/>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达标</w:t>
                  </w:r>
                </w:p>
              </w:tc>
            </w:tr>
          </w:tbl>
          <w:p w14:paraId="18BBAC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由上表可知，项目所在区域TSP现状监测结果满足</w:t>
            </w:r>
            <w:r>
              <w:rPr>
                <w:rFonts w:hint="eastAsia" w:cs="Times New Roman"/>
                <w:color w:val="auto"/>
                <w:sz w:val="24"/>
                <w:highlight w:val="none"/>
                <w:lang w:eastAsia="zh-CN"/>
              </w:rPr>
              <w:t>《环境空气质量标准》（GB3095-2026）中二级标准限值</w:t>
            </w:r>
            <w:r>
              <w:rPr>
                <w:rFonts w:hint="default" w:ascii="Times New Roman" w:hAnsi="Times New Roman" w:cs="Times New Roman"/>
                <w:color w:val="auto"/>
                <w:sz w:val="24"/>
                <w:highlight w:val="none"/>
              </w:rPr>
              <w:t>。项目所在区域环境空气质量良好。</w:t>
            </w:r>
          </w:p>
          <w:p w14:paraId="2FC80C7F">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、水环境现状</w:t>
            </w:r>
          </w:p>
          <w:p w14:paraId="0DEB06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rPr>
              <w:t>本项目</w:t>
            </w:r>
            <w:r>
              <w:rPr>
                <w:rFonts w:hint="default" w:ascii="Times New Roman" w:hAnsi="Times New Roman" w:cs="Times New Roman"/>
                <w:color w:val="auto"/>
                <w:sz w:val="24"/>
                <w:szCs w:val="24"/>
                <w:highlight w:val="none"/>
                <w:lang w:val="en-US" w:eastAsia="zh-CN"/>
              </w:rPr>
              <w:t>所在</w:t>
            </w:r>
            <w:r>
              <w:rPr>
                <w:rFonts w:hint="default" w:ascii="Times New Roman" w:hAnsi="Times New Roman" w:cs="Times New Roman"/>
                <w:color w:val="auto"/>
                <w:sz w:val="24"/>
                <w:szCs w:val="24"/>
                <w:highlight w:val="none"/>
              </w:rPr>
              <w:t>区域地表水体为</w:t>
            </w:r>
            <w:r>
              <w:rPr>
                <w:rFonts w:hint="default" w:ascii="Times New Roman" w:hAnsi="Times New Roman" w:cs="Times New Roman"/>
                <w:color w:val="auto"/>
                <w:sz w:val="24"/>
                <w:szCs w:val="24"/>
                <w:highlight w:val="none"/>
                <w:lang w:eastAsia="zh-CN"/>
              </w:rPr>
              <w:t>小黄泥河，无水质目标。小黄泥河为穆棱河支流，因此参照穆棱河水质</w:t>
            </w:r>
            <w:r>
              <w:rPr>
                <w:rFonts w:hint="default" w:ascii="Times New Roman" w:hAnsi="Times New Roman" w:cs="Times New Roman"/>
                <w:color w:val="auto"/>
                <w:sz w:val="24"/>
                <w:szCs w:val="24"/>
                <w:highlight w:val="none"/>
              </w:rPr>
              <w:t>。根据《全国重要江河湖泊水功能区划（2011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2030年）》，穆棱河鸡西市境内河段水质分为206省道公路桥-东胜村，长度2.2km，为排污</w:t>
            </w:r>
            <w:r>
              <w:rPr>
                <w:rFonts w:hint="default" w:ascii="Times New Roman" w:hAnsi="Times New Roman" w:eastAsia="宋体" w:cs="Times New Roman"/>
                <w:color w:val="auto"/>
                <w:sz w:val="24"/>
                <w:szCs w:val="24"/>
                <w:highlight w:val="none"/>
              </w:rPr>
              <w:t>段，无水质目标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东胜村</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鸡古路西100m，长度14.5km，为</w:t>
            </w:r>
            <w:r>
              <w:rPr>
                <w:rFonts w:hint="default" w:ascii="Times New Roman" w:hAnsi="Times New Roman" w:cs="Times New Roman"/>
                <w:color w:val="auto"/>
                <w:sz w:val="24"/>
                <w:szCs w:val="24"/>
                <w:highlight w:val="none"/>
                <w:lang w:eastAsia="zh-CN"/>
              </w:rPr>
              <w:t>过渡段</w:t>
            </w:r>
            <w:r>
              <w:rPr>
                <w:rFonts w:hint="default" w:ascii="Times New Roman" w:hAnsi="Times New Roman" w:eastAsia="宋体" w:cs="Times New Roman"/>
                <w:color w:val="auto"/>
                <w:sz w:val="24"/>
                <w:szCs w:val="24"/>
                <w:highlight w:val="none"/>
              </w:rPr>
              <w:t>，水质目标为Ⅳ类</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鸡东县鸡古路西100m</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凯北站</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水质目标为Ⅲ类水体，执行《地表水环境质量标准》（GB3838-2002）中Ⅲ类标准。</w:t>
            </w:r>
          </w:p>
          <w:p w14:paraId="712E8D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根据鸡西市生态环境局网站公布的2025年1月～12月《鸡西市地表水国控考核断面水质信息公开》，知一桥断面和穆棱河河口内断面全年达到Ⅲ类水质类别标准。</w:t>
            </w:r>
          </w:p>
          <w:p w14:paraId="29AE17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根据鸡西市生态环境局网站公布的2024年1月～12月《鸡西市地表水国控考核断面水质信息公开》，知一桥断面和穆棱河河口内断面全年达到Ⅲ类水质类别标准。</w:t>
            </w:r>
          </w:p>
          <w:p w14:paraId="4F575D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根据鸡西市生态环境局网站公布的2023年1月～12月《鸡西市地表水国控考核断面水质信息公开》，知一桥断面和穆棱河河口内断面全年达到Ⅲ类水质类别标准。</w:t>
            </w:r>
          </w:p>
          <w:p w14:paraId="5E51EA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综上，近三年穆棱河水质无明显变化趋势</w:t>
            </w:r>
            <w:r>
              <w:rPr>
                <w:rFonts w:hint="default" w:ascii="Times New Roman" w:hAnsi="Times New Roman" w:eastAsia="宋体" w:cs="Times New Roman"/>
                <w:color w:val="auto"/>
                <w:sz w:val="24"/>
                <w:szCs w:val="24"/>
                <w:highlight w:val="none"/>
                <w:lang w:val="en-US" w:eastAsia="zh-CN"/>
              </w:rPr>
              <w:t>。</w:t>
            </w:r>
          </w:p>
          <w:p w14:paraId="3C886305">
            <w:pPr>
              <w:keepNext w:val="0"/>
              <w:keepLines w:val="0"/>
              <w:pageBreakBefore w:val="0"/>
              <w:kinsoku/>
              <w:wordWrap/>
              <w:overflowPunct/>
              <w:topLinePunct w:val="0"/>
              <w:autoSpaceDE/>
              <w:autoSpaceDN/>
              <w:bidi w:val="0"/>
              <w:spacing w:line="360" w:lineRule="auto"/>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3、声环境状况</w:t>
            </w:r>
          </w:p>
          <w:p w14:paraId="5AAB5F9F">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地址及周边为道路、树林、储煤场和民乐村闲置空房，无高噪声源，区域声环境质量较好，噪声评价范围为厂界外50m。根据《建设项目环境影响报告表编制技术指南（污染影响类）（试行）》声环境：根据厂界外周边 50 米范围内存在声环境保护目标的建设项目，应监测保护目标声环境质量现状并评价达标情况。根据现场调查，厂界外50m范围内无声环境敏感目标</w:t>
            </w:r>
            <w:r>
              <w:rPr>
                <w:rFonts w:hint="default" w:ascii="Times New Roman" w:hAnsi="Times New Roman" w:cs="Times New Roman"/>
                <w:color w:val="auto"/>
                <w:kern w:val="2"/>
                <w:sz w:val="24"/>
                <w:szCs w:val="24"/>
                <w:highlight w:val="none"/>
                <w:lang w:val="en-US" w:eastAsia="zh-CN" w:bidi="ar-SA"/>
              </w:rPr>
              <w:t>。</w:t>
            </w:r>
          </w:p>
          <w:p w14:paraId="2C1CAC17">
            <w:pPr>
              <w:keepNext w:val="0"/>
              <w:keepLines w:val="0"/>
              <w:pageBreakBefore w:val="0"/>
              <w:kinsoku/>
              <w:wordWrap/>
              <w:overflowPunct/>
              <w:topLinePunct w:val="0"/>
              <w:autoSpaceDE/>
              <w:autoSpaceDN/>
              <w:bidi w:val="0"/>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地下水、土壤</w:t>
            </w:r>
          </w:p>
          <w:p w14:paraId="5067F8E1">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本项目位于</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eastAsia="宋体" w:cs="Times New Roman"/>
                <w:color w:val="auto"/>
                <w:kern w:val="2"/>
                <w:sz w:val="24"/>
                <w:szCs w:val="24"/>
                <w:highlight w:val="none"/>
                <w:lang w:val="en-US" w:eastAsia="zh-CN" w:bidi="ar-SA"/>
              </w:rPr>
              <w:t>。本项目按要求对厂区内地面进行防渗硬化，采取措施后，不存在明显的土壤、地下水污染途径，根据《建设项目环境影响报告表编制技术指南（污染影响类）》（试行），未开展地下水、土壤环境现状调查。</w:t>
            </w:r>
          </w:p>
          <w:p w14:paraId="20EB6137">
            <w:pPr>
              <w:keepNext w:val="0"/>
              <w:keepLines w:val="0"/>
              <w:pageBreakBefore w:val="0"/>
              <w:kinsoku/>
              <w:wordWrap/>
              <w:overflowPunct/>
              <w:topLinePunct w:val="0"/>
              <w:autoSpaceDE/>
              <w:autoSpaceDN/>
              <w:bidi w:val="0"/>
              <w:snapToGrid w:val="0"/>
              <w:spacing w:line="360" w:lineRule="auto"/>
              <w:ind w:firstLine="498" w:firstLineChars="200"/>
              <w:textAlignment w:val="auto"/>
              <w:rPr>
                <w:rFonts w:hint="default" w:ascii="Times New Roman" w:hAnsi="Times New Roman" w:cs="Times New Roman"/>
                <w:b/>
                <w:bCs/>
                <w:color w:val="auto"/>
                <w:spacing w:val="4"/>
                <w:sz w:val="24"/>
                <w:highlight w:val="none"/>
              </w:rPr>
            </w:pPr>
            <w:r>
              <w:rPr>
                <w:rFonts w:hint="default" w:ascii="Times New Roman" w:hAnsi="Times New Roman" w:cs="Times New Roman"/>
                <w:b/>
                <w:bCs/>
                <w:color w:val="auto"/>
                <w:spacing w:val="4"/>
                <w:sz w:val="24"/>
                <w:highlight w:val="none"/>
                <w:lang w:val="en-US" w:eastAsia="zh-CN"/>
              </w:rPr>
              <w:t>5</w:t>
            </w:r>
            <w:r>
              <w:rPr>
                <w:rFonts w:hint="default" w:ascii="Times New Roman" w:hAnsi="Times New Roman" w:cs="Times New Roman"/>
                <w:b/>
                <w:bCs/>
                <w:color w:val="auto"/>
                <w:spacing w:val="4"/>
                <w:sz w:val="24"/>
                <w:highlight w:val="none"/>
                <w:lang w:eastAsia="zh-CN"/>
              </w:rPr>
              <w:t>、</w:t>
            </w:r>
            <w:r>
              <w:rPr>
                <w:rFonts w:hint="default" w:ascii="Times New Roman" w:hAnsi="Times New Roman" w:cs="Times New Roman"/>
                <w:b/>
                <w:bCs/>
                <w:color w:val="auto"/>
                <w:spacing w:val="4"/>
                <w:sz w:val="24"/>
                <w:highlight w:val="none"/>
              </w:rPr>
              <w:t>生态环境</w:t>
            </w:r>
          </w:p>
          <w:p w14:paraId="40B096D8">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根据现场踏勘，本项目位于</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eastAsia="宋体" w:cs="Times New Roman"/>
                <w:color w:val="auto"/>
                <w:kern w:val="2"/>
                <w:sz w:val="24"/>
                <w:szCs w:val="24"/>
                <w:highlight w:val="none"/>
                <w:lang w:val="en-US" w:eastAsia="zh-CN" w:bidi="ar-SA"/>
              </w:rPr>
              <w:t>，用地性质为</w:t>
            </w:r>
            <w:r>
              <w:rPr>
                <w:rFonts w:hint="eastAsia" w:cs="Times New Roman"/>
                <w:color w:val="auto"/>
                <w:kern w:val="2"/>
                <w:sz w:val="24"/>
                <w:szCs w:val="24"/>
                <w:highlight w:val="none"/>
                <w:lang w:val="en-US" w:eastAsia="zh-CN" w:bidi="ar-SA"/>
              </w:rPr>
              <w:t>采矿用地</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厂区内1</w:t>
            </w:r>
            <w:r>
              <w:rPr>
                <w:rFonts w:hint="eastAsia" w:cs="Times New Roman"/>
                <w:color w:val="auto"/>
                <w:kern w:val="2"/>
                <w:sz w:val="24"/>
                <w:szCs w:val="24"/>
                <w:highlight w:val="none"/>
                <w:lang w:val="en-US" w:eastAsia="zh-CN" w:bidi="ar-SA"/>
              </w:rPr>
              <w:t>2323</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2</w:t>
            </w:r>
            <w:r>
              <w:rPr>
                <w:rFonts w:hint="default" w:ascii="Times New Roman" w:hAnsi="Times New Roman" w:cs="Times New Roman"/>
                <w:color w:val="auto"/>
                <w:kern w:val="2"/>
                <w:sz w:val="24"/>
                <w:szCs w:val="24"/>
                <w:highlight w:val="none"/>
                <w:vertAlign w:val="baseline"/>
                <w:lang w:val="en-US" w:eastAsia="zh-CN" w:bidi="ar-SA"/>
              </w:rPr>
              <w:t>为</w:t>
            </w:r>
            <w:r>
              <w:rPr>
                <w:rFonts w:hint="default" w:ascii="Times New Roman" w:hAnsi="Times New Roman" w:eastAsia="宋体" w:cs="Times New Roman"/>
                <w:color w:val="auto"/>
                <w:kern w:val="2"/>
                <w:sz w:val="24"/>
                <w:szCs w:val="24"/>
                <w:highlight w:val="none"/>
                <w:lang w:val="en-US" w:eastAsia="zh-CN" w:bidi="ar-SA"/>
              </w:rPr>
              <w:t>租赁</w:t>
            </w:r>
            <w:r>
              <w:rPr>
                <w:rFonts w:hint="default" w:ascii="Times New Roman" w:hAnsi="Times New Roman" w:cs="Times New Roman"/>
                <w:color w:val="auto"/>
                <w:kern w:val="2"/>
                <w:sz w:val="24"/>
                <w:szCs w:val="24"/>
                <w:highlight w:val="none"/>
                <w:lang w:val="en-US" w:eastAsia="zh-CN" w:bidi="ar-SA"/>
              </w:rPr>
              <w:t>民乐村</w:t>
            </w:r>
            <w:r>
              <w:rPr>
                <w:rFonts w:hint="default" w:ascii="Times New Roman" w:hAnsi="Times New Roman" w:eastAsia="宋体" w:cs="Times New Roman"/>
                <w:color w:val="auto"/>
                <w:kern w:val="2"/>
                <w:sz w:val="24"/>
                <w:szCs w:val="24"/>
                <w:highlight w:val="none"/>
                <w:lang w:val="en-US" w:eastAsia="zh-CN" w:bidi="ar-SA"/>
              </w:rPr>
              <w:t>土地</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土地租赁协议书见附件3</w:t>
            </w:r>
            <w:r>
              <w:rPr>
                <w:rFonts w:hint="default" w:ascii="Times New Roman" w:hAnsi="Times New Roman" w:eastAsia="宋体" w:cs="Times New Roman"/>
                <w:color w:val="auto"/>
                <w:kern w:val="2"/>
                <w:sz w:val="24"/>
                <w:szCs w:val="24"/>
                <w:highlight w:val="none"/>
                <w:lang w:val="en-US" w:eastAsia="zh-CN" w:bidi="ar-SA"/>
              </w:rPr>
              <w:t>。现有场地</w:t>
            </w:r>
            <w:r>
              <w:rPr>
                <w:rFonts w:hint="eastAsia" w:cs="Times New Roman"/>
                <w:color w:val="auto"/>
                <w:kern w:val="2"/>
                <w:sz w:val="24"/>
                <w:szCs w:val="24"/>
                <w:highlight w:val="none"/>
                <w:lang w:val="en-US" w:eastAsia="zh-CN" w:bidi="ar-SA"/>
              </w:rPr>
              <w:t>为</w:t>
            </w:r>
            <w:r>
              <w:rPr>
                <w:rFonts w:hint="default" w:ascii="Times New Roman" w:hAnsi="Times New Roman" w:eastAsia="宋体" w:cs="Times New Roman"/>
                <w:color w:val="auto"/>
                <w:kern w:val="2"/>
                <w:sz w:val="24"/>
                <w:szCs w:val="24"/>
                <w:highlight w:val="none"/>
                <w:lang w:val="en-US" w:eastAsia="zh-CN" w:bidi="ar-SA"/>
              </w:rPr>
              <w:t>空地，</w:t>
            </w:r>
            <w:r>
              <w:rPr>
                <w:rFonts w:hint="default" w:ascii="Times New Roman" w:hAnsi="Times New Roman" w:eastAsia="宋体" w:cs="Times New Roman"/>
                <w:color w:val="auto"/>
                <w:kern w:val="2"/>
                <w:sz w:val="24"/>
                <w:szCs w:val="24"/>
                <w:highlight w:val="none"/>
                <w:lang w:val="en-US" w:eastAsia="zh-CN" w:bidi="ar-SA"/>
              </w:rPr>
              <w:t>占地范围内无生态环境敏感目标。</w:t>
            </w:r>
          </w:p>
          <w:p w14:paraId="777513B0">
            <w:pPr>
              <w:keepNext w:val="0"/>
              <w:keepLines w:val="0"/>
              <w:pageBreakBefore w:val="0"/>
              <w:kinsoku/>
              <w:wordWrap/>
              <w:overflowPunct/>
              <w:topLinePunct w:val="0"/>
              <w:autoSpaceDE/>
              <w:autoSpaceDN/>
              <w:bidi w:val="0"/>
              <w:spacing w:line="360" w:lineRule="auto"/>
              <w:ind w:firstLine="482" w:firstLineChars="200"/>
              <w:textAlignment w:val="auto"/>
              <w:rPr>
                <w:rFonts w:hint="default" w:ascii="Times New Roman" w:hAnsi="Times New Roman" w:cs="Times New Roman"/>
                <w:b/>
                <w:bCs/>
                <w:color w:val="auto"/>
                <w:sz w:val="24"/>
                <w:szCs w:val="28"/>
                <w:highlight w:val="none"/>
              </w:rPr>
            </w:pPr>
            <w:r>
              <w:rPr>
                <w:rFonts w:hint="default" w:ascii="Times New Roman" w:hAnsi="Times New Roman" w:cs="Times New Roman"/>
                <w:b/>
                <w:bCs/>
                <w:color w:val="auto"/>
                <w:sz w:val="24"/>
                <w:szCs w:val="28"/>
                <w:highlight w:val="none"/>
                <w:lang w:val="en-US" w:eastAsia="zh-CN"/>
              </w:rPr>
              <w:t>6</w:t>
            </w:r>
            <w:r>
              <w:rPr>
                <w:rFonts w:hint="default" w:ascii="Times New Roman" w:hAnsi="Times New Roman" w:cs="Times New Roman"/>
                <w:b/>
                <w:bCs/>
                <w:color w:val="auto"/>
                <w:sz w:val="24"/>
                <w:szCs w:val="28"/>
                <w:highlight w:val="none"/>
              </w:rPr>
              <w:t>、电磁辐射</w:t>
            </w:r>
          </w:p>
          <w:p w14:paraId="48EB6673">
            <w:pPr>
              <w:pStyle w:val="30"/>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kern w:val="2"/>
                <w:sz w:val="24"/>
                <w:szCs w:val="24"/>
                <w:highlight w:val="none"/>
                <w:lang w:val="en-US" w:eastAsia="zh-CN" w:bidi="ar-SA"/>
              </w:rPr>
              <w:t>本项目不属于辐射类项目，不涉及电磁辐射。</w:t>
            </w:r>
          </w:p>
        </w:tc>
      </w:tr>
      <w:tr w14:paraId="6DE27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0" w:type="dxa"/>
            <w:vAlign w:val="center"/>
          </w:tcPr>
          <w:p w14:paraId="3D2CE68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3CC872D7">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保护</w:t>
            </w:r>
          </w:p>
          <w:p w14:paraId="4CFFBCC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目标</w:t>
            </w:r>
          </w:p>
        </w:tc>
        <w:tc>
          <w:tcPr>
            <w:tcW w:w="8190" w:type="dxa"/>
            <w:vAlign w:val="center"/>
          </w:tcPr>
          <w:p w14:paraId="70E63514">
            <w:pPr>
              <w:spacing w:line="360" w:lineRule="auto"/>
              <w:ind w:firstLine="480" w:firstLineChars="200"/>
              <w:rPr>
                <w:rFonts w:hint="default" w:ascii="Times New Roman" w:hAnsi="Times New Roman" w:cs="Times New Roman"/>
                <w:b/>
                <w:color w:val="auto"/>
                <w:szCs w:val="21"/>
                <w:highlight w:val="none"/>
              </w:rPr>
            </w:pPr>
            <w:r>
              <w:rPr>
                <w:rFonts w:hint="default" w:ascii="Times New Roman" w:hAnsi="Times New Roman" w:cs="Times New Roman"/>
                <w:color w:val="auto"/>
                <w:kern w:val="0"/>
                <w:sz w:val="24"/>
                <w:highlight w:val="none"/>
              </w:rPr>
              <w:t>本项目</w:t>
            </w:r>
            <w:r>
              <w:rPr>
                <w:rFonts w:hint="default" w:ascii="Times New Roman" w:hAnsi="Times New Roman" w:cs="Times New Roman"/>
                <w:color w:val="auto"/>
                <w:kern w:val="0"/>
                <w:sz w:val="24"/>
                <w:highlight w:val="none"/>
                <w:lang w:eastAsia="zh-CN"/>
              </w:rPr>
              <w:t>建设地点</w:t>
            </w:r>
            <w:r>
              <w:rPr>
                <w:rFonts w:hint="default" w:ascii="Times New Roman" w:hAnsi="Times New Roman" w:cs="Times New Roman"/>
                <w:color w:val="auto"/>
                <w:kern w:val="0"/>
                <w:sz w:val="24"/>
                <w:highlight w:val="none"/>
              </w:rPr>
              <w:t>位于</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cs="Times New Roman"/>
                <w:color w:val="auto"/>
                <w:kern w:val="0"/>
                <w:sz w:val="24"/>
                <w:highlight w:val="none"/>
              </w:rPr>
              <w:t>，评价区内无国家、省、市级自然保护区、名胜古迹等敏感目标</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各环境要素、环境保护对象见下表及附图</w:t>
            </w:r>
            <w:r>
              <w:rPr>
                <w:rFonts w:hint="eastAsia" w:cs="Times New Roman"/>
                <w:color w:val="auto"/>
                <w:kern w:val="0"/>
                <w:sz w:val="24"/>
                <w:highlight w:val="none"/>
                <w:lang w:val="en-US" w:eastAsia="zh-CN"/>
              </w:rPr>
              <w:t>7</w:t>
            </w:r>
            <w:r>
              <w:rPr>
                <w:rFonts w:hint="default" w:ascii="Times New Roman" w:hAnsi="Times New Roman" w:cs="Times New Roman"/>
                <w:color w:val="auto"/>
                <w:kern w:val="0"/>
                <w:sz w:val="24"/>
                <w:highlight w:val="none"/>
              </w:rPr>
              <w:t>。</w:t>
            </w:r>
          </w:p>
          <w:p w14:paraId="57D0A54C">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表3-</w:t>
            </w:r>
            <w:r>
              <w:rPr>
                <w:rFonts w:hint="eastAsia" w:cs="Times New Roman"/>
                <w:b/>
                <w:color w:val="auto"/>
                <w:szCs w:val="21"/>
                <w:highlight w:val="none"/>
                <w:lang w:val="en-US" w:eastAsia="zh-CN"/>
              </w:rPr>
              <w:t>4</w:t>
            </w:r>
            <w:r>
              <w:rPr>
                <w:rFonts w:hint="default" w:ascii="Times New Roman" w:hAnsi="Times New Roman" w:cs="Times New Roman"/>
                <w:b/>
                <w:color w:val="auto"/>
                <w:szCs w:val="21"/>
                <w:highlight w:val="none"/>
              </w:rPr>
              <w:t>主要环境保护目标一览表</w:t>
            </w:r>
          </w:p>
          <w:tbl>
            <w:tblPr>
              <w:tblStyle w:val="31"/>
              <w:tblW w:w="79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124"/>
              <w:gridCol w:w="2511"/>
              <w:gridCol w:w="3886"/>
            </w:tblGrid>
            <w:tr w14:paraId="54217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7" w:type="dxa"/>
                  <w:vAlign w:val="center"/>
                </w:tcPr>
                <w:p w14:paraId="439684FC">
                  <w:pPr>
                    <w:adjustRightInd w:val="0"/>
                    <w:snapToGrid w:val="0"/>
                    <w:jc w:val="center"/>
                    <w:rPr>
                      <w:rFonts w:hint="default" w:ascii="Times New Roman" w:hAnsi="Times New Roman" w:cs="Times New Roman"/>
                      <w:b/>
                      <w:bCs/>
                      <w:color w:val="auto"/>
                      <w:kern w:val="21"/>
                      <w:szCs w:val="18"/>
                      <w:highlight w:val="none"/>
                    </w:rPr>
                  </w:pPr>
                  <w:r>
                    <w:rPr>
                      <w:rFonts w:hint="default" w:ascii="Times New Roman" w:hAnsi="Times New Roman" w:cs="Times New Roman"/>
                      <w:b/>
                      <w:bCs/>
                      <w:color w:val="auto"/>
                      <w:kern w:val="21"/>
                      <w:szCs w:val="18"/>
                      <w:highlight w:val="none"/>
                    </w:rPr>
                    <w:t>序号</w:t>
                  </w:r>
                </w:p>
              </w:tc>
              <w:tc>
                <w:tcPr>
                  <w:tcW w:w="1124" w:type="dxa"/>
                  <w:vAlign w:val="center"/>
                </w:tcPr>
                <w:p w14:paraId="7E6C674A">
                  <w:pPr>
                    <w:adjustRightInd w:val="0"/>
                    <w:snapToGrid w:val="0"/>
                    <w:jc w:val="center"/>
                    <w:rPr>
                      <w:rFonts w:hint="default" w:ascii="Times New Roman" w:hAnsi="Times New Roman" w:cs="Times New Roman"/>
                      <w:b/>
                      <w:bCs/>
                      <w:color w:val="auto"/>
                      <w:kern w:val="21"/>
                      <w:szCs w:val="18"/>
                      <w:highlight w:val="none"/>
                    </w:rPr>
                  </w:pPr>
                  <w:r>
                    <w:rPr>
                      <w:rFonts w:hint="default" w:ascii="Times New Roman" w:hAnsi="Times New Roman" w:cs="Times New Roman"/>
                      <w:b/>
                      <w:bCs/>
                      <w:color w:val="auto"/>
                      <w:kern w:val="21"/>
                      <w:szCs w:val="18"/>
                      <w:highlight w:val="none"/>
                    </w:rPr>
                    <w:t>类别</w:t>
                  </w:r>
                </w:p>
              </w:tc>
              <w:tc>
                <w:tcPr>
                  <w:tcW w:w="2511" w:type="dxa"/>
                  <w:tcBorders>
                    <w:right w:val="single" w:color="000000" w:sz="4" w:space="0"/>
                  </w:tcBorders>
                  <w:vAlign w:val="center"/>
                </w:tcPr>
                <w:p w14:paraId="2CE24EE9">
                  <w:pPr>
                    <w:adjustRightInd w:val="0"/>
                    <w:snapToGrid w:val="0"/>
                    <w:jc w:val="center"/>
                    <w:rPr>
                      <w:rFonts w:hint="default" w:ascii="Times New Roman" w:hAnsi="Times New Roman" w:cs="Times New Roman"/>
                      <w:b/>
                      <w:bCs/>
                      <w:color w:val="auto"/>
                      <w:kern w:val="21"/>
                      <w:szCs w:val="18"/>
                      <w:highlight w:val="none"/>
                    </w:rPr>
                  </w:pPr>
                  <w:r>
                    <w:rPr>
                      <w:rFonts w:hint="default" w:ascii="Times New Roman" w:hAnsi="Times New Roman" w:cs="Times New Roman"/>
                      <w:b/>
                      <w:bCs/>
                      <w:color w:val="auto"/>
                      <w:kern w:val="21"/>
                      <w:szCs w:val="18"/>
                      <w:highlight w:val="none"/>
                    </w:rPr>
                    <w:t>环境敏感目标</w:t>
                  </w:r>
                </w:p>
              </w:tc>
              <w:tc>
                <w:tcPr>
                  <w:tcW w:w="3886" w:type="dxa"/>
                  <w:vAlign w:val="center"/>
                </w:tcPr>
                <w:p w14:paraId="019788DF">
                  <w:pPr>
                    <w:adjustRightInd w:val="0"/>
                    <w:snapToGrid w:val="0"/>
                    <w:jc w:val="center"/>
                    <w:rPr>
                      <w:rFonts w:hint="default" w:ascii="Times New Roman" w:hAnsi="Times New Roman" w:cs="Times New Roman"/>
                      <w:b/>
                      <w:bCs/>
                      <w:color w:val="auto"/>
                      <w:kern w:val="21"/>
                      <w:szCs w:val="18"/>
                      <w:highlight w:val="none"/>
                    </w:rPr>
                  </w:pPr>
                  <w:r>
                    <w:rPr>
                      <w:rFonts w:hint="default" w:ascii="Times New Roman" w:hAnsi="Times New Roman" w:cs="Times New Roman"/>
                      <w:b/>
                      <w:bCs/>
                      <w:color w:val="auto"/>
                      <w:kern w:val="21"/>
                      <w:szCs w:val="18"/>
                      <w:highlight w:val="none"/>
                    </w:rPr>
                    <w:t>保护标准</w:t>
                  </w:r>
                </w:p>
              </w:tc>
            </w:tr>
            <w:tr w14:paraId="19A430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7" w:type="dxa"/>
                  <w:vAlign w:val="center"/>
                </w:tcPr>
                <w:p w14:paraId="55F0A767">
                  <w:pPr>
                    <w:adjustRightInd w:val="0"/>
                    <w:snapToGrid w:val="0"/>
                    <w:jc w:val="center"/>
                    <w:rPr>
                      <w:rFonts w:hint="default" w:ascii="Times New Roman" w:hAnsi="Times New Roman" w:eastAsia="宋体" w:cs="Times New Roman"/>
                      <w:color w:val="auto"/>
                      <w:kern w:val="21"/>
                      <w:szCs w:val="18"/>
                      <w:highlight w:val="none"/>
                      <w:lang w:eastAsia="zh-CN"/>
                    </w:rPr>
                  </w:pPr>
                  <w:r>
                    <w:rPr>
                      <w:rFonts w:hint="default" w:ascii="Times New Roman" w:hAnsi="Times New Roman" w:cs="Times New Roman"/>
                      <w:color w:val="auto"/>
                      <w:kern w:val="21"/>
                      <w:szCs w:val="18"/>
                      <w:highlight w:val="none"/>
                      <w:lang w:val="en-US" w:eastAsia="zh-CN"/>
                    </w:rPr>
                    <w:t>1</w:t>
                  </w:r>
                </w:p>
              </w:tc>
              <w:tc>
                <w:tcPr>
                  <w:tcW w:w="1124" w:type="dxa"/>
                  <w:vAlign w:val="center"/>
                </w:tcPr>
                <w:p w14:paraId="07D5F611">
                  <w:pPr>
                    <w:adjustRightInd w:val="0"/>
                    <w:snapToGrid w:val="0"/>
                    <w:jc w:val="center"/>
                    <w:rPr>
                      <w:rFonts w:hint="default" w:ascii="Times New Roman" w:hAnsi="Times New Roman" w:cs="Times New Roman"/>
                      <w:color w:val="auto"/>
                      <w:kern w:val="21"/>
                      <w:szCs w:val="18"/>
                      <w:highlight w:val="none"/>
                    </w:rPr>
                  </w:pPr>
                  <w:r>
                    <w:rPr>
                      <w:rFonts w:hint="default" w:ascii="Times New Roman" w:hAnsi="Times New Roman" w:cs="Times New Roman"/>
                      <w:color w:val="auto"/>
                      <w:kern w:val="21"/>
                      <w:szCs w:val="18"/>
                      <w:highlight w:val="none"/>
                    </w:rPr>
                    <w:t>环境空气</w:t>
                  </w:r>
                </w:p>
              </w:tc>
              <w:tc>
                <w:tcPr>
                  <w:tcW w:w="2511" w:type="dxa"/>
                  <w:tcBorders>
                    <w:right w:val="single" w:color="000000" w:sz="4" w:space="0"/>
                  </w:tcBorders>
                  <w:vAlign w:val="center"/>
                </w:tcPr>
                <w:p w14:paraId="583FEF3F">
                  <w:pPr>
                    <w:adjustRightInd w:val="0"/>
                    <w:snapToGrid w:val="0"/>
                    <w:jc w:val="center"/>
                    <w:rPr>
                      <w:rFonts w:hint="default" w:ascii="Times New Roman" w:hAnsi="Times New Roman" w:cs="Times New Roman"/>
                      <w:iCs/>
                      <w:color w:val="auto"/>
                      <w:kern w:val="21"/>
                      <w:szCs w:val="18"/>
                      <w:highlight w:val="none"/>
                    </w:rPr>
                  </w:pPr>
                  <w:r>
                    <w:rPr>
                      <w:rFonts w:hint="default" w:ascii="Times New Roman" w:hAnsi="Times New Roman" w:cs="Times New Roman"/>
                      <w:color w:val="auto"/>
                      <w:szCs w:val="21"/>
                      <w:highlight w:val="none"/>
                    </w:rPr>
                    <w:t>评价范围内环境空气</w:t>
                  </w:r>
                </w:p>
              </w:tc>
              <w:tc>
                <w:tcPr>
                  <w:tcW w:w="3886" w:type="dxa"/>
                  <w:vAlign w:val="center"/>
                </w:tcPr>
                <w:p w14:paraId="32E70864">
                  <w:pPr>
                    <w:adjustRightInd w:val="0"/>
                    <w:snapToGrid w:val="0"/>
                    <w:jc w:val="center"/>
                    <w:rPr>
                      <w:rFonts w:hint="eastAsia" w:ascii="Times New Roman" w:hAnsi="Times New Roman" w:eastAsia="宋体" w:cs="Times New Roman"/>
                      <w:color w:val="auto"/>
                      <w:kern w:val="21"/>
                      <w:szCs w:val="18"/>
                      <w:highlight w:val="none"/>
                      <w:lang w:eastAsia="zh-CN"/>
                    </w:rPr>
                  </w:pPr>
                  <w:r>
                    <w:rPr>
                      <w:rFonts w:hint="default" w:ascii="Times New Roman" w:hAnsi="Times New Roman" w:cs="Times New Roman"/>
                      <w:color w:val="auto"/>
                      <w:kern w:val="21"/>
                      <w:szCs w:val="18"/>
                      <w:highlight w:val="none"/>
                    </w:rPr>
                    <w:t>保护其满足</w:t>
                  </w:r>
                  <w:r>
                    <w:rPr>
                      <w:rFonts w:hint="eastAsia" w:cs="Times New Roman"/>
                      <w:color w:val="auto"/>
                      <w:kern w:val="21"/>
                      <w:szCs w:val="18"/>
                      <w:highlight w:val="none"/>
                      <w:lang w:eastAsia="zh-CN"/>
                    </w:rPr>
                    <w:t>《环境空气质量标准》（GB3095-2026）中二级标准</w:t>
                  </w:r>
                </w:p>
              </w:tc>
            </w:tr>
            <w:tr w14:paraId="371929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57" w:type="dxa"/>
                  <w:vAlign w:val="center"/>
                </w:tcPr>
                <w:p w14:paraId="518F061C">
                  <w:pPr>
                    <w:adjustRightInd w:val="0"/>
                    <w:snapToGrid w:val="0"/>
                    <w:jc w:val="center"/>
                    <w:rPr>
                      <w:rFonts w:hint="default" w:ascii="Times New Roman" w:hAnsi="Times New Roman" w:eastAsia="宋体" w:cs="Times New Roman"/>
                      <w:color w:val="auto"/>
                      <w:kern w:val="21"/>
                      <w:szCs w:val="18"/>
                      <w:highlight w:val="none"/>
                      <w:lang w:val="en-US" w:eastAsia="zh-CN"/>
                    </w:rPr>
                  </w:pPr>
                  <w:r>
                    <w:rPr>
                      <w:rFonts w:hint="default" w:ascii="Times New Roman" w:hAnsi="Times New Roman" w:cs="Times New Roman"/>
                      <w:color w:val="auto"/>
                      <w:kern w:val="21"/>
                      <w:szCs w:val="18"/>
                      <w:highlight w:val="none"/>
                      <w:lang w:val="en-US" w:eastAsia="zh-CN"/>
                    </w:rPr>
                    <w:t>2</w:t>
                  </w:r>
                </w:p>
              </w:tc>
              <w:tc>
                <w:tcPr>
                  <w:tcW w:w="1124" w:type="dxa"/>
                  <w:vAlign w:val="center"/>
                </w:tcPr>
                <w:p w14:paraId="4F419ACD">
                  <w:pPr>
                    <w:adjustRightInd w:val="0"/>
                    <w:snapToGrid w:val="0"/>
                    <w:jc w:val="center"/>
                    <w:rPr>
                      <w:rFonts w:hint="default" w:ascii="Times New Roman" w:hAnsi="Times New Roman" w:eastAsia="宋体" w:cs="Times New Roman"/>
                      <w:color w:val="auto"/>
                      <w:kern w:val="21"/>
                      <w:szCs w:val="18"/>
                      <w:highlight w:val="none"/>
                      <w:lang w:eastAsia="zh-CN"/>
                    </w:rPr>
                  </w:pPr>
                  <w:r>
                    <w:rPr>
                      <w:rFonts w:hint="default" w:ascii="Times New Roman" w:hAnsi="Times New Roman" w:cs="Times New Roman"/>
                      <w:color w:val="auto"/>
                      <w:kern w:val="21"/>
                      <w:szCs w:val="18"/>
                      <w:highlight w:val="none"/>
                      <w:lang w:eastAsia="zh-CN"/>
                    </w:rPr>
                    <w:t>水环境</w:t>
                  </w:r>
                </w:p>
              </w:tc>
              <w:tc>
                <w:tcPr>
                  <w:tcW w:w="2511" w:type="dxa"/>
                  <w:tcBorders>
                    <w:right w:val="single" w:color="000000" w:sz="4" w:space="0"/>
                  </w:tcBorders>
                  <w:vAlign w:val="center"/>
                </w:tcPr>
                <w:p w14:paraId="5278379D">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eastAsia="zh-CN"/>
                    </w:rPr>
                    <w:t>小黄泥河</w:t>
                  </w:r>
                </w:p>
              </w:tc>
              <w:tc>
                <w:tcPr>
                  <w:tcW w:w="3886" w:type="dxa"/>
                  <w:vAlign w:val="center"/>
                </w:tcPr>
                <w:p w14:paraId="18C515EA">
                  <w:pPr>
                    <w:adjustRightInd w:val="0"/>
                    <w:snapToGrid w:val="0"/>
                    <w:jc w:val="center"/>
                    <w:rPr>
                      <w:rFonts w:hint="default" w:ascii="Times New Roman" w:hAnsi="Times New Roman" w:cs="Times New Roman"/>
                      <w:color w:val="auto"/>
                      <w:kern w:val="21"/>
                      <w:szCs w:val="18"/>
                      <w:highlight w:val="none"/>
                    </w:rPr>
                  </w:pPr>
                  <w:r>
                    <w:rPr>
                      <w:rFonts w:hint="default" w:ascii="Times New Roman" w:hAnsi="Times New Roman" w:cs="Times New Roman"/>
                      <w:color w:val="auto"/>
                      <w:highlight w:val="none"/>
                      <w:lang w:eastAsia="zh-CN"/>
                    </w:rPr>
                    <w:t>保护其满足</w:t>
                  </w:r>
                  <w:r>
                    <w:rPr>
                      <w:rFonts w:hint="default" w:ascii="Times New Roman" w:hAnsi="Times New Roman" w:cs="Times New Roman"/>
                      <w:color w:val="auto"/>
                      <w:highlight w:val="none"/>
                    </w:rPr>
                    <w:t>《地表水环境质量标准》（GB3838-2002）中Ⅲ类水质标准</w:t>
                  </w:r>
                </w:p>
              </w:tc>
            </w:tr>
            <w:tr w14:paraId="69876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7978" w:type="dxa"/>
                  <w:gridSpan w:val="4"/>
                  <w:vAlign w:val="center"/>
                </w:tcPr>
                <w:p w14:paraId="348975FE">
                  <w:pPr>
                    <w:pStyle w:val="51"/>
                    <w:adjustRightInd w:val="0"/>
                    <w:snapToGrid w:val="0"/>
                    <w:spacing w:line="240" w:lineRule="auto"/>
                    <w:rPr>
                      <w:rFonts w:hint="default" w:ascii="Times New Roman" w:hAnsi="Times New Roman" w:eastAsia="宋体" w:cs="Times New Roman"/>
                      <w:b/>
                      <w:bCs/>
                      <w:color w:val="auto"/>
                      <w:kern w:val="21"/>
                      <w:sz w:val="18"/>
                      <w:szCs w:val="18"/>
                      <w:highlight w:val="none"/>
                    </w:rPr>
                  </w:pPr>
                  <w:r>
                    <w:rPr>
                      <w:rFonts w:hint="default" w:ascii="Times New Roman" w:hAnsi="Times New Roman" w:eastAsia="宋体" w:cs="Times New Roman"/>
                      <w:color w:val="auto"/>
                      <w:sz w:val="18"/>
                      <w:szCs w:val="18"/>
                      <w:highlight w:val="none"/>
                    </w:rPr>
                    <w:t>注：本次评价环境风险评价等级为简单分析，故不列其保护目标。</w:t>
                  </w:r>
                </w:p>
              </w:tc>
            </w:tr>
          </w:tbl>
          <w:p w14:paraId="017D0E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 xml:space="preserve">1、声环境保护目标 </w:t>
            </w:r>
          </w:p>
          <w:p w14:paraId="1C4FC9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本项目厂界外50米范围内</w:t>
            </w:r>
            <w:r>
              <w:rPr>
                <w:rFonts w:hint="default" w:ascii="Times New Roman" w:hAnsi="Times New Roman" w:cs="Times New Roman"/>
                <w:color w:val="auto"/>
                <w:sz w:val="24"/>
                <w:highlight w:val="none"/>
                <w:lang w:eastAsia="zh-CN"/>
              </w:rPr>
              <w:t>无</w:t>
            </w:r>
            <w:r>
              <w:rPr>
                <w:rFonts w:hint="default" w:ascii="Times New Roman" w:hAnsi="Times New Roman" w:cs="Times New Roman"/>
                <w:color w:val="auto"/>
                <w:sz w:val="24"/>
                <w:highlight w:val="none"/>
              </w:rPr>
              <w:t>声环境保护目标。</w:t>
            </w:r>
          </w:p>
          <w:p w14:paraId="1064007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2、环境空气保护目标</w:t>
            </w:r>
          </w:p>
          <w:p w14:paraId="129E74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本项目厂界外500米范围内</w:t>
            </w:r>
            <w:r>
              <w:rPr>
                <w:rFonts w:hint="eastAsia" w:cs="Times New Roman"/>
                <w:color w:val="auto"/>
                <w:sz w:val="24"/>
                <w:highlight w:val="none"/>
                <w:lang w:eastAsia="zh-CN"/>
              </w:rPr>
              <w:t>居民均已搬迁，</w:t>
            </w:r>
            <w:r>
              <w:rPr>
                <w:rFonts w:hint="default" w:ascii="Times New Roman" w:hAnsi="Times New Roman" w:cs="Times New Roman"/>
                <w:color w:val="auto"/>
                <w:sz w:val="24"/>
                <w:highlight w:val="none"/>
                <w:lang w:eastAsia="zh-CN"/>
              </w:rPr>
              <w:t>无</w:t>
            </w:r>
            <w:r>
              <w:rPr>
                <w:rFonts w:hint="eastAsia" w:ascii="Times New Roman" w:hAnsi="Times New Roman" w:cs="Times New Roman"/>
                <w:color w:val="auto"/>
                <w:sz w:val="24"/>
                <w:highlight w:val="none"/>
                <w:lang w:eastAsia="zh-CN"/>
              </w:rPr>
              <w:t>环境空气</w:t>
            </w:r>
            <w:r>
              <w:rPr>
                <w:rFonts w:hint="default" w:ascii="Times New Roman" w:hAnsi="Times New Roman" w:cs="Times New Roman"/>
                <w:color w:val="auto"/>
                <w:sz w:val="24"/>
                <w:highlight w:val="none"/>
              </w:rPr>
              <w:t>环境保护目标。</w:t>
            </w:r>
          </w:p>
          <w:p w14:paraId="572F54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3、地下水环境保护目标</w:t>
            </w:r>
          </w:p>
          <w:p w14:paraId="2DCECD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根据现场踏勘，本项目所在厂界500米范围内无地下水集中式饮用水水源、热水、矿泉水、温泉等特殊地下水资源。 </w:t>
            </w:r>
          </w:p>
          <w:p w14:paraId="32AE3C2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eastAsia="zh-CN"/>
              </w:rPr>
              <w:t>生态</w:t>
            </w:r>
            <w:r>
              <w:rPr>
                <w:rFonts w:hint="default" w:ascii="Times New Roman" w:hAnsi="Times New Roman" w:cs="Times New Roman"/>
                <w:b/>
                <w:bCs/>
                <w:color w:val="auto"/>
                <w:sz w:val="24"/>
                <w:highlight w:val="none"/>
              </w:rPr>
              <w:t>环境保护目标</w:t>
            </w:r>
          </w:p>
          <w:p w14:paraId="1F0D2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sz w:val="24"/>
                <w:highlight w:val="none"/>
              </w:rPr>
              <w:t>本项目占地范围内无特殊生态敏感区及重要生态敏感区等生态环境保护目标，项目所在地无国家级、省、市级自然保护区、风景名胜区、文物保护对象。</w:t>
            </w:r>
          </w:p>
        </w:tc>
      </w:tr>
      <w:tr w14:paraId="2FA65F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14:paraId="70E1372B">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污染</w:t>
            </w:r>
          </w:p>
          <w:p w14:paraId="4AD1B37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物排</w:t>
            </w:r>
          </w:p>
          <w:p w14:paraId="6CFCEA8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放控</w:t>
            </w:r>
          </w:p>
          <w:p w14:paraId="46DC48D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制标</w:t>
            </w:r>
          </w:p>
          <w:p w14:paraId="0758E15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准</w:t>
            </w:r>
          </w:p>
        </w:tc>
        <w:tc>
          <w:tcPr>
            <w:tcW w:w="8190" w:type="dxa"/>
            <w:vAlign w:val="center"/>
          </w:tcPr>
          <w:p w14:paraId="611DF16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sz w:val="24"/>
                <w:highlight w:val="none"/>
              </w:rPr>
              <w:t>1、大气污染物排放标准</w:t>
            </w:r>
          </w:p>
          <w:p w14:paraId="4CD094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）无组织颗粒物</w:t>
            </w:r>
          </w:p>
          <w:p w14:paraId="3983D6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eastAsia="zh-CN"/>
              </w:rPr>
              <w:t>运营期</w:t>
            </w:r>
            <w:r>
              <w:rPr>
                <w:rFonts w:hint="default" w:ascii="Times New Roman" w:hAnsi="Times New Roman" w:eastAsia="宋体" w:cs="Times New Roman"/>
                <w:color w:val="auto"/>
                <w:sz w:val="24"/>
                <w:highlight w:val="none"/>
              </w:rPr>
              <w:t>颗粒物</w:t>
            </w:r>
            <w:r>
              <w:rPr>
                <w:rFonts w:hint="default" w:ascii="Times New Roman" w:hAnsi="Times New Roman" w:eastAsia="宋体" w:cs="Times New Roman"/>
                <w:color w:val="auto"/>
                <w:sz w:val="24"/>
                <w:highlight w:val="none"/>
                <w:lang w:eastAsia="zh-CN"/>
              </w:rPr>
              <w:t>为</w:t>
            </w:r>
            <w:r>
              <w:rPr>
                <w:rFonts w:hint="default" w:ascii="Times New Roman" w:hAnsi="Times New Roman" w:eastAsia="宋体" w:cs="Times New Roman"/>
                <w:color w:val="auto"/>
                <w:sz w:val="24"/>
                <w:highlight w:val="none"/>
              </w:rPr>
              <w:t>无组织排放</w:t>
            </w:r>
            <w:r>
              <w:rPr>
                <w:rFonts w:hint="default" w:ascii="Times New Roman" w:hAnsi="Times New Roman" w:eastAsia="宋体" w:cs="Times New Roman"/>
                <w:color w:val="auto"/>
                <w:sz w:val="24"/>
                <w:highlight w:val="none"/>
                <w:lang w:eastAsia="zh-CN"/>
              </w:rPr>
              <w:t>，排放</w:t>
            </w:r>
            <w:r>
              <w:rPr>
                <w:rFonts w:hint="default" w:ascii="Times New Roman" w:hAnsi="Times New Roman" w:eastAsia="宋体" w:cs="Times New Roman"/>
                <w:color w:val="auto"/>
                <w:sz w:val="24"/>
                <w:highlight w:val="none"/>
              </w:rPr>
              <w:t>执行《煤炭工业污染物排放标准》（GB20426-2006）中规定的煤炭工业作业场所无组织排放限值要求。具体数值见下表。</w:t>
            </w:r>
          </w:p>
          <w:p w14:paraId="24AA0621">
            <w:pPr>
              <w:adjustRightInd w:val="0"/>
              <w:snapToGrid w:val="0"/>
              <w:spacing w:line="360" w:lineRule="auto"/>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default" w:ascii="Times New Roman" w:hAnsi="Times New Roman" w:eastAsia="宋体" w:cs="Times New Roman"/>
                <w:b/>
                <w:color w:val="auto"/>
                <w:szCs w:val="21"/>
                <w:highlight w:val="none"/>
                <w:lang w:val="en-US" w:eastAsia="zh-CN"/>
              </w:rPr>
              <w:t>3-</w:t>
            </w:r>
            <w:r>
              <w:rPr>
                <w:rFonts w:hint="eastAsia" w:cs="Times New Roman"/>
                <w:b/>
                <w:color w:val="auto"/>
                <w:szCs w:val="21"/>
                <w:highlight w:val="none"/>
                <w:lang w:val="en-US" w:eastAsia="zh-CN"/>
              </w:rPr>
              <w:t xml:space="preserve">5 </w:t>
            </w:r>
            <w:r>
              <w:rPr>
                <w:rFonts w:hint="default" w:ascii="Times New Roman" w:hAnsi="Times New Roman" w:eastAsia="宋体" w:cs="Times New Roman"/>
                <w:b/>
                <w:color w:val="auto"/>
                <w:szCs w:val="21"/>
                <w:highlight w:val="none"/>
              </w:rPr>
              <w:t>《煤炭工业污染物排放标准》（GB20426-2006）</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89"/>
              <w:gridCol w:w="2925"/>
              <w:gridCol w:w="2942"/>
            </w:tblGrid>
            <w:tr w14:paraId="0DBCB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512" w:type="pct"/>
                  <w:vMerge w:val="restart"/>
                  <w:tcBorders>
                    <w:tl2br w:val="nil"/>
                    <w:tr2bl w:val="nil"/>
                  </w:tcBorders>
                  <w:noWrap w:val="0"/>
                  <w:vAlign w:val="center"/>
                </w:tcPr>
                <w:p w14:paraId="087CB8A2">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污染物</w:t>
                  </w:r>
                </w:p>
              </w:tc>
              <w:tc>
                <w:tcPr>
                  <w:tcW w:w="808" w:type="pct"/>
                  <w:vMerge w:val="restart"/>
                  <w:tcBorders>
                    <w:tl2br w:val="nil"/>
                    <w:tr2bl w:val="nil"/>
                  </w:tcBorders>
                  <w:noWrap w:val="0"/>
                  <w:vAlign w:val="center"/>
                </w:tcPr>
                <w:p w14:paraId="728E3AF9">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监控点</w:t>
                  </w:r>
                </w:p>
              </w:tc>
              <w:tc>
                <w:tcPr>
                  <w:tcW w:w="3678" w:type="pct"/>
                  <w:gridSpan w:val="2"/>
                  <w:tcBorders>
                    <w:tl2br w:val="nil"/>
                    <w:tr2bl w:val="nil"/>
                  </w:tcBorders>
                  <w:noWrap w:val="0"/>
                  <w:vAlign w:val="center"/>
                </w:tcPr>
                <w:p w14:paraId="6C2EB35C">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作业场所</w:t>
                  </w:r>
                </w:p>
              </w:tc>
            </w:tr>
            <w:tr w14:paraId="34134B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512" w:type="pct"/>
                  <w:vMerge w:val="continue"/>
                  <w:tcBorders>
                    <w:tl2br w:val="nil"/>
                    <w:tr2bl w:val="nil"/>
                  </w:tcBorders>
                  <w:noWrap w:val="0"/>
                  <w:vAlign w:val="center"/>
                </w:tcPr>
                <w:p w14:paraId="58DF9CD3">
                  <w:pPr>
                    <w:jc w:val="center"/>
                    <w:rPr>
                      <w:rFonts w:hint="default" w:ascii="Times New Roman" w:hAnsi="Times New Roman" w:eastAsia="宋体" w:cs="Times New Roman"/>
                      <w:b/>
                      <w:bCs/>
                      <w:color w:val="auto"/>
                      <w:szCs w:val="21"/>
                      <w:highlight w:val="none"/>
                    </w:rPr>
                  </w:pPr>
                </w:p>
              </w:tc>
              <w:tc>
                <w:tcPr>
                  <w:tcW w:w="808" w:type="pct"/>
                  <w:vMerge w:val="continue"/>
                  <w:tcBorders>
                    <w:tl2br w:val="nil"/>
                    <w:tr2bl w:val="nil"/>
                  </w:tcBorders>
                  <w:noWrap w:val="0"/>
                  <w:vAlign w:val="center"/>
                </w:tcPr>
                <w:p w14:paraId="4C5BC570">
                  <w:pPr>
                    <w:jc w:val="center"/>
                    <w:rPr>
                      <w:rFonts w:hint="default" w:ascii="Times New Roman" w:hAnsi="Times New Roman" w:eastAsia="宋体" w:cs="Times New Roman"/>
                      <w:b/>
                      <w:bCs/>
                      <w:color w:val="auto"/>
                      <w:szCs w:val="21"/>
                      <w:highlight w:val="none"/>
                    </w:rPr>
                  </w:pPr>
                </w:p>
              </w:tc>
              <w:tc>
                <w:tcPr>
                  <w:tcW w:w="1834" w:type="pct"/>
                  <w:tcBorders>
                    <w:tl2br w:val="nil"/>
                    <w:tr2bl w:val="nil"/>
                  </w:tcBorders>
                  <w:noWrap w:val="0"/>
                  <w:vAlign w:val="center"/>
                </w:tcPr>
                <w:p w14:paraId="453A1C75">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煤炭工业所属装卸场所</w:t>
                  </w:r>
                </w:p>
              </w:tc>
              <w:tc>
                <w:tcPr>
                  <w:tcW w:w="1844" w:type="pct"/>
                  <w:tcBorders>
                    <w:tl2br w:val="nil"/>
                    <w:tr2bl w:val="nil"/>
                  </w:tcBorders>
                  <w:noWrap w:val="0"/>
                  <w:vAlign w:val="center"/>
                </w:tcPr>
                <w:p w14:paraId="5AB31B51">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煤炭贮存场所、煤矸石堆置场</w:t>
                  </w:r>
                </w:p>
              </w:tc>
            </w:tr>
            <w:tr w14:paraId="194FF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2" w:type="pct"/>
                  <w:vMerge w:val="continue"/>
                  <w:tcBorders>
                    <w:tl2br w:val="nil"/>
                    <w:tr2bl w:val="nil"/>
                  </w:tcBorders>
                  <w:noWrap w:val="0"/>
                  <w:vAlign w:val="center"/>
                </w:tcPr>
                <w:p w14:paraId="126062B2">
                  <w:pPr>
                    <w:jc w:val="center"/>
                    <w:rPr>
                      <w:rFonts w:hint="default" w:ascii="Times New Roman" w:hAnsi="Times New Roman" w:eastAsia="宋体" w:cs="Times New Roman"/>
                      <w:b/>
                      <w:bCs/>
                      <w:color w:val="auto"/>
                      <w:szCs w:val="21"/>
                      <w:highlight w:val="none"/>
                    </w:rPr>
                  </w:pPr>
                </w:p>
              </w:tc>
              <w:tc>
                <w:tcPr>
                  <w:tcW w:w="808" w:type="pct"/>
                  <w:vMerge w:val="continue"/>
                  <w:tcBorders>
                    <w:tl2br w:val="nil"/>
                    <w:tr2bl w:val="nil"/>
                  </w:tcBorders>
                  <w:noWrap w:val="0"/>
                  <w:vAlign w:val="center"/>
                </w:tcPr>
                <w:p w14:paraId="517703A5">
                  <w:pPr>
                    <w:jc w:val="center"/>
                    <w:rPr>
                      <w:rFonts w:hint="default" w:ascii="Times New Roman" w:hAnsi="Times New Roman" w:eastAsia="宋体" w:cs="Times New Roman"/>
                      <w:b/>
                      <w:bCs/>
                      <w:color w:val="auto"/>
                      <w:szCs w:val="21"/>
                      <w:highlight w:val="none"/>
                    </w:rPr>
                  </w:pPr>
                </w:p>
              </w:tc>
              <w:tc>
                <w:tcPr>
                  <w:tcW w:w="1834" w:type="pct"/>
                  <w:tcBorders>
                    <w:tl2br w:val="nil"/>
                    <w:tr2bl w:val="nil"/>
                  </w:tcBorders>
                  <w:noWrap w:val="0"/>
                  <w:vAlign w:val="center"/>
                </w:tcPr>
                <w:p w14:paraId="1B17FF9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无组织排放限值（mg/Nm</w:t>
                  </w:r>
                  <w:r>
                    <w:rPr>
                      <w:rFonts w:hint="default" w:ascii="Times New Roman" w:hAnsi="Times New Roman" w:eastAsia="宋体" w:cs="Times New Roman"/>
                      <w:b/>
                      <w:bCs/>
                      <w:color w:val="auto"/>
                      <w:szCs w:val="21"/>
                      <w:highlight w:val="none"/>
                      <w:vertAlign w:val="superscript"/>
                    </w:rPr>
                    <w:t>3</w:t>
                  </w:r>
                  <w:r>
                    <w:rPr>
                      <w:rFonts w:hint="default" w:ascii="Times New Roman" w:hAnsi="Times New Roman" w:eastAsia="宋体" w:cs="Times New Roman"/>
                      <w:b/>
                      <w:bCs/>
                      <w:color w:val="auto"/>
                      <w:szCs w:val="21"/>
                      <w:highlight w:val="none"/>
                    </w:rPr>
                    <w:t>）（监控点与参考点浓度差值）</w:t>
                  </w:r>
                </w:p>
              </w:tc>
              <w:tc>
                <w:tcPr>
                  <w:tcW w:w="1844" w:type="pct"/>
                  <w:tcBorders>
                    <w:tl2br w:val="nil"/>
                    <w:tr2bl w:val="nil"/>
                  </w:tcBorders>
                  <w:noWrap w:val="0"/>
                  <w:vAlign w:val="center"/>
                </w:tcPr>
                <w:p w14:paraId="49AE5CD4">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无组织排放限值（mg/Nm</w:t>
                  </w:r>
                  <w:r>
                    <w:rPr>
                      <w:rFonts w:hint="default" w:ascii="Times New Roman" w:hAnsi="Times New Roman" w:eastAsia="宋体" w:cs="Times New Roman"/>
                      <w:b/>
                      <w:bCs/>
                      <w:color w:val="auto"/>
                      <w:szCs w:val="21"/>
                      <w:highlight w:val="none"/>
                      <w:vertAlign w:val="superscript"/>
                    </w:rPr>
                    <w:t>3</w:t>
                  </w:r>
                  <w:r>
                    <w:rPr>
                      <w:rFonts w:hint="default" w:ascii="Times New Roman" w:hAnsi="Times New Roman" w:eastAsia="宋体" w:cs="Times New Roman"/>
                      <w:b/>
                      <w:bCs/>
                      <w:color w:val="auto"/>
                      <w:szCs w:val="21"/>
                      <w:highlight w:val="none"/>
                    </w:rPr>
                    <w:t>）</w:t>
                  </w:r>
                </w:p>
                <w:p w14:paraId="7FF67ADF">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（监控点与参考点浓度差值）</w:t>
                  </w:r>
                </w:p>
              </w:tc>
            </w:tr>
            <w:tr w14:paraId="683F92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2" w:type="pct"/>
                  <w:tcBorders>
                    <w:tl2br w:val="nil"/>
                    <w:tr2bl w:val="nil"/>
                  </w:tcBorders>
                  <w:noWrap w:val="0"/>
                  <w:vAlign w:val="center"/>
                </w:tcPr>
                <w:p w14:paraId="1C6A2FB5">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颗粒物</w:t>
                  </w:r>
                </w:p>
              </w:tc>
              <w:tc>
                <w:tcPr>
                  <w:tcW w:w="808" w:type="pct"/>
                  <w:vMerge w:val="restart"/>
                  <w:tcBorders>
                    <w:tl2br w:val="nil"/>
                    <w:tr2bl w:val="nil"/>
                  </w:tcBorders>
                  <w:noWrap w:val="0"/>
                  <w:vAlign w:val="center"/>
                </w:tcPr>
                <w:p w14:paraId="6BF4CC8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周界外浓度最高点</w:t>
                  </w:r>
                  <w:r>
                    <w:rPr>
                      <w:rFonts w:hint="default" w:ascii="Times New Roman" w:hAnsi="Times New Roman" w:eastAsia="宋体" w:cs="Times New Roman"/>
                      <w:color w:val="auto"/>
                      <w:szCs w:val="21"/>
                      <w:highlight w:val="none"/>
                      <w:vertAlign w:val="superscript"/>
                    </w:rPr>
                    <w:t>（1）</w:t>
                  </w:r>
                </w:p>
              </w:tc>
              <w:tc>
                <w:tcPr>
                  <w:tcW w:w="1834" w:type="pct"/>
                  <w:tcBorders>
                    <w:tl2br w:val="nil"/>
                    <w:tr2bl w:val="nil"/>
                  </w:tcBorders>
                  <w:noWrap w:val="0"/>
                  <w:vAlign w:val="center"/>
                </w:tcPr>
                <w:p w14:paraId="619815F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w:t>
                  </w:r>
                </w:p>
              </w:tc>
              <w:tc>
                <w:tcPr>
                  <w:tcW w:w="1844" w:type="pct"/>
                  <w:tcBorders>
                    <w:tl2br w:val="nil"/>
                    <w:tr2bl w:val="nil"/>
                  </w:tcBorders>
                  <w:noWrap w:val="0"/>
                  <w:vAlign w:val="center"/>
                </w:tcPr>
                <w:p w14:paraId="30325A6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w:t>
                  </w:r>
                </w:p>
              </w:tc>
            </w:tr>
            <w:tr w14:paraId="0D247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2" w:type="pct"/>
                  <w:tcBorders>
                    <w:tl2br w:val="nil"/>
                    <w:tr2bl w:val="nil"/>
                  </w:tcBorders>
                  <w:noWrap w:val="0"/>
                  <w:vAlign w:val="center"/>
                </w:tcPr>
                <w:p w14:paraId="050CF915">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二氧化硫</w:t>
                  </w:r>
                </w:p>
              </w:tc>
              <w:tc>
                <w:tcPr>
                  <w:tcW w:w="808" w:type="pct"/>
                  <w:vMerge w:val="continue"/>
                  <w:tcBorders>
                    <w:tl2br w:val="nil"/>
                    <w:tr2bl w:val="nil"/>
                  </w:tcBorders>
                  <w:noWrap w:val="0"/>
                  <w:vAlign w:val="center"/>
                </w:tcPr>
                <w:p w14:paraId="2B330FD4">
                  <w:pPr>
                    <w:jc w:val="center"/>
                    <w:rPr>
                      <w:rFonts w:hint="default" w:ascii="Times New Roman" w:hAnsi="Times New Roman" w:eastAsia="宋体" w:cs="Times New Roman"/>
                      <w:color w:val="auto"/>
                      <w:szCs w:val="21"/>
                      <w:highlight w:val="none"/>
                    </w:rPr>
                  </w:pPr>
                </w:p>
              </w:tc>
              <w:tc>
                <w:tcPr>
                  <w:tcW w:w="1834" w:type="pct"/>
                  <w:tcBorders>
                    <w:tl2br w:val="nil"/>
                    <w:tr2bl w:val="nil"/>
                  </w:tcBorders>
                  <w:noWrap w:val="0"/>
                  <w:vAlign w:val="center"/>
                </w:tcPr>
                <w:p w14:paraId="32E7C876">
                  <w:pPr>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w:t>
                  </w:r>
                </w:p>
              </w:tc>
              <w:tc>
                <w:tcPr>
                  <w:tcW w:w="1844" w:type="pct"/>
                  <w:tcBorders>
                    <w:tl2br w:val="nil"/>
                    <w:tr2bl w:val="nil"/>
                  </w:tcBorders>
                  <w:noWrap w:val="0"/>
                  <w:vAlign w:val="center"/>
                </w:tcPr>
                <w:p w14:paraId="479D2F05">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0.4</w:t>
                  </w:r>
                </w:p>
              </w:tc>
            </w:tr>
            <w:tr w14:paraId="35369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4"/>
                  <w:tcBorders>
                    <w:tl2br w:val="nil"/>
                    <w:tr2bl w:val="nil"/>
                  </w:tcBorders>
                  <w:noWrap w:val="0"/>
                  <w:vAlign w:val="center"/>
                </w:tcPr>
                <w:p w14:paraId="3E9B9EDD">
                  <w:pPr>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注（1）：周界外浓度最高点一般应设置于无组织排放源下风向的单位周界外10m范围内，若预计无组织排放的最大落地浓度点超出10m范围，可将监控点移至该预计浓度最高点</w:t>
                  </w:r>
                </w:p>
              </w:tc>
            </w:tr>
          </w:tbl>
          <w:p w14:paraId="642011A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2、噪声</w:t>
            </w:r>
          </w:p>
          <w:p w14:paraId="1CF9A2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highlight w:val="none"/>
              </w:rPr>
            </w:pPr>
            <w:r>
              <w:rPr>
                <w:rFonts w:hint="default" w:ascii="Times New Roman" w:hAnsi="Times New Roman" w:cs="Times New Roman"/>
                <w:color w:val="auto"/>
                <w:kern w:val="0"/>
                <w:sz w:val="24"/>
                <w:highlight w:val="none"/>
              </w:rPr>
              <w:t>根据《声环境功能区划分技术规范》（GB/T 15190</w:t>
            </w:r>
            <w:r>
              <w:rPr>
                <w:rFonts w:hint="default" w:ascii="Times New Roman" w:hAnsi="Times New Roman" w:cs="Times New Roman"/>
                <w:color w:val="auto"/>
                <w:kern w:val="0"/>
                <w:sz w:val="24"/>
                <w:highlight w:val="none"/>
                <w:lang w:val="en-US" w:eastAsia="zh-CN"/>
              </w:rPr>
              <w:t>-2014</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rPr>
              <w:t>和鸡西市</w:t>
            </w:r>
            <w:r>
              <w:rPr>
                <w:rFonts w:hint="default" w:ascii="Times New Roman" w:hAnsi="Times New Roman" w:eastAsia="宋体" w:cs="Times New Roman"/>
                <w:color w:val="auto"/>
                <w:sz w:val="24"/>
                <w:szCs w:val="24"/>
                <w:highlight w:val="none"/>
                <w:lang w:val="en-US" w:eastAsia="zh-CN"/>
              </w:rPr>
              <w:t>中心城区声环境功能区划分图，</w:t>
            </w:r>
            <w:r>
              <w:rPr>
                <w:rFonts w:hint="default" w:ascii="Times New Roman" w:hAnsi="Times New Roman" w:cs="Times New Roman"/>
                <w:color w:val="auto"/>
                <w:kern w:val="0"/>
                <w:sz w:val="24"/>
                <w:highlight w:val="none"/>
              </w:rPr>
              <w:t>项目位置属于</w:t>
            </w:r>
            <w:r>
              <w:rPr>
                <w:rFonts w:hint="default" w:ascii="Times New Roman" w:hAnsi="Times New Roman" w:cs="Times New Roman"/>
                <w:color w:val="auto"/>
                <w:kern w:val="0"/>
                <w:sz w:val="24"/>
                <w:highlight w:val="none"/>
                <w:lang w:val="en-US" w:eastAsia="zh-CN"/>
              </w:rPr>
              <w:t>3类</w:t>
            </w:r>
            <w:r>
              <w:rPr>
                <w:rFonts w:hint="default" w:ascii="Times New Roman" w:hAnsi="Times New Roman" w:cs="Times New Roman"/>
                <w:color w:val="auto"/>
                <w:kern w:val="0"/>
                <w:sz w:val="24"/>
                <w:highlight w:val="none"/>
              </w:rPr>
              <w:t>声环境功能区</w:t>
            </w:r>
            <w:r>
              <w:rPr>
                <w:rFonts w:hint="default" w:ascii="Times New Roman" w:hAnsi="Times New Roman" w:cs="Times New Roman"/>
                <w:color w:val="auto"/>
                <w:kern w:val="0"/>
                <w:sz w:val="24"/>
                <w:highlight w:val="none"/>
                <w:lang w:eastAsia="zh-CN"/>
              </w:rPr>
              <w:t>，鸡西市</w:t>
            </w:r>
            <w:r>
              <w:rPr>
                <w:rFonts w:hint="default" w:ascii="Times New Roman" w:hAnsi="Times New Roman" w:eastAsia="宋体" w:cs="Times New Roman"/>
                <w:color w:val="auto"/>
                <w:sz w:val="24"/>
                <w:szCs w:val="24"/>
                <w:highlight w:val="none"/>
                <w:lang w:val="en-US" w:eastAsia="zh-CN"/>
              </w:rPr>
              <w:t>中心城区声环境功能区划分图见附图3。</w:t>
            </w:r>
            <w:r>
              <w:rPr>
                <w:rFonts w:hint="default" w:ascii="Times New Roman" w:hAnsi="Times New Roman" w:eastAsia="宋体" w:cs="Times New Roman"/>
                <w:color w:val="auto"/>
                <w:sz w:val="24"/>
                <w:highlight w:val="none"/>
              </w:rPr>
              <w:t>施工期噪声执行《建筑施工场界环境噪声排放标准》（GB12523-2011），</w:t>
            </w:r>
            <w:r>
              <w:rPr>
                <w:rFonts w:hint="default" w:ascii="Times New Roman" w:hAnsi="Times New Roman" w:eastAsia="宋体" w:cs="Times New Roman"/>
                <w:color w:val="auto"/>
                <w:kern w:val="0"/>
                <w:sz w:val="24"/>
                <w:highlight w:val="none"/>
              </w:rPr>
              <w:t>运营期厂界四周噪声执行</w:t>
            </w:r>
            <w:r>
              <w:rPr>
                <w:rFonts w:hint="default" w:ascii="Times New Roman" w:hAnsi="Times New Roman" w:eastAsia="宋体" w:cs="Times New Roman"/>
                <w:color w:val="auto"/>
                <w:sz w:val="24"/>
                <w:highlight w:val="none"/>
              </w:rPr>
              <w:t>《工业企业厂界环境噪声排放标准》（GB12348-2008）中</w:t>
            </w:r>
            <w:r>
              <w:rPr>
                <w:rFonts w:hint="default" w:ascii="Times New Roman" w:hAnsi="Times New Roman" w:cs="Times New Roman"/>
                <w:color w:val="auto"/>
                <w:sz w:val="24"/>
                <w:highlight w:val="none"/>
                <w:lang w:eastAsia="zh-CN"/>
              </w:rPr>
              <w:t>3类</w:t>
            </w:r>
            <w:r>
              <w:rPr>
                <w:rFonts w:hint="default" w:ascii="Times New Roman" w:hAnsi="Times New Roman" w:eastAsia="宋体" w:cs="Times New Roman"/>
                <w:color w:val="auto"/>
                <w:sz w:val="24"/>
                <w:highlight w:val="none"/>
                <w:lang w:eastAsia="zh-Hans"/>
              </w:rPr>
              <w:t>标准</w:t>
            </w:r>
            <w:r>
              <w:rPr>
                <w:rFonts w:hint="default" w:ascii="Times New Roman" w:hAnsi="Times New Roman" w:eastAsia="宋体" w:cs="Times New Roman"/>
                <w:color w:val="auto"/>
                <w:kern w:val="0"/>
                <w:sz w:val="24"/>
                <w:highlight w:val="none"/>
              </w:rPr>
              <w:t>。具体标准值见下表。</w:t>
            </w:r>
          </w:p>
          <w:p w14:paraId="62454CA7">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表3-</w:t>
            </w:r>
            <w:r>
              <w:rPr>
                <w:rFonts w:hint="eastAsia" w:cs="Times New Roman"/>
                <w:b/>
                <w:color w:val="auto"/>
                <w:szCs w:val="21"/>
                <w:highlight w:val="none"/>
                <w:lang w:val="en-US" w:eastAsia="zh-CN"/>
              </w:rPr>
              <w:t>6</w:t>
            </w:r>
            <w:r>
              <w:rPr>
                <w:rFonts w:hint="default" w:ascii="Times New Roman" w:hAnsi="Times New Roman" w:cs="Times New Roman"/>
                <w:b/>
                <w:color w:val="auto"/>
                <w:szCs w:val="21"/>
                <w:highlight w:val="none"/>
                <w:lang w:val="en-US" w:eastAsia="zh-CN"/>
              </w:rPr>
              <w:t xml:space="preserve"> </w:t>
            </w:r>
            <w:r>
              <w:rPr>
                <w:rFonts w:hint="default" w:ascii="Times New Roman" w:hAnsi="Times New Roman" w:cs="Times New Roman"/>
                <w:b/>
                <w:color w:val="auto"/>
                <w:szCs w:val="21"/>
                <w:highlight w:val="none"/>
              </w:rPr>
              <w:t>噪声排放执行标准</w:t>
            </w:r>
          </w:p>
          <w:tbl>
            <w:tblPr>
              <w:tblStyle w:val="31"/>
              <w:tblW w:w="808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616"/>
              <w:gridCol w:w="1616"/>
              <w:gridCol w:w="1616"/>
              <w:gridCol w:w="1616"/>
              <w:gridCol w:w="1616"/>
            </w:tblGrid>
            <w:tr w14:paraId="21B987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16" w:type="dxa"/>
                  <w:tcBorders>
                    <w:bottom w:val="single" w:color="auto" w:sz="6" w:space="0"/>
                    <w:right w:val="single" w:color="auto" w:sz="8" w:space="0"/>
                  </w:tcBorders>
                  <w:vAlign w:val="center"/>
                </w:tcPr>
                <w:p w14:paraId="7AEAA057">
                  <w:pPr>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评价时段</w:t>
                  </w:r>
                </w:p>
              </w:tc>
              <w:tc>
                <w:tcPr>
                  <w:tcW w:w="1616" w:type="dxa"/>
                  <w:tcBorders>
                    <w:left w:val="single" w:color="auto" w:sz="8" w:space="0"/>
                    <w:bottom w:val="single" w:color="auto" w:sz="6" w:space="0"/>
                    <w:right w:val="single" w:color="auto" w:sz="8" w:space="0"/>
                  </w:tcBorders>
                  <w:vAlign w:val="center"/>
                </w:tcPr>
                <w:p w14:paraId="4C9356F6">
                  <w:pPr>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类别</w:t>
                  </w:r>
                </w:p>
              </w:tc>
              <w:tc>
                <w:tcPr>
                  <w:tcW w:w="1616" w:type="dxa"/>
                  <w:tcBorders>
                    <w:left w:val="single" w:color="auto" w:sz="8" w:space="0"/>
                    <w:bottom w:val="single" w:color="auto" w:sz="6" w:space="0"/>
                    <w:right w:val="single" w:color="auto" w:sz="8" w:space="0"/>
                  </w:tcBorders>
                  <w:vAlign w:val="center"/>
                </w:tcPr>
                <w:p w14:paraId="1F476243">
                  <w:pPr>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单位</w:t>
                  </w:r>
                </w:p>
              </w:tc>
              <w:tc>
                <w:tcPr>
                  <w:tcW w:w="1616" w:type="dxa"/>
                  <w:tcBorders>
                    <w:left w:val="single" w:color="auto" w:sz="8" w:space="0"/>
                    <w:bottom w:val="single" w:color="auto" w:sz="6" w:space="0"/>
                    <w:right w:val="single" w:color="auto" w:sz="8" w:space="0"/>
                  </w:tcBorders>
                  <w:vAlign w:val="center"/>
                </w:tcPr>
                <w:p w14:paraId="265ADD60">
                  <w:pPr>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昼间</w:t>
                  </w:r>
                </w:p>
              </w:tc>
              <w:tc>
                <w:tcPr>
                  <w:tcW w:w="1616" w:type="dxa"/>
                  <w:tcBorders>
                    <w:left w:val="single" w:color="auto" w:sz="8" w:space="0"/>
                    <w:bottom w:val="single" w:color="auto" w:sz="6" w:space="0"/>
                  </w:tcBorders>
                  <w:vAlign w:val="center"/>
                </w:tcPr>
                <w:p w14:paraId="7BC4F3F4">
                  <w:pPr>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夜间</w:t>
                  </w:r>
                </w:p>
              </w:tc>
            </w:tr>
            <w:tr w14:paraId="282BA4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16" w:type="dxa"/>
                  <w:tcBorders>
                    <w:right w:val="single" w:color="auto" w:sz="8" w:space="0"/>
                  </w:tcBorders>
                  <w:vAlign w:val="center"/>
                </w:tcPr>
                <w:p w14:paraId="0DF61741">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运营期</w:t>
                  </w:r>
                </w:p>
              </w:tc>
              <w:tc>
                <w:tcPr>
                  <w:tcW w:w="1616" w:type="dxa"/>
                  <w:tcBorders>
                    <w:top w:val="single" w:color="auto" w:sz="6" w:space="0"/>
                    <w:left w:val="single" w:color="auto" w:sz="8" w:space="0"/>
                    <w:bottom w:val="single" w:color="auto" w:sz="6" w:space="0"/>
                    <w:right w:val="single" w:color="auto" w:sz="8" w:space="0"/>
                  </w:tcBorders>
                  <w:vAlign w:val="center"/>
                </w:tcPr>
                <w:p w14:paraId="7F726D44">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3类</w:t>
                  </w:r>
                </w:p>
              </w:tc>
              <w:tc>
                <w:tcPr>
                  <w:tcW w:w="1616" w:type="dxa"/>
                  <w:tcBorders>
                    <w:top w:val="single" w:color="auto" w:sz="6" w:space="0"/>
                    <w:left w:val="single" w:color="auto" w:sz="8" w:space="0"/>
                    <w:bottom w:val="single" w:color="auto" w:sz="6" w:space="0"/>
                    <w:right w:val="single" w:color="auto" w:sz="8" w:space="0"/>
                  </w:tcBorders>
                  <w:vAlign w:val="center"/>
                </w:tcPr>
                <w:p w14:paraId="7981B539">
                  <w:pPr>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dB</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A</w:t>
                  </w:r>
                  <w:r>
                    <w:rPr>
                      <w:rFonts w:hint="default" w:ascii="Times New Roman" w:hAnsi="Times New Roman" w:cs="Times New Roman"/>
                      <w:color w:val="auto"/>
                      <w:kern w:val="0"/>
                      <w:szCs w:val="21"/>
                      <w:highlight w:val="none"/>
                      <w:lang w:eastAsia="zh-CN"/>
                    </w:rPr>
                    <w:t>）</w:t>
                  </w:r>
                </w:p>
              </w:tc>
              <w:tc>
                <w:tcPr>
                  <w:tcW w:w="1616" w:type="dxa"/>
                  <w:tcBorders>
                    <w:top w:val="single" w:color="auto" w:sz="6" w:space="0"/>
                    <w:left w:val="single" w:color="auto" w:sz="8" w:space="0"/>
                    <w:bottom w:val="single" w:color="auto" w:sz="6" w:space="0"/>
                    <w:right w:val="single" w:color="auto" w:sz="8" w:space="0"/>
                  </w:tcBorders>
                  <w:vAlign w:val="center"/>
                </w:tcPr>
                <w:p w14:paraId="7B91F771">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65</w:t>
                  </w:r>
                </w:p>
              </w:tc>
              <w:tc>
                <w:tcPr>
                  <w:tcW w:w="1616" w:type="dxa"/>
                  <w:tcBorders>
                    <w:top w:val="single" w:color="auto" w:sz="6" w:space="0"/>
                    <w:left w:val="single" w:color="auto" w:sz="8" w:space="0"/>
                    <w:bottom w:val="single" w:color="auto" w:sz="6" w:space="0"/>
                  </w:tcBorders>
                  <w:vAlign w:val="center"/>
                </w:tcPr>
                <w:p w14:paraId="1AB649BB">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55</w:t>
                  </w:r>
                </w:p>
              </w:tc>
            </w:tr>
            <w:tr w14:paraId="78AD4C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616" w:type="dxa"/>
                  <w:tcBorders>
                    <w:bottom w:val="single" w:color="auto" w:sz="12" w:space="0"/>
                    <w:right w:val="single" w:color="auto" w:sz="8" w:space="0"/>
                  </w:tcBorders>
                  <w:vAlign w:val="center"/>
                </w:tcPr>
                <w:p w14:paraId="32103438">
                  <w:pPr>
                    <w:spacing w:line="24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1"/>
                      <w:szCs w:val="21"/>
                      <w:highlight w:val="none"/>
                      <w:lang w:eastAsia="zh-CN"/>
                    </w:rPr>
                    <w:t>施工期</w:t>
                  </w:r>
                </w:p>
              </w:tc>
              <w:tc>
                <w:tcPr>
                  <w:tcW w:w="1616" w:type="dxa"/>
                  <w:tcBorders>
                    <w:top w:val="single" w:color="auto" w:sz="6" w:space="0"/>
                    <w:left w:val="single" w:color="auto" w:sz="8" w:space="0"/>
                    <w:bottom w:val="single" w:color="auto" w:sz="12" w:space="0"/>
                    <w:right w:val="single" w:color="auto" w:sz="8" w:space="0"/>
                  </w:tcBorders>
                  <w:vAlign w:val="center"/>
                </w:tcPr>
                <w:p w14:paraId="6264ED41">
                  <w:pPr>
                    <w:spacing w:line="24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1"/>
                      <w:szCs w:val="21"/>
                      <w:highlight w:val="none"/>
                      <w:lang w:val="en-US" w:eastAsia="zh-CN"/>
                    </w:rPr>
                    <w:t>/</w:t>
                  </w:r>
                </w:p>
              </w:tc>
              <w:tc>
                <w:tcPr>
                  <w:tcW w:w="1616" w:type="dxa"/>
                  <w:tcBorders>
                    <w:top w:val="single" w:color="auto" w:sz="6" w:space="0"/>
                    <w:left w:val="single" w:color="auto" w:sz="8" w:space="0"/>
                    <w:bottom w:val="single" w:color="auto" w:sz="12" w:space="0"/>
                    <w:right w:val="single" w:color="auto" w:sz="8" w:space="0"/>
                  </w:tcBorders>
                  <w:vAlign w:val="center"/>
                </w:tcPr>
                <w:p w14:paraId="66709E9F">
                  <w:pPr>
                    <w:spacing w:line="240" w:lineRule="auto"/>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dB</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A</w:t>
                  </w:r>
                  <w:r>
                    <w:rPr>
                      <w:rFonts w:hint="default" w:ascii="Times New Roman" w:hAnsi="Times New Roman" w:cs="Times New Roman"/>
                      <w:color w:val="auto"/>
                      <w:kern w:val="0"/>
                      <w:sz w:val="21"/>
                      <w:szCs w:val="21"/>
                      <w:highlight w:val="none"/>
                      <w:lang w:eastAsia="zh-CN"/>
                    </w:rPr>
                    <w:t>）</w:t>
                  </w:r>
                </w:p>
              </w:tc>
              <w:tc>
                <w:tcPr>
                  <w:tcW w:w="1616" w:type="dxa"/>
                  <w:tcBorders>
                    <w:top w:val="single" w:color="auto" w:sz="6" w:space="0"/>
                    <w:left w:val="single" w:color="auto" w:sz="8" w:space="0"/>
                    <w:bottom w:val="single" w:color="auto" w:sz="12" w:space="0"/>
                    <w:right w:val="single" w:color="auto" w:sz="8" w:space="0"/>
                  </w:tcBorders>
                  <w:vAlign w:val="center"/>
                </w:tcPr>
                <w:p w14:paraId="6B18AA61">
                  <w:pPr>
                    <w:widowControl w:val="0"/>
                    <w:wordWrap/>
                    <w:adjustRightInd/>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eastAsia="宋体" w:cs="Times New Roman"/>
                      <w:b w:val="0"/>
                      <w:bCs w:val="0"/>
                      <w:caps w:val="0"/>
                      <w:smallCaps w:val="0"/>
                      <w:color w:val="auto"/>
                      <w:sz w:val="21"/>
                      <w:szCs w:val="21"/>
                      <w:highlight w:val="none"/>
                    </w:rPr>
                    <w:t>70</w:t>
                  </w:r>
                </w:p>
              </w:tc>
              <w:tc>
                <w:tcPr>
                  <w:tcW w:w="1616" w:type="dxa"/>
                  <w:tcBorders>
                    <w:top w:val="single" w:color="auto" w:sz="6" w:space="0"/>
                    <w:left w:val="single" w:color="auto" w:sz="8" w:space="0"/>
                    <w:bottom w:val="single" w:color="auto" w:sz="12" w:space="0"/>
                  </w:tcBorders>
                  <w:vAlign w:val="center"/>
                </w:tcPr>
                <w:p w14:paraId="4B606A39">
                  <w:pPr>
                    <w:widowControl w:val="0"/>
                    <w:wordWrap/>
                    <w:adjustRightInd/>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eastAsia="宋体" w:cs="Times New Roman"/>
                      <w:b w:val="0"/>
                      <w:bCs w:val="0"/>
                      <w:caps w:val="0"/>
                      <w:smallCaps w:val="0"/>
                      <w:color w:val="auto"/>
                      <w:sz w:val="21"/>
                      <w:szCs w:val="21"/>
                      <w:highlight w:val="none"/>
                    </w:rPr>
                    <w:t>55</w:t>
                  </w:r>
                </w:p>
              </w:tc>
            </w:tr>
          </w:tbl>
          <w:p w14:paraId="036D98B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3、固体废物</w:t>
            </w:r>
          </w:p>
          <w:p w14:paraId="67DF01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一般固废参照执行《一般工业固体废物贮存和填埋污染控制标准》（GB18599-2020）中的相关规定</w:t>
            </w:r>
            <w:r>
              <w:rPr>
                <w:rFonts w:hint="default" w:ascii="Times New Roman" w:hAnsi="Times New Roman" w:eastAsia="宋体" w:cs="Times New Roman"/>
                <w:color w:val="auto"/>
                <w:sz w:val="24"/>
                <w:highlight w:val="none"/>
                <w:lang w:val="zh-CN"/>
              </w:rPr>
              <w:t>。</w:t>
            </w:r>
          </w:p>
          <w:p w14:paraId="32FEDA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4、废水</w:t>
            </w:r>
          </w:p>
          <w:p w14:paraId="4F8E3E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sz w:val="24"/>
                <w:szCs w:val="22"/>
                <w:highlight w:val="none"/>
                <w:lang w:eastAsia="zh-CN"/>
              </w:rPr>
              <w:t>雨水</w:t>
            </w:r>
            <w:r>
              <w:rPr>
                <w:rFonts w:hint="default" w:ascii="Times New Roman" w:hAnsi="Times New Roman" w:eastAsia="宋体" w:cs="Times New Roman"/>
                <w:color w:val="auto"/>
                <w:sz w:val="24"/>
                <w:szCs w:val="22"/>
                <w:highlight w:val="none"/>
              </w:rPr>
              <w:t>经</w:t>
            </w:r>
            <w:r>
              <w:rPr>
                <w:rFonts w:hint="default" w:ascii="Times New Roman" w:hAnsi="Times New Roman" w:eastAsia="宋体" w:cs="Times New Roman"/>
                <w:color w:val="auto"/>
                <w:sz w:val="24"/>
                <w:szCs w:val="22"/>
                <w:highlight w:val="none"/>
                <w:lang w:eastAsia="zh-CN"/>
              </w:rPr>
              <w:t>厂区雨水收集渠</w:t>
            </w:r>
            <w:r>
              <w:rPr>
                <w:rFonts w:hint="default" w:ascii="Times New Roman" w:hAnsi="Times New Roman" w:eastAsia="宋体" w:cs="Times New Roman"/>
                <w:color w:val="auto"/>
                <w:sz w:val="24"/>
                <w:szCs w:val="22"/>
                <w:highlight w:val="none"/>
              </w:rPr>
              <w:t>进入</w:t>
            </w:r>
            <w:r>
              <w:rPr>
                <w:rFonts w:hint="eastAsia" w:cs="Times New Roman"/>
                <w:color w:val="auto"/>
                <w:sz w:val="24"/>
                <w:szCs w:val="22"/>
                <w:highlight w:val="none"/>
                <w:lang w:eastAsia="zh-CN"/>
              </w:rPr>
              <w:t>初期雨水收集池</w:t>
            </w:r>
            <w:r>
              <w:rPr>
                <w:rFonts w:hint="default" w:ascii="Times New Roman" w:hAnsi="Times New Roman" w:eastAsia="宋体" w:cs="Times New Roman"/>
                <w:color w:val="auto"/>
                <w:sz w:val="24"/>
                <w:szCs w:val="22"/>
                <w:highlight w:val="none"/>
              </w:rPr>
              <w:t>沉淀后用于洒水降尘，</w:t>
            </w:r>
            <w:r>
              <w:rPr>
                <w:rFonts w:hint="default" w:ascii="Times New Roman" w:hAnsi="Times New Roman" w:eastAsia="宋体" w:cs="Times New Roman"/>
                <w:color w:val="auto"/>
                <w:sz w:val="24"/>
                <w:szCs w:val="22"/>
                <w:highlight w:val="none"/>
                <w:lang w:eastAsia="zh-CN"/>
              </w:rPr>
              <w:t>不</w:t>
            </w:r>
            <w:r>
              <w:rPr>
                <w:rFonts w:hint="default" w:ascii="Times New Roman" w:hAnsi="Times New Roman" w:eastAsia="宋体" w:cs="Times New Roman"/>
                <w:color w:val="auto"/>
                <w:sz w:val="24"/>
                <w:szCs w:val="22"/>
                <w:highlight w:val="none"/>
              </w:rPr>
              <w:t>外排</w:t>
            </w:r>
            <w:r>
              <w:rPr>
                <w:rFonts w:hint="eastAsia" w:cs="Times New Roman"/>
                <w:color w:val="auto"/>
                <w:sz w:val="24"/>
                <w:szCs w:val="22"/>
                <w:highlight w:val="none"/>
                <w:lang w:eastAsia="zh-CN"/>
              </w:rPr>
              <w:t>。</w:t>
            </w:r>
          </w:p>
        </w:tc>
      </w:tr>
      <w:tr w14:paraId="22BC45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14:paraId="51BEDA30">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总量</w:t>
            </w:r>
          </w:p>
          <w:p w14:paraId="2F02A46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控制</w:t>
            </w:r>
          </w:p>
          <w:p w14:paraId="5C82392C">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指标</w:t>
            </w:r>
          </w:p>
        </w:tc>
        <w:tc>
          <w:tcPr>
            <w:tcW w:w="8190" w:type="dxa"/>
            <w:vAlign w:val="top"/>
          </w:tcPr>
          <w:p w14:paraId="7F81222F">
            <w:pPr>
              <w:pStyle w:val="60"/>
              <w:autoSpaceDE w:val="0"/>
              <w:autoSpaceDN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kern w:val="0"/>
                <w:sz w:val="24"/>
                <w:highlight w:val="none"/>
                <w:lang w:val="en-US"/>
              </w:rPr>
              <w:t>根据《关于做好</w:t>
            </w:r>
            <w:r>
              <w:rPr>
                <w:rFonts w:hint="eastAsia" w:ascii="Times New Roman" w:hAnsi="Times New Roman" w:cs="Times New Roman"/>
                <w:color w:val="auto"/>
                <w:kern w:val="21"/>
                <w:sz w:val="24"/>
                <w:highlight w:val="none"/>
                <w:lang w:eastAsia="zh-CN"/>
              </w:rPr>
              <w:t>“</w:t>
            </w:r>
            <w:r>
              <w:rPr>
                <w:rFonts w:hint="default" w:ascii="Times New Roman" w:hAnsi="Times New Roman" w:cs="Times New Roman"/>
                <w:color w:val="auto"/>
                <w:kern w:val="0"/>
                <w:sz w:val="24"/>
                <w:highlight w:val="none"/>
                <w:lang w:val="en-US"/>
              </w:rPr>
              <w:t>十四五</w:t>
            </w:r>
            <w:r>
              <w:rPr>
                <w:rFonts w:hint="eastAsia"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rPr>
              <w:t>主要污染物总量减排工作的通知》</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rPr>
              <w:t>环办综合函〔2021〕323号</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rPr>
              <w:t>中</w:t>
            </w:r>
            <w:r>
              <w:rPr>
                <w:rFonts w:hint="default" w:ascii="Times New Roman" w:hAnsi="Times New Roman" w:cs="Times New Roman"/>
                <w:color w:val="auto"/>
                <w:sz w:val="24"/>
                <w:highlight w:val="none"/>
              </w:rPr>
              <w:t>污染物排放总量控制管理要求，十四五期间主要控制污染物为氮氧化物、挥发性有机物、化学需氧量、氨氮</w:t>
            </w:r>
            <w:r>
              <w:rPr>
                <w:rFonts w:hint="default" w:ascii="Times New Roman" w:hAnsi="Times New Roman" w:cs="Times New Roman"/>
                <w:color w:val="auto"/>
                <w:sz w:val="24"/>
                <w:highlight w:val="none"/>
                <w:lang w:val="en-US"/>
              </w:rPr>
              <w:t>。</w:t>
            </w:r>
            <w:r>
              <w:rPr>
                <w:rFonts w:hint="default" w:ascii="Times New Roman" w:hAnsi="Times New Roman" w:cs="Times New Roman"/>
                <w:color w:val="auto"/>
                <w:sz w:val="24"/>
                <w:highlight w:val="none"/>
                <w:lang w:val="en-US" w:eastAsia="zh-Hans"/>
              </w:rPr>
              <w:t>结合本项目实际污染物排放情况，确定本项</w:t>
            </w:r>
            <w:r>
              <w:rPr>
                <w:rFonts w:hint="default" w:ascii="Times New Roman" w:hAnsi="Times New Roman" w:cs="Times New Roman"/>
                <w:color w:val="auto"/>
                <w:sz w:val="24"/>
                <w:highlight w:val="none"/>
                <w:lang w:val="en-US"/>
              </w:rPr>
              <w:t>目无需申请</w:t>
            </w:r>
            <w:r>
              <w:rPr>
                <w:rFonts w:hint="default" w:ascii="Times New Roman" w:hAnsi="Times New Roman" w:cs="Times New Roman"/>
                <w:color w:val="auto"/>
                <w:sz w:val="24"/>
                <w:highlight w:val="none"/>
                <w:lang w:val="en-US" w:eastAsia="zh-Hans"/>
              </w:rPr>
              <w:t>总量控制指标</w:t>
            </w:r>
            <w:r>
              <w:rPr>
                <w:rFonts w:hint="default" w:ascii="Times New Roman" w:hAnsi="Times New Roman" w:cs="Times New Roman"/>
                <w:color w:val="auto"/>
                <w:sz w:val="24"/>
                <w:highlight w:val="none"/>
                <w:lang w:val="en-US"/>
              </w:rPr>
              <w:t>。</w:t>
            </w:r>
          </w:p>
        </w:tc>
      </w:tr>
    </w:tbl>
    <w:p w14:paraId="7C393F54">
      <w:pPr>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br w:type="page"/>
      </w:r>
    </w:p>
    <w:p w14:paraId="7951F5CF">
      <w:pPr>
        <w:pStyle w:val="27"/>
        <w:jc w:val="center"/>
        <w:outlineLvl w:val="0"/>
        <w:rPr>
          <w:rFonts w:hint="default" w:ascii="Times New Roman" w:hAnsi="Times New Roman" w:eastAsia="黑体" w:cs="Times New Roman"/>
          <w:snapToGrid w:val="0"/>
          <w:color w:val="auto"/>
          <w:sz w:val="30"/>
          <w:szCs w:val="30"/>
          <w:highlight w:val="none"/>
        </w:rPr>
      </w:pPr>
      <w:bookmarkStart w:id="14" w:name="_Toc18487"/>
      <w:r>
        <w:rPr>
          <w:rFonts w:hint="default" w:ascii="Times New Roman" w:hAnsi="Times New Roman" w:eastAsia="黑体" w:cs="Times New Roman"/>
          <w:snapToGrid w:val="0"/>
          <w:color w:val="auto"/>
          <w:sz w:val="30"/>
          <w:szCs w:val="30"/>
          <w:highlight w:val="none"/>
        </w:rPr>
        <w:t>四、主要环境影响和保护措施</w:t>
      </w:r>
      <w:bookmarkEnd w:id="14"/>
    </w:p>
    <w:tbl>
      <w:tblPr>
        <w:tblStyle w:val="31"/>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EE2B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4" w:hRule="atLeast"/>
          <w:jc w:val="center"/>
        </w:trPr>
        <w:tc>
          <w:tcPr>
            <w:tcW w:w="746" w:type="dxa"/>
            <w:tcMar>
              <w:left w:w="28" w:type="dxa"/>
              <w:right w:w="28" w:type="dxa"/>
            </w:tcMar>
            <w:vAlign w:val="center"/>
          </w:tcPr>
          <w:p w14:paraId="3FCE2A58">
            <w:pPr>
              <w:pStyle w:val="27"/>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施工</w:t>
            </w:r>
          </w:p>
          <w:p w14:paraId="24D3ED5B">
            <w:pPr>
              <w:pStyle w:val="27"/>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期环</w:t>
            </w:r>
          </w:p>
          <w:p w14:paraId="19DCAEEE">
            <w:pPr>
              <w:pStyle w:val="27"/>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境保</w:t>
            </w:r>
          </w:p>
          <w:p w14:paraId="1025C545">
            <w:pPr>
              <w:pStyle w:val="27"/>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护措</w:t>
            </w:r>
          </w:p>
          <w:p w14:paraId="79E1AE00">
            <w:pPr>
              <w:pStyle w:val="27"/>
              <w:adjustRightInd w:val="0"/>
              <w:snapToGrid w:val="0"/>
              <w:spacing w:before="0" w:beforeAutospacing="0" w:after="0" w:afterAutospacing="0"/>
              <w:jc w:val="center"/>
              <w:rPr>
                <w:rFonts w:hint="default" w:ascii="Times New Roman" w:hAnsi="Times New Roman" w:cs="Times New Roman"/>
                <w:bCs/>
                <w:color w:val="auto"/>
                <w:kern w:val="2"/>
                <w:sz w:val="21"/>
                <w:szCs w:val="21"/>
                <w:highlight w:val="none"/>
              </w:rPr>
            </w:pPr>
            <w:r>
              <w:rPr>
                <w:rFonts w:hint="default" w:ascii="Times New Roman" w:hAnsi="Times New Roman" w:cs="Times New Roman"/>
                <w:color w:val="auto"/>
                <w:kern w:val="2"/>
                <w:szCs w:val="24"/>
                <w:highlight w:val="none"/>
              </w:rPr>
              <w:t>施</w:t>
            </w:r>
          </w:p>
        </w:tc>
        <w:tc>
          <w:tcPr>
            <w:tcW w:w="8162" w:type="dxa"/>
            <w:vAlign w:val="center"/>
          </w:tcPr>
          <w:p w14:paraId="179F0D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1</w:t>
            </w:r>
            <w:r>
              <w:rPr>
                <w:rFonts w:hint="default" w:ascii="Times New Roman" w:hAnsi="Times New Roman" w:cs="Times New Roman"/>
                <w:b/>
                <w:color w:val="auto"/>
                <w:sz w:val="24"/>
                <w:highlight w:val="none"/>
                <w:lang w:eastAsia="zh-CN"/>
              </w:rPr>
              <w:t>、</w:t>
            </w:r>
            <w:r>
              <w:rPr>
                <w:rFonts w:hint="default" w:ascii="Times New Roman" w:hAnsi="Times New Roman" w:cs="Times New Roman"/>
                <w:b/>
                <w:color w:val="auto"/>
                <w:sz w:val="24"/>
                <w:highlight w:val="none"/>
              </w:rPr>
              <w:t xml:space="preserve">环境空气 </w:t>
            </w:r>
          </w:p>
          <w:p w14:paraId="36728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本项目施工期间涉及废气主要</w:t>
            </w:r>
            <w:r>
              <w:rPr>
                <w:rFonts w:hint="default" w:ascii="Times New Roman" w:hAnsi="Times New Roman" w:cs="Times New Roman"/>
                <w:color w:val="auto"/>
                <w:sz w:val="24"/>
                <w:highlight w:val="none"/>
                <w:lang w:eastAsia="zh-CN"/>
              </w:rPr>
              <w:t>来自项目</w:t>
            </w:r>
            <w:r>
              <w:rPr>
                <w:rFonts w:hint="default" w:ascii="Times New Roman" w:hAnsi="Times New Roman" w:cs="Times New Roman"/>
                <w:color w:val="auto"/>
                <w:sz w:val="24"/>
                <w:highlight w:val="none"/>
              </w:rPr>
              <w:t>建设期间场地平整、</w:t>
            </w:r>
            <w:r>
              <w:rPr>
                <w:rFonts w:hint="default" w:ascii="Times New Roman" w:hAnsi="Times New Roman" w:cs="Times New Roman"/>
                <w:color w:val="auto"/>
                <w:sz w:val="24"/>
                <w:highlight w:val="none"/>
                <w:lang w:eastAsia="zh-CN"/>
              </w:rPr>
              <w:t>地面硬化</w:t>
            </w:r>
            <w:r>
              <w:rPr>
                <w:rFonts w:hint="default" w:ascii="Times New Roman" w:hAnsi="Times New Roman" w:cs="Times New Roman"/>
                <w:color w:val="auto"/>
                <w:sz w:val="24"/>
                <w:highlight w:val="none"/>
              </w:rPr>
              <w:t>、装卸和运输等过程中产生的扬尘及运输过程中产生的二次扬尘，其次是运输车辆产生的扬尘、车辆产生的尾气、施工机械废气以及装修废气。施工期采取场地洒水措施，</w:t>
            </w:r>
            <w:r>
              <w:rPr>
                <w:rFonts w:hint="default" w:ascii="Times New Roman" w:hAnsi="Times New Roman" w:cs="Times New Roman"/>
                <w:color w:val="auto"/>
                <w:sz w:val="24"/>
                <w:highlight w:val="none"/>
                <w:lang w:eastAsia="zh-CN"/>
              </w:rPr>
              <w:t>可以明显地降低</w:t>
            </w:r>
            <w:r>
              <w:rPr>
                <w:rFonts w:hint="default" w:ascii="Times New Roman" w:hAnsi="Times New Roman" w:cs="Times New Roman"/>
                <w:color w:val="auto"/>
                <w:sz w:val="24"/>
                <w:highlight w:val="none"/>
              </w:rPr>
              <w:t>施工场地周围环境空气的扬尘浓度。</w:t>
            </w:r>
          </w:p>
          <w:p w14:paraId="4FC6F7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采取上述措施后，</w:t>
            </w:r>
            <w:r>
              <w:rPr>
                <w:rFonts w:hint="default" w:ascii="Times New Roman" w:hAnsi="Times New Roman" w:cs="Times New Roman"/>
                <w:bCs/>
                <w:color w:val="auto"/>
                <w:sz w:val="24"/>
                <w:highlight w:val="none"/>
                <w:lang w:val="en-US" w:eastAsia="zh-CN"/>
              </w:rPr>
              <w:t>施工期废气可</w:t>
            </w:r>
            <w:r>
              <w:rPr>
                <w:rFonts w:hint="default" w:ascii="Times New Roman" w:hAnsi="Times New Roman" w:cs="Times New Roman"/>
                <w:bCs/>
                <w:color w:val="auto"/>
                <w:sz w:val="24"/>
                <w:highlight w:val="none"/>
              </w:rPr>
              <w:t>排放浓度符合《大气污染物综合排放标准》（GB16297-1996）表2无组织排放限值要求。</w:t>
            </w:r>
          </w:p>
          <w:p w14:paraId="5EA6230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lang w:eastAsia="zh-CN"/>
              </w:rPr>
              <w:t>、</w:t>
            </w:r>
            <w:r>
              <w:rPr>
                <w:rFonts w:hint="default" w:ascii="Times New Roman" w:hAnsi="Times New Roman" w:cs="Times New Roman"/>
                <w:b/>
                <w:color w:val="auto"/>
                <w:sz w:val="24"/>
                <w:highlight w:val="none"/>
              </w:rPr>
              <w:t>废水</w:t>
            </w:r>
          </w:p>
          <w:p w14:paraId="466FE833">
            <w:pPr>
              <w:spacing w:line="360" w:lineRule="auto"/>
              <w:ind w:right="168" w:rightChars="8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间的生产用水主要为设备及车辆冲洗水等，主要由设备冲洗及生产中的跑、冒、滴、漏、溢流产生，仅含有少量混砂，不含其它杂质。本项目在施工场地布置1个沉淀池，将施工生产废水排入池内，静置沉淀</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生产废水经收集、沉淀后，用于场内洒水降尘，不外排。</w:t>
            </w:r>
          </w:p>
          <w:p w14:paraId="772A6B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施工期项目劳动定员</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人，根据《黑龙江省地方标准用水定额》（DB23/T727-2025）规定的用水量，按照</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L/（人•d）计算，</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人用水量为0.</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rPr>
              <w:t>/d，施工期</w:t>
            </w:r>
            <w:r>
              <w:rPr>
                <w:rFonts w:hint="eastAsia" w:cs="Times New Roman"/>
                <w:color w:val="auto"/>
                <w:sz w:val="24"/>
                <w:highlight w:val="none"/>
                <w:lang w:val="en-US" w:eastAsia="zh-CN"/>
              </w:rPr>
              <w:t>三</w:t>
            </w:r>
            <w:r>
              <w:rPr>
                <w:rFonts w:hint="default" w:ascii="Times New Roman" w:hAnsi="Times New Roman" w:cs="Times New Roman"/>
                <w:color w:val="auto"/>
                <w:sz w:val="24"/>
                <w:highlight w:val="none"/>
              </w:rPr>
              <w:t>个月用水量为</w:t>
            </w:r>
            <w:r>
              <w:rPr>
                <w:rFonts w:hint="eastAsia" w:cs="Times New Roman"/>
                <w:color w:val="auto"/>
                <w:sz w:val="24"/>
                <w:highlight w:val="none"/>
                <w:lang w:val="en-US" w:eastAsia="zh-CN"/>
              </w:rPr>
              <w:t>72</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rPr>
              <w:t>，排水量约为用水量的80%，生活污水的排放量为</w:t>
            </w:r>
            <w:r>
              <w:rPr>
                <w:rFonts w:hint="eastAsia" w:cs="Times New Roman"/>
                <w:color w:val="auto"/>
                <w:sz w:val="24"/>
                <w:highlight w:val="none"/>
                <w:lang w:val="en-US" w:eastAsia="zh-CN"/>
              </w:rPr>
              <w:t>57.6</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排入</w:t>
            </w:r>
            <w:r>
              <w:rPr>
                <w:rFonts w:hint="eastAsia" w:cs="Times New Roman"/>
                <w:color w:val="auto"/>
                <w:sz w:val="24"/>
                <w:highlight w:val="none"/>
                <w:lang w:val="en-US" w:eastAsia="zh-CN"/>
              </w:rPr>
              <w:t>东侧紧邻黑龙江腾邺贸易有限公司旱厕</w:t>
            </w:r>
            <w:r>
              <w:rPr>
                <w:rFonts w:hint="default" w:ascii="Times New Roman" w:hAnsi="Times New Roman" w:cs="Times New Roman"/>
                <w:color w:val="auto"/>
                <w:sz w:val="24"/>
                <w:highlight w:val="none"/>
                <w:lang w:val="en-US" w:eastAsia="zh-CN"/>
              </w:rPr>
              <w:t>，不外排</w:t>
            </w:r>
            <w:r>
              <w:rPr>
                <w:rFonts w:hint="default" w:ascii="Times New Roman" w:hAnsi="Times New Roman" w:cs="Times New Roman"/>
                <w:color w:val="auto"/>
                <w:sz w:val="24"/>
                <w:highlight w:val="none"/>
              </w:rPr>
              <w:t>，不会对环境造成不利影响。</w:t>
            </w:r>
          </w:p>
          <w:p w14:paraId="25CD22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lang w:eastAsia="zh-CN"/>
              </w:rPr>
              <w:t>、</w:t>
            </w:r>
            <w:r>
              <w:rPr>
                <w:rFonts w:hint="default" w:ascii="Times New Roman" w:hAnsi="Times New Roman" w:cs="Times New Roman"/>
                <w:b/>
                <w:color w:val="auto"/>
                <w:sz w:val="24"/>
                <w:highlight w:val="none"/>
              </w:rPr>
              <w:t>噪声</w:t>
            </w:r>
          </w:p>
          <w:p w14:paraId="136C01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施工期间噪声主要来源于施工现场的各类机械设备和物料运输的交通噪声。在5米范围内一般为70—90dB(A)。</w:t>
            </w:r>
          </w:p>
          <w:p w14:paraId="40742B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合理安排施工时间，严禁夜间施工。</w:t>
            </w:r>
          </w:p>
          <w:p w14:paraId="560E4F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降低设备声级。设备选型上尽量采用低噪声设备，如以液压机械代替燃油机械，低频振捣器采用高频振捣器等</w:t>
            </w:r>
            <w:r>
              <w:rPr>
                <w:rFonts w:hint="eastAsia" w:ascii="Times New Roman" w:hAnsi="Times New Roman" w:cs="Times New Roman"/>
                <w:color w:val="auto"/>
                <w:sz w:val="24"/>
                <w:highlight w:val="none"/>
                <w:lang w:eastAsia="zh-CN"/>
              </w:rPr>
              <w:t>；对</w:t>
            </w:r>
            <w:r>
              <w:rPr>
                <w:rFonts w:hint="default" w:ascii="Times New Roman" w:hAnsi="Times New Roman" w:cs="Times New Roman"/>
                <w:color w:val="auto"/>
                <w:sz w:val="24"/>
                <w:highlight w:val="none"/>
              </w:rPr>
              <w:t>高噪声、高振动设备采取减振措施；维护不良的设备常因松动部件的振动或消声器的损坏而增加其工作噪声级，因此要对动力机械设备进行定期的维修、养护；闲置不用的设备应立即关闭。</w:t>
            </w:r>
          </w:p>
          <w:p w14:paraId="109677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降低人为噪声。按照规定操作机械设备，在挡板、支架拆卸过程中，应遵守作业规定，减少碰撞噪声。</w:t>
            </w:r>
          </w:p>
          <w:p w14:paraId="16B76A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选用低噪声施工机械设备，采取减振、隔声措施，夜间禁止施工。</w:t>
            </w:r>
          </w:p>
          <w:p w14:paraId="170AE450">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上述降噪措施都是目前建筑施工单位普遍采用的措施，简单易行，只要施工单位认真执行，就能有效地减缓施工噪声的污染影响。</w:t>
            </w:r>
          </w:p>
          <w:p w14:paraId="4B8249F8">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eastAsia="zh-CN"/>
              </w:rPr>
              <w:t>采</w:t>
            </w:r>
            <w:r>
              <w:rPr>
                <w:rFonts w:hint="default" w:ascii="Times New Roman" w:hAnsi="Times New Roman" w:cs="Times New Roman"/>
                <w:bCs/>
                <w:color w:val="auto"/>
                <w:sz w:val="24"/>
                <w:highlight w:val="none"/>
              </w:rPr>
              <w:t>取上述措施后，施工期声环境影响控制在施工厂界范围内，对外环境影响小，满足</w:t>
            </w:r>
            <w:r>
              <w:rPr>
                <w:rFonts w:hint="eastAsia" w:cs="Times New Roman"/>
                <w:bCs/>
                <w:color w:val="auto"/>
                <w:sz w:val="24"/>
                <w:highlight w:val="none"/>
                <w:lang w:eastAsia="zh-CN"/>
              </w:rPr>
              <w:t>《建筑施工噪声排放标准》（GB12523-2025）</w:t>
            </w:r>
            <w:r>
              <w:rPr>
                <w:rFonts w:hint="default" w:ascii="Times New Roman" w:hAnsi="Times New Roman" w:cs="Times New Roman"/>
                <w:bCs/>
                <w:color w:val="auto"/>
                <w:sz w:val="24"/>
                <w:highlight w:val="none"/>
              </w:rPr>
              <w:t>要求。</w:t>
            </w:r>
          </w:p>
          <w:p w14:paraId="128AF66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lang w:eastAsia="zh-CN"/>
              </w:rPr>
              <w:t>、</w:t>
            </w:r>
            <w:r>
              <w:rPr>
                <w:rFonts w:hint="default" w:ascii="Times New Roman" w:hAnsi="Times New Roman" w:cs="Times New Roman"/>
                <w:b/>
                <w:color w:val="auto"/>
                <w:sz w:val="24"/>
                <w:highlight w:val="none"/>
              </w:rPr>
              <w:t>固体废物</w:t>
            </w:r>
          </w:p>
          <w:p w14:paraId="3B8C6F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施工期固体废物主要为建筑垃圾、施工弃土及施工人员产生的少量生活垃圾。</w:t>
            </w:r>
          </w:p>
          <w:p w14:paraId="0F9862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施工过程中产生的建筑垃圾及施工弃土应及时清运，运出建筑垃圾应使用</w:t>
            </w:r>
            <w:r>
              <w:rPr>
                <w:rFonts w:hint="default" w:ascii="Times New Roman" w:hAnsi="Times New Roman" w:cs="Times New Roman"/>
                <w:color w:val="auto"/>
                <w:sz w:val="24"/>
                <w:highlight w:val="none"/>
                <w:lang w:eastAsia="zh-CN"/>
              </w:rPr>
              <w:t>苫布苫盖</w:t>
            </w:r>
            <w:r>
              <w:rPr>
                <w:rFonts w:hint="default" w:ascii="Times New Roman" w:hAnsi="Times New Roman" w:cs="Times New Roman"/>
                <w:color w:val="auto"/>
                <w:sz w:val="24"/>
                <w:highlight w:val="none"/>
              </w:rPr>
              <w:t>，不得沿街洒落泥土，并按照市政部门批准的地点倾倒。</w:t>
            </w:r>
          </w:p>
          <w:p w14:paraId="3DDF8C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施工人员产生的生活垃圾量较少，生活垃圾按</w:t>
            </w:r>
            <w:r>
              <w:rPr>
                <w:rFonts w:hint="default" w:ascii="Times New Roman" w:hAnsi="Times New Roman" w:cs="Times New Roman"/>
                <w:color w:val="auto"/>
                <w:sz w:val="24"/>
                <w:highlight w:val="none"/>
                <w:lang w:val="en-US" w:eastAsia="zh-CN"/>
              </w:rPr>
              <w:t>2.00</w:t>
            </w:r>
            <w:r>
              <w:rPr>
                <w:rFonts w:hint="default" w:ascii="Times New Roman" w:hAnsi="Times New Roman" w:cs="Times New Roman"/>
                <w:color w:val="auto"/>
                <w:sz w:val="24"/>
                <w:highlight w:val="none"/>
              </w:rPr>
              <w:t>kg/人·天计算，</w:t>
            </w:r>
            <w:r>
              <w:rPr>
                <w:rFonts w:hint="default" w:ascii="Times New Roman" w:hAnsi="Times New Roman" w:cs="Times New Roman"/>
                <w:color w:val="auto"/>
                <w:sz w:val="24"/>
                <w:highlight w:val="none"/>
              </w:rPr>
              <w:t>施工人数为</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人，施工期</w:t>
            </w:r>
            <w:r>
              <w:rPr>
                <w:rFonts w:hint="eastAsia" w:cs="Times New Roman"/>
                <w:color w:val="auto"/>
                <w:sz w:val="24"/>
                <w:highlight w:val="none"/>
                <w:lang w:val="en-US" w:eastAsia="zh-CN"/>
              </w:rPr>
              <w:t>三</w:t>
            </w:r>
            <w:r>
              <w:rPr>
                <w:rFonts w:hint="default" w:ascii="Times New Roman" w:hAnsi="Times New Roman" w:cs="Times New Roman"/>
                <w:color w:val="auto"/>
                <w:sz w:val="24"/>
                <w:highlight w:val="none"/>
              </w:rPr>
              <w:t>个月，产生量为</w:t>
            </w:r>
            <w:r>
              <w:rPr>
                <w:rFonts w:hint="eastAsia" w:cs="Times New Roman"/>
                <w:color w:val="auto"/>
                <w:sz w:val="24"/>
                <w:highlight w:val="none"/>
                <w:lang w:val="en-US" w:eastAsia="zh-CN"/>
              </w:rPr>
              <w:t>1.80</w:t>
            </w:r>
            <w:r>
              <w:rPr>
                <w:rFonts w:hint="default" w:ascii="Times New Roman" w:hAnsi="Times New Roman" w:cs="Times New Roman"/>
                <w:color w:val="auto"/>
                <w:sz w:val="24"/>
                <w:highlight w:val="none"/>
              </w:rPr>
              <w:t>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生活垃圾由市政部门统一处理，建筑垃圾运至市政指定地点堆存。施工期固体废物处置率100%。</w:t>
            </w:r>
          </w:p>
          <w:p w14:paraId="4B465B0A">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施工活动将对项目周围环境产生一定程度的不利影响，主要影响因素是施工扬尘和噪声，在采取相应的防治措施后，其影响程度将大大减轻并局限在一定范围之内，同时绝大多数不利影响将随着工程施工活动的结束而消失。</w:t>
            </w:r>
          </w:p>
        </w:tc>
      </w:tr>
      <w:tr w14:paraId="5CEBD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Mar>
              <w:left w:w="28" w:type="dxa"/>
              <w:right w:w="28" w:type="dxa"/>
            </w:tcMar>
            <w:vAlign w:val="center"/>
          </w:tcPr>
          <w:p w14:paraId="3D3DA7F6">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运营</w:t>
            </w:r>
          </w:p>
          <w:p w14:paraId="35CBA103">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期环</w:t>
            </w:r>
          </w:p>
          <w:p w14:paraId="67081300">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境影</w:t>
            </w:r>
          </w:p>
          <w:p w14:paraId="208D3CCD">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响和</w:t>
            </w:r>
          </w:p>
          <w:p w14:paraId="3B8AE4F0">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保护</w:t>
            </w:r>
          </w:p>
          <w:p w14:paraId="7B582746">
            <w:pPr>
              <w:pStyle w:val="27"/>
              <w:adjustRightInd w:val="0"/>
              <w:snapToGrid w:val="0"/>
              <w:spacing w:before="0" w:beforeAutospacing="0" w:after="0" w:afterAutospacing="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Cs/>
                <w:color w:val="auto"/>
                <w:szCs w:val="24"/>
                <w:highlight w:val="none"/>
              </w:rPr>
              <w:t>措施</w:t>
            </w:r>
          </w:p>
        </w:tc>
        <w:tc>
          <w:tcPr>
            <w:tcW w:w="8162" w:type="dxa"/>
            <w:vAlign w:val="center"/>
          </w:tcPr>
          <w:p w14:paraId="5DF8E0A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1</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eastAsia="zh-CN"/>
              </w:rPr>
              <w:t>废气</w:t>
            </w:r>
            <w:r>
              <w:rPr>
                <w:rFonts w:hint="default" w:ascii="Times New Roman" w:hAnsi="Times New Roman" w:cs="Times New Roman"/>
                <w:b/>
                <w:bCs/>
                <w:color w:val="auto"/>
                <w:sz w:val="24"/>
                <w:highlight w:val="none"/>
              </w:rPr>
              <w:t xml:space="preserve"> </w:t>
            </w:r>
          </w:p>
          <w:p w14:paraId="38EF70F8">
            <w:pPr>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废气产生情况</w:t>
            </w:r>
          </w:p>
          <w:p w14:paraId="6547EC14">
            <w:pPr>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本项目原煤</w:t>
            </w:r>
            <w:r>
              <w:rPr>
                <w:rFonts w:hint="default" w:ascii="Times New Roman" w:hAnsi="Times New Roman" w:cs="Times New Roman"/>
                <w:color w:val="auto"/>
                <w:sz w:val="24"/>
                <w:highlight w:val="none"/>
                <w:lang w:val="en-US" w:eastAsia="zh-CN"/>
              </w:rPr>
              <w:t>运输均采用公路运输</w:t>
            </w:r>
            <w:r>
              <w:rPr>
                <w:rFonts w:hint="default" w:ascii="Times New Roman" w:hAnsi="Times New Roman" w:eastAsia="宋体" w:cs="Times New Roman"/>
                <w:color w:val="auto"/>
                <w:sz w:val="24"/>
                <w:highlight w:val="none"/>
                <w:lang w:val="en-US" w:eastAsia="zh-CN"/>
              </w:rPr>
              <w:t>，储煤</w:t>
            </w:r>
            <w:r>
              <w:rPr>
                <w:rFonts w:hint="default" w:ascii="Times New Roman" w:hAnsi="Times New Roman" w:cs="Times New Roman"/>
                <w:color w:val="auto"/>
                <w:sz w:val="24"/>
                <w:highlight w:val="none"/>
                <w:lang w:val="en-US" w:eastAsia="zh-CN"/>
              </w:rPr>
              <w:t>场设置</w:t>
            </w:r>
            <w:r>
              <w:rPr>
                <w:rFonts w:hint="default" w:ascii="Times New Roman" w:hAnsi="Times New Roman" w:cs="Times New Roman"/>
                <w:color w:val="auto"/>
                <w:sz w:val="24"/>
                <w:highlight w:val="none"/>
                <w:lang w:val="en-US" w:eastAsia="zh-CN"/>
              </w:rPr>
              <w:t>约</w:t>
            </w:r>
            <w:r>
              <w:rPr>
                <w:rFonts w:hint="eastAsia" w:cs="Times New Roman"/>
                <w:color w:val="auto"/>
                <w:sz w:val="24"/>
                <w:highlight w:val="none"/>
                <w:lang w:val="en-US" w:eastAsia="zh-CN"/>
              </w:rPr>
              <w:t>420</w:t>
            </w:r>
            <w:r>
              <w:rPr>
                <w:rFonts w:hint="default" w:ascii="Times New Roman" w:hAnsi="Times New Roman" w:cs="Times New Roman"/>
                <w:color w:val="auto"/>
                <w:sz w:val="24"/>
                <w:highlight w:val="none"/>
                <w:lang w:val="en-US" w:eastAsia="zh-CN"/>
              </w:rPr>
              <w:t>m长</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m高金</w:t>
            </w:r>
            <w:r>
              <w:rPr>
                <w:rFonts w:hint="default" w:ascii="Times New Roman" w:hAnsi="Times New Roman" w:cs="Times New Roman"/>
                <w:color w:val="auto"/>
                <w:sz w:val="24"/>
                <w:highlight w:val="none"/>
                <w:lang w:val="en-US" w:eastAsia="zh-CN"/>
              </w:rPr>
              <w:t>属材质防风抑尘网并在</w:t>
            </w:r>
            <w:r>
              <w:rPr>
                <w:rFonts w:hint="eastAsia" w:cs="Times New Roman"/>
                <w:color w:val="auto"/>
                <w:sz w:val="24"/>
                <w:highlight w:val="none"/>
                <w:lang w:val="en-US" w:eastAsia="zh-CN"/>
              </w:rPr>
              <w:t>堆场</w:t>
            </w:r>
            <w:r>
              <w:rPr>
                <w:rFonts w:hint="default" w:ascii="Times New Roman" w:hAnsi="Times New Roman" w:cs="Times New Roman"/>
                <w:color w:val="auto"/>
                <w:sz w:val="24"/>
                <w:highlight w:val="none"/>
                <w:lang w:val="en-US" w:eastAsia="zh-CN"/>
              </w:rPr>
              <w:t>顶部苫盖苫布</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采用洒水车定期洒水降尘</w:t>
            </w:r>
            <w:r>
              <w:rPr>
                <w:rFonts w:hint="default" w:ascii="Times New Roman" w:hAnsi="Times New Roman" w:eastAsia="宋体" w:cs="Times New Roman"/>
                <w:color w:val="auto"/>
                <w:sz w:val="24"/>
                <w:highlight w:val="none"/>
                <w:lang w:val="en-US" w:eastAsia="zh-CN"/>
              </w:rPr>
              <w:t>，因此项目运营期会有少量颗粒物产生。故颗粒物产生量及排放量计算过程如下：</w:t>
            </w:r>
          </w:p>
          <w:p w14:paraId="018E11BD">
            <w:pPr>
              <w:pStyle w:val="11"/>
              <w:adjustRightInd w:val="0"/>
              <w:spacing w:before="0" w:after="0" w:line="360" w:lineRule="auto"/>
              <w:ind w:right="0" w:firstLine="480" w:firstLineChars="200"/>
              <w:jc w:val="left"/>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）运输废气</w:t>
            </w:r>
          </w:p>
          <w:p w14:paraId="37BA06F3">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本项目煤炭在运输过程中会产生粉尘，在长期运行过程中，会不可避免地逸散至车间外及进出道路。</w:t>
            </w:r>
            <w:r>
              <w:rPr>
                <w:rFonts w:hint="default" w:ascii="Times New Roman" w:hAnsi="Times New Roman" w:eastAsia="宋体" w:cs="Times New Roman"/>
                <w:color w:val="auto"/>
                <w:sz w:val="24"/>
                <w:highlight w:val="none"/>
                <w:lang w:eastAsia="zh-CN"/>
              </w:rPr>
              <w:t>运输粉尘主要为</w:t>
            </w:r>
            <w:r>
              <w:rPr>
                <w:rFonts w:hint="default" w:ascii="Times New Roman" w:hAnsi="Times New Roman" w:eastAsia="宋体" w:cs="Times New Roman"/>
                <w:color w:val="auto"/>
                <w:sz w:val="24"/>
                <w:highlight w:val="none"/>
              </w:rPr>
              <w:t>汽车在有散状物料的道路上行驶的扬尘，选用上海港环境保护中心和武汉水运工程学院提出的经验公式估算，经验公式为：</w:t>
            </w:r>
          </w:p>
          <w:p w14:paraId="32CEAF4B">
            <w:pPr>
              <w:pStyle w:val="1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jc w:val="center"/>
              <w:textAlignment w:val="auto"/>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drawing>
                <wp:inline distT="0" distB="0" distL="114300" distR="114300">
                  <wp:extent cx="2610485" cy="480060"/>
                  <wp:effectExtent l="0" t="0" r="18415" b="15240"/>
                  <wp:docPr id="39" name="图片 9" descr="96c32d7d20a4e6b5ed58b5772af5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descr="96c32d7d20a4e6b5ed58b5772af5bcf"/>
                          <pic:cNvPicPr>
                            <a:picLocks noChangeAspect="1"/>
                          </pic:cNvPicPr>
                        </pic:nvPicPr>
                        <pic:blipFill>
                          <a:blip r:embed="rId17"/>
                          <a:stretch>
                            <a:fillRect/>
                          </a:stretch>
                        </pic:blipFill>
                        <pic:spPr>
                          <a:xfrm>
                            <a:off x="0" y="0"/>
                            <a:ext cx="2610485" cy="480060"/>
                          </a:xfrm>
                          <a:prstGeom prst="rect">
                            <a:avLst/>
                          </a:prstGeom>
                          <a:noFill/>
                          <a:ln>
                            <a:noFill/>
                          </a:ln>
                        </pic:spPr>
                      </pic:pic>
                    </a:graphicData>
                  </a:graphic>
                </wp:inline>
              </w:drawing>
            </w:r>
          </w:p>
          <w:p w14:paraId="1E7A158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952625" cy="295275"/>
                  <wp:effectExtent l="0" t="0" r="9525" b="9525"/>
                  <wp:docPr id="40" name="图片 10" descr="d015f65c95a0cd87a7923d2c15e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descr="d015f65c95a0cd87a7923d2c15e3624"/>
                          <pic:cNvPicPr>
                            <a:picLocks noChangeAspect="1"/>
                          </pic:cNvPicPr>
                        </pic:nvPicPr>
                        <pic:blipFill>
                          <a:blip r:embed="rId18"/>
                          <a:stretch>
                            <a:fillRect/>
                          </a:stretch>
                        </pic:blipFill>
                        <pic:spPr>
                          <a:xfrm>
                            <a:off x="0" y="0"/>
                            <a:ext cx="1952625" cy="295275"/>
                          </a:xfrm>
                          <a:prstGeom prst="rect">
                            <a:avLst/>
                          </a:prstGeom>
                          <a:noFill/>
                          <a:ln>
                            <a:noFill/>
                          </a:ln>
                        </pic:spPr>
                      </pic:pic>
                    </a:graphicData>
                  </a:graphic>
                </wp:inline>
              </w:drawing>
            </w:r>
          </w:p>
          <w:p w14:paraId="1D89FB31">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式中：Q</w:t>
            </w:r>
            <w:r>
              <w:rPr>
                <w:rFonts w:hint="default" w:ascii="Times New Roman" w:hAnsi="Times New Roman" w:eastAsia="宋体" w:cs="Times New Roman"/>
                <w:color w:val="auto"/>
                <w:sz w:val="24"/>
                <w:highlight w:val="none"/>
                <w:vertAlign w:val="subscript"/>
              </w:rPr>
              <w:t>p</w:t>
            </w:r>
            <w:r>
              <w:rPr>
                <w:rFonts w:hint="default" w:ascii="Times New Roman" w:hAnsi="Times New Roman" w:eastAsia="宋体" w:cs="Times New Roman"/>
                <w:color w:val="auto"/>
                <w:sz w:val="24"/>
                <w:highlight w:val="none"/>
              </w:rPr>
              <w:t>——道路扬尘量（kg/km·辆）；</w:t>
            </w:r>
          </w:p>
          <w:p w14:paraId="7758FF6A">
            <w:pPr>
              <w:adjustRightInd w:val="0"/>
              <w:snapToGrid w:val="0"/>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p</w:t>
            </w:r>
            <w:r>
              <w:rPr>
                <w:rFonts w:hint="default" w:ascii="Times New Roman" w:hAnsi="Times New Roman" w:eastAsia="宋体" w:cs="Times New Roman"/>
                <w:color w:val="auto"/>
                <w:sz w:val="24"/>
                <w:highlight w:val="none"/>
                <w:vertAlign w:val="superscript"/>
              </w:rPr>
              <w:t>1</w:t>
            </w:r>
            <w:r>
              <w:rPr>
                <w:rFonts w:hint="default" w:ascii="Times New Roman" w:hAnsi="Times New Roman" w:eastAsia="宋体" w:cs="Times New Roman"/>
                <w:color w:val="auto"/>
                <w:sz w:val="24"/>
                <w:highlight w:val="none"/>
              </w:rPr>
              <w:t>——总扬尘量（kg/a）；</w:t>
            </w:r>
          </w:p>
          <w:p w14:paraId="278BBBA8">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V——车辆速度（km/h）；</w:t>
            </w:r>
          </w:p>
          <w:p w14:paraId="53ACAE56">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M——车辆载重（t/辆）；</w:t>
            </w:r>
          </w:p>
          <w:p w14:paraId="2920AFBF">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P——道路灰尘覆盖量（kg/m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w:t>
            </w:r>
          </w:p>
          <w:p w14:paraId="79E1ABFB">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L——运输距离（km）；</w:t>
            </w:r>
          </w:p>
          <w:p w14:paraId="3504A907">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Q——运输量（t/a）。</w:t>
            </w:r>
          </w:p>
          <w:p w14:paraId="6CD46B71">
            <w:pPr>
              <w:pStyle w:val="11"/>
              <w:adjustRightInd w:val="0"/>
              <w:spacing w:before="0" w:after="0" w:line="360" w:lineRule="auto"/>
              <w:ind w:right="0" w:firstLine="480" w:firstLineChars="200"/>
              <w:jc w:val="both"/>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本项目采用</w:t>
            </w:r>
            <w:r>
              <w:rPr>
                <w:rFonts w:hint="default" w:ascii="Times New Roman" w:hAnsi="Times New Roman" w:cs="Times New Roman"/>
                <w:color w:val="auto"/>
                <w:sz w:val="24"/>
                <w:highlight w:val="none"/>
                <w:lang w:val="en-US" w:eastAsia="zh-CN"/>
              </w:rPr>
              <w:t>60</w:t>
            </w:r>
            <w:r>
              <w:rPr>
                <w:rFonts w:hint="default" w:ascii="Times New Roman" w:hAnsi="Times New Roman" w:eastAsia="宋体" w:cs="Times New Roman"/>
                <w:color w:val="auto"/>
                <w:sz w:val="24"/>
                <w:highlight w:val="none"/>
              </w:rPr>
              <w:t>t的载重车辆运输，运输车辆速度约20km/h，道路灰尘覆盖量P取0.15kg/m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，厂区道路长约</w:t>
            </w:r>
            <w:r>
              <w:rPr>
                <w:rFonts w:hint="default" w:ascii="Times New Roman" w:hAnsi="Times New Roman" w:eastAsia="宋体" w:cs="Times New Roman"/>
                <w:color w:val="auto"/>
                <w:sz w:val="24"/>
                <w:highlight w:val="none"/>
                <w:lang w:val="en-US" w:eastAsia="zh-CN"/>
              </w:rPr>
              <w:t>0.</w:t>
            </w:r>
            <w:r>
              <w:rPr>
                <w:rFonts w:hint="eastAsia" w:cs="Times New Roman"/>
                <w:color w:val="auto"/>
                <w:sz w:val="24"/>
                <w:highlight w:val="none"/>
                <w:lang w:val="en-US" w:eastAsia="zh-CN"/>
              </w:rPr>
              <w:t>15</w:t>
            </w:r>
            <w:r>
              <w:rPr>
                <w:rFonts w:hint="default" w:ascii="Times New Roman" w:hAnsi="Times New Roman" w:eastAsia="宋体" w:cs="Times New Roman"/>
                <w:color w:val="auto"/>
                <w:sz w:val="24"/>
                <w:highlight w:val="none"/>
              </w:rPr>
              <w:t>km，</w:t>
            </w:r>
            <w:r>
              <w:rPr>
                <w:rFonts w:hint="default" w:ascii="Times New Roman" w:hAnsi="Times New Roman" w:eastAsia="宋体" w:cs="Times New Roman"/>
                <w:color w:val="auto"/>
                <w:sz w:val="24"/>
                <w:highlight w:val="none"/>
                <w:lang w:eastAsia="zh-CN"/>
              </w:rPr>
              <w:t>本</w:t>
            </w:r>
            <w:r>
              <w:rPr>
                <w:rFonts w:hint="default" w:ascii="Times New Roman" w:hAnsi="Times New Roman" w:eastAsia="宋体" w:cs="Times New Roman"/>
                <w:color w:val="auto"/>
                <w:sz w:val="24"/>
                <w:highlight w:val="none"/>
              </w:rPr>
              <w:t>项目原料和成品</w:t>
            </w:r>
            <w:r>
              <w:rPr>
                <w:rFonts w:hint="default" w:ascii="Times New Roman" w:hAnsi="Times New Roman" w:eastAsia="宋体" w:cs="Times New Roman"/>
                <w:color w:val="auto"/>
                <w:sz w:val="24"/>
                <w:highlight w:val="none"/>
                <w:lang w:eastAsia="zh-CN"/>
              </w:rPr>
              <w:t>需要汽车运输，</w:t>
            </w:r>
            <w:r>
              <w:rPr>
                <w:rFonts w:hint="default" w:ascii="Times New Roman" w:hAnsi="Times New Roman" w:eastAsia="宋体" w:cs="Times New Roman"/>
                <w:color w:val="auto"/>
                <w:sz w:val="24"/>
                <w:highlight w:val="none"/>
              </w:rPr>
              <w:t>总运输量</w:t>
            </w:r>
            <w:r>
              <w:rPr>
                <w:rFonts w:hint="default" w:ascii="Times New Roman" w:hAnsi="Times New Roman" w:eastAsia="宋体" w:cs="Times New Roman"/>
                <w:color w:val="auto"/>
                <w:sz w:val="24"/>
                <w:highlight w:val="none"/>
                <w:lang w:eastAsia="zh-CN"/>
              </w:rPr>
              <w:t>按</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val="en-US" w:eastAsia="zh-CN"/>
              </w:rPr>
              <w:t>00000</w:t>
            </w:r>
            <w:r>
              <w:rPr>
                <w:rFonts w:hint="default" w:ascii="Times New Roman" w:hAnsi="Times New Roman" w:eastAsia="宋体" w:cs="Times New Roman"/>
                <w:color w:val="auto"/>
                <w:sz w:val="24"/>
                <w:highlight w:val="none"/>
              </w:rPr>
              <w:t>t/a</w:t>
            </w:r>
            <w:r>
              <w:rPr>
                <w:rFonts w:hint="default" w:ascii="Times New Roman" w:hAnsi="Times New Roman" w:eastAsia="宋体" w:cs="Times New Roman"/>
                <w:color w:val="auto"/>
                <w:sz w:val="24"/>
                <w:highlight w:val="none"/>
                <w:lang w:eastAsia="zh-CN"/>
              </w:rPr>
              <w:t>计</w:t>
            </w:r>
            <w:r>
              <w:rPr>
                <w:rFonts w:hint="default" w:ascii="Times New Roman" w:hAnsi="Times New Roman" w:eastAsia="宋体" w:cs="Times New Roman"/>
                <w:color w:val="auto"/>
                <w:sz w:val="24"/>
                <w:highlight w:val="none"/>
              </w:rPr>
              <w:t>，则道路总扬尘量为</w:t>
            </w:r>
            <w:r>
              <w:rPr>
                <w:rFonts w:hint="eastAsia" w:cs="Times New Roman"/>
                <w:color w:val="auto"/>
                <w:sz w:val="24"/>
                <w:highlight w:val="none"/>
                <w:lang w:val="en-US" w:eastAsia="zh-CN"/>
              </w:rPr>
              <w:t>658.05</w:t>
            </w:r>
            <w:r>
              <w:rPr>
                <w:rFonts w:hint="default" w:ascii="Times New Roman" w:hAnsi="Times New Roman" w:eastAsia="宋体" w:cs="Times New Roman"/>
                <w:color w:val="auto"/>
                <w:sz w:val="24"/>
                <w:highlight w:val="none"/>
              </w:rPr>
              <w:t>kg/a，即</w:t>
            </w:r>
            <w:r>
              <w:rPr>
                <w:rFonts w:hint="eastAsia" w:cs="Times New Roman"/>
                <w:color w:val="auto"/>
                <w:sz w:val="24"/>
                <w:highlight w:val="none"/>
                <w:lang w:val="en-US" w:eastAsia="zh-CN"/>
              </w:rPr>
              <w:t>0.66</w:t>
            </w:r>
            <w:r>
              <w:rPr>
                <w:rFonts w:hint="default" w:ascii="Times New Roman" w:hAnsi="Times New Roman" w:eastAsia="宋体" w:cs="Times New Roman"/>
                <w:color w:val="auto"/>
                <w:sz w:val="24"/>
                <w:highlight w:val="none"/>
              </w:rPr>
              <w:t>t/a</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0.27</w:t>
            </w:r>
            <w:r>
              <w:rPr>
                <w:rFonts w:hint="default" w:ascii="Times New Roman" w:hAnsi="Times New Roman" w:eastAsia="宋体" w:cs="Times New Roman"/>
                <w:color w:val="auto"/>
                <w:sz w:val="24"/>
                <w:highlight w:val="none"/>
                <w:lang w:val="en-US" w:eastAsia="zh-CN"/>
              </w:rPr>
              <w:t>kg/h</w:t>
            </w:r>
            <w:r>
              <w:rPr>
                <w:rFonts w:hint="default" w:ascii="Times New Roman" w:hAnsi="Times New Roman" w:eastAsia="宋体" w:cs="Times New Roman"/>
                <w:color w:val="auto"/>
                <w:sz w:val="24"/>
                <w:highlight w:val="none"/>
              </w:rPr>
              <w:t>。通过道路硬化，及时清扫地面并在运输道路路面和两侧洒水，可以减少</w:t>
            </w:r>
            <w:r>
              <w:rPr>
                <w:rFonts w:hint="default" w:ascii="Times New Roman" w:hAnsi="Times New Roman" w:cs="Times New Roman"/>
                <w:color w:val="auto"/>
                <w:sz w:val="24"/>
                <w:highlight w:val="none"/>
                <w:lang w:val="en-US" w:eastAsia="zh-CN"/>
              </w:rPr>
              <w:t>8</w:t>
            </w:r>
            <w:r>
              <w:rPr>
                <w:rFonts w:hint="default" w:ascii="Times New Roman" w:hAnsi="Times New Roman" w:eastAsia="宋体" w:cs="Times New Roman"/>
                <w:color w:val="auto"/>
                <w:sz w:val="24"/>
                <w:highlight w:val="none"/>
              </w:rPr>
              <w:t>0%以上的逸散性扬尘，则运输扬尘量</w:t>
            </w:r>
            <w:r>
              <w:rPr>
                <w:rFonts w:hint="default" w:ascii="Times New Roman" w:hAnsi="Times New Roman" w:eastAsia="宋体" w:cs="Times New Roman"/>
                <w:color w:val="auto"/>
                <w:sz w:val="24"/>
                <w:highlight w:val="none"/>
                <w:lang w:eastAsia="zh-CN"/>
              </w:rPr>
              <w:t>约</w:t>
            </w:r>
            <w:r>
              <w:rPr>
                <w:rFonts w:hint="default" w:ascii="Times New Roman" w:hAnsi="Times New Roman" w:eastAsia="宋体" w:cs="Times New Roman"/>
                <w:color w:val="auto"/>
                <w:sz w:val="24"/>
                <w:highlight w:val="none"/>
              </w:rPr>
              <w:t>为</w:t>
            </w:r>
            <w:r>
              <w:rPr>
                <w:rFonts w:hint="eastAsia" w:cs="Times New Roman"/>
                <w:color w:val="auto"/>
                <w:sz w:val="24"/>
                <w:highlight w:val="none"/>
                <w:lang w:val="en-US" w:eastAsia="zh-CN"/>
              </w:rPr>
              <w:t>0.13</w:t>
            </w:r>
            <w:r>
              <w:rPr>
                <w:rFonts w:hint="default" w:ascii="Times New Roman" w:hAnsi="Times New Roman" w:eastAsia="宋体" w:cs="Times New Roman"/>
                <w:color w:val="auto"/>
                <w:sz w:val="24"/>
                <w:highlight w:val="none"/>
              </w:rPr>
              <w:t>t/a</w:t>
            </w:r>
            <w:r>
              <w:rPr>
                <w:rFonts w:hint="default" w:ascii="Times New Roman" w:hAnsi="Times New Roman" w:eastAsia="宋体" w:cs="Times New Roman"/>
                <w:color w:val="auto"/>
                <w:sz w:val="24"/>
                <w:highlight w:val="none"/>
                <w:lang w:eastAsia="zh-CN"/>
              </w:rPr>
              <w:t>，即</w:t>
            </w:r>
            <w:r>
              <w:rPr>
                <w:rFonts w:hint="eastAsia" w:cs="Times New Roman"/>
                <w:color w:val="auto"/>
                <w:sz w:val="24"/>
                <w:highlight w:val="none"/>
                <w:lang w:val="en-US" w:eastAsia="zh-CN"/>
              </w:rPr>
              <w:t>0.05</w:t>
            </w:r>
            <w:r>
              <w:rPr>
                <w:rFonts w:hint="default" w:ascii="Times New Roman" w:hAnsi="Times New Roman" w:eastAsia="宋体" w:cs="Times New Roman"/>
                <w:color w:val="auto"/>
                <w:sz w:val="24"/>
                <w:highlight w:val="none"/>
                <w:lang w:val="en-US" w:eastAsia="zh-CN"/>
              </w:rPr>
              <w:t>kg/h</w:t>
            </w:r>
            <w:r>
              <w:rPr>
                <w:rFonts w:hint="default" w:ascii="Times New Roman" w:hAnsi="Times New Roman" w:eastAsia="宋体" w:cs="Times New Roman"/>
                <w:color w:val="auto"/>
                <w:sz w:val="24"/>
                <w:highlight w:val="none"/>
              </w:rPr>
              <w:t>。</w:t>
            </w:r>
          </w:p>
          <w:p w14:paraId="12A24EE6">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原料</w:t>
            </w:r>
            <w:r>
              <w:rPr>
                <w:rFonts w:hint="default" w:ascii="Times New Roman" w:hAnsi="Times New Roman" w:cs="Times New Roman"/>
                <w:color w:val="auto"/>
                <w:sz w:val="24"/>
                <w:highlight w:val="none"/>
                <w:lang w:eastAsia="zh-CN"/>
              </w:rPr>
              <w:t>装卸</w:t>
            </w:r>
            <w:r>
              <w:rPr>
                <w:rFonts w:hint="default" w:ascii="Times New Roman" w:hAnsi="Times New Roman" w:cs="Times New Roman"/>
                <w:color w:val="auto"/>
                <w:sz w:val="24"/>
                <w:highlight w:val="none"/>
              </w:rPr>
              <w:t>产生扬尘</w:t>
            </w:r>
          </w:p>
          <w:p w14:paraId="27426F03">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本项目煤炭装卸时会产生扬尘，根据《工业源固体物料堆场颗粒物核算系数手册》，本项目煤炭装卸扬尘产生量核算公式如下：</w:t>
            </w:r>
          </w:p>
          <w:p w14:paraId="75C4C9B6">
            <w:pPr>
              <w:adjustRightInd w:val="0"/>
              <w:snapToGrid w:val="0"/>
              <w:spacing w:line="360" w:lineRule="auto"/>
              <w:ind w:firstLine="480" w:firstLineChars="200"/>
              <w:jc w:val="center"/>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P=Nc×D×</w:t>
            </w:r>
            <w:r>
              <w:rPr>
                <w:rFonts w:hint="eastAsia" w:cs="Times New Roman"/>
                <w:bCs/>
                <w:color w:val="auto"/>
                <w:sz w:val="24"/>
                <w:highlight w:val="none"/>
                <w:lang w:val="en-US" w:eastAsia="zh-CN"/>
              </w:rPr>
              <w:t>(</w:t>
            </w:r>
            <w:r>
              <w:rPr>
                <w:rFonts w:hint="eastAsia" w:ascii="Times New Roman" w:hAnsi="Times New Roman" w:eastAsia="宋体" w:cs="Times New Roman"/>
                <w:bCs/>
                <w:color w:val="auto"/>
                <w:sz w:val="24"/>
                <w:highlight w:val="none"/>
                <w:lang w:val="en-US" w:eastAsia="zh-CN"/>
              </w:rPr>
              <w:t>a/b</w:t>
            </w:r>
            <w:r>
              <w:rPr>
                <w:rFonts w:hint="eastAsia" w:cs="Times New Roman"/>
                <w:bCs/>
                <w:color w:val="auto"/>
                <w:sz w:val="24"/>
                <w:highlight w:val="none"/>
                <w:lang w:val="en-US" w:eastAsia="zh-CN"/>
              </w:rPr>
              <w:t>)</w:t>
            </w:r>
            <w:r>
              <w:rPr>
                <w:rFonts w:hint="eastAsia" w:ascii="Times New Roman" w:hAnsi="Times New Roman" w:eastAsia="宋体" w:cs="Times New Roman"/>
                <w:bCs/>
                <w:color w:val="auto"/>
                <w:sz w:val="24"/>
                <w:highlight w:val="none"/>
                <w:lang w:val="en-US" w:eastAsia="zh-CN"/>
              </w:rPr>
              <w:t>×10</w:t>
            </w:r>
            <w:r>
              <w:rPr>
                <w:rFonts w:hint="eastAsia" w:ascii="Times New Roman" w:hAnsi="Times New Roman" w:eastAsia="宋体" w:cs="Times New Roman"/>
                <w:bCs/>
                <w:color w:val="auto"/>
                <w:sz w:val="24"/>
                <w:highlight w:val="none"/>
                <w:vertAlign w:val="superscript"/>
                <w:lang w:val="en-US" w:eastAsia="zh-CN"/>
              </w:rPr>
              <w:t>-3</w:t>
            </w:r>
          </w:p>
          <w:p w14:paraId="05799974">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式中：P指颗粒物产生量（单位：吨）；</w:t>
            </w:r>
          </w:p>
          <w:p w14:paraId="4ABD6173">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Nc指年物料运载车次（单位：车）；</w:t>
            </w:r>
          </w:p>
          <w:p w14:paraId="4E0E73A9">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D指单车平均运载量（单位：吨/车）；</w:t>
            </w:r>
          </w:p>
          <w:p w14:paraId="5B528017">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bookmarkStart w:id="36" w:name="_GoBack"/>
            <w:bookmarkEnd w:id="36"/>
            <w:r>
              <w:rPr>
                <w:rFonts w:hint="eastAsia" w:ascii="Times New Roman" w:hAnsi="Times New Roman" w:eastAsia="宋体" w:cs="Times New Roman"/>
                <w:bCs/>
                <w:color w:val="auto"/>
                <w:sz w:val="24"/>
                <w:highlight w:val="none"/>
                <w:lang w:val="en-US" w:eastAsia="zh-CN"/>
              </w:rPr>
              <w:t>（a/b）指装卸扬尘概化系数</w:t>
            </w:r>
            <w:r>
              <w:rPr>
                <w:rFonts w:hint="eastAsia" w:cs="Times New Roman"/>
                <w:bCs/>
                <w:color w:val="auto"/>
                <w:sz w:val="24"/>
                <w:highlight w:val="none"/>
                <w:lang w:val="en-US" w:eastAsia="zh-CN"/>
              </w:rPr>
              <w:t>（</w:t>
            </w:r>
            <w:r>
              <w:rPr>
                <w:rFonts w:hint="eastAsia" w:ascii="Times New Roman" w:hAnsi="Times New Roman" w:eastAsia="宋体" w:cs="Times New Roman"/>
                <w:bCs/>
                <w:color w:val="auto"/>
                <w:sz w:val="24"/>
                <w:highlight w:val="none"/>
                <w:lang w:val="en-US" w:eastAsia="zh-CN"/>
              </w:rPr>
              <w:t>单位：千克/吨</w:t>
            </w:r>
            <w:r>
              <w:rPr>
                <w:rFonts w:hint="eastAsia" w:cs="Times New Roman"/>
                <w:bCs/>
                <w:color w:val="auto"/>
                <w:sz w:val="24"/>
                <w:highlight w:val="none"/>
                <w:lang w:val="en-US" w:eastAsia="zh-CN"/>
              </w:rPr>
              <w:t>）</w:t>
            </w:r>
            <w:r>
              <w:rPr>
                <w:rFonts w:hint="eastAsia" w:ascii="Times New Roman" w:hAnsi="Times New Roman" w:eastAsia="宋体" w:cs="Times New Roman"/>
                <w:bCs/>
                <w:color w:val="auto"/>
                <w:sz w:val="24"/>
                <w:highlight w:val="none"/>
                <w:lang w:val="en-US" w:eastAsia="zh-CN"/>
              </w:rPr>
              <w:t>，a指各省风速概化系数，见附录1，b指物料含水率概化系数，见附录2；</w:t>
            </w:r>
          </w:p>
          <w:p w14:paraId="0B64788A">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本项目D煤炭装载车单车平均运载量为60吨/车，Nc年物料运载车次为3334车，根据附录1，黑龙江省a取0.0015；参考附录2煤炭（非褐煤），b取0.0054。装卸按照3h计，经计算，煤炭装卸扬尘产生量P为55.57t/a，61.74kg/h。</w:t>
            </w:r>
          </w:p>
          <w:p w14:paraId="55C3FD41">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粉尘控制措施控制效率依据《固体物料堆存颗粒物产排污核算系数手册》“附录4：粉尘控制措施控制效率”。装卸工段采用洒水降尘方式，洒水Cm取74%，装卸按照3h计，经计算颗粒物排放量为14.45t/a，16.06kg/h，处理后颗粒物以无组织方式排放。</w:t>
            </w:r>
          </w:p>
          <w:p w14:paraId="4F98BA73">
            <w:pPr>
              <w:widowControl/>
              <w:adjustRightInd w:val="0"/>
              <w:snapToGrid w:val="0"/>
              <w:spacing w:line="360" w:lineRule="auto"/>
              <w:ind w:firstLine="480" w:firstLineChars="200"/>
              <w:jc w:val="left"/>
              <w:rPr>
                <w:rFonts w:hint="default" w:ascii="Times New Roman" w:hAnsi="Times New Roman" w:eastAsia="宋体" w:cs="Times New Roman"/>
                <w:color w:val="auto"/>
                <w:kern w:val="0"/>
                <w:sz w:val="24"/>
                <w:highlight w:val="none"/>
                <w:lang w:bidi="ar"/>
              </w:rPr>
            </w:pPr>
            <w:r>
              <w:rPr>
                <w:rFonts w:hint="default" w:ascii="Times New Roman" w:hAnsi="Times New Roman" w:eastAsia="宋体" w:cs="Times New Roman"/>
                <w:color w:val="auto"/>
                <w:kern w:val="0"/>
                <w:sz w:val="24"/>
                <w:highlight w:val="none"/>
                <w:lang w:val="en-US" w:eastAsia="zh-CN" w:bidi="ar"/>
              </w:rPr>
              <w:t>3</w:t>
            </w:r>
            <w:r>
              <w:rPr>
                <w:rFonts w:hint="default" w:ascii="Times New Roman" w:hAnsi="Times New Roman" w:eastAsia="宋体" w:cs="Times New Roman"/>
                <w:color w:val="auto"/>
                <w:kern w:val="0"/>
                <w:sz w:val="24"/>
                <w:highlight w:val="none"/>
                <w:lang w:eastAsia="zh-CN" w:bidi="ar"/>
              </w:rPr>
              <w:t>）</w:t>
            </w:r>
            <w:r>
              <w:rPr>
                <w:rFonts w:hint="default" w:ascii="Times New Roman" w:hAnsi="Times New Roman" w:cs="Times New Roman"/>
                <w:color w:val="auto"/>
                <w:kern w:val="0"/>
                <w:sz w:val="24"/>
                <w:highlight w:val="none"/>
                <w:lang w:eastAsia="zh-CN" w:bidi="ar"/>
              </w:rPr>
              <w:t>堆场</w:t>
            </w:r>
            <w:r>
              <w:rPr>
                <w:rFonts w:hint="default" w:ascii="Times New Roman" w:hAnsi="Times New Roman" w:eastAsia="宋体" w:cs="Times New Roman"/>
                <w:color w:val="auto"/>
                <w:kern w:val="0"/>
                <w:sz w:val="24"/>
                <w:highlight w:val="none"/>
                <w:lang w:eastAsia="zh-CN" w:bidi="ar"/>
              </w:rPr>
              <w:t>废气</w:t>
            </w:r>
          </w:p>
          <w:p w14:paraId="269727BA">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本项目煤炭堆存时会产生扬尘，堆存天数为300天，不工作期间无煤炭堆存。根据《工业源固体物料堆场颗粒物核算系数手册》，本项目煤炭堆存扬尘产生量核算公式如下：</w:t>
            </w:r>
          </w:p>
          <w:p w14:paraId="26E84C11">
            <w:pPr>
              <w:adjustRightInd w:val="0"/>
              <w:snapToGrid w:val="0"/>
              <w:spacing w:line="360" w:lineRule="auto"/>
              <w:ind w:firstLine="480" w:firstLineChars="20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P=2</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Ef</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S</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10</w:t>
            </w:r>
            <w:r>
              <w:rPr>
                <w:rFonts w:hint="default" w:ascii="Times New Roman" w:hAnsi="Times New Roman" w:eastAsia="宋体" w:cs="Times New Roman"/>
                <w:bCs/>
                <w:color w:val="auto"/>
                <w:sz w:val="24"/>
                <w:highlight w:val="none"/>
                <w:vertAlign w:val="superscript"/>
                <w:lang w:val="en-US" w:eastAsia="zh-CN"/>
              </w:rPr>
              <w:t>-3</w:t>
            </w:r>
          </w:p>
          <w:p w14:paraId="505ADD9B">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式中：P指颗粒物产生量（单位：吨）；</w:t>
            </w:r>
          </w:p>
          <w:p w14:paraId="17D3D2E6">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E</w:t>
            </w:r>
            <w:r>
              <w:rPr>
                <w:rFonts w:hint="eastAsia" w:ascii="Times New Roman" w:hAnsi="Times New Roman" w:eastAsia="宋体" w:cs="Times New Roman"/>
                <w:bCs/>
                <w:color w:val="auto"/>
                <w:sz w:val="24"/>
                <w:highlight w:val="none"/>
                <w:vertAlign w:val="subscript"/>
                <w:lang w:val="en-US" w:eastAsia="zh-CN"/>
              </w:rPr>
              <w:t>f</w:t>
            </w:r>
            <w:r>
              <w:rPr>
                <w:rFonts w:hint="eastAsia" w:ascii="Times New Roman" w:hAnsi="Times New Roman" w:eastAsia="宋体" w:cs="Times New Roman"/>
                <w:bCs/>
                <w:color w:val="auto"/>
                <w:sz w:val="24"/>
                <w:highlight w:val="none"/>
                <w:lang w:val="en-US" w:eastAsia="zh-CN"/>
              </w:rPr>
              <w:t>指堆场风蚀扬尘概化系数，见附录3（单位：千克/平方米）；</w:t>
            </w:r>
          </w:p>
          <w:p w14:paraId="0096BD1E">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本项目根据附录3，煤炭（非褐煤）Ef风蚀概化系数取31.1418，S堆场占地面积取11800m</w:t>
            </w:r>
            <w:r>
              <w:rPr>
                <w:rFonts w:hint="eastAsia" w:ascii="Times New Roman" w:hAnsi="Times New Roman" w:eastAsia="宋体" w:cs="Times New Roman"/>
                <w:bCs/>
                <w:color w:val="auto"/>
                <w:sz w:val="24"/>
                <w:highlight w:val="none"/>
                <w:vertAlign w:val="superscript"/>
                <w:lang w:val="en-US" w:eastAsia="zh-CN"/>
              </w:rPr>
              <w:t>2</w:t>
            </w:r>
            <w:r>
              <w:rPr>
                <w:rFonts w:hint="eastAsia" w:ascii="Times New Roman" w:hAnsi="Times New Roman" w:eastAsia="宋体" w:cs="Times New Roman"/>
                <w:bCs/>
                <w:color w:val="auto"/>
                <w:sz w:val="24"/>
                <w:highlight w:val="none"/>
                <w:lang w:val="en-US" w:eastAsia="zh-CN"/>
              </w:rPr>
              <w:t>。经计算，煤炭堆场扬尘产生量P为734.95t/a。</w:t>
            </w:r>
          </w:p>
          <w:p w14:paraId="3621F893">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工业企业固体物料堆场颗粒物排放量核算公式如下：</w:t>
            </w:r>
          </w:p>
          <w:p w14:paraId="2DDD6BFA">
            <w:pPr>
              <w:spacing w:before="4" w:line="765" w:lineRule="exact"/>
              <w:ind w:firstLine="2033"/>
              <w:rPr>
                <w:color w:val="auto"/>
              </w:rPr>
            </w:pPr>
            <w:r>
              <w:rPr>
                <w:color w:val="auto"/>
                <w:position w:val="-15"/>
              </w:rPr>
              <w:drawing>
                <wp:inline distT="0" distB="0" distL="114300" distR="114300">
                  <wp:extent cx="2676525" cy="485140"/>
                  <wp:effectExtent l="0" t="0" r="9525" b="10160"/>
                  <wp:docPr id="41" name="图片 5"/>
                  <wp:cNvGraphicFramePr/>
                  <a:graphic xmlns:a="http://schemas.openxmlformats.org/drawingml/2006/main">
                    <a:graphicData uri="http://schemas.openxmlformats.org/drawingml/2006/picture">
                      <pic:pic xmlns:pic="http://schemas.openxmlformats.org/drawingml/2006/picture">
                        <pic:nvPicPr>
                          <pic:cNvPr id="41" name="图片 5"/>
                          <pic:cNvPicPr/>
                        </pic:nvPicPr>
                        <pic:blipFill>
                          <a:blip r:embed="rId19"/>
                          <a:stretch>
                            <a:fillRect/>
                          </a:stretch>
                        </pic:blipFill>
                        <pic:spPr>
                          <a:xfrm>
                            <a:off x="0" y="0"/>
                            <a:ext cx="2676525" cy="485140"/>
                          </a:xfrm>
                          <a:prstGeom prst="rect">
                            <a:avLst/>
                          </a:prstGeom>
                          <a:noFill/>
                          <a:ln>
                            <a:noFill/>
                          </a:ln>
                        </pic:spPr>
                      </pic:pic>
                    </a:graphicData>
                  </a:graphic>
                </wp:inline>
              </w:drawing>
            </w:r>
          </w:p>
          <w:p w14:paraId="69BC803E">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式中：P指颗粒物产生量（单位：吨）；</w:t>
            </w:r>
          </w:p>
          <w:p w14:paraId="1EB67774">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U</w:t>
            </w:r>
            <w:r>
              <w:rPr>
                <w:rFonts w:hint="eastAsia" w:ascii="Times New Roman" w:hAnsi="Times New Roman" w:eastAsia="宋体" w:cs="Times New Roman"/>
                <w:bCs/>
                <w:color w:val="auto"/>
                <w:sz w:val="24"/>
                <w:highlight w:val="none"/>
                <w:vertAlign w:val="subscript"/>
                <w:lang w:val="en-US" w:eastAsia="zh-CN"/>
              </w:rPr>
              <w:t>c</w:t>
            </w:r>
            <w:r>
              <w:rPr>
                <w:rFonts w:hint="eastAsia" w:ascii="Times New Roman" w:hAnsi="Times New Roman" w:eastAsia="宋体" w:cs="Times New Roman"/>
                <w:bCs/>
                <w:color w:val="auto"/>
                <w:sz w:val="24"/>
                <w:highlight w:val="none"/>
                <w:lang w:val="en-US" w:eastAsia="zh-CN"/>
              </w:rPr>
              <w:t>指颗粒物排放量（单位：吨）；</w:t>
            </w:r>
          </w:p>
          <w:p w14:paraId="43647859">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C</w:t>
            </w:r>
            <w:r>
              <w:rPr>
                <w:rFonts w:hint="eastAsia" w:ascii="Times New Roman" w:hAnsi="Times New Roman" w:eastAsia="宋体" w:cs="Times New Roman"/>
                <w:bCs/>
                <w:color w:val="auto"/>
                <w:sz w:val="24"/>
                <w:highlight w:val="none"/>
                <w:vertAlign w:val="subscript"/>
                <w:lang w:val="en-US" w:eastAsia="zh-CN"/>
              </w:rPr>
              <w:t>m</w:t>
            </w:r>
            <w:r>
              <w:rPr>
                <w:rFonts w:hint="eastAsia" w:ascii="Times New Roman" w:hAnsi="Times New Roman" w:eastAsia="宋体" w:cs="Times New Roman"/>
                <w:bCs/>
                <w:color w:val="auto"/>
                <w:sz w:val="24"/>
                <w:highlight w:val="none"/>
                <w:lang w:val="en-US" w:eastAsia="zh-CN"/>
              </w:rPr>
              <w:t>指颗粒物控制措施控制效率（单位：%），见附录4；</w:t>
            </w:r>
          </w:p>
          <w:p w14:paraId="7C745453">
            <w:pPr>
              <w:adjustRightInd w:val="0"/>
              <w:snapToGrid w:val="0"/>
              <w:spacing w:line="360" w:lineRule="auto"/>
              <w:ind w:firstLine="1200" w:firstLineChars="5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T</w:t>
            </w:r>
            <w:r>
              <w:rPr>
                <w:rFonts w:hint="eastAsia" w:ascii="Times New Roman" w:hAnsi="Times New Roman" w:eastAsia="宋体" w:cs="Times New Roman"/>
                <w:bCs/>
                <w:color w:val="auto"/>
                <w:sz w:val="24"/>
                <w:highlight w:val="none"/>
                <w:vertAlign w:val="subscript"/>
                <w:lang w:val="en-US" w:eastAsia="zh-CN"/>
              </w:rPr>
              <w:t>m</w:t>
            </w:r>
            <w:r>
              <w:rPr>
                <w:rFonts w:hint="eastAsia" w:ascii="Times New Roman" w:hAnsi="Times New Roman" w:eastAsia="宋体" w:cs="Times New Roman"/>
                <w:bCs/>
                <w:color w:val="auto"/>
                <w:sz w:val="24"/>
                <w:highlight w:val="none"/>
                <w:lang w:val="en-US" w:eastAsia="zh-CN"/>
              </w:rPr>
              <w:t>指堆场类型控制效率（单位：%），见附录5。</w:t>
            </w:r>
          </w:p>
          <w:p w14:paraId="57A1FCB5">
            <w:pPr>
              <w:adjustRightInd w:val="0"/>
              <w:snapToGrid w:val="0"/>
              <w:spacing w:line="360" w:lineRule="auto"/>
              <w:ind w:firstLine="480" w:firstLineChars="200"/>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粉尘控制措施控制效率依据《固体物料堆存颗粒物产排污核算系数手册》“附录4：粉尘控制措施控制效率”。本项目采用洒水降尘（洒水车），洒水Cm取74%，厂区采用围挡（防风抑尘网），围挡Cm取60%，堆场绿网进行苫盖（防尘网）方式降尘，编织覆盖Cm取86%，堆场为半敞开式，Tm取60%，经计算，颗粒物排放量为41.16t/a，排放速率为17.15kg/h，处理后颗粒物以无组织方式排放。</w:t>
            </w:r>
          </w:p>
          <w:p w14:paraId="103DC58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排放情况见下表。</w:t>
            </w:r>
          </w:p>
          <w:p w14:paraId="10B911D5">
            <w:pPr>
              <w:pStyle w:val="56"/>
              <w:ind w:left="0" w:leftChars="0" w:firstLine="0" w:firstLineChars="0"/>
              <w:jc w:val="center"/>
              <w:rPr>
                <w:rFonts w:hint="default" w:ascii="Times New Roman" w:hAnsi="Times New Roman" w:cs="Times New Roman"/>
                <w:b/>
                <w:bCs w:val="0"/>
                <w:color w:val="auto"/>
                <w:sz w:val="21"/>
                <w:szCs w:val="21"/>
                <w:highlight w:val="none"/>
              </w:rPr>
            </w:pPr>
          </w:p>
          <w:p w14:paraId="24B65738">
            <w:pPr>
              <w:pStyle w:val="56"/>
              <w:ind w:left="0" w:leftChars="0" w:firstLine="0" w:firstLineChars="0"/>
              <w:jc w:val="center"/>
              <w:rPr>
                <w:rFonts w:hint="default" w:ascii="Times New Roman" w:hAnsi="Times New Roman" w:cs="Times New Roman"/>
                <w:b/>
                <w:bCs w:val="0"/>
                <w:color w:val="auto"/>
                <w:sz w:val="21"/>
                <w:szCs w:val="21"/>
                <w:highlight w:val="none"/>
              </w:rPr>
            </w:pPr>
          </w:p>
          <w:p w14:paraId="243CA77D">
            <w:pPr>
              <w:pStyle w:val="56"/>
              <w:ind w:left="0" w:leftChars="0" w:firstLine="0" w:firstLineChars="0"/>
              <w:jc w:val="center"/>
              <w:rPr>
                <w:rFonts w:hint="default" w:ascii="Times New Roman" w:hAnsi="Times New Roman" w:cs="Times New Roman"/>
                <w:b/>
                <w:bCs w:val="0"/>
                <w:color w:val="auto"/>
                <w:sz w:val="21"/>
                <w:szCs w:val="21"/>
                <w:highlight w:val="none"/>
              </w:rPr>
            </w:pPr>
          </w:p>
          <w:p w14:paraId="5B349A21">
            <w:pPr>
              <w:pStyle w:val="56"/>
              <w:ind w:left="0" w:leftChars="0" w:firstLine="0" w:firstLineChars="0"/>
              <w:jc w:val="center"/>
              <w:rPr>
                <w:rFonts w:hint="default" w:ascii="Times New Roman" w:hAnsi="Times New Roman" w:cs="Times New Roman"/>
                <w:b/>
                <w:bCs w:val="0"/>
                <w:color w:val="auto"/>
                <w:sz w:val="21"/>
                <w:szCs w:val="21"/>
                <w:highlight w:val="none"/>
              </w:rPr>
            </w:pPr>
          </w:p>
          <w:p w14:paraId="58E1B1FE">
            <w:pPr>
              <w:pStyle w:val="56"/>
              <w:ind w:left="0" w:leftChars="0" w:firstLine="0" w:firstLineChars="0"/>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表4-</w:t>
            </w:r>
            <w:r>
              <w:rPr>
                <w:rFonts w:hint="default" w:ascii="Times New Roman" w:hAnsi="Times New Roman" w:cs="Times New Roman"/>
                <w:b/>
                <w:bCs w:val="0"/>
                <w:color w:val="auto"/>
                <w:sz w:val="21"/>
                <w:szCs w:val="21"/>
                <w:highlight w:val="none"/>
                <w:lang w:val="en-US" w:eastAsia="zh-CN"/>
              </w:rPr>
              <w:t>1 本项目</w:t>
            </w:r>
            <w:r>
              <w:rPr>
                <w:rFonts w:hint="default" w:ascii="Times New Roman" w:hAnsi="Times New Roman" w:cs="Times New Roman"/>
                <w:b/>
                <w:bCs w:val="0"/>
                <w:color w:val="auto"/>
                <w:sz w:val="21"/>
                <w:szCs w:val="21"/>
                <w:highlight w:val="none"/>
              </w:rPr>
              <w:t>废气污染源源强核算结果及相关参数一览表</w:t>
            </w:r>
          </w:p>
          <w:tbl>
            <w:tblPr>
              <w:tblStyle w:val="31"/>
              <w:tblW w:w="79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671"/>
              <w:gridCol w:w="909"/>
              <w:gridCol w:w="911"/>
              <w:gridCol w:w="1596"/>
              <w:gridCol w:w="641"/>
              <w:gridCol w:w="1074"/>
              <w:gridCol w:w="810"/>
              <w:gridCol w:w="473"/>
            </w:tblGrid>
            <w:tr w14:paraId="59554F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vMerge w:val="restart"/>
                  <w:tcBorders>
                    <w:tl2br w:val="nil"/>
                    <w:tr2bl w:val="nil"/>
                  </w:tcBorders>
                  <w:vAlign w:val="center"/>
                </w:tcPr>
                <w:p w14:paraId="67EE56B2">
                  <w:pPr>
                    <w:pStyle w:val="6"/>
                    <w:spacing w:line="240" w:lineRule="atLeast"/>
                    <w:ind w:firstLine="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产生环节</w:t>
                  </w:r>
                </w:p>
              </w:tc>
              <w:tc>
                <w:tcPr>
                  <w:tcW w:w="671" w:type="dxa"/>
                  <w:vMerge w:val="restart"/>
                  <w:tcBorders>
                    <w:tl2br w:val="nil"/>
                    <w:tr2bl w:val="nil"/>
                  </w:tcBorders>
                  <w:vAlign w:val="center"/>
                </w:tcPr>
                <w:p w14:paraId="1D08DDA5">
                  <w:pPr>
                    <w:pStyle w:val="6"/>
                    <w:spacing w:line="240" w:lineRule="atLeast"/>
                    <w:ind w:firstLine="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产污因子</w:t>
                  </w:r>
                </w:p>
              </w:tc>
              <w:tc>
                <w:tcPr>
                  <w:tcW w:w="1820" w:type="dxa"/>
                  <w:gridSpan w:val="2"/>
                  <w:tcBorders>
                    <w:tl2br w:val="nil"/>
                    <w:tr2bl w:val="nil"/>
                  </w:tcBorders>
                  <w:vAlign w:val="center"/>
                </w:tcPr>
                <w:p w14:paraId="5D94A2D8">
                  <w:pPr>
                    <w:pStyle w:val="6"/>
                    <w:spacing w:line="24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污染物产生</w:t>
                  </w:r>
                </w:p>
              </w:tc>
              <w:tc>
                <w:tcPr>
                  <w:tcW w:w="2237" w:type="dxa"/>
                  <w:gridSpan w:val="2"/>
                  <w:tcBorders>
                    <w:tl2br w:val="nil"/>
                    <w:tr2bl w:val="nil"/>
                  </w:tcBorders>
                  <w:vAlign w:val="center"/>
                </w:tcPr>
                <w:p w14:paraId="499B8F25">
                  <w:pPr>
                    <w:pStyle w:val="6"/>
                    <w:spacing w:line="24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治理措施</w:t>
                  </w:r>
                </w:p>
              </w:tc>
              <w:tc>
                <w:tcPr>
                  <w:tcW w:w="1884" w:type="dxa"/>
                  <w:gridSpan w:val="2"/>
                  <w:tcBorders>
                    <w:tl2br w:val="nil"/>
                    <w:tr2bl w:val="nil"/>
                  </w:tcBorders>
                  <w:vAlign w:val="center"/>
                </w:tcPr>
                <w:p w14:paraId="1A835860">
                  <w:pPr>
                    <w:pStyle w:val="6"/>
                    <w:spacing w:line="24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污染物排放</w:t>
                  </w:r>
                </w:p>
              </w:tc>
              <w:tc>
                <w:tcPr>
                  <w:tcW w:w="473" w:type="dxa"/>
                  <w:vMerge w:val="restart"/>
                  <w:tcBorders>
                    <w:tl2br w:val="nil"/>
                    <w:tr2bl w:val="nil"/>
                  </w:tcBorders>
                  <w:vAlign w:val="center"/>
                </w:tcPr>
                <w:p w14:paraId="55971166">
                  <w:pPr>
                    <w:pStyle w:val="6"/>
                    <w:spacing w:line="240" w:lineRule="atLeast"/>
                    <w:ind w:firstLine="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排放形式</w:t>
                  </w:r>
                </w:p>
              </w:tc>
            </w:tr>
            <w:tr w14:paraId="2705BB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92" w:type="dxa"/>
                  <w:vMerge w:val="continue"/>
                  <w:tcBorders>
                    <w:tl2br w:val="nil"/>
                    <w:tr2bl w:val="nil"/>
                  </w:tcBorders>
                  <w:vAlign w:val="center"/>
                </w:tcPr>
                <w:p w14:paraId="7548C154">
                  <w:pPr>
                    <w:pStyle w:val="6"/>
                    <w:spacing w:line="240" w:lineRule="atLeast"/>
                    <w:ind w:firstLine="0"/>
                    <w:jc w:val="center"/>
                    <w:rPr>
                      <w:rFonts w:hint="default" w:ascii="Times New Roman" w:hAnsi="Times New Roman" w:cs="Times New Roman"/>
                      <w:b/>
                      <w:bCs/>
                      <w:color w:val="auto"/>
                      <w:sz w:val="21"/>
                      <w:szCs w:val="21"/>
                      <w:highlight w:val="none"/>
                    </w:rPr>
                  </w:pPr>
                </w:p>
              </w:tc>
              <w:tc>
                <w:tcPr>
                  <w:tcW w:w="671" w:type="dxa"/>
                  <w:vMerge w:val="continue"/>
                  <w:tcBorders>
                    <w:tl2br w:val="nil"/>
                    <w:tr2bl w:val="nil"/>
                  </w:tcBorders>
                  <w:vAlign w:val="center"/>
                </w:tcPr>
                <w:p w14:paraId="6B1A457D">
                  <w:pPr>
                    <w:pStyle w:val="6"/>
                    <w:spacing w:line="240" w:lineRule="atLeast"/>
                    <w:ind w:firstLine="0"/>
                    <w:jc w:val="center"/>
                    <w:rPr>
                      <w:rFonts w:hint="default" w:ascii="Times New Roman" w:hAnsi="Times New Roman" w:cs="Times New Roman"/>
                      <w:b/>
                      <w:bCs/>
                      <w:color w:val="auto"/>
                      <w:sz w:val="21"/>
                      <w:szCs w:val="21"/>
                      <w:highlight w:val="none"/>
                    </w:rPr>
                  </w:pPr>
                </w:p>
              </w:tc>
              <w:tc>
                <w:tcPr>
                  <w:tcW w:w="909" w:type="dxa"/>
                  <w:tcBorders>
                    <w:tl2br w:val="nil"/>
                    <w:tr2bl w:val="nil"/>
                  </w:tcBorders>
                  <w:vAlign w:val="center"/>
                </w:tcPr>
                <w:p w14:paraId="031C1401">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产生速率kg/h</w:t>
                  </w:r>
                </w:p>
              </w:tc>
              <w:tc>
                <w:tcPr>
                  <w:tcW w:w="911" w:type="dxa"/>
                  <w:tcBorders>
                    <w:tl2br w:val="nil"/>
                    <w:tr2bl w:val="nil"/>
                  </w:tcBorders>
                  <w:vAlign w:val="center"/>
                </w:tcPr>
                <w:p w14:paraId="6C044A04">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产生量t/a</w:t>
                  </w:r>
                </w:p>
              </w:tc>
              <w:tc>
                <w:tcPr>
                  <w:tcW w:w="1596" w:type="dxa"/>
                  <w:tcBorders>
                    <w:tl2br w:val="nil"/>
                    <w:tr2bl w:val="nil"/>
                  </w:tcBorders>
                  <w:vAlign w:val="center"/>
                </w:tcPr>
                <w:p w14:paraId="5790DC15">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工艺</w:t>
                  </w:r>
                </w:p>
              </w:tc>
              <w:tc>
                <w:tcPr>
                  <w:tcW w:w="641" w:type="dxa"/>
                  <w:tcBorders>
                    <w:tl2br w:val="nil"/>
                    <w:tr2bl w:val="nil"/>
                  </w:tcBorders>
                  <w:vAlign w:val="center"/>
                </w:tcPr>
                <w:p w14:paraId="6B9ABF75">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效率</w:t>
                  </w:r>
                </w:p>
                <w:p w14:paraId="61F01663">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w:t>
                  </w:r>
                </w:p>
              </w:tc>
              <w:tc>
                <w:tcPr>
                  <w:tcW w:w="1074" w:type="dxa"/>
                  <w:tcBorders>
                    <w:tl2br w:val="nil"/>
                    <w:tr2bl w:val="nil"/>
                  </w:tcBorders>
                  <w:vAlign w:val="center"/>
                </w:tcPr>
                <w:p w14:paraId="6898BD1E">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排放速率kg/h</w:t>
                  </w:r>
                </w:p>
              </w:tc>
              <w:tc>
                <w:tcPr>
                  <w:tcW w:w="810" w:type="dxa"/>
                  <w:tcBorders>
                    <w:tl2br w:val="nil"/>
                    <w:tr2bl w:val="nil"/>
                  </w:tcBorders>
                  <w:vAlign w:val="center"/>
                </w:tcPr>
                <w:p w14:paraId="0721F4D6">
                  <w:pPr>
                    <w:pStyle w:val="6"/>
                    <w:spacing w:line="200" w:lineRule="atLeast"/>
                    <w:ind w:firstLine="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排放量t/a</w:t>
                  </w:r>
                </w:p>
              </w:tc>
              <w:tc>
                <w:tcPr>
                  <w:tcW w:w="473" w:type="dxa"/>
                  <w:vMerge w:val="continue"/>
                  <w:tcBorders>
                    <w:tl2br w:val="nil"/>
                    <w:tr2bl w:val="nil"/>
                  </w:tcBorders>
                  <w:vAlign w:val="center"/>
                </w:tcPr>
                <w:p w14:paraId="32D0F7E3">
                  <w:pPr>
                    <w:pStyle w:val="6"/>
                    <w:spacing w:line="200" w:lineRule="atLeast"/>
                    <w:ind w:firstLine="0"/>
                    <w:jc w:val="center"/>
                    <w:rPr>
                      <w:rFonts w:hint="default" w:ascii="Times New Roman" w:hAnsi="Times New Roman" w:cs="Times New Roman"/>
                      <w:b/>
                      <w:bCs/>
                      <w:color w:val="auto"/>
                      <w:sz w:val="21"/>
                      <w:szCs w:val="21"/>
                      <w:highlight w:val="none"/>
                    </w:rPr>
                  </w:pPr>
                </w:p>
              </w:tc>
            </w:tr>
            <w:tr w14:paraId="3E791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892" w:type="dxa"/>
                  <w:tcBorders>
                    <w:tl2br w:val="nil"/>
                    <w:tr2bl w:val="nil"/>
                  </w:tcBorders>
                  <w:vAlign w:val="center"/>
                </w:tcPr>
                <w:p w14:paraId="072020E4">
                  <w:pPr>
                    <w:pStyle w:val="6"/>
                    <w:spacing w:line="240" w:lineRule="atLeast"/>
                    <w:ind w:firstLine="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厂区道路运输过程</w:t>
                  </w:r>
                </w:p>
              </w:tc>
              <w:tc>
                <w:tcPr>
                  <w:tcW w:w="671" w:type="dxa"/>
                  <w:vMerge w:val="restart"/>
                  <w:tcBorders>
                    <w:tl2br w:val="nil"/>
                    <w:tr2bl w:val="nil"/>
                  </w:tcBorders>
                  <w:vAlign w:val="center"/>
                </w:tcPr>
                <w:p w14:paraId="32C667E9">
                  <w:pPr>
                    <w:pStyle w:val="6"/>
                    <w:spacing w:line="24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颗粒物</w:t>
                  </w:r>
                </w:p>
              </w:tc>
              <w:tc>
                <w:tcPr>
                  <w:tcW w:w="909" w:type="dxa"/>
                  <w:tcBorders>
                    <w:tl2br w:val="nil"/>
                    <w:tr2bl w:val="nil"/>
                  </w:tcBorders>
                  <w:vAlign w:val="center"/>
                </w:tcPr>
                <w:p w14:paraId="38B78801">
                  <w:pPr>
                    <w:pStyle w:val="6"/>
                    <w:spacing w:line="200" w:lineRule="atLeast"/>
                    <w:ind w:firstLine="0"/>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0.27</w:t>
                  </w:r>
                </w:p>
              </w:tc>
              <w:tc>
                <w:tcPr>
                  <w:tcW w:w="911" w:type="dxa"/>
                  <w:tcBorders>
                    <w:tl2br w:val="nil"/>
                    <w:tr2bl w:val="nil"/>
                  </w:tcBorders>
                  <w:vAlign w:val="center"/>
                </w:tcPr>
                <w:p w14:paraId="02B35649">
                  <w:pPr>
                    <w:pStyle w:val="6"/>
                    <w:spacing w:line="20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0.66</w:t>
                  </w:r>
                </w:p>
              </w:tc>
              <w:tc>
                <w:tcPr>
                  <w:tcW w:w="1596" w:type="dxa"/>
                  <w:tcBorders>
                    <w:tl2br w:val="nil"/>
                    <w:tr2bl w:val="nil"/>
                  </w:tcBorders>
                  <w:vAlign w:val="center"/>
                </w:tcPr>
                <w:p w14:paraId="4A709CAB">
                  <w:pPr>
                    <w:pStyle w:val="6"/>
                    <w:spacing w:line="20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道路硬化，及时清扫地面并在运输道路路面和两侧洒水</w:t>
                  </w:r>
                </w:p>
              </w:tc>
              <w:tc>
                <w:tcPr>
                  <w:tcW w:w="641" w:type="dxa"/>
                  <w:tcBorders>
                    <w:tl2br w:val="nil"/>
                    <w:tr2bl w:val="nil"/>
                  </w:tcBorders>
                  <w:vAlign w:val="center"/>
                </w:tcPr>
                <w:p w14:paraId="2662F3AD">
                  <w:pPr>
                    <w:pStyle w:val="6"/>
                    <w:spacing w:line="200" w:lineRule="atLeast"/>
                    <w:ind w:firstLine="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1074" w:type="dxa"/>
                  <w:tcBorders>
                    <w:tl2br w:val="nil"/>
                    <w:tr2bl w:val="nil"/>
                  </w:tcBorders>
                  <w:vAlign w:val="center"/>
                </w:tcPr>
                <w:p w14:paraId="55380F03">
                  <w:pPr>
                    <w:pStyle w:val="6"/>
                    <w:spacing w:line="200" w:lineRule="atLeast"/>
                    <w:ind w:firstLine="0" w:firstLineChars="0"/>
                    <w:jc w:val="center"/>
                    <w:rPr>
                      <w:rFonts w:hint="default" w:ascii="Times New Roman" w:hAnsi="Times New Roman" w:cs="Times New Roman"/>
                      <w:color w:val="auto"/>
                      <w:kern w:val="21"/>
                      <w:sz w:val="21"/>
                      <w:szCs w:val="21"/>
                      <w:highlight w:val="none"/>
                    </w:rPr>
                  </w:pPr>
                  <w:r>
                    <w:rPr>
                      <w:rFonts w:hint="eastAsia" w:cs="Times New Roman"/>
                      <w:color w:val="auto"/>
                      <w:sz w:val="21"/>
                      <w:szCs w:val="21"/>
                      <w:highlight w:val="none"/>
                      <w:lang w:val="en-US" w:eastAsia="zh-CN"/>
                    </w:rPr>
                    <w:t>0.05</w:t>
                  </w:r>
                </w:p>
              </w:tc>
              <w:tc>
                <w:tcPr>
                  <w:tcW w:w="810" w:type="dxa"/>
                  <w:tcBorders>
                    <w:tl2br w:val="nil"/>
                    <w:tr2bl w:val="nil"/>
                  </w:tcBorders>
                  <w:vAlign w:val="center"/>
                </w:tcPr>
                <w:p w14:paraId="7B8A07D0">
                  <w:pPr>
                    <w:spacing w:line="200" w:lineRule="atLeast"/>
                    <w:ind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0.13</w:t>
                  </w:r>
                </w:p>
              </w:tc>
              <w:tc>
                <w:tcPr>
                  <w:tcW w:w="473" w:type="dxa"/>
                  <w:vMerge w:val="restart"/>
                  <w:tcBorders>
                    <w:tl2br w:val="nil"/>
                    <w:tr2bl w:val="nil"/>
                  </w:tcBorders>
                  <w:vAlign w:val="center"/>
                </w:tcPr>
                <w:p w14:paraId="2BF73819">
                  <w:pPr>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无组织</w:t>
                  </w:r>
                </w:p>
              </w:tc>
            </w:tr>
            <w:tr w14:paraId="117C6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892" w:type="dxa"/>
                  <w:tcBorders>
                    <w:tl2br w:val="nil"/>
                    <w:tr2bl w:val="nil"/>
                  </w:tcBorders>
                  <w:vAlign w:val="center"/>
                </w:tcPr>
                <w:p w14:paraId="4BC8B224">
                  <w:pPr>
                    <w:pStyle w:val="6"/>
                    <w:spacing w:line="24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原料装卸</w:t>
                  </w:r>
                </w:p>
              </w:tc>
              <w:tc>
                <w:tcPr>
                  <w:tcW w:w="671" w:type="dxa"/>
                  <w:vMerge w:val="continue"/>
                  <w:tcBorders>
                    <w:tl2br w:val="nil"/>
                    <w:tr2bl w:val="nil"/>
                  </w:tcBorders>
                  <w:vAlign w:val="center"/>
                </w:tcPr>
                <w:p w14:paraId="74F5BB6E">
                  <w:pPr>
                    <w:pStyle w:val="6"/>
                    <w:spacing w:line="240" w:lineRule="atLeast"/>
                    <w:ind w:firstLine="0"/>
                    <w:jc w:val="center"/>
                    <w:rPr>
                      <w:rFonts w:hint="default" w:ascii="Times New Roman" w:hAnsi="Times New Roman" w:cs="Times New Roman"/>
                      <w:color w:val="auto"/>
                      <w:sz w:val="21"/>
                      <w:szCs w:val="21"/>
                      <w:highlight w:val="none"/>
                    </w:rPr>
                  </w:pPr>
                </w:p>
              </w:tc>
              <w:tc>
                <w:tcPr>
                  <w:tcW w:w="909" w:type="dxa"/>
                  <w:tcBorders>
                    <w:tl2br w:val="nil"/>
                    <w:tr2bl w:val="nil"/>
                  </w:tcBorders>
                  <w:vAlign w:val="center"/>
                </w:tcPr>
                <w:p w14:paraId="63AB5259">
                  <w:pPr>
                    <w:pStyle w:val="6"/>
                    <w:spacing w:line="200" w:lineRule="atLeast"/>
                    <w:ind w:firstLine="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61.74</w:t>
                  </w:r>
                </w:p>
              </w:tc>
              <w:tc>
                <w:tcPr>
                  <w:tcW w:w="911" w:type="dxa"/>
                  <w:tcBorders>
                    <w:tl2br w:val="nil"/>
                    <w:tr2bl w:val="nil"/>
                  </w:tcBorders>
                  <w:vAlign w:val="center"/>
                </w:tcPr>
                <w:p w14:paraId="5B3274CB">
                  <w:pPr>
                    <w:pStyle w:val="6"/>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55.57</w:t>
                  </w:r>
                </w:p>
              </w:tc>
              <w:tc>
                <w:tcPr>
                  <w:tcW w:w="1596" w:type="dxa"/>
                  <w:tcBorders>
                    <w:tl2br w:val="nil"/>
                    <w:tr2bl w:val="nil"/>
                  </w:tcBorders>
                  <w:vAlign w:val="center"/>
                </w:tcPr>
                <w:p w14:paraId="7368B7AE">
                  <w:pPr>
                    <w:pStyle w:val="6"/>
                    <w:spacing w:line="20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洒水降尘，装卸过程在防风抑尘网内进行</w:t>
                  </w:r>
                </w:p>
              </w:tc>
              <w:tc>
                <w:tcPr>
                  <w:tcW w:w="641" w:type="dxa"/>
                  <w:tcBorders>
                    <w:tl2br w:val="nil"/>
                    <w:tr2bl w:val="nil"/>
                  </w:tcBorders>
                  <w:vAlign w:val="center"/>
                </w:tcPr>
                <w:p w14:paraId="5048E91A">
                  <w:pPr>
                    <w:pStyle w:val="6"/>
                    <w:spacing w:line="200" w:lineRule="atLeast"/>
                    <w:ind w:firstLine="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80</w:t>
                  </w:r>
                </w:p>
              </w:tc>
              <w:tc>
                <w:tcPr>
                  <w:tcW w:w="1074" w:type="dxa"/>
                  <w:tcBorders>
                    <w:tl2br w:val="nil"/>
                    <w:tr2bl w:val="nil"/>
                  </w:tcBorders>
                  <w:vAlign w:val="center"/>
                </w:tcPr>
                <w:p w14:paraId="12AACE47">
                  <w:pPr>
                    <w:pStyle w:val="6"/>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16.06</w:t>
                  </w:r>
                </w:p>
              </w:tc>
              <w:tc>
                <w:tcPr>
                  <w:tcW w:w="810" w:type="dxa"/>
                  <w:tcBorders>
                    <w:tl2br w:val="nil"/>
                    <w:tr2bl w:val="nil"/>
                  </w:tcBorders>
                  <w:vAlign w:val="center"/>
                </w:tcPr>
                <w:p w14:paraId="42175790">
                  <w:pPr>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14.45</w:t>
                  </w:r>
                </w:p>
              </w:tc>
              <w:tc>
                <w:tcPr>
                  <w:tcW w:w="473" w:type="dxa"/>
                  <w:vMerge w:val="continue"/>
                  <w:tcBorders>
                    <w:tl2br w:val="nil"/>
                    <w:tr2bl w:val="nil"/>
                  </w:tcBorders>
                  <w:vAlign w:val="center"/>
                </w:tcPr>
                <w:p w14:paraId="1EBD2596">
                  <w:pPr>
                    <w:spacing w:line="200" w:lineRule="atLeast"/>
                    <w:ind w:firstLine="0" w:firstLineChars="0"/>
                    <w:jc w:val="center"/>
                    <w:rPr>
                      <w:rFonts w:hint="default" w:ascii="Times New Roman" w:hAnsi="Times New Roman" w:cs="Times New Roman"/>
                      <w:color w:val="auto"/>
                      <w:sz w:val="21"/>
                      <w:szCs w:val="21"/>
                      <w:highlight w:val="none"/>
                      <w:lang w:eastAsia="zh-CN"/>
                    </w:rPr>
                  </w:pPr>
                </w:p>
              </w:tc>
            </w:tr>
            <w:tr w14:paraId="1436F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892" w:type="dxa"/>
                  <w:tcBorders>
                    <w:tl2br w:val="nil"/>
                    <w:tr2bl w:val="nil"/>
                  </w:tcBorders>
                  <w:vAlign w:val="center"/>
                </w:tcPr>
                <w:p w14:paraId="5B9C895B">
                  <w:pPr>
                    <w:pStyle w:val="6"/>
                    <w:spacing w:line="24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原煤堆场</w:t>
                  </w:r>
                </w:p>
              </w:tc>
              <w:tc>
                <w:tcPr>
                  <w:tcW w:w="671" w:type="dxa"/>
                  <w:vMerge w:val="continue"/>
                  <w:tcBorders>
                    <w:tl2br w:val="nil"/>
                    <w:tr2bl w:val="nil"/>
                  </w:tcBorders>
                  <w:vAlign w:val="center"/>
                </w:tcPr>
                <w:p w14:paraId="57221F31">
                  <w:pPr>
                    <w:pStyle w:val="6"/>
                    <w:spacing w:line="240" w:lineRule="atLeast"/>
                    <w:ind w:firstLine="0"/>
                    <w:jc w:val="center"/>
                    <w:rPr>
                      <w:rFonts w:hint="default" w:ascii="Times New Roman" w:hAnsi="Times New Roman" w:cs="Times New Roman"/>
                      <w:color w:val="auto"/>
                      <w:sz w:val="21"/>
                      <w:szCs w:val="21"/>
                      <w:highlight w:val="none"/>
                    </w:rPr>
                  </w:pPr>
                </w:p>
              </w:tc>
              <w:tc>
                <w:tcPr>
                  <w:tcW w:w="909" w:type="dxa"/>
                  <w:tcBorders>
                    <w:tl2br w:val="nil"/>
                    <w:tr2bl w:val="nil"/>
                  </w:tcBorders>
                  <w:vAlign w:val="center"/>
                </w:tcPr>
                <w:p w14:paraId="1C1D20B0">
                  <w:pPr>
                    <w:pStyle w:val="6"/>
                    <w:spacing w:line="200" w:lineRule="atLeast"/>
                    <w:ind w:firstLine="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306.23</w:t>
                  </w:r>
                </w:p>
              </w:tc>
              <w:tc>
                <w:tcPr>
                  <w:tcW w:w="911" w:type="dxa"/>
                  <w:tcBorders>
                    <w:tl2br w:val="nil"/>
                    <w:tr2bl w:val="nil"/>
                  </w:tcBorders>
                  <w:vAlign w:val="center"/>
                </w:tcPr>
                <w:p w14:paraId="1BD6CCF1">
                  <w:pPr>
                    <w:pStyle w:val="6"/>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734.95</w:t>
                  </w:r>
                </w:p>
              </w:tc>
              <w:tc>
                <w:tcPr>
                  <w:tcW w:w="1596" w:type="dxa"/>
                  <w:tcBorders>
                    <w:tl2br w:val="nil"/>
                    <w:tr2bl w:val="nil"/>
                  </w:tcBorders>
                  <w:vAlign w:val="center"/>
                </w:tcPr>
                <w:p w14:paraId="72FE9788">
                  <w:pPr>
                    <w:pStyle w:val="6"/>
                    <w:spacing w:line="200" w:lineRule="atLeast"/>
                    <w:ind w:firstLine="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洒水降尘</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防风抑尘网</w:t>
                  </w:r>
                  <w:r>
                    <w:rPr>
                      <w:rFonts w:hint="default" w:ascii="Times New Roman" w:hAnsi="Times New Roman" w:cs="Times New Roman"/>
                      <w:color w:val="auto"/>
                      <w:sz w:val="21"/>
                      <w:szCs w:val="21"/>
                      <w:highlight w:val="none"/>
                      <w:lang w:eastAsia="zh-CN"/>
                    </w:rPr>
                    <w:t>和苫布苫盖</w:t>
                  </w:r>
                  <w:r>
                    <w:rPr>
                      <w:rFonts w:hint="default" w:ascii="Times New Roman" w:hAnsi="Times New Roman" w:eastAsia="宋体" w:cs="Times New Roman"/>
                      <w:color w:val="auto"/>
                      <w:sz w:val="21"/>
                      <w:szCs w:val="21"/>
                      <w:highlight w:val="none"/>
                      <w:lang w:eastAsia="zh-CN"/>
                    </w:rPr>
                    <w:t>等措施</w:t>
                  </w:r>
                </w:p>
              </w:tc>
              <w:tc>
                <w:tcPr>
                  <w:tcW w:w="641" w:type="dxa"/>
                  <w:tcBorders>
                    <w:tl2br w:val="nil"/>
                    <w:tr2bl w:val="nil"/>
                  </w:tcBorders>
                  <w:vAlign w:val="center"/>
                </w:tcPr>
                <w:p w14:paraId="2128D109">
                  <w:pPr>
                    <w:pStyle w:val="6"/>
                    <w:spacing w:line="200" w:lineRule="atLeast"/>
                    <w:ind w:firstLine="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86</w:t>
                  </w:r>
                </w:p>
              </w:tc>
              <w:tc>
                <w:tcPr>
                  <w:tcW w:w="1074" w:type="dxa"/>
                  <w:tcBorders>
                    <w:tl2br w:val="nil"/>
                    <w:tr2bl w:val="nil"/>
                  </w:tcBorders>
                  <w:vAlign w:val="center"/>
                </w:tcPr>
                <w:p w14:paraId="70E2CA8C">
                  <w:pPr>
                    <w:pStyle w:val="6"/>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17.15</w:t>
                  </w:r>
                </w:p>
              </w:tc>
              <w:tc>
                <w:tcPr>
                  <w:tcW w:w="810" w:type="dxa"/>
                  <w:tcBorders>
                    <w:tl2br w:val="nil"/>
                    <w:tr2bl w:val="nil"/>
                  </w:tcBorders>
                  <w:vAlign w:val="center"/>
                </w:tcPr>
                <w:p w14:paraId="75FCA897">
                  <w:pPr>
                    <w:spacing w:line="200" w:lineRule="atLeas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41.16</w:t>
                  </w:r>
                </w:p>
              </w:tc>
              <w:tc>
                <w:tcPr>
                  <w:tcW w:w="473" w:type="dxa"/>
                  <w:vMerge w:val="continue"/>
                  <w:tcBorders>
                    <w:tl2br w:val="nil"/>
                    <w:tr2bl w:val="nil"/>
                  </w:tcBorders>
                  <w:vAlign w:val="center"/>
                </w:tcPr>
                <w:p w14:paraId="17B01396">
                  <w:pPr>
                    <w:spacing w:line="200" w:lineRule="atLeast"/>
                    <w:ind w:firstLine="0" w:firstLineChars="0"/>
                    <w:jc w:val="center"/>
                    <w:rPr>
                      <w:rFonts w:hint="default" w:ascii="Times New Roman" w:hAnsi="Times New Roman" w:cs="Times New Roman"/>
                      <w:color w:val="auto"/>
                      <w:sz w:val="21"/>
                      <w:szCs w:val="21"/>
                      <w:highlight w:val="none"/>
                      <w:lang w:eastAsia="zh-CN"/>
                    </w:rPr>
                  </w:pPr>
                </w:p>
              </w:tc>
            </w:tr>
          </w:tbl>
          <w:p w14:paraId="143A751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废气治理措施可行性分析</w:t>
            </w:r>
          </w:p>
          <w:p w14:paraId="0DC2B90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iCs/>
                <w:color w:val="auto"/>
                <w:sz w:val="24"/>
                <w:szCs w:val="20"/>
                <w:highlight w:val="none"/>
              </w:rPr>
            </w:pPr>
            <w:r>
              <w:rPr>
                <w:rFonts w:hint="default" w:ascii="Times New Roman" w:hAnsi="Times New Roman" w:eastAsia="宋体" w:cs="Times New Roman"/>
                <w:color w:val="auto"/>
                <w:sz w:val="24"/>
                <w:highlight w:val="none"/>
              </w:rPr>
              <w:t>由于本行业无相对应的</w:t>
            </w:r>
            <w:r>
              <w:rPr>
                <w:rFonts w:hint="eastAsia" w:ascii="Times New Roman" w:hAnsi="Times New Roman" w:cs="Times New Roman"/>
                <w:color w:val="auto"/>
                <w:kern w:val="21"/>
                <w:sz w:val="24"/>
                <w:highlight w:val="none"/>
                <w:lang w:eastAsia="zh-CN"/>
              </w:rPr>
              <w:t>“</w:t>
            </w:r>
            <w:r>
              <w:rPr>
                <w:rFonts w:hint="default" w:ascii="Times New Roman" w:hAnsi="Times New Roman" w:eastAsia="宋体" w:cs="Times New Roman"/>
                <w:color w:val="auto"/>
                <w:sz w:val="24"/>
                <w:highlight w:val="none"/>
              </w:rPr>
              <w:t>排污许可证申请与核发技术规范</w:t>
            </w: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，但根据《环境空气细颗粒物污染综合防治技术政策》中</w:t>
            </w:r>
            <w:r>
              <w:rPr>
                <w:rFonts w:hint="eastAsia" w:ascii="Times New Roman" w:hAnsi="Times New Roman" w:cs="Times New Roman"/>
                <w:color w:val="auto"/>
                <w:kern w:val="21"/>
                <w:sz w:val="24"/>
                <w:highlight w:val="none"/>
                <w:lang w:eastAsia="zh-CN"/>
              </w:rPr>
              <w:t>“</w:t>
            </w:r>
            <w:r>
              <w:rPr>
                <w:rFonts w:hint="default" w:ascii="Times New Roman" w:hAnsi="Times New Roman" w:eastAsia="宋体" w:cs="Times New Roman"/>
                <w:color w:val="auto"/>
                <w:sz w:val="24"/>
                <w:highlight w:val="none"/>
              </w:rPr>
              <w:t>无组织排放颗粒物和前体污染物治理技术，包括适用于大气颗粒物及其前体物污染控制的密闭生产技术、粉状物料堆放场的遮风与抑尘技术</w:t>
            </w: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扬尘污染防治技术包括遮风技术（适用于各种露天堆场和施工工地遮挡措施）；抑尘技术（包括喷洒水雾和抑尘剂，适用于施工场所、堆场、装卸作业等场地）；施工物料运输车辆清洗技术（适用于上路行驶的物料、渣土运输车辆）；道路清扫技术（包括人工清扫、机械清扫）。</w:t>
            </w:r>
            <w:r>
              <w:rPr>
                <w:rFonts w:hint="default" w:ascii="Times New Roman" w:hAnsi="Times New Roman" w:eastAsia="宋体" w:cs="Times New Roman"/>
                <w:iCs/>
                <w:color w:val="auto"/>
                <w:sz w:val="24"/>
                <w:szCs w:val="20"/>
                <w:highlight w:val="none"/>
              </w:rPr>
              <w:t>本项目采用</w:t>
            </w:r>
            <w:r>
              <w:rPr>
                <w:rFonts w:hint="default" w:ascii="Times New Roman" w:hAnsi="Times New Roman" w:cs="Times New Roman"/>
                <w:iCs/>
                <w:color w:val="auto"/>
                <w:sz w:val="24"/>
                <w:szCs w:val="20"/>
                <w:highlight w:val="none"/>
                <w:lang w:val="en-US" w:eastAsia="zh-CN"/>
              </w:rPr>
              <w:t>设置防风抑尘网并在堆场顶部苫盖苫布、堆场及</w:t>
            </w:r>
            <w:r>
              <w:rPr>
                <w:rFonts w:hint="default" w:ascii="Times New Roman" w:hAnsi="Times New Roman" w:eastAsia="宋体" w:cs="Times New Roman"/>
                <w:iCs/>
                <w:color w:val="auto"/>
                <w:sz w:val="24"/>
                <w:szCs w:val="20"/>
                <w:highlight w:val="none"/>
                <w:lang w:eastAsia="zh-CN"/>
              </w:rPr>
              <w:t>道路采用</w:t>
            </w:r>
            <w:r>
              <w:rPr>
                <w:rFonts w:hint="default" w:ascii="Times New Roman" w:hAnsi="Times New Roman" w:eastAsia="宋体" w:cs="Times New Roman"/>
                <w:iCs/>
                <w:color w:val="auto"/>
                <w:sz w:val="24"/>
                <w:szCs w:val="20"/>
                <w:highlight w:val="none"/>
              </w:rPr>
              <w:t>洒水抑尘</w:t>
            </w:r>
            <w:r>
              <w:rPr>
                <w:rFonts w:hint="default" w:ascii="Times New Roman" w:hAnsi="Times New Roman" w:cs="Times New Roman"/>
                <w:iCs/>
                <w:color w:val="auto"/>
                <w:sz w:val="24"/>
                <w:szCs w:val="20"/>
                <w:highlight w:val="none"/>
                <w:lang w:eastAsia="zh-CN"/>
              </w:rPr>
              <w:t>、道路硬化、及时清扫路面</w:t>
            </w:r>
            <w:r>
              <w:rPr>
                <w:rFonts w:hint="default" w:ascii="Times New Roman" w:hAnsi="Times New Roman" w:eastAsia="宋体" w:cs="Times New Roman"/>
                <w:iCs/>
                <w:color w:val="auto"/>
                <w:sz w:val="24"/>
                <w:szCs w:val="20"/>
                <w:highlight w:val="none"/>
              </w:rPr>
              <w:t>等方式处理颗粒物废气，因此，本评价认为项目采用的废气污染防治技术为可行技术。</w:t>
            </w:r>
          </w:p>
          <w:p w14:paraId="1DBFF8D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（3）废气排放达标分析</w:t>
            </w:r>
          </w:p>
          <w:p w14:paraId="4E3FF90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根据项目所在区域环境质量现状可知，区域内常规污染物PM</w:t>
            </w:r>
            <w:r>
              <w:rPr>
                <w:rFonts w:hint="default" w:ascii="Times New Roman" w:hAnsi="Times New Roman" w:eastAsia="宋体" w:cs="Times New Roman"/>
                <w:color w:val="auto"/>
                <w:sz w:val="24"/>
                <w:highlight w:val="none"/>
                <w:vertAlign w:val="subscript"/>
                <w:lang w:val="en-US" w:eastAsia="zh-CN"/>
              </w:rPr>
              <w:t>10</w:t>
            </w:r>
            <w:r>
              <w:rPr>
                <w:rFonts w:hint="default" w:ascii="Times New Roman" w:hAnsi="Times New Roman" w:eastAsia="宋体" w:cs="Times New Roman"/>
                <w:color w:val="auto"/>
                <w:sz w:val="24"/>
                <w:highlight w:val="none"/>
                <w:lang w:val="en-US" w:eastAsia="zh-CN"/>
              </w:rPr>
              <w:t>、PM</w:t>
            </w:r>
            <w:r>
              <w:rPr>
                <w:rFonts w:hint="default" w:ascii="Times New Roman" w:hAnsi="Times New Roman" w:eastAsia="宋体" w:cs="Times New Roman"/>
                <w:color w:val="auto"/>
                <w:sz w:val="24"/>
                <w:highlight w:val="none"/>
                <w:vertAlign w:val="subscript"/>
                <w:lang w:val="en-US" w:eastAsia="zh-CN"/>
              </w:rPr>
              <w:t>2.5</w:t>
            </w:r>
            <w:r>
              <w:rPr>
                <w:rFonts w:hint="default" w:ascii="Times New Roman" w:hAnsi="Times New Roman" w:eastAsia="宋体" w:cs="Times New Roman"/>
                <w:color w:val="auto"/>
                <w:sz w:val="24"/>
                <w:highlight w:val="none"/>
                <w:lang w:val="en-US" w:eastAsia="zh-CN"/>
              </w:rPr>
              <w:t>年平均浓度能满足</w:t>
            </w:r>
            <w:r>
              <w:rPr>
                <w:rFonts w:hint="eastAsia" w:cs="Times New Roman"/>
                <w:color w:val="auto"/>
                <w:sz w:val="24"/>
                <w:highlight w:val="none"/>
                <w:lang w:val="en-US" w:eastAsia="zh-CN"/>
              </w:rPr>
              <w:t>《环境空气质量标准》（GB3095-2026）中二级标准限值</w:t>
            </w:r>
            <w:r>
              <w:rPr>
                <w:rFonts w:hint="default" w:ascii="Times New Roman" w:hAnsi="Times New Roman" w:eastAsia="宋体" w:cs="Times New Roman"/>
                <w:color w:val="auto"/>
                <w:sz w:val="24"/>
                <w:highlight w:val="none"/>
                <w:lang w:val="en-US" w:eastAsia="zh-CN"/>
              </w:rPr>
              <w:t>。本项目产生的废气都为无组织废气，在采取了设置防风抑尘网并在堆场顶部</w:t>
            </w:r>
            <w:r>
              <w:rPr>
                <w:rFonts w:hint="default" w:ascii="Times New Roman" w:hAnsi="Times New Roman" w:cs="Times New Roman"/>
                <w:color w:val="auto"/>
                <w:sz w:val="24"/>
                <w:highlight w:val="none"/>
                <w:lang w:val="en-US" w:eastAsia="zh-CN"/>
              </w:rPr>
              <w:t>苫盖苫布</w:t>
            </w:r>
            <w:r>
              <w:rPr>
                <w:rFonts w:hint="default" w:ascii="Times New Roman" w:hAnsi="Times New Roman" w:eastAsia="宋体" w:cs="Times New Roman"/>
                <w:color w:val="auto"/>
                <w:sz w:val="24"/>
                <w:highlight w:val="none"/>
                <w:lang w:val="en-US" w:eastAsia="zh-CN"/>
              </w:rPr>
              <w:t>、堆场及道路采用洒水抑尘、道路硬化、及时清扫路面等措施后，废气排放能够满足</w:t>
            </w:r>
            <w:r>
              <w:rPr>
                <w:rFonts w:hint="default" w:ascii="Times New Roman" w:hAnsi="Times New Roman" w:eastAsia="宋体" w:cs="Times New Roman"/>
                <w:color w:val="auto"/>
                <w:sz w:val="24"/>
                <w:highlight w:val="none"/>
                <w:lang w:val="zh-CN" w:eastAsia="zh-CN"/>
              </w:rPr>
              <w:t>《煤炭工业污染物排放标准》（GB20426-2006）中表5限值，</w:t>
            </w:r>
            <w:r>
              <w:rPr>
                <w:rFonts w:hint="default" w:ascii="Times New Roman" w:hAnsi="Times New Roman" w:eastAsia="宋体" w:cs="Times New Roman"/>
                <w:color w:val="auto"/>
                <w:sz w:val="24"/>
                <w:highlight w:val="none"/>
                <w:lang w:val="en-US" w:eastAsia="zh-CN"/>
              </w:rPr>
              <w:t>不会降低项目所在区域环境质量现状，对周围大气环境及周边环境保护目标的影响较小。</w:t>
            </w:r>
          </w:p>
          <w:p w14:paraId="7316785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（4）废气监测计划</w:t>
            </w:r>
          </w:p>
          <w:p w14:paraId="7F1ACA4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根据《固定污染源排污许可分类管理名录》（2019年版）、《排污单位自行监测技术指南 </w:t>
            </w:r>
            <w:r>
              <w:rPr>
                <w:rFonts w:hint="default" w:ascii="Times New Roman" w:hAnsi="Times New Roman" w:eastAsia="宋体" w:cs="Times New Roman"/>
                <w:color w:val="auto"/>
                <w:sz w:val="24"/>
                <w:highlight w:val="none"/>
                <w:lang w:val="en-US" w:eastAsia="zh-CN"/>
              </w:rPr>
              <w:t>总则</w:t>
            </w:r>
            <w:r>
              <w:rPr>
                <w:rFonts w:hint="default" w:ascii="Times New Roman" w:hAnsi="Times New Roman" w:eastAsia="宋体" w:cs="Times New Roman"/>
                <w:color w:val="auto"/>
                <w:sz w:val="24"/>
                <w:highlight w:val="none"/>
              </w:rPr>
              <w:t>》（HJ</w:t>
            </w:r>
            <w:r>
              <w:rPr>
                <w:rFonts w:hint="default" w:ascii="Times New Roman" w:hAnsi="Times New Roman" w:eastAsia="宋体" w:cs="Times New Roman"/>
                <w:color w:val="auto"/>
                <w:sz w:val="24"/>
                <w:highlight w:val="none"/>
                <w:lang w:val="en-US" w:eastAsia="zh-CN"/>
              </w:rPr>
              <w:t>819</w:t>
            </w:r>
            <w:r>
              <w:rPr>
                <w:rFonts w:hint="default" w:ascii="Times New Roman" w:hAnsi="Times New Roman" w:eastAsia="宋体" w:cs="Times New Roman"/>
                <w:color w:val="auto"/>
                <w:sz w:val="24"/>
                <w:highlight w:val="none"/>
              </w:rPr>
              <w:t>-20</w:t>
            </w:r>
            <w:r>
              <w:rPr>
                <w:rFonts w:hint="default" w:ascii="Times New Roman" w:hAnsi="Times New Roman" w:eastAsia="宋体" w:cs="Times New Roman"/>
                <w:color w:val="auto"/>
                <w:sz w:val="24"/>
                <w:highlight w:val="none"/>
                <w:lang w:val="en-US" w:eastAsia="zh-CN"/>
              </w:rPr>
              <w:t>17</w:t>
            </w:r>
            <w:r>
              <w:rPr>
                <w:rFonts w:hint="default" w:ascii="Times New Roman" w:hAnsi="Times New Roman" w:eastAsia="宋体" w:cs="Times New Roman"/>
                <w:color w:val="auto"/>
                <w:sz w:val="24"/>
                <w:highlight w:val="none"/>
              </w:rPr>
              <w:t>），制定废气监测计划如下：</w:t>
            </w:r>
          </w:p>
          <w:p w14:paraId="7141466C">
            <w:pPr>
              <w:pStyle w:val="56"/>
              <w:ind w:left="0" w:leftChars="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default" w:ascii="Times New Roman" w:hAnsi="Times New Roman" w:eastAsia="宋体" w:cs="Times New Roman"/>
                <w:b/>
                <w:bCs w:val="0"/>
                <w:color w:val="auto"/>
                <w:sz w:val="21"/>
                <w:szCs w:val="21"/>
                <w:highlight w:val="none"/>
                <w:lang w:val="en-US" w:eastAsia="zh-CN"/>
              </w:rPr>
              <w:t>-2</w:t>
            </w:r>
            <w:r>
              <w:rPr>
                <w:rFonts w:hint="default" w:ascii="Times New Roman" w:hAnsi="Times New Roman" w:eastAsia="宋体" w:cs="Times New Roman"/>
                <w:b/>
                <w:bCs w:val="0"/>
                <w:color w:val="auto"/>
                <w:sz w:val="21"/>
                <w:szCs w:val="21"/>
                <w:highlight w:val="none"/>
              </w:rPr>
              <w:t xml:space="preserve"> 废气监测计划</w:t>
            </w:r>
          </w:p>
          <w:tbl>
            <w:tblPr>
              <w:tblStyle w:val="32"/>
              <w:tblW w:w="78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324"/>
              <w:gridCol w:w="1198"/>
              <w:gridCol w:w="1090"/>
              <w:gridCol w:w="3116"/>
            </w:tblGrid>
            <w:tr w14:paraId="7DAAA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dxa"/>
                  <w:tcBorders>
                    <w:tl2br w:val="nil"/>
                    <w:tr2bl w:val="nil"/>
                  </w:tcBorders>
                  <w:noWrap w:val="0"/>
                  <w:vAlign w:val="center"/>
                </w:tcPr>
                <w:p w14:paraId="234FE680">
                  <w:pPr>
                    <w:tabs>
                      <w:tab w:val="left" w:pos="1215"/>
                    </w:tabs>
                    <w:adjustRightInd w:val="0"/>
                    <w:snapToGrid w:val="0"/>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排放形式</w:t>
                  </w:r>
                </w:p>
              </w:tc>
              <w:tc>
                <w:tcPr>
                  <w:tcW w:w="1324" w:type="dxa"/>
                  <w:tcBorders>
                    <w:tl2br w:val="nil"/>
                    <w:tr2bl w:val="nil"/>
                  </w:tcBorders>
                  <w:noWrap w:val="0"/>
                  <w:vAlign w:val="center"/>
                </w:tcPr>
                <w:p w14:paraId="2D625000">
                  <w:pPr>
                    <w:tabs>
                      <w:tab w:val="left" w:pos="1215"/>
                    </w:tabs>
                    <w:adjustRightInd w:val="0"/>
                    <w:snapToGrid w:val="0"/>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监测点位</w:t>
                  </w:r>
                </w:p>
              </w:tc>
              <w:tc>
                <w:tcPr>
                  <w:tcW w:w="1198" w:type="dxa"/>
                  <w:tcBorders>
                    <w:tl2br w:val="nil"/>
                    <w:tr2bl w:val="nil"/>
                  </w:tcBorders>
                  <w:noWrap w:val="0"/>
                  <w:vAlign w:val="center"/>
                </w:tcPr>
                <w:p w14:paraId="3FAFBC18">
                  <w:pPr>
                    <w:tabs>
                      <w:tab w:val="left" w:pos="1215"/>
                    </w:tabs>
                    <w:adjustRightInd w:val="0"/>
                    <w:snapToGrid w:val="0"/>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监测指标</w:t>
                  </w:r>
                </w:p>
              </w:tc>
              <w:tc>
                <w:tcPr>
                  <w:tcW w:w="1090" w:type="dxa"/>
                  <w:tcBorders>
                    <w:tl2br w:val="nil"/>
                    <w:tr2bl w:val="nil"/>
                  </w:tcBorders>
                  <w:noWrap w:val="0"/>
                  <w:vAlign w:val="center"/>
                </w:tcPr>
                <w:p w14:paraId="6891761F">
                  <w:pPr>
                    <w:tabs>
                      <w:tab w:val="left" w:pos="1215"/>
                    </w:tabs>
                    <w:adjustRightInd w:val="0"/>
                    <w:snapToGrid w:val="0"/>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监测频次</w:t>
                  </w:r>
                </w:p>
              </w:tc>
              <w:tc>
                <w:tcPr>
                  <w:tcW w:w="3116" w:type="dxa"/>
                  <w:tcBorders>
                    <w:tl2br w:val="nil"/>
                    <w:tr2bl w:val="nil"/>
                  </w:tcBorders>
                  <w:noWrap w:val="0"/>
                  <w:vAlign w:val="center"/>
                </w:tcPr>
                <w:p w14:paraId="7612200E">
                  <w:pPr>
                    <w:tabs>
                      <w:tab w:val="left" w:pos="1215"/>
                    </w:tabs>
                    <w:adjustRightInd w:val="0"/>
                    <w:snapToGrid w:val="0"/>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执行标准</w:t>
                  </w:r>
                </w:p>
              </w:tc>
            </w:tr>
            <w:tr w14:paraId="30178C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09" w:type="dxa"/>
                  <w:tcBorders>
                    <w:tl2br w:val="nil"/>
                    <w:tr2bl w:val="nil"/>
                  </w:tcBorders>
                  <w:noWrap w:val="0"/>
                  <w:vAlign w:val="center"/>
                </w:tcPr>
                <w:p w14:paraId="60F1B536">
                  <w:pPr>
                    <w:tabs>
                      <w:tab w:val="left" w:pos="1215"/>
                    </w:tabs>
                    <w:adjustRightInd w:val="0"/>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无组织</w:t>
                  </w:r>
                </w:p>
              </w:tc>
              <w:tc>
                <w:tcPr>
                  <w:tcW w:w="1324" w:type="dxa"/>
                  <w:tcBorders>
                    <w:tl2br w:val="nil"/>
                    <w:tr2bl w:val="nil"/>
                  </w:tcBorders>
                  <w:noWrap w:val="0"/>
                  <w:vAlign w:val="center"/>
                </w:tcPr>
                <w:p w14:paraId="64033E39">
                  <w:pPr>
                    <w:tabs>
                      <w:tab w:val="left" w:pos="1215"/>
                    </w:tabs>
                    <w:adjustRightInd w:val="0"/>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厂界下风向</w:t>
                  </w:r>
                </w:p>
              </w:tc>
              <w:tc>
                <w:tcPr>
                  <w:tcW w:w="1198" w:type="dxa"/>
                  <w:tcBorders>
                    <w:tl2br w:val="nil"/>
                    <w:tr2bl w:val="nil"/>
                  </w:tcBorders>
                  <w:noWrap w:val="0"/>
                  <w:vAlign w:val="center"/>
                </w:tcPr>
                <w:p w14:paraId="1A49D928">
                  <w:pPr>
                    <w:tabs>
                      <w:tab w:val="left" w:pos="1215"/>
                    </w:tabs>
                    <w:adjustRightInd w:val="0"/>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1090" w:type="dxa"/>
                  <w:tcBorders>
                    <w:tl2br w:val="nil"/>
                    <w:tr2bl w:val="nil"/>
                  </w:tcBorders>
                  <w:noWrap w:val="0"/>
                  <w:vAlign w:val="center"/>
                </w:tcPr>
                <w:p w14:paraId="55BE0FEA">
                  <w:pPr>
                    <w:tabs>
                      <w:tab w:val="left" w:pos="1215"/>
                    </w:tabs>
                    <w:adjustRightInd w:val="0"/>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1次/年</w:t>
                  </w:r>
                </w:p>
              </w:tc>
              <w:tc>
                <w:tcPr>
                  <w:tcW w:w="3116" w:type="dxa"/>
                  <w:tcBorders>
                    <w:tl2br w:val="nil"/>
                    <w:tr2bl w:val="nil"/>
                  </w:tcBorders>
                  <w:noWrap w:val="0"/>
                  <w:vAlign w:val="center"/>
                </w:tcPr>
                <w:p w14:paraId="0E5938D6">
                  <w:pPr>
                    <w:tabs>
                      <w:tab w:val="left" w:pos="1215"/>
                    </w:tabs>
                    <w:adjustRightInd w:val="0"/>
                    <w:snapToGrid w:val="0"/>
                    <w:spacing w:line="240" w:lineRule="auto"/>
                    <w:jc w:val="center"/>
                    <w:rPr>
                      <w:rFonts w:hint="default" w:ascii="Times New Roman" w:hAnsi="Times New Roman" w:eastAsia="宋体" w:cs="Times New Roman"/>
                      <w:bCs/>
                      <w:color w:val="auto"/>
                      <w:sz w:val="21"/>
                      <w:szCs w:val="21"/>
                      <w:highlight w:val="none"/>
                      <w:vertAlign w:val="baseline"/>
                    </w:rPr>
                  </w:pPr>
                  <w:r>
                    <w:rPr>
                      <w:rFonts w:hint="default" w:ascii="Times New Roman" w:hAnsi="Times New Roman" w:eastAsia="宋体" w:cs="Times New Roman"/>
                      <w:color w:val="auto"/>
                      <w:sz w:val="21"/>
                      <w:szCs w:val="21"/>
                      <w:highlight w:val="none"/>
                      <w:lang w:val="zh-CN"/>
                    </w:rPr>
                    <w:t>《煤炭工业污染物排放标准》（GB20426-2006）中表5限值</w:t>
                  </w:r>
                </w:p>
              </w:tc>
            </w:tr>
          </w:tbl>
          <w:p w14:paraId="3E01F17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val="en-US" w:eastAsia="zh-CN"/>
              </w:rPr>
              <w:t>）非正常工况</w:t>
            </w:r>
          </w:p>
          <w:p w14:paraId="6E51E63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本项目</w:t>
            </w:r>
            <w:r>
              <w:rPr>
                <w:rFonts w:hint="eastAsia" w:ascii="Times New Roman" w:hAnsi="Times New Roman" w:eastAsia="宋体" w:cs="Times New Roman"/>
                <w:color w:val="auto"/>
                <w:sz w:val="24"/>
                <w:highlight w:val="none"/>
                <w:lang w:val="en-US" w:eastAsia="zh-CN"/>
              </w:rPr>
              <w:t>可能发生最不利的非正常工况是</w:t>
            </w:r>
            <w:r>
              <w:rPr>
                <w:rFonts w:hint="eastAsia" w:cs="Times New Roman"/>
                <w:color w:val="auto"/>
                <w:sz w:val="24"/>
                <w:highlight w:val="none"/>
                <w:lang w:val="en-US" w:eastAsia="zh-CN"/>
              </w:rPr>
              <w:t>防风抑尘网</w:t>
            </w:r>
            <w:r>
              <w:rPr>
                <w:rFonts w:hint="eastAsia" w:ascii="Times New Roman" w:hAnsi="Times New Roman" w:eastAsia="宋体" w:cs="Times New Roman"/>
                <w:color w:val="auto"/>
                <w:sz w:val="24"/>
                <w:highlight w:val="none"/>
                <w:lang w:val="en-US" w:eastAsia="zh-CN"/>
              </w:rPr>
              <w:t>故障</w:t>
            </w:r>
            <w:r>
              <w:rPr>
                <w:rFonts w:hint="eastAsia" w:cs="Times New Roman"/>
                <w:color w:val="auto"/>
                <w:sz w:val="24"/>
                <w:highlight w:val="none"/>
                <w:lang w:val="en-US" w:eastAsia="zh-CN"/>
              </w:rPr>
              <w:t>，按最不利情况计算，防风抑尘网效率为0，则颗粒物排放量为329.76kg/h。本项目</w:t>
            </w:r>
            <w:r>
              <w:rPr>
                <w:rFonts w:hint="eastAsia" w:ascii="Times New Roman" w:hAnsi="Times New Roman" w:eastAsia="宋体" w:cs="Times New Roman"/>
                <w:color w:val="auto"/>
                <w:sz w:val="24"/>
                <w:highlight w:val="none"/>
                <w:lang w:val="en-US" w:eastAsia="zh-CN"/>
              </w:rPr>
              <w:t>在</w:t>
            </w:r>
            <w:r>
              <w:rPr>
                <w:rFonts w:hint="eastAsia" w:ascii="宋体" w:hAnsi="宋体" w:eastAsia="宋体" w:cs="宋体"/>
                <w:color w:val="auto"/>
                <w:sz w:val="24"/>
                <w:szCs w:val="24"/>
                <w:highlight w:val="none"/>
              </w:rPr>
              <w:t>非正常工况下</w:t>
            </w:r>
            <w:r>
              <w:rPr>
                <w:rFonts w:hint="eastAsia" w:ascii="宋体" w:hAnsi="宋体" w:eastAsia="宋体" w:cs="宋体"/>
                <w:color w:val="auto"/>
                <w:sz w:val="24"/>
                <w:szCs w:val="24"/>
                <w:highlight w:val="none"/>
                <w:lang w:eastAsia="zh-CN"/>
              </w:rPr>
              <w:t>和</w:t>
            </w:r>
            <w:r>
              <w:rPr>
                <w:rFonts w:hint="eastAsia" w:ascii="Times New Roman" w:hAnsi="Times New Roman" w:eastAsia="宋体" w:cs="Times New Roman"/>
                <w:color w:val="auto"/>
                <w:sz w:val="24"/>
                <w:highlight w:val="none"/>
                <w:lang w:val="en-US" w:eastAsia="zh-CN"/>
              </w:rPr>
              <w:t>重污染天气期间、大风天气时不进行作业</w:t>
            </w:r>
            <w:r>
              <w:rPr>
                <w:rFonts w:hint="eastAsia" w:cs="Times New Roman"/>
                <w:color w:val="auto"/>
                <w:sz w:val="24"/>
                <w:highlight w:val="none"/>
                <w:lang w:val="en-US" w:eastAsia="zh-CN"/>
              </w:rPr>
              <w:t>。</w:t>
            </w:r>
            <w:r>
              <w:rPr>
                <w:rFonts w:hint="eastAsia" w:ascii="宋体" w:hAnsi="宋体" w:eastAsia="宋体" w:cs="宋体"/>
                <w:color w:val="auto"/>
                <w:sz w:val="24"/>
                <w:szCs w:val="24"/>
                <w:highlight w:val="none"/>
              </w:rPr>
              <w:t>本项目应加强</w:t>
            </w:r>
            <w:r>
              <w:rPr>
                <w:rFonts w:hint="eastAsia" w:ascii="宋体" w:hAnsi="宋体" w:eastAsia="宋体" w:cs="宋体"/>
                <w:color w:val="auto"/>
                <w:sz w:val="24"/>
                <w:szCs w:val="24"/>
                <w:highlight w:val="none"/>
                <w:lang w:eastAsia="zh-CN"/>
              </w:rPr>
              <w:t>防风抑尘网</w:t>
            </w:r>
            <w:r>
              <w:rPr>
                <w:rFonts w:hint="eastAsia" w:ascii="宋体" w:hAnsi="宋体" w:eastAsia="宋体" w:cs="宋体"/>
                <w:color w:val="auto"/>
                <w:sz w:val="24"/>
                <w:szCs w:val="24"/>
                <w:highlight w:val="none"/>
              </w:rPr>
              <w:t>的运行维护，制订巡检制度，采取上述措施后，可有效降低非正常工况的发生概率，降低对周边环境影响</w:t>
            </w:r>
            <w:r>
              <w:rPr>
                <w:rFonts w:hint="eastAsia" w:ascii="宋体" w:hAnsi="宋体" w:eastAsia="宋体" w:cs="宋体"/>
                <w:color w:val="auto"/>
                <w:sz w:val="24"/>
                <w:szCs w:val="24"/>
                <w:highlight w:val="none"/>
                <w:lang w:eastAsia="zh-CN"/>
              </w:rPr>
              <w:t>。</w:t>
            </w:r>
          </w:p>
          <w:p w14:paraId="404B5A5B">
            <w:pPr>
              <w:spacing w:line="360" w:lineRule="auto"/>
              <w:ind w:firstLine="482" w:firstLineChars="200"/>
              <w:jc w:val="both"/>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2、废水</w:t>
            </w:r>
          </w:p>
          <w:p w14:paraId="37FD2BB7">
            <w:pPr>
              <w:spacing w:line="360" w:lineRule="auto"/>
              <w:ind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本项目用水主要为洒水降尘用水。本项目洒水降尘用水主要去向为蒸发或者进入煤炭，故</w:t>
            </w:r>
            <w:r>
              <w:rPr>
                <w:rFonts w:hint="eastAsia" w:cs="Times New Roman"/>
                <w:color w:val="auto"/>
                <w:kern w:val="0"/>
                <w:sz w:val="24"/>
                <w:highlight w:val="none"/>
                <w:lang w:val="en-US" w:eastAsia="zh-CN"/>
              </w:rPr>
              <w:t>无废水产生</w:t>
            </w:r>
            <w:r>
              <w:rPr>
                <w:rFonts w:hint="default" w:ascii="Times New Roman" w:hAnsi="Times New Roman" w:cs="Times New Roman"/>
                <w:color w:val="auto"/>
                <w:kern w:val="0"/>
                <w:sz w:val="24"/>
                <w:highlight w:val="none"/>
                <w:lang w:val="en-US" w:eastAsia="zh-CN"/>
              </w:rPr>
              <w:t>。</w:t>
            </w:r>
          </w:p>
          <w:p w14:paraId="7BE49337">
            <w:pPr>
              <w:pStyle w:val="54"/>
              <w:keepNext w:val="0"/>
              <w:keepLines w:val="0"/>
              <w:pageBreakBefore w:val="0"/>
              <w:widowControl w:val="0"/>
              <w:kinsoku/>
              <w:wordWrap/>
              <w:overflowPunct/>
              <w:topLinePunct w:val="0"/>
              <w:bidi w:val="0"/>
              <w:adjustRightInd/>
              <w:snapToGrid/>
              <w:spacing w:beforeLines="0" w:afterLines="0" w:line="360" w:lineRule="auto"/>
              <w:ind w:leftChars="0" w:firstLine="480" w:firstLineChars="200"/>
              <w:textAlignment w:val="auto"/>
              <w:rPr>
                <w:rFonts w:hint="default" w:ascii="Times New Roman" w:hAnsi="Times New Roman" w:eastAsia="宋体" w:cs="Times New Roman"/>
                <w:bCs/>
                <w:color w:val="auto"/>
                <w:sz w:val="24"/>
                <w:highlight w:val="none"/>
                <w:lang w:val="en-US" w:eastAsia="zh-CN"/>
              </w:rPr>
            </w:pP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废水产生情况</w:t>
            </w:r>
          </w:p>
          <w:p w14:paraId="3F48196F">
            <w:pPr>
              <w:pStyle w:val="54"/>
              <w:keepNext w:val="0"/>
              <w:keepLines w:val="0"/>
              <w:pageBreakBefore w:val="0"/>
              <w:widowControl w:val="0"/>
              <w:kinsoku/>
              <w:wordWrap/>
              <w:overflowPunct/>
              <w:topLinePunct w:val="0"/>
              <w:bidi w:val="0"/>
              <w:adjustRightInd/>
              <w:snapToGrid/>
              <w:spacing w:beforeLines="0" w:afterLines="0" w:line="360" w:lineRule="auto"/>
              <w:ind w:leftChars="0" w:firstLine="480" w:firstLineChars="200"/>
              <w:textAlignment w:val="auto"/>
              <w:rPr>
                <w:rFonts w:hint="default" w:ascii="Times New Roman" w:hAnsi="Times New Roman" w:cs="Times New Roman"/>
                <w:bCs/>
                <w:color w:val="auto"/>
                <w:highlight w:val="none"/>
              </w:rPr>
            </w:pPr>
            <w:r>
              <w:rPr>
                <w:rFonts w:hint="default" w:ascii="Times New Roman" w:hAnsi="Times New Roman" w:eastAsia="宋体" w:cs="Times New Roman"/>
                <w:bCs/>
                <w:color w:val="auto"/>
                <w:sz w:val="24"/>
                <w:highlight w:val="none"/>
                <w:lang w:val="en-US" w:eastAsia="zh-CN"/>
              </w:rPr>
              <w:t>以</w:t>
            </w:r>
            <w:r>
              <w:rPr>
                <w:rFonts w:hint="default" w:ascii="Times New Roman" w:hAnsi="Times New Roman" w:cs="Times New Roman"/>
                <w:bCs/>
                <w:color w:val="auto"/>
                <w:sz w:val="24"/>
                <w:highlight w:val="none"/>
                <w:lang w:val="en-US" w:eastAsia="zh-CN"/>
              </w:rPr>
              <w:t>厂区</w:t>
            </w:r>
            <w:r>
              <w:rPr>
                <w:rFonts w:hint="default" w:ascii="Times New Roman" w:hAnsi="Times New Roman" w:eastAsia="宋体" w:cs="Times New Roman"/>
                <w:bCs/>
                <w:color w:val="auto"/>
                <w:sz w:val="24"/>
                <w:highlight w:val="none"/>
                <w:lang w:val="en-US" w:eastAsia="zh-CN"/>
              </w:rPr>
              <w:t>面积</w:t>
            </w:r>
            <w:r>
              <w:rPr>
                <w:rFonts w:hint="eastAsia" w:cs="Times New Roman"/>
                <w:bCs/>
                <w:color w:val="auto"/>
                <w:sz w:val="24"/>
                <w:highlight w:val="none"/>
                <w:lang w:val="en-US" w:eastAsia="zh-CN"/>
              </w:rPr>
              <w:t>12323</w:t>
            </w:r>
            <w:r>
              <w:rPr>
                <w:rFonts w:hint="default" w:ascii="Times New Roman" w:hAnsi="Times New Roman" w:eastAsia="宋体" w:cs="Times New Roman"/>
                <w:bCs/>
                <w:color w:val="auto"/>
                <w:sz w:val="24"/>
                <w:highlight w:val="none"/>
                <w:lang w:val="en-US" w:eastAsia="zh-CN"/>
              </w:rPr>
              <w:t>m</w:t>
            </w:r>
            <w:r>
              <w:rPr>
                <w:rFonts w:hint="default" w:ascii="Times New Roman" w:hAnsi="Times New Roman" w:eastAsia="宋体" w:cs="Times New Roman"/>
                <w:bCs/>
                <w:color w:val="auto"/>
                <w:sz w:val="24"/>
                <w:highlight w:val="none"/>
                <w:vertAlign w:val="superscript"/>
                <w:lang w:val="en-US" w:eastAsia="zh-CN"/>
              </w:rPr>
              <w:t>2</w:t>
            </w:r>
            <w:r>
              <w:rPr>
                <w:rFonts w:hint="default" w:ascii="Times New Roman" w:hAnsi="Times New Roman" w:eastAsia="宋体" w:cs="Times New Roman"/>
                <w:bCs/>
                <w:color w:val="auto"/>
                <w:sz w:val="24"/>
                <w:highlight w:val="none"/>
                <w:lang w:val="en-US" w:eastAsia="zh-CN"/>
              </w:rPr>
              <w:t>计，厂区地面硬化，</w:t>
            </w:r>
            <w:r>
              <w:rPr>
                <w:rFonts w:hint="default" w:ascii="Times New Roman" w:hAnsi="Times New Roman" w:cs="Times New Roman"/>
                <w:bCs/>
                <w:color w:val="auto"/>
                <w:sz w:val="24"/>
                <w:highlight w:val="none"/>
                <w:lang w:val="en-US" w:eastAsia="zh-CN"/>
              </w:rPr>
              <w:t>厂区</w:t>
            </w:r>
            <w:r>
              <w:rPr>
                <w:rFonts w:hint="default" w:ascii="Times New Roman" w:hAnsi="Times New Roman" w:eastAsia="宋体" w:cs="Times New Roman"/>
                <w:bCs/>
                <w:color w:val="auto"/>
                <w:sz w:val="24"/>
                <w:highlight w:val="none"/>
                <w:lang w:val="en-US" w:eastAsia="zh-CN"/>
              </w:rPr>
              <w:t>四周设置雨水收集渠，收集</w:t>
            </w:r>
            <w:r>
              <w:rPr>
                <w:rFonts w:hint="default" w:ascii="Times New Roman" w:hAnsi="Times New Roman" w:cs="Times New Roman"/>
                <w:bCs/>
                <w:color w:val="auto"/>
                <w:sz w:val="24"/>
                <w:highlight w:val="none"/>
                <w:lang w:val="en-US" w:eastAsia="zh-CN"/>
              </w:rPr>
              <w:t>雨水</w:t>
            </w:r>
            <w:r>
              <w:rPr>
                <w:rFonts w:hint="default" w:ascii="Times New Roman" w:hAnsi="Times New Roman" w:eastAsia="宋体" w:cs="Times New Roman"/>
                <w:bCs/>
                <w:color w:val="auto"/>
                <w:sz w:val="24"/>
                <w:highlight w:val="none"/>
                <w:lang w:val="en-US" w:eastAsia="zh-CN"/>
              </w:rPr>
              <w:t>进入</w:t>
            </w:r>
            <w:r>
              <w:rPr>
                <w:rFonts w:hint="eastAsia" w:cs="Times New Roman"/>
                <w:bCs/>
                <w:color w:val="auto"/>
                <w:sz w:val="24"/>
                <w:highlight w:val="none"/>
                <w:lang w:val="en-US" w:eastAsia="zh-CN"/>
              </w:rPr>
              <w:t>初期雨水收集池</w:t>
            </w:r>
            <w:r>
              <w:rPr>
                <w:rFonts w:hint="default" w:ascii="Times New Roman" w:hAnsi="Times New Roman" w:eastAsia="宋体" w:cs="Times New Roman"/>
                <w:bCs/>
                <w:color w:val="auto"/>
                <w:sz w:val="24"/>
                <w:highlight w:val="none"/>
                <w:lang w:val="en-US" w:eastAsia="zh-CN"/>
              </w:rPr>
              <w:t>，经沉淀后用于洒水降尘。</w:t>
            </w:r>
          </w:p>
          <w:p w14:paraId="756CA0A4">
            <w:pPr>
              <w:pStyle w:val="54"/>
              <w:keepNext w:val="0"/>
              <w:keepLines w:val="0"/>
              <w:pageBreakBefore w:val="0"/>
              <w:kinsoku/>
              <w:wordWrap/>
              <w:overflowPunct/>
              <w:topLinePunct w:val="0"/>
              <w:bidi w:val="0"/>
              <w:adjustRightInd/>
              <w:spacing w:beforeLines="0" w:afterLines="0" w:line="360" w:lineRule="auto"/>
              <w:ind w:firstLine="48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highlight w:val="none"/>
                <w:lang w:eastAsia="zh-CN"/>
              </w:rPr>
              <w:t>根据上文给排水计算可知</w:t>
            </w:r>
            <w:r>
              <w:rPr>
                <w:rFonts w:hint="default" w:ascii="Times New Roman" w:hAnsi="Times New Roman" w:eastAsia="宋体" w:cs="Times New Roman"/>
                <w:color w:val="auto"/>
                <w:sz w:val="24"/>
                <w:highlight w:val="none"/>
              </w:rPr>
              <w:t>，</w:t>
            </w:r>
            <w:r>
              <w:rPr>
                <w:rFonts w:hint="default" w:ascii="Times New Roman" w:hAnsi="Times New Roman" w:cs="Times New Roman"/>
                <w:bCs/>
                <w:color w:val="auto"/>
                <w:sz w:val="24"/>
                <w:highlight w:val="none"/>
              </w:rPr>
              <w:t>目区暴雨强度为</w:t>
            </w:r>
            <w:r>
              <w:rPr>
                <w:rFonts w:hint="default" w:ascii="Times New Roman" w:hAnsi="Times New Roman" w:cs="Times New Roman"/>
                <w:color w:val="auto"/>
                <w:sz w:val="24"/>
                <w:szCs w:val="24"/>
                <w:highlight w:val="none"/>
                <w:lang w:val="en-US" w:eastAsia="zh-CN"/>
              </w:rPr>
              <w:t>182.47</w:t>
            </w:r>
            <w:r>
              <w:rPr>
                <w:rFonts w:hint="default" w:ascii="Times New Roman" w:hAnsi="Times New Roman" w:cs="Times New Roman"/>
                <w:bCs/>
                <w:color w:val="auto"/>
                <w:sz w:val="24"/>
                <w:highlight w:val="none"/>
              </w:rPr>
              <w:t>L/s.hm</w:t>
            </w:r>
            <w:r>
              <w:rPr>
                <w:rFonts w:hint="default" w:ascii="Times New Roman" w:hAnsi="Times New Roman" w:cs="Times New Roman"/>
                <w:bCs/>
                <w:color w:val="auto"/>
                <w:sz w:val="24"/>
                <w:highlight w:val="none"/>
                <w:vertAlign w:val="superscript"/>
              </w:rPr>
              <w:t>2</w:t>
            </w:r>
            <w:r>
              <w:rPr>
                <w:rFonts w:hint="default" w:ascii="Times New Roman" w:hAnsi="Times New Roman" w:cs="Times New Roman"/>
                <w:bCs/>
                <w:color w:val="auto"/>
                <w:sz w:val="24"/>
                <w:highlight w:val="none"/>
              </w:rPr>
              <w:t>，雨水流量为</w:t>
            </w:r>
            <w:r>
              <w:rPr>
                <w:rFonts w:hint="eastAsia" w:cs="Times New Roman"/>
                <w:color w:val="auto"/>
                <w:sz w:val="24"/>
                <w:highlight w:val="none"/>
                <w:lang w:val="en-US" w:eastAsia="zh-CN"/>
              </w:rPr>
              <w:t>202.37</w:t>
            </w:r>
            <w:r>
              <w:rPr>
                <w:rFonts w:hint="default" w:ascii="Times New Roman" w:hAnsi="Times New Roman" w:eastAsia="宋体" w:cs="Times New Roman"/>
                <w:color w:val="auto"/>
                <w:sz w:val="24"/>
                <w:highlight w:val="none"/>
              </w:rPr>
              <w:t>L/s</w:t>
            </w:r>
            <w:r>
              <w:rPr>
                <w:rFonts w:hint="default" w:ascii="Times New Roman" w:hAnsi="Times New Roman" w:eastAsia="宋体" w:cs="Times New Roman"/>
                <w:color w:val="auto"/>
                <w:sz w:val="24"/>
                <w:highlight w:val="none"/>
                <w:lang w:eastAsia="zh-CN"/>
              </w:rPr>
              <w:t>，雨水</w:t>
            </w:r>
            <w:r>
              <w:rPr>
                <w:rFonts w:hint="default" w:ascii="Times New Roman" w:hAnsi="Times New Roman" w:eastAsia="宋体" w:cs="Times New Roman"/>
                <w:color w:val="auto"/>
                <w:sz w:val="24"/>
                <w:highlight w:val="none"/>
              </w:rPr>
              <w:t>15min汇水量为</w:t>
            </w:r>
            <w:r>
              <w:rPr>
                <w:rFonts w:hint="eastAsia" w:cs="Times New Roman"/>
                <w:color w:val="auto"/>
                <w:sz w:val="24"/>
                <w:highlight w:val="none"/>
                <w:lang w:val="en-US" w:eastAsia="zh-CN"/>
              </w:rPr>
              <w:t>182.13</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bCs/>
                <w:color w:val="auto"/>
                <w:sz w:val="24"/>
                <w:highlight w:val="none"/>
              </w:rPr>
              <w:t>暴雨天数按5次/年计算，每年</w:t>
            </w:r>
            <w:r>
              <w:rPr>
                <w:rFonts w:hint="eastAsia" w:cs="Times New Roman"/>
                <w:bCs/>
                <w:color w:val="auto"/>
                <w:sz w:val="24"/>
                <w:highlight w:val="none"/>
                <w:lang w:eastAsia="zh-CN"/>
              </w:rPr>
              <w:t>最大初期雨水</w:t>
            </w:r>
            <w:r>
              <w:rPr>
                <w:rFonts w:hint="default" w:ascii="Times New Roman" w:hAnsi="Times New Roman" w:cs="Times New Roman"/>
                <w:bCs/>
                <w:color w:val="auto"/>
                <w:sz w:val="24"/>
                <w:highlight w:val="none"/>
              </w:rPr>
              <w:t>量为</w:t>
            </w:r>
            <w:r>
              <w:rPr>
                <w:rFonts w:hint="eastAsia" w:cs="Times New Roman"/>
                <w:bCs/>
                <w:color w:val="auto"/>
                <w:sz w:val="24"/>
                <w:highlight w:val="none"/>
                <w:lang w:val="en-US" w:eastAsia="zh-CN"/>
              </w:rPr>
              <w:t>910.67</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/a，</w:t>
            </w:r>
            <w:r>
              <w:rPr>
                <w:rFonts w:hint="default" w:ascii="Times New Roman" w:hAnsi="Times New Roman" w:cs="Times New Roman"/>
                <w:bCs/>
                <w:color w:val="auto"/>
                <w:sz w:val="24"/>
                <w:highlight w:val="none"/>
                <w:lang w:eastAsia="zh-CN"/>
              </w:rPr>
              <w:t>夏季</w:t>
            </w:r>
            <w:r>
              <w:rPr>
                <w:rFonts w:hint="default" w:ascii="Times New Roman" w:hAnsi="Times New Roman" w:cs="Times New Roman"/>
                <w:bCs/>
                <w:color w:val="auto"/>
                <w:sz w:val="24"/>
                <w:highlight w:val="none"/>
                <w:lang w:val="en-US" w:eastAsia="zh-CN"/>
              </w:rPr>
              <w:t>185天。</w:t>
            </w:r>
            <w:r>
              <w:rPr>
                <w:rFonts w:hint="default" w:ascii="Times New Roman" w:hAnsi="Times New Roman" w:cs="Times New Roman"/>
                <w:bCs/>
                <w:color w:val="auto"/>
                <w:sz w:val="24"/>
                <w:highlight w:val="none"/>
              </w:rPr>
              <w:t>本项目设有容积为</w:t>
            </w:r>
            <w:r>
              <w:rPr>
                <w:rFonts w:hint="eastAsia"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00</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的</w:t>
            </w:r>
            <w:r>
              <w:rPr>
                <w:rFonts w:hint="eastAsia" w:cs="Times New Roman"/>
                <w:bCs/>
                <w:color w:val="auto"/>
                <w:sz w:val="24"/>
                <w:highlight w:val="none"/>
                <w:lang w:eastAsia="zh-CN"/>
              </w:rPr>
              <w:t>初期雨水收集池</w:t>
            </w:r>
            <w:r>
              <w:rPr>
                <w:rFonts w:hint="default" w:ascii="Times New Roman" w:hAnsi="Times New Roman" w:cs="Times New Roman"/>
                <w:bCs/>
                <w:color w:val="auto"/>
                <w:sz w:val="24"/>
                <w:highlight w:val="none"/>
              </w:rPr>
              <w:t>，可以容纳暴雨天的</w:t>
            </w:r>
            <w:r>
              <w:rPr>
                <w:rFonts w:hint="default" w:ascii="Times New Roman" w:hAnsi="Times New Roman" w:cs="Times New Roman"/>
                <w:bCs/>
                <w:color w:val="auto"/>
                <w:sz w:val="24"/>
                <w:highlight w:val="none"/>
                <w:lang w:eastAsia="zh-CN"/>
              </w:rPr>
              <w:t>雨水</w:t>
            </w:r>
            <w:r>
              <w:rPr>
                <w:rFonts w:hint="default" w:ascii="Times New Roman" w:hAnsi="Times New Roman" w:cs="Times New Roman"/>
                <w:bCs/>
                <w:color w:val="auto"/>
                <w:sz w:val="24"/>
                <w:highlight w:val="none"/>
              </w:rPr>
              <w:t>，储存量设置符合项目需求。</w:t>
            </w:r>
          </w:p>
          <w:p w14:paraId="524C2A4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废水治理措施</w:t>
            </w:r>
            <w:r>
              <w:rPr>
                <w:rFonts w:hint="default" w:ascii="Times New Roman" w:hAnsi="Times New Roman" w:cs="Times New Roman"/>
                <w:color w:val="auto"/>
                <w:kern w:val="0"/>
                <w:sz w:val="24"/>
                <w:highlight w:val="none"/>
                <w:lang w:eastAsia="zh-CN"/>
              </w:rPr>
              <w:t>可行性分析</w:t>
            </w:r>
          </w:p>
          <w:p w14:paraId="0B15B36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bCs/>
                <w:color w:val="auto"/>
                <w:kern w:val="0"/>
                <w:sz w:val="24"/>
                <w:szCs w:val="20"/>
                <w:highlight w:val="none"/>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eastAsia="zh-CN"/>
              </w:rPr>
              <w:t>煤场</w:t>
            </w:r>
            <w:r>
              <w:rPr>
                <w:rFonts w:hint="default" w:ascii="Times New Roman" w:hAnsi="Times New Roman" w:eastAsia="宋体" w:cs="Times New Roman"/>
                <w:color w:val="auto"/>
                <w:sz w:val="24"/>
                <w:highlight w:val="none"/>
              </w:rPr>
              <w:t>四周设置雨水收集渠，收集</w:t>
            </w:r>
            <w:r>
              <w:rPr>
                <w:rFonts w:hint="default" w:ascii="Times New Roman" w:hAnsi="Times New Roman" w:cs="Times New Roman"/>
                <w:color w:val="auto"/>
                <w:sz w:val="24"/>
                <w:highlight w:val="none"/>
                <w:lang w:eastAsia="zh-CN"/>
              </w:rPr>
              <w:t>到</w:t>
            </w:r>
            <w:r>
              <w:rPr>
                <w:rFonts w:hint="eastAsia" w:cs="Times New Roman"/>
                <w:color w:val="auto"/>
                <w:sz w:val="24"/>
                <w:highlight w:val="none"/>
                <w:lang w:eastAsia="zh-CN"/>
              </w:rPr>
              <w:t>初期雨水收集池</w:t>
            </w:r>
            <w:r>
              <w:rPr>
                <w:rFonts w:hint="default" w:ascii="Times New Roman" w:hAnsi="Times New Roman" w:eastAsia="宋体" w:cs="Times New Roman"/>
                <w:color w:val="auto"/>
                <w:sz w:val="24"/>
                <w:highlight w:val="none"/>
              </w:rPr>
              <w:t>，经沉淀处理后</w:t>
            </w:r>
            <w:r>
              <w:rPr>
                <w:rFonts w:hint="default" w:ascii="Times New Roman" w:hAnsi="Times New Roman" w:eastAsia="宋体" w:cs="Times New Roman"/>
                <w:color w:val="auto"/>
                <w:sz w:val="24"/>
                <w:highlight w:val="none"/>
                <w:lang w:eastAsia="zh-CN"/>
              </w:rPr>
              <w:t>用于厂区洒水降尘</w:t>
            </w:r>
            <w:r>
              <w:rPr>
                <w:rFonts w:hint="default" w:ascii="Times New Roman" w:hAnsi="Times New Roman" w:eastAsia="宋体" w:cs="Times New Roman"/>
                <w:color w:val="auto"/>
                <w:sz w:val="24"/>
                <w:highlight w:val="none"/>
              </w:rPr>
              <w:t>。防止雨水溢流污染周围环境。厂区雨水中污染物主要为厂区地面因沉降、洒落等粉尘，不含有毒有害物质，经收集后可以回用于</w:t>
            </w:r>
            <w:r>
              <w:rPr>
                <w:rFonts w:hint="default" w:ascii="Times New Roman" w:hAnsi="Times New Roman" w:eastAsia="宋体" w:cs="Times New Roman"/>
                <w:color w:val="auto"/>
                <w:sz w:val="24"/>
                <w:highlight w:val="none"/>
                <w:lang w:eastAsia="zh-CN"/>
              </w:rPr>
              <w:t>降尘</w:t>
            </w:r>
            <w:r>
              <w:rPr>
                <w:rFonts w:hint="default" w:ascii="Times New Roman" w:hAnsi="Times New Roman" w:eastAsia="宋体" w:cs="Times New Roman"/>
                <w:color w:val="auto"/>
                <w:sz w:val="24"/>
                <w:highlight w:val="none"/>
              </w:rPr>
              <w:t>，废水利用措施合理且可行。</w:t>
            </w:r>
            <w:r>
              <w:rPr>
                <w:rFonts w:hint="default" w:ascii="Times New Roman" w:hAnsi="Times New Roman" w:cs="Times New Roman"/>
                <w:bCs/>
                <w:color w:val="auto"/>
                <w:kern w:val="0"/>
                <w:sz w:val="24"/>
                <w:szCs w:val="20"/>
                <w:highlight w:val="none"/>
                <w:lang w:eastAsia="zh-CN"/>
              </w:rPr>
              <w:t>本项目运营过程中产生的废水能够很好处理，不会污染周边地表水环境，</w:t>
            </w:r>
            <w:r>
              <w:rPr>
                <w:rFonts w:hint="default" w:ascii="Times New Roman" w:hAnsi="Times New Roman" w:cs="Times New Roman"/>
                <w:bCs/>
                <w:color w:val="auto"/>
                <w:kern w:val="0"/>
                <w:sz w:val="24"/>
                <w:szCs w:val="20"/>
                <w:highlight w:val="none"/>
              </w:rPr>
              <w:t>故</w:t>
            </w:r>
            <w:r>
              <w:rPr>
                <w:rFonts w:hint="default" w:ascii="Times New Roman" w:hAnsi="Times New Roman" w:cs="Times New Roman"/>
                <w:bCs/>
                <w:color w:val="auto"/>
                <w:kern w:val="0"/>
                <w:sz w:val="24"/>
                <w:szCs w:val="20"/>
                <w:highlight w:val="none"/>
                <w:lang w:eastAsia="zh-CN"/>
              </w:rPr>
              <w:t>本</w:t>
            </w:r>
            <w:r>
              <w:rPr>
                <w:rFonts w:hint="default" w:ascii="Times New Roman" w:hAnsi="Times New Roman" w:cs="Times New Roman"/>
                <w:bCs/>
                <w:color w:val="auto"/>
                <w:kern w:val="0"/>
                <w:sz w:val="24"/>
                <w:szCs w:val="20"/>
                <w:highlight w:val="none"/>
              </w:rPr>
              <w:t>项目废水处理措施可行</w:t>
            </w:r>
            <w:r>
              <w:rPr>
                <w:rFonts w:hint="default" w:ascii="Times New Roman" w:hAnsi="Times New Roman" w:cs="Times New Roman"/>
                <w:bCs/>
                <w:color w:val="auto"/>
                <w:kern w:val="0"/>
                <w:sz w:val="24"/>
                <w:szCs w:val="20"/>
                <w:highlight w:val="none"/>
                <w:lang w:eastAsia="zh-CN"/>
              </w:rPr>
              <w:t>的</w:t>
            </w:r>
            <w:r>
              <w:rPr>
                <w:rFonts w:hint="default" w:ascii="Times New Roman" w:hAnsi="Times New Roman" w:cs="Times New Roman"/>
                <w:bCs/>
                <w:color w:val="auto"/>
                <w:kern w:val="0"/>
                <w:sz w:val="24"/>
                <w:szCs w:val="20"/>
                <w:highlight w:val="none"/>
              </w:rPr>
              <w:t>。</w:t>
            </w:r>
          </w:p>
          <w:p w14:paraId="358564A4">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both"/>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3、噪声</w:t>
            </w:r>
          </w:p>
          <w:p w14:paraId="57CBE2C3">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噪声源及强度</w:t>
            </w:r>
          </w:p>
          <w:p w14:paraId="0B150E86">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本项目营运期产生噪声主要生产设备为</w:t>
            </w:r>
            <w:r>
              <w:rPr>
                <w:rFonts w:hint="default" w:ascii="Times New Roman" w:hAnsi="Times New Roman" w:cs="Times New Roman"/>
                <w:color w:val="auto"/>
                <w:highlight w:val="none"/>
                <w:lang w:eastAsia="zh-CN"/>
              </w:rPr>
              <w:t>铲车</w:t>
            </w:r>
            <w:r>
              <w:rPr>
                <w:rFonts w:hint="eastAsia" w:cs="Times New Roman"/>
                <w:color w:val="auto"/>
                <w:highlight w:val="none"/>
                <w:lang w:eastAsia="zh-CN"/>
              </w:rPr>
              <w:t>、</w:t>
            </w:r>
            <w:r>
              <w:rPr>
                <w:rFonts w:hint="eastAsia" w:cs="Times New Roman"/>
                <w:color w:val="auto"/>
                <w:highlight w:val="none"/>
                <w:lang w:val="en-US" w:eastAsia="zh-CN"/>
              </w:rPr>
              <w:t>运输车、洒水车和挖掘机</w:t>
            </w:r>
            <w:r>
              <w:rPr>
                <w:rFonts w:hint="default" w:ascii="Times New Roman" w:hAnsi="Times New Roman" w:cs="Times New Roman"/>
                <w:color w:val="auto"/>
                <w:highlight w:val="none"/>
              </w:rPr>
              <w:t>，各种噪声源</w:t>
            </w:r>
            <w:r>
              <w:rPr>
                <w:rFonts w:hint="default" w:ascii="Times New Roman" w:hAnsi="Times New Roman" w:cs="Times New Roman"/>
                <w:color w:val="auto"/>
                <w:highlight w:val="none"/>
                <w:lang w:eastAsia="zh-CN"/>
              </w:rPr>
              <w:t>强</w:t>
            </w:r>
            <w:r>
              <w:rPr>
                <w:rFonts w:hint="default" w:ascii="Times New Roman" w:hAnsi="Times New Roman" w:cs="Times New Roman"/>
                <w:color w:val="auto"/>
                <w:highlight w:val="none"/>
              </w:rPr>
              <w:t>见表4-</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p>
          <w:p w14:paraId="3F7CA155">
            <w:pPr>
              <w:spacing w:beforeLines="50"/>
              <w:jc w:val="center"/>
              <w:rPr>
                <w:rFonts w:hint="default" w:ascii="Times New Roman" w:hAnsi="Times New Roman" w:cs="Times New Roman"/>
                <w:b/>
                <w:bCs/>
                <w:color w:val="auto"/>
                <w:szCs w:val="21"/>
                <w:highlight w:val="none"/>
                <w:lang w:eastAsia="zh-CN"/>
              </w:rPr>
            </w:pPr>
            <w:r>
              <w:rPr>
                <w:rFonts w:hint="default" w:ascii="Times New Roman" w:hAnsi="Times New Roman" w:cs="Times New Roman"/>
                <w:b/>
                <w:color w:val="auto"/>
                <w:szCs w:val="21"/>
                <w:highlight w:val="none"/>
              </w:rPr>
              <w:t>表4-</w:t>
            </w:r>
            <w:r>
              <w:rPr>
                <w:rFonts w:hint="default" w:ascii="Times New Roman" w:hAnsi="Times New Roman" w:cs="Times New Roman"/>
                <w:b/>
                <w:color w:val="auto"/>
                <w:szCs w:val="21"/>
                <w:highlight w:val="none"/>
                <w:lang w:val="en-US" w:eastAsia="zh-CN"/>
              </w:rPr>
              <w:t>3</w:t>
            </w:r>
            <w:r>
              <w:rPr>
                <w:rFonts w:hint="default" w:ascii="Times New Roman" w:hAnsi="Times New Roman" w:cs="Times New Roman"/>
                <w:b/>
                <w:bCs/>
                <w:color w:val="auto"/>
                <w:kern w:val="0"/>
                <w:szCs w:val="21"/>
                <w:highlight w:val="none"/>
                <w:lang w:bidi="zh-CN"/>
              </w:rPr>
              <w:t xml:space="preserve">噪声污染源源强核算结果及相关参数一览表  </w:t>
            </w:r>
            <w:r>
              <w:rPr>
                <w:rFonts w:hint="default" w:ascii="Times New Roman" w:hAnsi="Times New Roman" w:cs="Times New Roman"/>
                <w:b/>
                <w:bCs/>
                <w:color w:val="auto"/>
                <w:szCs w:val="21"/>
                <w:highlight w:val="none"/>
              </w:rPr>
              <w:t>单位：dB</w:t>
            </w:r>
            <w:r>
              <w:rPr>
                <w:rFonts w:hint="default" w:ascii="Times New Roman" w:hAnsi="Times New Roman" w:cs="Times New Roman"/>
                <w:b/>
                <w:bCs/>
                <w:color w:val="auto"/>
                <w:szCs w:val="21"/>
                <w:highlight w:val="none"/>
                <w:lang w:eastAsia="zh-CN"/>
              </w:rPr>
              <w:t>（</w:t>
            </w:r>
            <w:r>
              <w:rPr>
                <w:rFonts w:hint="default" w:ascii="Times New Roman" w:hAnsi="Times New Roman" w:cs="Times New Roman"/>
                <w:b/>
                <w:bCs/>
                <w:color w:val="auto"/>
                <w:szCs w:val="21"/>
                <w:highlight w:val="none"/>
              </w:rPr>
              <w:t>A</w:t>
            </w:r>
            <w:r>
              <w:rPr>
                <w:rFonts w:hint="default" w:ascii="Times New Roman" w:hAnsi="Times New Roman" w:cs="Times New Roman"/>
                <w:b/>
                <w:bCs/>
                <w:color w:val="auto"/>
                <w:szCs w:val="21"/>
                <w:highlight w:val="none"/>
                <w:lang w:eastAsia="zh-CN"/>
              </w:rPr>
              <w:t>）</w:t>
            </w:r>
          </w:p>
          <w:tbl>
            <w:tblPr>
              <w:tblStyle w:val="3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3"/>
              <w:gridCol w:w="851"/>
              <w:gridCol w:w="884"/>
              <w:gridCol w:w="656"/>
              <w:gridCol w:w="1129"/>
              <w:gridCol w:w="1625"/>
              <w:gridCol w:w="1017"/>
              <w:gridCol w:w="656"/>
              <w:gridCol w:w="656"/>
            </w:tblGrid>
            <w:tr w14:paraId="7F06A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503" w:type="dxa"/>
                  <w:vMerge w:val="restart"/>
                  <w:tcBorders>
                    <w:tl2br w:val="nil"/>
                    <w:tr2bl w:val="nil"/>
                  </w:tcBorders>
                  <w:shd w:val="clear" w:color="auto" w:fill="auto"/>
                  <w:vAlign w:val="center"/>
                </w:tcPr>
                <w:p w14:paraId="0DF0D9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序号</w:t>
                  </w:r>
                </w:p>
              </w:tc>
              <w:tc>
                <w:tcPr>
                  <w:tcW w:w="851" w:type="dxa"/>
                  <w:vMerge w:val="restart"/>
                  <w:tcBorders>
                    <w:tl2br w:val="nil"/>
                    <w:tr2bl w:val="nil"/>
                  </w:tcBorders>
                  <w:shd w:val="clear" w:color="auto" w:fill="auto"/>
                  <w:vAlign w:val="center"/>
                </w:tcPr>
                <w:p w14:paraId="4C2D80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b/>
                      <w:color w:val="auto"/>
                      <w:sz w:val="21"/>
                      <w:szCs w:val="21"/>
                      <w:highlight w:val="none"/>
                      <w:lang w:eastAsia="zh-CN"/>
                    </w:rPr>
                    <w:t>噪</w:t>
                  </w:r>
                  <w:r>
                    <w:rPr>
                      <w:rFonts w:hint="default" w:ascii="Times New Roman" w:hAnsi="Times New Roman" w:cs="Times New Roman" w:eastAsiaTheme="minorEastAsia"/>
                      <w:b/>
                      <w:color w:val="auto"/>
                      <w:sz w:val="21"/>
                      <w:szCs w:val="21"/>
                      <w:highlight w:val="none"/>
                    </w:rPr>
                    <w:t>声源名称</w:t>
                  </w:r>
                </w:p>
              </w:tc>
              <w:tc>
                <w:tcPr>
                  <w:tcW w:w="884" w:type="dxa"/>
                  <w:vMerge w:val="restart"/>
                  <w:tcBorders>
                    <w:tl2br w:val="nil"/>
                    <w:tr2bl w:val="nil"/>
                  </w:tcBorders>
                  <w:shd w:val="clear" w:color="auto" w:fill="auto"/>
                  <w:vAlign w:val="center"/>
                </w:tcPr>
                <w:p w14:paraId="18E29B3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b/>
                      <w:color w:val="auto"/>
                      <w:sz w:val="21"/>
                      <w:szCs w:val="21"/>
                      <w:highlight w:val="none"/>
                      <w:lang w:eastAsia="zh-CN"/>
                    </w:rPr>
                    <w:t>数量（台）</w:t>
                  </w:r>
                </w:p>
              </w:tc>
              <w:tc>
                <w:tcPr>
                  <w:tcW w:w="1785" w:type="dxa"/>
                  <w:gridSpan w:val="2"/>
                  <w:tcBorders>
                    <w:tl2br w:val="nil"/>
                    <w:tr2bl w:val="nil"/>
                  </w:tcBorders>
                  <w:shd w:val="clear" w:color="auto" w:fill="auto"/>
                  <w:vAlign w:val="center"/>
                </w:tcPr>
                <w:p w14:paraId="2818714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eastAsia" w:ascii="Times New Roman" w:hAnsi="Times New Roman" w:cs="Times New Roman" w:eastAsiaTheme="minorEastAsia"/>
                      <w:b/>
                      <w:bCs/>
                      <w:color w:val="auto"/>
                      <w:sz w:val="21"/>
                      <w:szCs w:val="21"/>
                      <w:highlight w:val="none"/>
                      <w:lang w:eastAsia="zh-CN"/>
                    </w:rPr>
                    <w:t>噪声源强</w:t>
                  </w:r>
                </w:p>
              </w:tc>
              <w:tc>
                <w:tcPr>
                  <w:tcW w:w="2642" w:type="dxa"/>
                  <w:gridSpan w:val="2"/>
                  <w:tcBorders>
                    <w:tl2br w:val="nil"/>
                    <w:tr2bl w:val="nil"/>
                  </w:tcBorders>
                  <w:shd w:val="clear" w:color="auto" w:fill="auto"/>
                  <w:vAlign w:val="center"/>
                </w:tcPr>
                <w:p w14:paraId="42A6A2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bCs/>
                      <w:color w:val="auto"/>
                      <w:sz w:val="21"/>
                      <w:szCs w:val="21"/>
                      <w:highlight w:val="none"/>
                    </w:rPr>
                  </w:pPr>
                  <w:r>
                    <w:rPr>
                      <w:rFonts w:hint="eastAsia" w:cs="Times New Roman" w:eastAsiaTheme="minorEastAsia"/>
                      <w:b/>
                      <w:bCs/>
                      <w:color w:val="auto"/>
                      <w:sz w:val="21"/>
                      <w:szCs w:val="21"/>
                      <w:highlight w:val="none"/>
                      <w:lang w:eastAsia="zh-CN"/>
                    </w:rPr>
                    <w:t>降噪</w:t>
                  </w:r>
                  <w:r>
                    <w:rPr>
                      <w:rFonts w:hint="default" w:ascii="Times New Roman" w:hAnsi="Times New Roman" w:cs="Times New Roman" w:eastAsiaTheme="minorEastAsia"/>
                      <w:b/>
                      <w:bCs/>
                      <w:color w:val="auto"/>
                      <w:sz w:val="21"/>
                      <w:szCs w:val="21"/>
                      <w:highlight w:val="none"/>
                    </w:rPr>
                    <w:t>措施</w:t>
                  </w:r>
                </w:p>
              </w:tc>
              <w:tc>
                <w:tcPr>
                  <w:tcW w:w="656" w:type="dxa"/>
                  <w:vMerge w:val="restart"/>
                  <w:tcBorders>
                    <w:tl2br w:val="nil"/>
                    <w:tr2bl w:val="nil"/>
                  </w:tcBorders>
                  <w:shd w:val="clear" w:color="auto" w:fill="auto"/>
                  <w:vAlign w:val="center"/>
                </w:tcPr>
                <w:p w14:paraId="19328AF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eastAsia" w:cs="Times New Roman" w:eastAsiaTheme="minorEastAsia"/>
                      <w:b/>
                      <w:bCs/>
                      <w:color w:val="auto"/>
                      <w:sz w:val="21"/>
                      <w:szCs w:val="21"/>
                      <w:highlight w:val="none"/>
                      <w:lang w:eastAsia="zh-CN"/>
                    </w:rPr>
                    <w:t>排放强度</w:t>
                  </w:r>
                </w:p>
              </w:tc>
              <w:tc>
                <w:tcPr>
                  <w:tcW w:w="656" w:type="dxa"/>
                  <w:vMerge w:val="restart"/>
                  <w:tcBorders>
                    <w:tl2br w:val="nil"/>
                    <w:tr2bl w:val="nil"/>
                  </w:tcBorders>
                  <w:shd w:val="clear" w:color="auto" w:fill="auto"/>
                  <w:vAlign w:val="center"/>
                </w:tcPr>
                <w:p w14:paraId="445BCA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color w:val="auto"/>
                      <w:sz w:val="21"/>
                      <w:szCs w:val="21"/>
                      <w:highlight w:val="none"/>
                      <w:lang w:eastAsia="zh-CN"/>
                    </w:rPr>
                  </w:pPr>
                  <w:r>
                    <w:rPr>
                      <w:rFonts w:hint="eastAsia" w:cs="Times New Roman" w:eastAsiaTheme="minorEastAsia"/>
                      <w:b/>
                      <w:color w:val="auto"/>
                      <w:sz w:val="21"/>
                      <w:szCs w:val="21"/>
                      <w:highlight w:val="none"/>
                      <w:lang w:eastAsia="zh-CN"/>
                    </w:rPr>
                    <w:t>持续时间</w:t>
                  </w:r>
                </w:p>
              </w:tc>
            </w:tr>
            <w:tr w14:paraId="479649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503" w:type="dxa"/>
                  <w:vMerge w:val="continue"/>
                  <w:tcBorders>
                    <w:tl2br w:val="nil"/>
                    <w:tr2bl w:val="nil"/>
                  </w:tcBorders>
                  <w:shd w:val="clear" w:color="auto" w:fill="auto"/>
                  <w:vAlign w:val="center"/>
                </w:tcPr>
                <w:p w14:paraId="443404E6">
                  <w:pPr>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851" w:type="dxa"/>
                  <w:vMerge w:val="continue"/>
                  <w:tcBorders>
                    <w:tl2br w:val="nil"/>
                    <w:tr2bl w:val="nil"/>
                  </w:tcBorders>
                  <w:shd w:val="clear" w:color="auto" w:fill="auto"/>
                  <w:vAlign w:val="center"/>
                </w:tcPr>
                <w:p w14:paraId="0F728E59">
                  <w:pPr>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884" w:type="dxa"/>
                  <w:vMerge w:val="continue"/>
                  <w:tcBorders>
                    <w:tl2br w:val="nil"/>
                    <w:tr2bl w:val="nil"/>
                  </w:tcBorders>
                  <w:shd w:val="clear" w:color="auto" w:fill="auto"/>
                  <w:vAlign w:val="center"/>
                </w:tcPr>
                <w:p w14:paraId="6E35DF3E">
                  <w:pPr>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656" w:type="dxa"/>
                  <w:tcBorders>
                    <w:tl2br w:val="nil"/>
                    <w:tr2bl w:val="nil"/>
                  </w:tcBorders>
                  <w:shd w:val="clear" w:color="auto" w:fill="auto"/>
                  <w:vAlign w:val="center"/>
                </w:tcPr>
                <w:p w14:paraId="76D52F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eastAsia" w:ascii="Times New Roman" w:hAnsi="Times New Roman" w:cs="Times New Roman" w:eastAsiaTheme="minorEastAsia"/>
                      <w:b/>
                      <w:bCs/>
                      <w:color w:val="auto"/>
                      <w:sz w:val="21"/>
                      <w:szCs w:val="21"/>
                      <w:highlight w:val="none"/>
                      <w:lang w:eastAsia="zh-CN"/>
                    </w:rPr>
                    <w:t>核算方法</w:t>
                  </w:r>
                </w:p>
              </w:tc>
              <w:tc>
                <w:tcPr>
                  <w:tcW w:w="1129" w:type="dxa"/>
                  <w:tcBorders>
                    <w:tl2br w:val="nil"/>
                    <w:tr2bl w:val="nil"/>
                  </w:tcBorders>
                  <w:shd w:val="clear" w:color="auto" w:fill="auto"/>
                  <w:vAlign w:val="center"/>
                </w:tcPr>
                <w:p w14:paraId="411B1A4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eastAsia" w:ascii="Times New Roman" w:hAnsi="Times New Roman" w:cs="Times New Roman" w:eastAsiaTheme="minorEastAsia"/>
                      <w:b/>
                      <w:bCs/>
                      <w:color w:val="auto"/>
                      <w:sz w:val="21"/>
                      <w:szCs w:val="21"/>
                      <w:highlight w:val="none"/>
                      <w:lang w:eastAsia="zh-CN"/>
                    </w:rPr>
                    <w:t>产生强度</w:t>
                  </w:r>
                  <w:r>
                    <w:rPr>
                      <w:rFonts w:hint="default" w:ascii="Times New Roman" w:hAnsi="Times New Roman" w:cs="Times New Roman" w:eastAsiaTheme="minorEastAsia"/>
                      <w:b/>
                      <w:bCs/>
                      <w:color w:val="auto"/>
                      <w:sz w:val="21"/>
                      <w:szCs w:val="21"/>
                      <w:highlight w:val="none"/>
                    </w:rPr>
                    <w:t>/dB(A)</w:t>
                  </w:r>
                </w:p>
              </w:tc>
              <w:tc>
                <w:tcPr>
                  <w:tcW w:w="1625" w:type="dxa"/>
                  <w:tcBorders>
                    <w:tl2br w:val="nil"/>
                    <w:tr2bl w:val="nil"/>
                  </w:tcBorders>
                  <w:shd w:val="clear" w:color="auto" w:fill="auto"/>
                  <w:vAlign w:val="center"/>
                </w:tcPr>
                <w:p w14:paraId="19D2340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eastAsia" w:ascii="Times New Roman" w:hAnsi="Times New Roman" w:cs="Times New Roman" w:eastAsiaTheme="minorEastAsia"/>
                      <w:b/>
                      <w:bCs/>
                      <w:color w:val="auto"/>
                      <w:sz w:val="21"/>
                      <w:szCs w:val="21"/>
                      <w:highlight w:val="none"/>
                      <w:lang w:eastAsia="zh-CN"/>
                    </w:rPr>
                    <w:t>工艺</w:t>
                  </w:r>
                </w:p>
              </w:tc>
              <w:tc>
                <w:tcPr>
                  <w:tcW w:w="1017" w:type="dxa"/>
                  <w:tcBorders>
                    <w:tl2br w:val="nil"/>
                    <w:tr2bl w:val="nil"/>
                  </w:tcBorders>
                  <w:shd w:val="clear" w:color="auto" w:fill="auto"/>
                  <w:vAlign w:val="center"/>
                </w:tcPr>
                <w:p w14:paraId="7A34338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r>
                    <w:rPr>
                      <w:rFonts w:hint="default" w:ascii="Times New Roman" w:hAnsi="Times New Roman" w:cs="Times New Roman" w:eastAsiaTheme="minorEastAsia"/>
                      <w:b/>
                      <w:bCs/>
                      <w:color w:val="auto"/>
                      <w:sz w:val="21"/>
                      <w:szCs w:val="21"/>
                      <w:highlight w:val="none"/>
                    </w:rPr>
                    <w:t>声源控制措施</w:t>
                  </w:r>
                </w:p>
              </w:tc>
              <w:tc>
                <w:tcPr>
                  <w:tcW w:w="656" w:type="dxa"/>
                  <w:vMerge w:val="continue"/>
                  <w:tcBorders>
                    <w:tl2br w:val="nil"/>
                    <w:tr2bl w:val="nil"/>
                  </w:tcBorders>
                  <w:shd w:val="clear" w:color="auto" w:fill="auto"/>
                  <w:vAlign w:val="center"/>
                </w:tcPr>
                <w:p w14:paraId="65F3DB6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p>
              </w:tc>
              <w:tc>
                <w:tcPr>
                  <w:tcW w:w="656" w:type="dxa"/>
                  <w:vMerge w:val="continue"/>
                  <w:tcBorders>
                    <w:tl2br w:val="nil"/>
                    <w:tr2bl w:val="nil"/>
                  </w:tcBorders>
                  <w:shd w:val="clear" w:color="auto" w:fill="auto"/>
                  <w:vAlign w:val="center"/>
                </w:tcPr>
                <w:p w14:paraId="25B3ECC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b/>
                      <w:bCs/>
                      <w:color w:val="auto"/>
                      <w:sz w:val="21"/>
                      <w:szCs w:val="21"/>
                      <w:highlight w:val="none"/>
                      <w:lang w:eastAsia="zh-CN"/>
                    </w:rPr>
                  </w:pPr>
                </w:p>
              </w:tc>
            </w:tr>
            <w:tr w14:paraId="107AAC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503" w:type="dxa"/>
                  <w:tcBorders>
                    <w:tl2br w:val="nil"/>
                    <w:tr2bl w:val="nil"/>
                  </w:tcBorders>
                  <w:shd w:val="clear" w:color="auto" w:fill="auto"/>
                  <w:vAlign w:val="center"/>
                </w:tcPr>
                <w:p w14:paraId="6A364F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851" w:type="dxa"/>
                  <w:tcBorders>
                    <w:tl2br w:val="nil"/>
                    <w:tr2bl w:val="nil"/>
                  </w:tcBorders>
                  <w:shd w:val="clear" w:color="auto" w:fill="auto"/>
                  <w:vAlign w:val="center"/>
                </w:tcPr>
                <w:p w14:paraId="32FC55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铲车</w:t>
                  </w:r>
                </w:p>
              </w:tc>
              <w:tc>
                <w:tcPr>
                  <w:tcW w:w="884" w:type="dxa"/>
                  <w:tcBorders>
                    <w:tl2br w:val="nil"/>
                    <w:tr2bl w:val="nil"/>
                  </w:tcBorders>
                  <w:shd w:val="clear" w:color="auto" w:fill="auto"/>
                  <w:vAlign w:val="center"/>
                </w:tcPr>
                <w:p w14:paraId="4FC7C0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p>
              </w:tc>
              <w:tc>
                <w:tcPr>
                  <w:tcW w:w="656" w:type="dxa"/>
                  <w:vMerge w:val="restart"/>
                  <w:tcBorders>
                    <w:tl2br w:val="nil"/>
                    <w:tr2bl w:val="nil"/>
                  </w:tcBorders>
                  <w:shd w:val="clear" w:color="auto" w:fill="auto"/>
                  <w:vAlign w:val="center"/>
                </w:tcPr>
                <w:p w14:paraId="432F2A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eastAsia="zh-CN"/>
                    </w:rPr>
                  </w:pPr>
                  <w:r>
                    <w:rPr>
                      <w:rFonts w:hint="eastAsia" w:cs="Times New Roman" w:eastAsiaTheme="minorEastAsia"/>
                      <w:color w:val="auto"/>
                      <w:sz w:val="21"/>
                      <w:szCs w:val="21"/>
                      <w:highlight w:val="none"/>
                      <w:lang w:eastAsia="zh-CN"/>
                    </w:rPr>
                    <w:t>类比法</w:t>
                  </w:r>
                </w:p>
              </w:tc>
              <w:tc>
                <w:tcPr>
                  <w:tcW w:w="1129" w:type="dxa"/>
                  <w:tcBorders>
                    <w:tl2br w:val="nil"/>
                    <w:tr2bl w:val="nil"/>
                  </w:tcBorders>
                  <w:shd w:val="clear" w:color="auto" w:fill="auto"/>
                  <w:vAlign w:val="center"/>
                </w:tcPr>
                <w:p w14:paraId="74E72C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85</w:t>
                  </w:r>
                </w:p>
              </w:tc>
              <w:tc>
                <w:tcPr>
                  <w:tcW w:w="1625" w:type="dxa"/>
                  <w:vMerge w:val="restart"/>
                  <w:tcBorders>
                    <w:tl2br w:val="nil"/>
                    <w:tr2bl w:val="nil"/>
                  </w:tcBorders>
                  <w:shd w:val="clear" w:color="auto" w:fill="auto"/>
                  <w:vAlign w:val="center"/>
                </w:tcPr>
                <w:p w14:paraId="54F32B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bCs/>
                      <w:snapToGrid w:val="0"/>
                      <w:color w:val="auto"/>
                      <w:kern w:val="0"/>
                      <w:szCs w:val="21"/>
                      <w:highlight w:val="none"/>
                    </w:rPr>
                    <w:t>低噪设备、</w:t>
                  </w:r>
                  <w:r>
                    <w:rPr>
                      <w:rFonts w:hint="default" w:ascii="Times New Roman" w:hAnsi="Times New Roman" w:eastAsia="宋体" w:cs="Times New Roman"/>
                      <w:bCs/>
                      <w:snapToGrid w:val="0"/>
                      <w:color w:val="auto"/>
                      <w:kern w:val="0"/>
                      <w:szCs w:val="21"/>
                      <w:highlight w:val="none"/>
                      <w:lang w:eastAsia="zh-CN"/>
                    </w:rPr>
                    <w:t>距离衰减、</w:t>
                  </w:r>
                  <w:r>
                    <w:rPr>
                      <w:rFonts w:hint="default" w:ascii="Times New Roman" w:hAnsi="Times New Roman" w:eastAsia="宋体" w:cs="Times New Roman"/>
                      <w:bCs/>
                      <w:snapToGrid w:val="0"/>
                      <w:color w:val="auto"/>
                      <w:kern w:val="0"/>
                      <w:szCs w:val="21"/>
                      <w:highlight w:val="none"/>
                    </w:rPr>
                    <w:t>夜间不作业</w:t>
                  </w:r>
                </w:p>
              </w:tc>
              <w:tc>
                <w:tcPr>
                  <w:tcW w:w="1017" w:type="dxa"/>
                  <w:vMerge w:val="restart"/>
                  <w:tcBorders>
                    <w:tl2br w:val="nil"/>
                    <w:tr2bl w:val="nil"/>
                  </w:tcBorders>
                  <w:shd w:val="clear" w:color="auto" w:fill="auto"/>
                  <w:vAlign w:val="center"/>
                </w:tcPr>
                <w:p w14:paraId="02E7580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Cs/>
                      <w:snapToGrid w:val="0"/>
                      <w:color w:val="auto"/>
                      <w:kern w:val="0"/>
                      <w:szCs w:val="21"/>
                      <w:highlight w:val="none"/>
                    </w:rPr>
                  </w:pPr>
                  <w:r>
                    <w:rPr>
                      <w:rFonts w:hint="eastAsia" w:ascii="Times New Roman" w:hAnsi="Times New Roman" w:eastAsia="宋体" w:cs="Times New Roman"/>
                      <w:bCs/>
                      <w:snapToGrid w:val="0"/>
                      <w:color w:val="auto"/>
                      <w:kern w:val="0"/>
                      <w:szCs w:val="21"/>
                      <w:highlight w:val="none"/>
                    </w:rPr>
                    <w:t>降低</w:t>
                  </w:r>
                  <w:r>
                    <w:rPr>
                      <w:rFonts w:hint="eastAsia" w:ascii="Times New Roman" w:hAnsi="Times New Roman" w:eastAsia="宋体" w:cs="Times New Roman"/>
                      <w:bCs/>
                      <w:snapToGrid w:val="0"/>
                      <w:color w:val="auto"/>
                      <w:kern w:val="0"/>
                      <w:szCs w:val="21"/>
                      <w:highlight w:val="none"/>
                      <w:lang w:val="en-US" w:eastAsia="zh-CN"/>
                    </w:rPr>
                    <w:t>1</w:t>
                  </w:r>
                  <w:r>
                    <w:rPr>
                      <w:rFonts w:hint="eastAsia" w:ascii="Times New Roman" w:hAnsi="Times New Roman" w:eastAsia="宋体" w:cs="Times New Roman"/>
                      <w:bCs/>
                      <w:snapToGrid w:val="0"/>
                      <w:color w:val="auto"/>
                      <w:kern w:val="0"/>
                      <w:szCs w:val="21"/>
                      <w:highlight w:val="none"/>
                    </w:rPr>
                    <w:t>0</w:t>
                  </w:r>
                </w:p>
                <w:p w14:paraId="45CCED0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r>
                    <w:rPr>
                      <w:rFonts w:hint="eastAsia" w:ascii="Times New Roman" w:hAnsi="Times New Roman" w:eastAsia="宋体" w:cs="Times New Roman"/>
                      <w:bCs/>
                      <w:snapToGrid w:val="0"/>
                      <w:color w:val="auto"/>
                      <w:kern w:val="0"/>
                      <w:szCs w:val="21"/>
                      <w:highlight w:val="none"/>
                    </w:rPr>
                    <w:t>dB(A)</w:t>
                  </w:r>
                </w:p>
              </w:tc>
              <w:tc>
                <w:tcPr>
                  <w:tcW w:w="656" w:type="dxa"/>
                  <w:tcBorders>
                    <w:tl2br w:val="nil"/>
                    <w:tr2bl w:val="nil"/>
                  </w:tcBorders>
                  <w:shd w:val="clear" w:color="auto" w:fill="auto"/>
                  <w:vAlign w:val="center"/>
                </w:tcPr>
                <w:p w14:paraId="17799A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lang w:val="en-US" w:eastAsia="zh-CN"/>
                    </w:rPr>
                  </w:pPr>
                  <w:r>
                    <w:rPr>
                      <w:rFonts w:hint="eastAsia" w:cs="Times New Roman"/>
                      <w:bCs/>
                      <w:snapToGrid w:val="0"/>
                      <w:color w:val="auto"/>
                      <w:kern w:val="0"/>
                      <w:szCs w:val="21"/>
                      <w:highlight w:val="none"/>
                      <w:lang w:val="en-US" w:eastAsia="zh-CN"/>
                    </w:rPr>
                    <w:t>75</w:t>
                  </w:r>
                </w:p>
              </w:tc>
              <w:tc>
                <w:tcPr>
                  <w:tcW w:w="656" w:type="dxa"/>
                  <w:vMerge w:val="restart"/>
                  <w:tcBorders>
                    <w:tl2br w:val="nil"/>
                    <w:tr2bl w:val="nil"/>
                  </w:tcBorders>
                  <w:shd w:val="clear" w:color="auto" w:fill="auto"/>
                  <w:vAlign w:val="center"/>
                </w:tcPr>
                <w:p w14:paraId="4061B6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昼间</w:t>
                  </w:r>
                </w:p>
              </w:tc>
            </w:tr>
            <w:tr w14:paraId="4CBC62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3" w:type="dxa"/>
                  <w:tcBorders>
                    <w:tl2br w:val="nil"/>
                    <w:tr2bl w:val="nil"/>
                  </w:tcBorders>
                  <w:shd w:val="clear" w:color="auto" w:fill="auto"/>
                  <w:vAlign w:val="center"/>
                </w:tcPr>
                <w:p w14:paraId="0E386C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851" w:type="dxa"/>
                  <w:tcBorders>
                    <w:tl2br w:val="nil"/>
                    <w:tr2bl w:val="nil"/>
                  </w:tcBorders>
                  <w:shd w:val="clear" w:color="auto" w:fill="auto"/>
                  <w:vAlign w:val="center"/>
                </w:tcPr>
                <w:p w14:paraId="7D4D40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运输车</w:t>
                  </w:r>
                </w:p>
              </w:tc>
              <w:tc>
                <w:tcPr>
                  <w:tcW w:w="884" w:type="dxa"/>
                  <w:tcBorders>
                    <w:tl2br w:val="nil"/>
                    <w:tr2bl w:val="nil"/>
                  </w:tcBorders>
                  <w:shd w:val="clear" w:color="auto" w:fill="auto"/>
                  <w:vAlign w:val="center"/>
                </w:tcPr>
                <w:p w14:paraId="689BE5D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p>
              </w:tc>
              <w:tc>
                <w:tcPr>
                  <w:tcW w:w="656" w:type="dxa"/>
                  <w:vMerge w:val="continue"/>
                  <w:tcBorders>
                    <w:tl2br w:val="nil"/>
                    <w:tr2bl w:val="nil"/>
                  </w:tcBorders>
                  <w:shd w:val="clear" w:color="auto" w:fill="auto"/>
                  <w:vAlign w:val="center"/>
                </w:tcPr>
                <w:p w14:paraId="1BAD9C8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129" w:type="dxa"/>
                  <w:tcBorders>
                    <w:tl2br w:val="nil"/>
                    <w:tr2bl w:val="nil"/>
                  </w:tcBorders>
                  <w:shd w:val="clear" w:color="auto" w:fill="auto"/>
                  <w:vAlign w:val="center"/>
                </w:tcPr>
                <w:p w14:paraId="65E87F9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80</w:t>
                  </w:r>
                </w:p>
              </w:tc>
              <w:tc>
                <w:tcPr>
                  <w:tcW w:w="1625" w:type="dxa"/>
                  <w:vMerge w:val="continue"/>
                  <w:tcBorders>
                    <w:tl2br w:val="nil"/>
                    <w:tr2bl w:val="nil"/>
                  </w:tcBorders>
                  <w:shd w:val="clear" w:color="auto" w:fill="auto"/>
                  <w:vAlign w:val="center"/>
                </w:tcPr>
                <w:p w14:paraId="2D5CE8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1017" w:type="dxa"/>
                  <w:vMerge w:val="continue"/>
                  <w:tcBorders>
                    <w:tl2br w:val="nil"/>
                    <w:tr2bl w:val="nil"/>
                  </w:tcBorders>
                  <w:shd w:val="clear" w:color="auto" w:fill="auto"/>
                  <w:vAlign w:val="center"/>
                </w:tcPr>
                <w:p w14:paraId="5C12E4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656" w:type="dxa"/>
                  <w:tcBorders>
                    <w:tl2br w:val="nil"/>
                    <w:tr2bl w:val="nil"/>
                  </w:tcBorders>
                  <w:shd w:val="clear" w:color="auto" w:fill="auto"/>
                  <w:vAlign w:val="center"/>
                </w:tcPr>
                <w:p w14:paraId="30DF8E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lang w:val="en-US" w:eastAsia="zh-CN"/>
                    </w:rPr>
                  </w:pPr>
                  <w:r>
                    <w:rPr>
                      <w:rFonts w:hint="eastAsia" w:cs="Times New Roman"/>
                      <w:bCs/>
                      <w:snapToGrid w:val="0"/>
                      <w:color w:val="auto"/>
                      <w:kern w:val="0"/>
                      <w:szCs w:val="21"/>
                      <w:highlight w:val="none"/>
                      <w:lang w:val="en-US" w:eastAsia="zh-CN"/>
                    </w:rPr>
                    <w:t>70</w:t>
                  </w:r>
                </w:p>
              </w:tc>
              <w:tc>
                <w:tcPr>
                  <w:tcW w:w="656" w:type="dxa"/>
                  <w:vMerge w:val="continue"/>
                  <w:tcBorders>
                    <w:tl2br w:val="nil"/>
                    <w:tr2bl w:val="nil"/>
                  </w:tcBorders>
                  <w:shd w:val="clear" w:color="auto" w:fill="auto"/>
                  <w:vAlign w:val="center"/>
                </w:tcPr>
                <w:p w14:paraId="013FD4D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r>
            <w:tr w14:paraId="35B61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3" w:type="dxa"/>
                  <w:tcBorders>
                    <w:tl2br w:val="nil"/>
                    <w:tr2bl w:val="nil"/>
                  </w:tcBorders>
                  <w:shd w:val="clear" w:color="auto" w:fill="auto"/>
                  <w:vAlign w:val="center"/>
                </w:tcPr>
                <w:p w14:paraId="4C6B1C5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851" w:type="dxa"/>
                  <w:tcBorders>
                    <w:tl2br w:val="nil"/>
                    <w:tr2bl w:val="nil"/>
                  </w:tcBorders>
                  <w:shd w:val="clear" w:color="auto" w:fill="auto"/>
                  <w:vAlign w:val="center"/>
                </w:tcPr>
                <w:p w14:paraId="6A0E04A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洒水车</w:t>
                  </w:r>
                </w:p>
              </w:tc>
              <w:tc>
                <w:tcPr>
                  <w:tcW w:w="884" w:type="dxa"/>
                  <w:tcBorders>
                    <w:tl2br w:val="nil"/>
                    <w:tr2bl w:val="nil"/>
                  </w:tcBorders>
                  <w:shd w:val="clear" w:color="auto" w:fill="auto"/>
                  <w:vAlign w:val="center"/>
                </w:tcPr>
                <w:p w14:paraId="5D4FC3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656" w:type="dxa"/>
                  <w:vMerge w:val="continue"/>
                  <w:tcBorders>
                    <w:tl2br w:val="nil"/>
                    <w:tr2bl w:val="nil"/>
                  </w:tcBorders>
                  <w:shd w:val="clear" w:color="auto" w:fill="auto"/>
                  <w:vAlign w:val="center"/>
                </w:tcPr>
                <w:p w14:paraId="51FDFFA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129" w:type="dxa"/>
                  <w:tcBorders>
                    <w:tl2br w:val="nil"/>
                    <w:tr2bl w:val="nil"/>
                  </w:tcBorders>
                  <w:shd w:val="clear" w:color="auto" w:fill="auto"/>
                  <w:vAlign w:val="center"/>
                </w:tcPr>
                <w:p w14:paraId="3CE80C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80</w:t>
                  </w:r>
                </w:p>
              </w:tc>
              <w:tc>
                <w:tcPr>
                  <w:tcW w:w="1625" w:type="dxa"/>
                  <w:vMerge w:val="continue"/>
                  <w:tcBorders>
                    <w:tl2br w:val="nil"/>
                    <w:tr2bl w:val="nil"/>
                  </w:tcBorders>
                  <w:shd w:val="clear" w:color="auto" w:fill="auto"/>
                  <w:vAlign w:val="center"/>
                </w:tcPr>
                <w:p w14:paraId="5BAAF3B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1017" w:type="dxa"/>
                  <w:vMerge w:val="continue"/>
                  <w:tcBorders>
                    <w:tl2br w:val="nil"/>
                    <w:tr2bl w:val="nil"/>
                  </w:tcBorders>
                  <w:shd w:val="clear" w:color="auto" w:fill="auto"/>
                  <w:vAlign w:val="center"/>
                </w:tcPr>
                <w:p w14:paraId="10DC86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656" w:type="dxa"/>
                  <w:tcBorders>
                    <w:tl2br w:val="nil"/>
                    <w:tr2bl w:val="nil"/>
                  </w:tcBorders>
                  <w:shd w:val="clear" w:color="auto" w:fill="auto"/>
                  <w:vAlign w:val="center"/>
                </w:tcPr>
                <w:p w14:paraId="610678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lang w:val="en-US" w:eastAsia="zh-CN"/>
                    </w:rPr>
                  </w:pPr>
                  <w:r>
                    <w:rPr>
                      <w:rFonts w:hint="eastAsia" w:cs="Times New Roman"/>
                      <w:bCs/>
                      <w:snapToGrid w:val="0"/>
                      <w:color w:val="auto"/>
                      <w:kern w:val="0"/>
                      <w:szCs w:val="21"/>
                      <w:highlight w:val="none"/>
                      <w:lang w:val="en-US" w:eastAsia="zh-CN"/>
                    </w:rPr>
                    <w:t>70</w:t>
                  </w:r>
                </w:p>
              </w:tc>
              <w:tc>
                <w:tcPr>
                  <w:tcW w:w="656" w:type="dxa"/>
                  <w:vMerge w:val="continue"/>
                  <w:tcBorders>
                    <w:tl2br w:val="nil"/>
                    <w:tr2bl w:val="nil"/>
                  </w:tcBorders>
                  <w:shd w:val="clear" w:color="auto" w:fill="auto"/>
                  <w:vAlign w:val="center"/>
                </w:tcPr>
                <w:p w14:paraId="31047D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r>
            <w:tr w14:paraId="3AF6EC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3" w:type="dxa"/>
                  <w:tcBorders>
                    <w:tl2br w:val="nil"/>
                    <w:tr2bl w:val="nil"/>
                  </w:tcBorders>
                  <w:shd w:val="clear" w:color="auto" w:fill="auto"/>
                  <w:vAlign w:val="center"/>
                </w:tcPr>
                <w:p w14:paraId="6378DAD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851" w:type="dxa"/>
                  <w:tcBorders>
                    <w:tl2br w:val="nil"/>
                    <w:tr2bl w:val="nil"/>
                  </w:tcBorders>
                  <w:shd w:val="clear" w:color="auto" w:fill="auto"/>
                  <w:vAlign w:val="center"/>
                </w:tcPr>
                <w:p w14:paraId="36BEED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挖掘机</w:t>
                  </w:r>
                </w:p>
              </w:tc>
              <w:tc>
                <w:tcPr>
                  <w:tcW w:w="884" w:type="dxa"/>
                  <w:tcBorders>
                    <w:tl2br w:val="nil"/>
                    <w:tr2bl w:val="nil"/>
                  </w:tcBorders>
                  <w:shd w:val="clear" w:color="auto" w:fill="auto"/>
                  <w:vAlign w:val="center"/>
                </w:tcPr>
                <w:p w14:paraId="25E7AD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656" w:type="dxa"/>
                  <w:vMerge w:val="continue"/>
                  <w:tcBorders>
                    <w:tl2br w:val="nil"/>
                    <w:tr2bl w:val="nil"/>
                  </w:tcBorders>
                  <w:shd w:val="clear" w:color="auto" w:fill="auto"/>
                  <w:vAlign w:val="center"/>
                </w:tcPr>
                <w:p w14:paraId="398DF5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129" w:type="dxa"/>
                  <w:tcBorders>
                    <w:tl2br w:val="nil"/>
                    <w:tr2bl w:val="nil"/>
                  </w:tcBorders>
                  <w:shd w:val="clear" w:color="auto" w:fill="auto"/>
                  <w:vAlign w:val="center"/>
                </w:tcPr>
                <w:p w14:paraId="0D6390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90</w:t>
                  </w:r>
                </w:p>
              </w:tc>
              <w:tc>
                <w:tcPr>
                  <w:tcW w:w="1625" w:type="dxa"/>
                  <w:vMerge w:val="continue"/>
                  <w:tcBorders>
                    <w:tl2br w:val="nil"/>
                    <w:tr2bl w:val="nil"/>
                  </w:tcBorders>
                  <w:shd w:val="clear" w:color="auto" w:fill="auto"/>
                  <w:vAlign w:val="center"/>
                </w:tcPr>
                <w:p w14:paraId="4EAFA6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1017" w:type="dxa"/>
                  <w:vMerge w:val="continue"/>
                  <w:tcBorders>
                    <w:tl2br w:val="nil"/>
                    <w:tr2bl w:val="nil"/>
                  </w:tcBorders>
                  <w:shd w:val="clear" w:color="auto" w:fill="auto"/>
                  <w:vAlign w:val="center"/>
                </w:tcPr>
                <w:p w14:paraId="68C4C9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rPr>
                  </w:pPr>
                </w:p>
              </w:tc>
              <w:tc>
                <w:tcPr>
                  <w:tcW w:w="656" w:type="dxa"/>
                  <w:tcBorders>
                    <w:tl2br w:val="nil"/>
                    <w:tr2bl w:val="nil"/>
                  </w:tcBorders>
                  <w:shd w:val="clear" w:color="auto" w:fill="auto"/>
                  <w:vAlign w:val="center"/>
                </w:tcPr>
                <w:p w14:paraId="430314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auto"/>
                      <w:kern w:val="0"/>
                      <w:szCs w:val="21"/>
                      <w:highlight w:val="none"/>
                      <w:lang w:val="en-US" w:eastAsia="zh-CN"/>
                    </w:rPr>
                  </w:pPr>
                  <w:r>
                    <w:rPr>
                      <w:rFonts w:hint="eastAsia" w:cs="Times New Roman"/>
                      <w:bCs/>
                      <w:snapToGrid w:val="0"/>
                      <w:color w:val="auto"/>
                      <w:kern w:val="0"/>
                      <w:szCs w:val="21"/>
                      <w:highlight w:val="none"/>
                      <w:lang w:val="en-US" w:eastAsia="zh-CN"/>
                    </w:rPr>
                    <w:t>80</w:t>
                  </w:r>
                </w:p>
              </w:tc>
              <w:tc>
                <w:tcPr>
                  <w:tcW w:w="656" w:type="dxa"/>
                  <w:vMerge w:val="continue"/>
                  <w:tcBorders>
                    <w:tl2br w:val="nil"/>
                    <w:tr2bl w:val="nil"/>
                  </w:tcBorders>
                  <w:shd w:val="clear" w:color="auto" w:fill="auto"/>
                  <w:vAlign w:val="center"/>
                </w:tcPr>
                <w:p w14:paraId="48D74A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z w:val="21"/>
                      <w:szCs w:val="21"/>
                      <w:highlight w:val="none"/>
                      <w:lang w:val="en-US" w:eastAsia="zh-CN"/>
                    </w:rPr>
                  </w:pPr>
                </w:p>
              </w:tc>
            </w:tr>
          </w:tbl>
          <w:p w14:paraId="520EF074">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噪声防治措施分析</w:t>
            </w:r>
          </w:p>
          <w:p w14:paraId="62105FF1">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1）选用低噪声的优质设备、降低噪声源强。 </w:t>
            </w:r>
          </w:p>
          <w:p w14:paraId="2CE9B9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2）合理布局，加强厂区绿化，利用树木吸声、消声作用，减少噪声对办公处以及周边环境的影响。</w:t>
            </w:r>
          </w:p>
          <w:p w14:paraId="59A620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szCs w:val="24"/>
                <w:highlight w:val="none"/>
              </w:rPr>
              <w:t>进出车辆严格控制，项目内禁止鸣喇叭，减少机动车频繁启动及怠速</w:t>
            </w:r>
            <w:r>
              <w:rPr>
                <w:rFonts w:hint="default" w:ascii="Times New Roman" w:hAnsi="Times New Roman" w:cs="Times New Roman"/>
                <w:color w:val="auto"/>
                <w:sz w:val="24"/>
                <w:szCs w:val="24"/>
                <w:highlight w:val="none"/>
                <w:lang w:eastAsia="zh-CN"/>
              </w:rPr>
              <w:t>。</w:t>
            </w:r>
          </w:p>
          <w:p w14:paraId="704D15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项目单位需加强设备日常维护，确保设备运行状态良好，避免设备不正常运转产生的高噪声现象</w:t>
            </w:r>
            <w:r>
              <w:rPr>
                <w:rFonts w:hint="default" w:ascii="Times New Roman" w:hAnsi="Times New Roman" w:eastAsia="宋体" w:cs="Times New Roman"/>
                <w:color w:val="auto"/>
                <w:sz w:val="24"/>
                <w:highlight w:val="none"/>
                <w:lang w:eastAsia="zh-CN"/>
              </w:rPr>
              <w:t>。</w:t>
            </w:r>
          </w:p>
          <w:p w14:paraId="5DD925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预测结果及噪声达标排放分析</w:t>
            </w:r>
          </w:p>
          <w:p w14:paraId="708A2BA5">
            <w:pPr>
              <w:pStyle w:val="54"/>
              <w:keepNext w:val="0"/>
              <w:keepLines w:val="0"/>
              <w:pageBreakBefore w:val="0"/>
              <w:widowControl w:val="0"/>
              <w:kinsoku/>
              <w:wordWrap/>
              <w:overflowPunct/>
              <w:topLinePunct w:val="0"/>
              <w:autoSpaceDE/>
              <w:autoSpaceDN/>
              <w:bidi w:val="0"/>
              <w:adjustRightInd/>
              <w:snapToGrid/>
              <w:spacing w:beforeLines="0" w:afterLines="0" w:line="360" w:lineRule="auto"/>
              <w:ind w:firstLine="48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根据拟建项目设备声源特征和声学环境的特点，视设备声源为点源，声场为半自由声场，依据《环境影响评价技术导则 声环境》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HJ2.4-2021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，选用点声源衰减预测模式预测厂界噪声，具体见下表。</w:t>
            </w:r>
          </w:p>
          <w:p w14:paraId="19A8A45B">
            <w:pPr>
              <w:spacing w:line="288" w:lineRule="auto"/>
              <w:ind w:firstLine="480"/>
              <w:jc w:val="both"/>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点声源衰减模式：</w:t>
            </w:r>
          </w:p>
          <w:p w14:paraId="092ACFE8">
            <w:pPr>
              <w:spacing w:line="360" w:lineRule="auto"/>
              <w:ind w:firstLine="480"/>
              <w:jc w:val="center"/>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p</w:t>
            </w:r>
            <w:r>
              <w:rPr>
                <w:rFonts w:hint="default" w:ascii="Times New Roman" w:hAnsi="Times New Roman" w:cs="Times New Roman"/>
                <w:color w:val="auto"/>
                <w:sz w:val="24"/>
                <w:highlight w:val="none"/>
              </w:rPr>
              <w:t>（r）= L</w:t>
            </w:r>
            <w:r>
              <w:rPr>
                <w:rFonts w:hint="default" w:ascii="Times New Roman" w:hAnsi="Times New Roman" w:cs="Times New Roman"/>
                <w:color w:val="auto"/>
                <w:sz w:val="24"/>
                <w:highlight w:val="none"/>
                <w:vertAlign w:val="subscript"/>
              </w:rPr>
              <w:t>p</w:t>
            </w:r>
            <w:r>
              <w:rPr>
                <w:rFonts w:hint="default" w:ascii="Times New Roman" w:hAnsi="Times New Roman" w:cs="Times New Roman"/>
                <w:color w:val="auto"/>
                <w:sz w:val="24"/>
                <w:highlight w:val="none"/>
              </w:rPr>
              <w:t>（r</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）-20lg（r/r</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w:t>
            </w:r>
          </w:p>
          <w:p w14:paraId="272B2A08">
            <w:pPr>
              <w:spacing w:line="360" w:lineRule="auto"/>
              <w:ind w:left="2160" w:hanging="2160" w:hangingChars="900"/>
              <w:jc w:val="both"/>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式中：L</w:t>
            </w:r>
            <w:r>
              <w:rPr>
                <w:rFonts w:hint="default" w:ascii="Times New Roman" w:hAnsi="Times New Roman" w:cs="Times New Roman"/>
                <w:color w:val="auto"/>
                <w:sz w:val="24"/>
                <w:highlight w:val="none"/>
                <w:vertAlign w:val="subscript"/>
              </w:rPr>
              <w:t>p</w:t>
            </w:r>
            <w:r>
              <w:rPr>
                <w:rFonts w:hint="default" w:ascii="Times New Roman" w:hAnsi="Times New Roman" w:cs="Times New Roman"/>
                <w:color w:val="auto"/>
                <w:sz w:val="24"/>
                <w:highlight w:val="none"/>
              </w:rPr>
              <w:t>（r）——距噪声源r</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处预测点的A声级（dB</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p>
          <w:p w14:paraId="2DC87574">
            <w:pPr>
              <w:spacing w:line="360" w:lineRule="auto"/>
              <w:ind w:left="2157" w:leftChars="570" w:hanging="960" w:hangingChars="400"/>
              <w:jc w:val="both"/>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p</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r</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 ——点声源的A声级（dB</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p>
          <w:p w14:paraId="5096A3E6">
            <w:pPr>
              <w:spacing w:line="360" w:lineRule="auto"/>
              <w:ind w:left="2157" w:leftChars="570" w:hanging="960" w:hangingChars="400"/>
              <w:jc w:val="both"/>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r ——点声源至预测点的距离（m）。</w:t>
            </w:r>
          </w:p>
          <w:p w14:paraId="4934DD6A">
            <w:pPr>
              <w:adjustRightInd w:val="0"/>
              <w:snapToGrid w:val="0"/>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default" w:ascii="Times New Roman" w:hAnsi="Times New Roman" w:cs="Times New Roman"/>
                <w:b/>
                <w:color w:val="auto"/>
                <w:szCs w:val="21"/>
                <w:highlight w:val="none"/>
                <w:lang w:val="en-US" w:eastAsia="zh-CN"/>
              </w:rPr>
              <w:t>4</w:t>
            </w:r>
            <w:r>
              <w:rPr>
                <w:rFonts w:hint="default" w:ascii="Times New Roman" w:hAnsi="Times New Roman" w:cs="Times New Roman"/>
                <w:b/>
                <w:color w:val="auto"/>
                <w:szCs w:val="21"/>
                <w:highlight w:val="none"/>
              </w:rPr>
              <w:t xml:space="preserve"> </w:t>
            </w:r>
            <w:r>
              <w:rPr>
                <w:rFonts w:hint="default" w:ascii="Times New Roman" w:hAnsi="Times New Roman" w:cs="Times New Roman"/>
                <w:b/>
                <w:color w:val="auto"/>
                <w:szCs w:val="21"/>
                <w:highlight w:val="none"/>
                <w:lang w:eastAsia="zh-CN"/>
              </w:rPr>
              <w:t>厂界噪声</w:t>
            </w:r>
            <w:r>
              <w:rPr>
                <w:rFonts w:hint="default" w:ascii="Times New Roman" w:hAnsi="Times New Roman" w:cs="Times New Roman"/>
                <w:b/>
                <w:color w:val="auto"/>
                <w:szCs w:val="21"/>
                <w:highlight w:val="none"/>
              </w:rPr>
              <w:t>预测结果  单位：dB（A）</w:t>
            </w:r>
          </w:p>
          <w:tbl>
            <w:tblPr>
              <w:tblStyle w:val="31"/>
              <w:tblW w:w="7918" w:type="dxa"/>
              <w:jc w:val="center"/>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57" w:type="dxa"/>
                <w:bottom w:w="0" w:type="dxa"/>
                <w:right w:w="57" w:type="dxa"/>
              </w:tblCellMar>
            </w:tblPr>
            <w:tblGrid>
              <w:gridCol w:w="1212"/>
              <w:gridCol w:w="1851"/>
              <w:gridCol w:w="1433"/>
              <w:gridCol w:w="3422"/>
            </w:tblGrid>
            <w:tr w14:paraId="0F4E7B5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57" w:type="dxa"/>
                  <w:bottom w:w="0" w:type="dxa"/>
                  <w:right w:w="57" w:type="dxa"/>
                </w:tblCellMar>
              </w:tblPrEx>
              <w:trPr>
                <w:trHeight w:val="227" w:hRule="atLeast"/>
                <w:jc w:val="center"/>
              </w:trPr>
              <w:tc>
                <w:tcPr>
                  <w:tcW w:w="1212" w:type="dxa"/>
                  <w:tcBorders>
                    <w:tl2br w:val="nil"/>
                    <w:tr2bl w:val="nil"/>
                  </w:tcBorders>
                  <w:vAlign w:val="center"/>
                </w:tcPr>
                <w:p w14:paraId="496D715E">
                  <w:pPr>
                    <w:spacing w:line="0" w:lineRule="atLeast"/>
                    <w:jc w:val="center"/>
                    <w:rPr>
                      <w:rFonts w:hint="default" w:ascii="Times New Roman" w:hAnsi="Times New Roman" w:cs="Times New Roman"/>
                      <w:color w:val="auto"/>
                      <w:kern w:val="21"/>
                      <w:szCs w:val="21"/>
                      <w:highlight w:val="none"/>
                    </w:rPr>
                  </w:pPr>
                  <w:r>
                    <w:rPr>
                      <w:rFonts w:hint="default" w:ascii="Times New Roman" w:hAnsi="Times New Roman" w:cs="Times New Roman"/>
                      <w:b/>
                      <w:bCs/>
                      <w:color w:val="auto"/>
                      <w:szCs w:val="21"/>
                      <w:highlight w:val="none"/>
                    </w:rPr>
                    <w:t>预测点位</w:t>
                  </w:r>
                </w:p>
              </w:tc>
              <w:tc>
                <w:tcPr>
                  <w:tcW w:w="1851" w:type="dxa"/>
                  <w:tcBorders>
                    <w:tl2br w:val="nil"/>
                    <w:tr2bl w:val="nil"/>
                  </w:tcBorders>
                  <w:vAlign w:val="center"/>
                </w:tcPr>
                <w:p w14:paraId="062AEB9F">
                  <w:pPr>
                    <w:widowControl/>
                    <w:autoSpaceDE w:val="0"/>
                    <w:autoSpaceDN w:val="0"/>
                    <w:jc w:val="center"/>
                    <w:rPr>
                      <w:rFonts w:hint="default" w:ascii="Times New Roman" w:hAnsi="Times New Roman" w:cs="Times New Roman"/>
                      <w:color w:val="auto"/>
                      <w:highlight w:val="none"/>
                    </w:rPr>
                  </w:pPr>
                  <w:r>
                    <w:rPr>
                      <w:rFonts w:hint="default" w:ascii="Times New Roman" w:hAnsi="Times New Roman" w:cs="Times New Roman"/>
                      <w:b/>
                      <w:bCs/>
                      <w:color w:val="auto"/>
                      <w:szCs w:val="21"/>
                      <w:highlight w:val="none"/>
                    </w:rPr>
                    <w:t>预测时段</w:t>
                  </w:r>
                </w:p>
              </w:tc>
              <w:tc>
                <w:tcPr>
                  <w:tcW w:w="1433" w:type="dxa"/>
                  <w:tcBorders>
                    <w:tl2br w:val="nil"/>
                    <w:tr2bl w:val="nil"/>
                  </w:tcBorders>
                  <w:vAlign w:val="center"/>
                </w:tcPr>
                <w:p w14:paraId="7AE0E5AF">
                  <w:pPr>
                    <w:widowControl/>
                    <w:autoSpaceDE w:val="0"/>
                    <w:autoSpaceDN w:val="0"/>
                    <w:jc w:val="center"/>
                    <w:rPr>
                      <w:rFonts w:hint="default" w:ascii="Times New Roman" w:hAnsi="Times New Roman" w:cs="Times New Roman"/>
                      <w:b/>
                      <w:color w:val="auto"/>
                      <w:kern w:val="21"/>
                      <w:szCs w:val="21"/>
                      <w:highlight w:val="none"/>
                    </w:rPr>
                  </w:pPr>
                  <w:r>
                    <w:rPr>
                      <w:rFonts w:hint="default" w:ascii="Times New Roman" w:hAnsi="Times New Roman" w:cs="Times New Roman"/>
                      <w:b/>
                      <w:color w:val="auto"/>
                      <w:kern w:val="21"/>
                      <w:szCs w:val="21"/>
                      <w:highlight w:val="none"/>
                    </w:rPr>
                    <w:t>贡献值</w:t>
                  </w:r>
                </w:p>
              </w:tc>
              <w:tc>
                <w:tcPr>
                  <w:tcW w:w="3422" w:type="dxa"/>
                  <w:tcBorders>
                    <w:tl2br w:val="nil"/>
                    <w:tr2bl w:val="nil"/>
                  </w:tcBorders>
                  <w:shd w:val="clear" w:color="auto" w:fill="auto"/>
                  <w:vAlign w:val="center"/>
                </w:tcPr>
                <w:p w14:paraId="2854C171">
                  <w:pPr>
                    <w:widowControl/>
                    <w:autoSpaceDE w:val="0"/>
                    <w:autoSpaceDN w:val="0"/>
                    <w:jc w:val="center"/>
                    <w:rPr>
                      <w:rFonts w:hint="default" w:ascii="Times New Roman" w:hAnsi="Times New Roman" w:cs="Times New Roman"/>
                      <w:color w:val="auto"/>
                      <w:kern w:val="21"/>
                      <w:szCs w:val="21"/>
                      <w:highlight w:val="none"/>
                    </w:rPr>
                  </w:pPr>
                  <w:r>
                    <w:rPr>
                      <w:rFonts w:hint="default" w:ascii="Times New Roman" w:hAnsi="Times New Roman" w:cs="Times New Roman"/>
                      <w:b/>
                      <w:bCs/>
                      <w:color w:val="auto"/>
                      <w:kern w:val="21"/>
                      <w:szCs w:val="21"/>
                      <w:highlight w:val="none"/>
                    </w:rPr>
                    <w:t>标准限值</w:t>
                  </w:r>
                </w:p>
              </w:tc>
            </w:tr>
            <w:tr w14:paraId="1D07CF0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57" w:type="dxa"/>
                  <w:bottom w:w="0" w:type="dxa"/>
                  <w:right w:w="57" w:type="dxa"/>
                </w:tblCellMar>
              </w:tblPrEx>
              <w:trPr>
                <w:trHeight w:val="227" w:hRule="atLeast"/>
                <w:jc w:val="center"/>
              </w:trPr>
              <w:tc>
                <w:tcPr>
                  <w:tcW w:w="1212" w:type="dxa"/>
                  <w:tcBorders>
                    <w:tl2br w:val="nil"/>
                    <w:tr2bl w:val="nil"/>
                  </w:tcBorders>
                  <w:shd w:val="clear" w:color="auto" w:fill="auto"/>
                  <w:vAlign w:val="center"/>
                </w:tcPr>
                <w:p w14:paraId="651C56A9">
                  <w:pPr>
                    <w:spacing w:line="0" w:lineRule="atLeast"/>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szCs w:val="21"/>
                      <w:highlight w:val="none"/>
                    </w:rPr>
                    <w:t>东</w:t>
                  </w:r>
                </w:p>
              </w:tc>
              <w:tc>
                <w:tcPr>
                  <w:tcW w:w="1851" w:type="dxa"/>
                  <w:tcBorders>
                    <w:tl2br w:val="nil"/>
                    <w:tr2bl w:val="nil"/>
                  </w:tcBorders>
                  <w:shd w:val="clear" w:color="auto" w:fill="auto"/>
                  <w:vAlign w:val="center"/>
                </w:tcPr>
                <w:p w14:paraId="5A12E0C9">
                  <w:pPr>
                    <w:widowControl/>
                    <w:autoSpaceDE w:val="0"/>
                    <w:autoSpaceDN w:val="0"/>
                    <w:adjustRightInd w:val="0"/>
                    <w:snapToGrid w:val="0"/>
                    <w:jc w:val="center"/>
                    <w:rPr>
                      <w:rFonts w:hint="default" w:ascii="Times New Roman" w:hAnsi="Times New Roman" w:cs="Times New Roman"/>
                      <w:b/>
                      <w:color w:val="auto"/>
                      <w:kern w:val="21"/>
                      <w:szCs w:val="21"/>
                      <w:highlight w:val="none"/>
                    </w:rPr>
                  </w:pPr>
                  <w:r>
                    <w:rPr>
                      <w:rFonts w:hint="default" w:ascii="Times New Roman" w:hAnsi="Times New Roman" w:cs="Times New Roman"/>
                      <w:color w:val="auto"/>
                      <w:szCs w:val="21"/>
                      <w:highlight w:val="none"/>
                    </w:rPr>
                    <w:t>昼间</w:t>
                  </w:r>
                </w:p>
              </w:tc>
              <w:tc>
                <w:tcPr>
                  <w:tcW w:w="1433" w:type="dxa"/>
                  <w:tcBorders>
                    <w:tl2br w:val="nil"/>
                    <w:tr2bl w:val="nil"/>
                  </w:tcBorders>
                  <w:shd w:val="clear" w:color="auto" w:fill="auto"/>
                  <w:vAlign w:val="center"/>
                </w:tcPr>
                <w:p w14:paraId="05729036">
                  <w:pPr>
                    <w:widowControl/>
                    <w:autoSpaceDE w:val="0"/>
                    <w:autoSpaceDN w:val="0"/>
                    <w:adjustRightInd w:val="0"/>
                    <w:snapToGrid w:val="0"/>
                    <w:jc w:val="center"/>
                    <w:rPr>
                      <w:rFonts w:hint="default" w:ascii="Times New Roman" w:hAnsi="Times New Roman" w:eastAsia="宋体" w:cs="Times New Roman"/>
                      <w:bCs/>
                      <w:color w:val="auto"/>
                      <w:kern w:val="21"/>
                      <w:szCs w:val="21"/>
                      <w:highlight w:val="none"/>
                      <w:lang w:val="en-US" w:eastAsia="zh-CN"/>
                    </w:rPr>
                  </w:pPr>
                  <w:r>
                    <w:rPr>
                      <w:rFonts w:hint="default" w:ascii="Times New Roman" w:hAnsi="Times New Roman" w:cs="Times New Roman"/>
                      <w:bCs/>
                      <w:color w:val="auto"/>
                      <w:kern w:val="21"/>
                      <w:szCs w:val="21"/>
                      <w:highlight w:val="none"/>
                      <w:lang w:val="en-US" w:eastAsia="zh-CN"/>
                    </w:rPr>
                    <w:t>5</w:t>
                  </w:r>
                  <w:r>
                    <w:rPr>
                      <w:rFonts w:hint="eastAsia" w:ascii="Times New Roman" w:hAnsi="Times New Roman" w:cs="Times New Roman"/>
                      <w:bCs/>
                      <w:color w:val="auto"/>
                      <w:kern w:val="21"/>
                      <w:szCs w:val="21"/>
                      <w:highlight w:val="none"/>
                      <w:lang w:val="en-US" w:eastAsia="zh-CN"/>
                    </w:rPr>
                    <w:t>1.80</w:t>
                  </w:r>
                </w:p>
              </w:tc>
              <w:tc>
                <w:tcPr>
                  <w:tcW w:w="3422" w:type="dxa"/>
                  <w:vMerge w:val="restart"/>
                  <w:tcBorders>
                    <w:tl2br w:val="nil"/>
                    <w:tr2bl w:val="nil"/>
                  </w:tcBorders>
                  <w:shd w:val="clear" w:color="auto" w:fill="auto"/>
                  <w:vAlign w:val="center"/>
                </w:tcPr>
                <w:p w14:paraId="002CE8EA">
                  <w:pPr>
                    <w:widowControl/>
                    <w:autoSpaceDE w:val="0"/>
                    <w:autoSpaceDN w:val="0"/>
                    <w:adjustRightInd w:val="0"/>
                    <w:snapToGrid w:val="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sz w:val="21"/>
                      <w:szCs w:val="21"/>
                      <w:highlight w:val="none"/>
                    </w:rPr>
                    <w:t>噪声满足《工业企业厂界环境噪声排放标准》（GB12348-2008）</w:t>
                  </w:r>
                  <w:r>
                    <w:rPr>
                      <w:rFonts w:hint="default" w:ascii="Times New Roman" w:hAnsi="Times New Roman" w:cs="Times New Roman"/>
                      <w:color w:val="auto"/>
                      <w:sz w:val="21"/>
                      <w:szCs w:val="21"/>
                      <w:highlight w:val="none"/>
                      <w:lang w:val="en-US" w:eastAsia="zh-CN"/>
                    </w:rPr>
                    <w:t>3类</w:t>
                  </w:r>
                  <w:r>
                    <w:rPr>
                      <w:rFonts w:hint="default" w:ascii="Times New Roman" w:hAnsi="Times New Roman" w:cs="Times New Roman"/>
                      <w:color w:val="auto"/>
                      <w:sz w:val="21"/>
                      <w:szCs w:val="21"/>
                      <w:highlight w:val="none"/>
                    </w:rPr>
                    <w:t>标准要求</w:t>
                  </w:r>
                </w:p>
              </w:tc>
            </w:tr>
            <w:tr w14:paraId="1214559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57" w:type="dxa"/>
                  <w:bottom w:w="0" w:type="dxa"/>
                  <w:right w:w="57" w:type="dxa"/>
                </w:tblCellMar>
              </w:tblPrEx>
              <w:trPr>
                <w:trHeight w:val="227" w:hRule="atLeast"/>
                <w:jc w:val="center"/>
              </w:trPr>
              <w:tc>
                <w:tcPr>
                  <w:tcW w:w="1212" w:type="dxa"/>
                  <w:tcBorders>
                    <w:tl2br w:val="nil"/>
                    <w:tr2bl w:val="nil"/>
                  </w:tcBorders>
                  <w:shd w:val="clear" w:color="auto" w:fill="auto"/>
                  <w:vAlign w:val="center"/>
                </w:tcPr>
                <w:p w14:paraId="1ED65638">
                  <w:pPr>
                    <w:spacing w:line="0" w:lineRule="atLeast"/>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szCs w:val="21"/>
                      <w:highlight w:val="none"/>
                    </w:rPr>
                    <w:t>南</w:t>
                  </w:r>
                </w:p>
              </w:tc>
              <w:tc>
                <w:tcPr>
                  <w:tcW w:w="1851" w:type="dxa"/>
                  <w:tcBorders>
                    <w:tl2br w:val="nil"/>
                    <w:tr2bl w:val="nil"/>
                  </w:tcBorders>
                  <w:shd w:val="clear" w:color="auto" w:fill="auto"/>
                  <w:vAlign w:val="center"/>
                </w:tcPr>
                <w:p w14:paraId="473214EF">
                  <w:pPr>
                    <w:widowControl/>
                    <w:autoSpaceDE w:val="0"/>
                    <w:autoSpaceDN w:val="0"/>
                    <w:adjustRightInd w:val="0"/>
                    <w:snapToGrid w:val="0"/>
                    <w:jc w:val="center"/>
                    <w:rPr>
                      <w:rFonts w:hint="default" w:ascii="Times New Roman" w:hAnsi="Times New Roman" w:cs="Times New Roman"/>
                      <w:b/>
                      <w:color w:val="auto"/>
                      <w:kern w:val="21"/>
                      <w:szCs w:val="21"/>
                      <w:highlight w:val="none"/>
                    </w:rPr>
                  </w:pPr>
                  <w:r>
                    <w:rPr>
                      <w:rFonts w:hint="default" w:ascii="Times New Roman" w:hAnsi="Times New Roman" w:cs="Times New Roman"/>
                      <w:color w:val="auto"/>
                      <w:szCs w:val="21"/>
                      <w:highlight w:val="none"/>
                    </w:rPr>
                    <w:t>昼间</w:t>
                  </w:r>
                </w:p>
              </w:tc>
              <w:tc>
                <w:tcPr>
                  <w:tcW w:w="1433" w:type="dxa"/>
                  <w:tcBorders>
                    <w:tl2br w:val="nil"/>
                    <w:tr2bl w:val="nil"/>
                  </w:tcBorders>
                  <w:shd w:val="clear" w:color="auto" w:fill="auto"/>
                  <w:vAlign w:val="center"/>
                </w:tcPr>
                <w:p w14:paraId="1218051A">
                  <w:pPr>
                    <w:widowControl/>
                    <w:autoSpaceDE w:val="0"/>
                    <w:autoSpaceDN w:val="0"/>
                    <w:adjustRightInd w:val="0"/>
                    <w:snapToGrid w:val="0"/>
                    <w:jc w:val="center"/>
                    <w:rPr>
                      <w:rFonts w:hint="default" w:ascii="Times New Roman" w:hAnsi="Times New Roman" w:eastAsia="宋体" w:cs="Times New Roman"/>
                      <w:bCs/>
                      <w:color w:val="auto"/>
                      <w:kern w:val="21"/>
                      <w:szCs w:val="21"/>
                      <w:highlight w:val="none"/>
                      <w:lang w:val="en-US" w:eastAsia="zh-CN"/>
                    </w:rPr>
                  </w:pPr>
                  <w:r>
                    <w:rPr>
                      <w:rFonts w:hint="default" w:ascii="Times New Roman" w:hAnsi="Times New Roman" w:cs="Times New Roman"/>
                      <w:bCs/>
                      <w:color w:val="auto"/>
                      <w:kern w:val="21"/>
                      <w:szCs w:val="21"/>
                      <w:highlight w:val="none"/>
                      <w:lang w:val="en-US" w:eastAsia="zh-CN"/>
                    </w:rPr>
                    <w:t>5</w:t>
                  </w:r>
                  <w:r>
                    <w:rPr>
                      <w:rFonts w:hint="eastAsia" w:ascii="Times New Roman" w:hAnsi="Times New Roman" w:cs="Times New Roman"/>
                      <w:bCs/>
                      <w:color w:val="auto"/>
                      <w:kern w:val="21"/>
                      <w:szCs w:val="21"/>
                      <w:highlight w:val="none"/>
                      <w:lang w:val="en-US" w:eastAsia="zh-CN"/>
                    </w:rPr>
                    <w:t>2.54</w:t>
                  </w:r>
                </w:p>
              </w:tc>
              <w:tc>
                <w:tcPr>
                  <w:tcW w:w="3422" w:type="dxa"/>
                  <w:vMerge w:val="continue"/>
                  <w:tcBorders>
                    <w:tl2br w:val="nil"/>
                    <w:tr2bl w:val="nil"/>
                  </w:tcBorders>
                  <w:shd w:val="clear" w:color="auto" w:fill="auto"/>
                  <w:vAlign w:val="center"/>
                </w:tcPr>
                <w:p w14:paraId="04DDCAE3">
                  <w:pPr>
                    <w:widowControl/>
                    <w:autoSpaceDE w:val="0"/>
                    <w:autoSpaceDN w:val="0"/>
                    <w:adjustRightInd w:val="0"/>
                    <w:snapToGrid w:val="0"/>
                    <w:jc w:val="center"/>
                    <w:rPr>
                      <w:rFonts w:hint="default" w:ascii="Times New Roman" w:hAnsi="Times New Roman" w:cs="Times New Roman"/>
                      <w:color w:val="auto"/>
                      <w:kern w:val="21"/>
                      <w:szCs w:val="21"/>
                      <w:highlight w:val="none"/>
                    </w:rPr>
                  </w:pPr>
                </w:p>
              </w:tc>
            </w:tr>
            <w:tr w14:paraId="5100028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57" w:type="dxa"/>
                  <w:bottom w:w="0" w:type="dxa"/>
                  <w:right w:w="57" w:type="dxa"/>
                </w:tblCellMar>
              </w:tblPrEx>
              <w:trPr>
                <w:trHeight w:val="227" w:hRule="atLeast"/>
                <w:jc w:val="center"/>
              </w:trPr>
              <w:tc>
                <w:tcPr>
                  <w:tcW w:w="1212" w:type="dxa"/>
                  <w:tcBorders>
                    <w:tl2br w:val="nil"/>
                    <w:tr2bl w:val="nil"/>
                  </w:tcBorders>
                  <w:shd w:val="clear" w:color="auto" w:fill="auto"/>
                  <w:vAlign w:val="center"/>
                </w:tcPr>
                <w:p w14:paraId="5AF445BC">
                  <w:pPr>
                    <w:spacing w:line="0" w:lineRule="atLeast"/>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szCs w:val="21"/>
                      <w:highlight w:val="none"/>
                    </w:rPr>
                    <w:t>西</w:t>
                  </w:r>
                </w:p>
              </w:tc>
              <w:tc>
                <w:tcPr>
                  <w:tcW w:w="1851" w:type="dxa"/>
                  <w:tcBorders>
                    <w:tl2br w:val="nil"/>
                    <w:tr2bl w:val="nil"/>
                  </w:tcBorders>
                  <w:shd w:val="clear" w:color="auto" w:fill="auto"/>
                  <w:vAlign w:val="center"/>
                </w:tcPr>
                <w:p w14:paraId="5610EBC8">
                  <w:pPr>
                    <w:widowControl/>
                    <w:autoSpaceDE w:val="0"/>
                    <w:autoSpaceDN w:val="0"/>
                    <w:adjustRightInd w:val="0"/>
                    <w:snapToGrid w:val="0"/>
                    <w:jc w:val="center"/>
                    <w:rPr>
                      <w:rFonts w:hint="default" w:ascii="Times New Roman" w:hAnsi="Times New Roman" w:cs="Times New Roman"/>
                      <w:b/>
                      <w:color w:val="auto"/>
                      <w:kern w:val="21"/>
                      <w:szCs w:val="21"/>
                      <w:highlight w:val="none"/>
                    </w:rPr>
                  </w:pPr>
                  <w:r>
                    <w:rPr>
                      <w:rFonts w:hint="default" w:ascii="Times New Roman" w:hAnsi="Times New Roman" w:cs="Times New Roman"/>
                      <w:color w:val="auto"/>
                      <w:szCs w:val="21"/>
                      <w:highlight w:val="none"/>
                    </w:rPr>
                    <w:t>昼间</w:t>
                  </w:r>
                </w:p>
              </w:tc>
              <w:tc>
                <w:tcPr>
                  <w:tcW w:w="1433" w:type="dxa"/>
                  <w:tcBorders>
                    <w:tl2br w:val="nil"/>
                    <w:tr2bl w:val="nil"/>
                  </w:tcBorders>
                  <w:shd w:val="clear" w:color="auto" w:fill="auto"/>
                  <w:vAlign w:val="center"/>
                </w:tcPr>
                <w:p w14:paraId="18FDC9ED">
                  <w:pPr>
                    <w:widowControl/>
                    <w:autoSpaceDE w:val="0"/>
                    <w:autoSpaceDN w:val="0"/>
                    <w:adjustRightInd w:val="0"/>
                    <w:snapToGrid w:val="0"/>
                    <w:jc w:val="center"/>
                    <w:rPr>
                      <w:rFonts w:hint="default" w:ascii="Times New Roman" w:hAnsi="Times New Roman" w:eastAsia="宋体" w:cs="Times New Roman"/>
                      <w:bCs/>
                      <w:color w:val="auto"/>
                      <w:kern w:val="21"/>
                      <w:szCs w:val="21"/>
                      <w:highlight w:val="none"/>
                      <w:lang w:val="en-US" w:eastAsia="zh-CN"/>
                    </w:rPr>
                  </w:pPr>
                  <w:r>
                    <w:rPr>
                      <w:rFonts w:hint="default" w:ascii="Times New Roman" w:hAnsi="Times New Roman" w:cs="Times New Roman"/>
                      <w:bCs/>
                      <w:color w:val="auto"/>
                      <w:kern w:val="21"/>
                      <w:szCs w:val="21"/>
                      <w:highlight w:val="none"/>
                      <w:lang w:val="en-US" w:eastAsia="zh-CN"/>
                    </w:rPr>
                    <w:t>4</w:t>
                  </w:r>
                  <w:r>
                    <w:rPr>
                      <w:rFonts w:hint="eastAsia" w:ascii="Times New Roman" w:hAnsi="Times New Roman" w:cs="Times New Roman"/>
                      <w:bCs/>
                      <w:color w:val="auto"/>
                      <w:kern w:val="21"/>
                      <w:szCs w:val="21"/>
                      <w:highlight w:val="none"/>
                      <w:lang w:val="en-US" w:eastAsia="zh-CN"/>
                    </w:rPr>
                    <w:t>5.59</w:t>
                  </w:r>
                </w:p>
              </w:tc>
              <w:tc>
                <w:tcPr>
                  <w:tcW w:w="3422" w:type="dxa"/>
                  <w:vMerge w:val="continue"/>
                  <w:tcBorders>
                    <w:tl2br w:val="nil"/>
                    <w:tr2bl w:val="nil"/>
                  </w:tcBorders>
                  <w:shd w:val="clear" w:color="auto" w:fill="auto"/>
                  <w:vAlign w:val="center"/>
                </w:tcPr>
                <w:p w14:paraId="44E9CCC7">
                  <w:pPr>
                    <w:widowControl/>
                    <w:autoSpaceDE w:val="0"/>
                    <w:autoSpaceDN w:val="0"/>
                    <w:adjustRightInd w:val="0"/>
                    <w:snapToGrid w:val="0"/>
                    <w:jc w:val="center"/>
                    <w:rPr>
                      <w:rFonts w:hint="default" w:ascii="Times New Roman" w:hAnsi="Times New Roman" w:cs="Times New Roman"/>
                      <w:color w:val="auto"/>
                      <w:kern w:val="21"/>
                      <w:szCs w:val="21"/>
                      <w:highlight w:val="none"/>
                    </w:rPr>
                  </w:pPr>
                </w:p>
              </w:tc>
            </w:tr>
            <w:tr w14:paraId="04B1E02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57" w:type="dxa"/>
                  <w:bottom w:w="0" w:type="dxa"/>
                  <w:right w:w="57" w:type="dxa"/>
                </w:tblCellMar>
              </w:tblPrEx>
              <w:trPr>
                <w:trHeight w:val="227" w:hRule="atLeast"/>
                <w:jc w:val="center"/>
              </w:trPr>
              <w:tc>
                <w:tcPr>
                  <w:tcW w:w="1212" w:type="dxa"/>
                  <w:tcBorders>
                    <w:tl2br w:val="nil"/>
                    <w:tr2bl w:val="nil"/>
                  </w:tcBorders>
                  <w:shd w:val="clear" w:color="auto" w:fill="auto"/>
                  <w:vAlign w:val="center"/>
                </w:tcPr>
                <w:p w14:paraId="03032550">
                  <w:pPr>
                    <w:spacing w:line="0" w:lineRule="atLeast"/>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szCs w:val="21"/>
                      <w:highlight w:val="none"/>
                    </w:rPr>
                    <w:t>北</w:t>
                  </w:r>
                </w:p>
              </w:tc>
              <w:tc>
                <w:tcPr>
                  <w:tcW w:w="1851" w:type="dxa"/>
                  <w:tcBorders>
                    <w:tl2br w:val="nil"/>
                    <w:tr2bl w:val="nil"/>
                  </w:tcBorders>
                  <w:shd w:val="clear" w:color="auto" w:fill="auto"/>
                  <w:vAlign w:val="center"/>
                </w:tcPr>
                <w:p w14:paraId="27E0A91D">
                  <w:pPr>
                    <w:widowControl/>
                    <w:autoSpaceDE w:val="0"/>
                    <w:autoSpaceDN w:val="0"/>
                    <w:adjustRightInd w:val="0"/>
                    <w:snapToGrid w:val="0"/>
                    <w:jc w:val="center"/>
                    <w:rPr>
                      <w:rFonts w:hint="default" w:ascii="Times New Roman" w:hAnsi="Times New Roman" w:cs="Times New Roman"/>
                      <w:b/>
                      <w:color w:val="auto"/>
                      <w:kern w:val="21"/>
                      <w:szCs w:val="21"/>
                      <w:highlight w:val="none"/>
                    </w:rPr>
                  </w:pPr>
                  <w:r>
                    <w:rPr>
                      <w:rFonts w:hint="default" w:ascii="Times New Roman" w:hAnsi="Times New Roman" w:cs="Times New Roman"/>
                      <w:color w:val="auto"/>
                      <w:szCs w:val="21"/>
                      <w:highlight w:val="none"/>
                    </w:rPr>
                    <w:t>昼间</w:t>
                  </w:r>
                </w:p>
              </w:tc>
              <w:tc>
                <w:tcPr>
                  <w:tcW w:w="1433" w:type="dxa"/>
                  <w:tcBorders>
                    <w:tl2br w:val="nil"/>
                    <w:tr2bl w:val="nil"/>
                  </w:tcBorders>
                  <w:shd w:val="clear" w:color="auto" w:fill="auto"/>
                  <w:vAlign w:val="center"/>
                </w:tcPr>
                <w:p w14:paraId="3C8501A3">
                  <w:pPr>
                    <w:widowControl/>
                    <w:autoSpaceDE w:val="0"/>
                    <w:autoSpaceDN w:val="0"/>
                    <w:adjustRightInd w:val="0"/>
                    <w:snapToGrid w:val="0"/>
                    <w:jc w:val="center"/>
                    <w:rPr>
                      <w:rFonts w:hint="default" w:ascii="Times New Roman" w:hAnsi="Times New Roman" w:eastAsia="宋体" w:cs="Times New Roman"/>
                      <w:bCs/>
                      <w:color w:val="auto"/>
                      <w:kern w:val="21"/>
                      <w:szCs w:val="21"/>
                      <w:highlight w:val="none"/>
                      <w:lang w:val="en-US" w:eastAsia="zh-CN"/>
                    </w:rPr>
                  </w:pPr>
                  <w:r>
                    <w:rPr>
                      <w:rFonts w:hint="default" w:ascii="Times New Roman" w:hAnsi="Times New Roman" w:cs="Times New Roman"/>
                      <w:bCs/>
                      <w:color w:val="auto"/>
                      <w:kern w:val="21"/>
                      <w:szCs w:val="21"/>
                      <w:highlight w:val="none"/>
                      <w:lang w:val="en-US" w:eastAsia="zh-CN"/>
                    </w:rPr>
                    <w:t>4</w:t>
                  </w:r>
                  <w:r>
                    <w:rPr>
                      <w:rFonts w:hint="eastAsia" w:ascii="Times New Roman" w:hAnsi="Times New Roman" w:cs="Times New Roman"/>
                      <w:bCs/>
                      <w:color w:val="auto"/>
                      <w:kern w:val="21"/>
                      <w:szCs w:val="21"/>
                      <w:highlight w:val="none"/>
                      <w:lang w:val="en-US" w:eastAsia="zh-CN"/>
                    </w:rPr>
                    <w:t>7.15</w:t>
                  </w:r>
                </w:p>
              </w:tc>
              <w:tc>
                <w:tcPr>
                  <w:tcW w:w="3422" w:type="dxa"/>
                  <w:vMerge w:val="continue"/>
                  <w:tcBorders>
                    <w:tl2br w:val="nil"/>
                    <w:tr2bl w:val="nil"/>
                  </w:tcBorders>
                  <w:shd w:val="clear" w:color="auto" w:fill="auto"/>
                  <w:vAlign w:val="center"/>
                </w:tcPr>
                <w:p w14:paraId="0F3A9D83">
                  <w:pPr>
                    <w:widowControl/>
                    <w:autoSpaceDE w:val="0"/>
                    <w:autoSpaceDN w:val="0"/>
                    <w:adjustRightInd w:val="0"/>
                    <w:snapToGrid w:val="0"/>
                    <w:jc w:val="center"/>
                    <w:rPr>
                      <w:rFonts w:hint="default" w:ascii="Times New Roman" w:hAnsi="Times New Roman" w:cs="Times New Roman"/>
                      <w:color w:val="auto"/>
                      <w:kern w:val="21"/>
                      <w:szCs w:val="21"/>
                      <w:highlight w:val="none"/>
                    </w:rPr>
                  </w:pPr>
                </w:p>
              </w:tc>
            </w:tr>
          </w:tbl>
          <w:p w14:paraId="02DED360">
            <w:pPr>
              <w:keepNext w:val="0"/>
              <w:keepLines w:val="0"/>
              <w:pageBreakBefore w:val="0"/>
              <w:kinsoku/>
              <w:wordWrap/>
              <w:overflowPunct/>
              <w:topLinePunct w:val="0"/>
              <w:autoSpaceDE/>
              <w:autoSpaceDN/>
              <w:bidi w:val="0"/>
              <w:adjustRightInd/>
              <w:spacing w:line="360" w:lineRule="auto"/>
              <w:ind w:firstLine="480" w:firstLineChars="200"/>
              <w:jc w:val="both"/>
              <w:textAlignment w:val="auto"/>
              <w:outlineLvl w:val="3"/>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由上表预测结果可以看出，本项目</w:t>
            </w:r>
            <w:r>
              <w:rPr>
                <w:rFonts w:hint="eastAsia" w:cs="Times New Roman"/>
                <w:color w:val="auto"/>
                <w:kern w:val="2"/>
                <w:sz w:val="24"/>
                <w:szCs w:val="24"/>
                <w:highlight w:val="none"/>
                <w:lang w:val="en-US" w:eastAsia="zh-CN" w:bidi="ar-SA"/>
              </w:rPr>
              <w:t>厂界</w:t>
            </w:r>
            <w:r>
              <w:rPr>
                <w:rFonts w:hint="default" w:ascii="Times New Roman" w:hAnsi="Times New Roman" w:eastAsia="宋体" w:cs="Times New Roman"/>
                <w:color w:val="auto"/>
                <w:kern w:val="2"/>
                <w:sz w:val="24"/>
                <w:szCs w:val="24"/>
                <w:highlight w:val="none"/>
                <w:lang w:val="en-US" w:eastAsia="zh-CN" w:bidi="ar-SA"/>
              </w:rPr>
              <w:t>噪声满足《工业企业厂界环境噪声排放标准》（GB12348-2008）3类标准，本项目设计采取</w:t>
            </w:r>
            <w:r>
              <w:rPr>
                <w:rFonts w:hint="eastAsia" w:cs="Times New Roman"/>
                <w:color w:val="auto"/>
                <w:kern w:val="2"/>
                <w:sz w:val="24"/>
                <w:szCs w:val="24"/>
                <w:highlight w:val="none"/>
                <w:lang w:val="en-US" w:eastAsia="zh-CN" w:bidi="ar-SA"/>
              </w:rPr>
              <w:t>选购</w:t>
            </w:r>
            <w:r>
              <w:rPr>
                <w:rFonts w:hint="default" w:ascii="Times New Roman" w:hAnsi="Times New Roman" w:eastAsia="宋体" w:cs="Times New Roman"/>
                <w:color w:val="auto"/>
                <w:kern w:val="2"/>
                <w:sz w:val="24"/>
                <w:szCs w:val="24"/>
                <w:highlight w:val="none"/>
                <w:lang w:val="en-US" w:eastAsia="zh-CN" w:bidi="ar-SA"/>
              </w:rPr>
              <w:t>低噪设备、距离衰减、夜间不作业</w:t>
            </w:r>
            <w:r>
              <w:rPr>
                <w:rFonts w:hint="eastAsia" w:cs="Times New Roman"/>
                <w:color w:val="auto"/>
                <w:kern w:val="2"/>
                <w:sz w:val="24"/>
                <w:szCs w:val="24"/>
                <w:highlight w:val="none"/>
                <w:lang w:val="en-US" w:eastAsia="zh-CN" w:bidi="ar-SA"/>
              </w:rPr>
              <w:t>等</w:t>
            </w:r>
            <w:r>
              <w:rPr>
                <w:rFonts w:hint="default" w:ascii="Times New Roman" w:hAnsi="Times New Roman" w:eastAsia="宋体" w:cs="Times New Roman"/>
                <w:color w:val="auto"/>
                <w:kern w:val="2"/>
                <w:sz w:val="24"/>
                <w:szCs w:val="24"/>
                <w:highlight w:val="none"/>
                <w:lang w:val="en-US" w:eastAsia="zh-CN" w:bidi="ar-SA"/>
              </w:rPr>
              <w:t>措施。采取这些减噪措施后，运行期间噪声对外环境的影响很小，不会改变项目所在地声环境质量状况。</w:t>
            </w:r>
          </w:p>
          <w:p w14:paraId="241D722C">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噪声监测计划</w:t>
            </w:r>
          </w:p>
          <w:p w14:paraId="6B07E020">
            <w:pPr>
              <w:spacing w:line="360" w:lineRule="auto"/>
              <w:ind w:firstLine="480" w:firstLineChars="200"/>
              <w:jc w:val="both"/>
              <w:rPr>
                <w:rFonts w:hint="default" w:ascii="Times New Roman" w:hAnsi="Times New Roman" w:cs="Times New Roman"/>
                <w:b/>
                <w:color w:val="auto"/>
                <w:szCs w:val="21"/>
                <w:highlight w:val="none"/>
              </w:rPr>
            </w:pPr>
            <w:r>
              <w:rPr>
                <w:rFonts w:hint="default" w:ascii="Times New Roman" w:hAnsi="Times New Roman" w:cs="Times New Roman"/>
                <w:color w:val="auto"/>
                <w:sz w:val="24"/>
                <w:highlight w:val="none"/>
              </w:rPr>
              <w:t xml:space="preserve">根据《排污单位自行监测技术指南 总则》（HJ819-2017），本项目噪声监测计划如下： </w:t>
            </w:r>
          </w:p>
          <w:p w14:paraId="67D358A8">
            <w:pPr>
              <w:adjustRightInd w:val="0"/>
              <w:snapToGrid w:val="0"/>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default" w:ascii="Times New Roman" w:hAnsi="Times New Roman" w:cs="Times New Roman"/>
                <w:b/>
                <w:color w:val="auto"/>
                <w:szCs w:val="21"/>
                <w:highlight w:val="none"/>
                <w:lang w:val="en-US" w:eastAsia="zh-CN"/>
              </w:rPr>
              <w:t>-</w:t>
            </w:r>
            <w:r>
              <w:rPr>
                <w:rFonts w:hint="eastAsia" w:ascii="Times New Roman" w:hAnsi="Times New Roman" w:cs="Times New Roman"/>
                <w:b/>
                <w:color w:val="auto"/>
                <w:szCs w:val="21"/>
                <w:highlight w:val="none"/>
                <w:lang w:val="en-US" w:eastAsia="zh-CN"/>
              </w:rPr>
              <w:t>5</w:t>
            </w:r>
            <w:r>
              <w:rPr>
                <w:rFonts w:hint="default" w:ascii="Times New Roman" w:hAnsi="Times New Roman" w:cs="Times New Roman"/>
                <w:b/>
                <w:color w:val="auto"/>
                <w:szCs w:val="21"/>
                <w:highlight w:val="none"/>
              </w:rPr>
              <w:t xml:space="preserve"> 监测要求</w:t>
            </w:r>
          </w:p>
          <w:tbl>
            <w:tblPr>
              <w:tblStyle w:val="31"/>
              <w:tblW w:w="79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311"/>
              <w:gridCol w:w="1200"/>
              <w:gridCol w:w="1179"/>
              <w:gridCol w:w="3427"/>
            </w:tblGrid>
            <w:tr w14:paraId="5BEAE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01" w:type="dxa"/>
                  <w:vAlign w:val="center"/>
                </w:tcPr>
                <w:p w14:paraId="3F377EC7">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类别</w:t>
                  </w:r>
                </w:p>
              </w:tc>
              <w:tc>
                <w:tcPr>
                  <w:tcW w:w="1311" w:type="dxa"/>
                  <w:vAlign w:val="center"/>
                </w:tcPr>
                <w:p w14:paraId="08430967">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监测点位</w:t>
                  </w:r>
                </w:p>
              </w:tc>
              <w:tc>
                <w:tcPr>
                  <w:tcW w:w="1200" w:type="dxa"/>
                  <w:vAlign w:val="center"/>
                </w:tcPr>
                <w:p w14:paraId="50D89405">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监测指标</w:t>
                  </w:r>
                </w:p>
              </w:tc>
              <w:tc>
                <w:tcPr>
                  <w:tcW w:w="1179" w:type="dxa"/>
                  <w:vAlign w:val="center"/>
                </w:tcPr>
                <w:p w14:paraId="45814DDB">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监测频次</w:t>
                  </w:r>
                </w:p>
              </w:tc>
              <w:tc>
                <w:tcPr>
                  <w:tcW w:w="3427" w:type="dxa"/>
                  <w:vAlign w:val="center"/>
                </w:tcPr>
                <w:p w14:paraId="3693C7E9">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执行排放标准</w:t>
                  </w:r>
                </w:p>
              </w:tc>
            </w:tr>
            <w:tr w14:paraId="7D718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01" w:type="dxa"/>
                  <w:vAlign w:val="center"/>
                </w:tcPr>
                <w:p w14:paraId="6BE1511C">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1311" w:type="dxa"/>
                  <w:vAlign w:val="center"/>
                </w:tcPr>
                <w:p w14:paraId="74B0F14A">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厂界</w:t>
                  </w:r>
                  <w:r>
                    <w:rPr>
                      <w:rFonts w:hint="default" w:ascii="Times New Roman" w:hAnsi="Times New Roman" w:cs="Times New Roman"/>
                      <w:color w:val="auto"/>
                      <w:szCs w:val="21"/>
                      <w:highlight w:val="none"/>
                      <w:lang w:eastAsia="zh-CN"/>
                    </w:rPr>
                    <w:t>四周</w:t>
                  </w:r>
                </w:p>
              </w:tc>
              <w:tc>
                <w:tcPr>
                  <w:tcW w:w="1200" w:type="dxa"/>
                  <w:vAlign w:val="center"/>
                </w:tcPr>
                <w:p w14:paraId="5C858992">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Leq（A）</w:t>
                  </w:r>
                </w:p>
              </w:tc>
              <w:tc>
                <w:tcPr>
                  <w:tcW w:w="1179" w:type="dxa"/>
                  <w:vAlign w:val="center"/>
                </w:tcPr>
                <w:p w14:paraId="2A6DFE61">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w:t>
                  </w:r>
                  <w:r>
                    <w:rPr>
                      <w:rFonts w:hint="default" w:ascii="Times New Roman" w:hAnsi="Times New Roman" w:eastAsia="宋体" w:cs="Times New Roman"/>
                      <w:color w:val="auto"/>
                      <w:szCs w:val="21"/>
                      <w:highlight w:val="none"/>
                    </w:rPr>
                    <w:t>季</w:t>
                  </w:r>
                  <w:r>
                    <w:rPr>
                      <w:rFonts w:hint="eastAsia" w:ascii="Times New Roman" w:hAnsi="Times New Roman" w:eastAsia="宋体" w:cs="Times New Roman"/>
                      <w:color w:val="auto"/>
                      <w:szCs w:val="21"/>
                      <w:highlight w:val="none"/>
                      <w:lang w:eastAsia="zh-CN"/>
                    </w:rPr>
                    <w:t>（昼间监 测）</w:t>
                  </w:r>
                </w:p>
              </w:tc>
              <w:tc>
                <w:tcPr>
                  <w:tcW w:w="3427" w:type="dxa"/>
                  <w:vAlign w:val="center"/>
                </w:tcPr>
                <w:p w14:paraId="5190F8AC">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《工业企业厂界环境噪声排放标准》（GB12348-2008）</w:t>
                  </w:r>
                  <w:r>
                    <w:rPr>
                      <w:rFonts w:hint="default" w:ascii="Times New Roman" w:hAnsi="Times New Roman" w:cs="Times New Roman"/>
                      <w:color w:val="auto"/>
                      <w:szCs w:val="21"/>
                      <w:highlight w:val="none"/>
                      <w:lang w:val="en-US" w:eastAsia="zh-CN"/>
                    </w:rPr>
                    <w:t>3类</w:t>
                  </w:r>
                  <w:r>
                    <w:rPr>
                      <w:rFonts w:hint="default" w:ascii="Times New Roman" w:hAnsi="Times New Roman" w:cs="Times New Roman"/>
                      <w:color w:val="auto"/>
                      <w:szCs w:val="21"/>
                      <w:highlight w:val="none"/>
                    </w:rPr>
                    <w:t>标准</w:t>
                  </w:r>
                </w:p>
              </w:tc>
            </w:tr>
          </w:tbl>
          <w:p w14:paraId="646E6014">
            <w:pPr>
              <w:spacing w:line="360" w:lineRule="auto"/>
              <w:ind w:firstLine="482" w:firstLineChars="200"/>
              <w:jc w:val="both"/>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4、固体废物</w:t>
            </w:r>
          </w:p>
          <w:p w14:paraId="31B14565">
            <w:p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本项目产生的固体废物主要为生活垃圾</w:t>
            </w:r>
            <w:r>
              <w:rPr>
                <w:rFonts w:hint="eastAsia" w:cs="Times New Roman"/>
                <w:color w:val="auto"/>
                <w:sz w:val="24"/>
                <w:highlight w:val="none"/>
                <w:lang w:val="en-US" w:eastAsia="zh-CN"/>
              </w:rPr>
              <w:t>、沉淀煤泥、破损防风抑尘网和破损苫布</w:t>
            </w:r>
            <w:r>
              <w:rPr>
                <w:rFonts w:hint="default" w:ascii="Times New Roman" w:hAnsi="Times New Roman" w:eastAsia="宋体" w:cs="Times New Roman"/>
                <w:color w:val="auto"/>
                <w:sz w:val="24"/>
                <w:highlight w:val="none"/>
                <w:lang w:val="en-US" w:eastAsia="zh-CN"/>
              </w:rPr>
              <w:t>。</w:t>
            </w:r>
          </w:p>
          <w:p w14:paraId="326B7C9A">
            <w:pPr>
              <w:numPr>
                <w:ilvl w:val="0"/>
                <w:numId w:val="3"/>
              </w:num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固体废物产生及处置情况</w:t>
            </w:r>
          </w:p>
          <w:p w14:paraId="65455BE4">
            <w:p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生活垃圾</w:t>
            </w:r>
          </w:p>
          <w:p w14:paraId="654F4CDB">
            <w:p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生活垃圾产生量以0.5kg/人·d计</w:t>
            </w:r>
            <w:r>
              <w:rPr>
                <w:rFonts w:hint="default" w:ascii="Times New Roman" w:hAnsi="Times New Roman" w:eastAsia="宋体" w:cs="Times New Roman"/>
                <w:color w:val="auto"/>
                <w:sz w:val="24"/>
                <w:highlight w:val="none"/>
                <w:lang w:val="en-US" w:eastAsia="zh-CN"/>
              </w:rPr>
              <w:t>，项目劳动定员为</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人</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年工作300天。则运行期间全厂生活垃圾产生量为0.</w:t>
            </w:r>
            <w:r>
              <w:rPr>
                <w:rFonts w:hint="eastAsia" w:cs="Times New Roman"/>
                <w:color w:val="auto"/>
                <w:sz w:val="24"/>
                <w:highlight w:val="none"/>
                <w:lang w:val="en-US" w:eastAsia="zh-CN"/>
              </w:rPr>
              <w:t>12t</w:t>
            </w:r>
            <w:r>
              <w:rPr>
                <w:rFonts w:hint="default" w:ascii="Times New Roman" w:hAnsi="Times New Roman" w:eastAsia="宋体" w:cs="Times New Roman"/>
                <w:color w:val="auto"/>
                <w:sz w:val="24"/>
                <w:highlight w:val="none"/>
                <w:lang w:val="en-US" w:eastAsia="zh-CN"/>
              </w:rPr>
              <w:t>/a，厂区设置垃圾桶，员工生活垃圾暂存垃圾桶委托环卫部门统一处理。</w:t>
            </w:r>
          </w:p>
          <w:p w14:paraId="37B383B9">
            <w:pPr>
              <w:spacing w:line="360" w:lineRule="auto"/>
              <w:ind w:firstLine="480" w:firstLineChars="200"/>
              <w:jc w:val="both"/>
              <w:rPr>
                <w:rFonts w:hint="eastAsia" w:cs="Times New Roman"/>
                <w:color w:val="auto"/>
                <w:sz w:val="24"/>
                <w:highlight w:val="none"/>
                <w:lang w:val="en-US" w:eastAsia="zh-CN"/>
              </w:rPr>
            </w:pPr>
            <w:r>
              <w:rPr>
                <w:rFonts w:hint="eastAsia" w:cs="Times New Roman"/>
                <w:color w:val="auto"/>
                <w:sz w:val="24"/>
                <w:highlight w:val="none"/>
                <w:lang w:val="en-US" w:eastAsia="zh-CN"/>
              </w:rPr>
              <w:t>2）沉淀煤泥</w:t>
            </w:r>
          </w:p>
          <w:p w14:paraId="0A4A65AE">
            <w:pPr>
              <w:spacing w:line="360" w:lineRule="auto"/>
              <w:ind w:firstLine="480" w:firstLineChars="200"/>
              <w:jc w:val="both"/>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本项目设置</w:t>
            </w:r>
            <w:r>
              <w:rPr>
                <w:rFonts w:hint="eastAsia" w:cs="Times New Roman"/>
                <w:color w:val="auto"/>
                <w:kern w:val="0"/>
                <w:sz w:val="24"/>
                <w:szCs w:val="24"/>
                <w:highlight w:val="none"/>
                <w:lang w:val="en-US" w:eastAsia="zh-CN"/>
              </w:rPr>
              <w:t>初期雨水收集池</w:t>
            </w:r>
            <w:r>
              <w:rPr>
                <w:rFonts w:hint="eastAsia" w:ascii="Times New Roman" w:hAnsi="Times New Roman" w:eastAsia="宋体" w:cs="Times New Roman"/>
                <w:color w:val="auto"/>
                <w:kern w:val="0"/>
                <w:sz w:val="24"/>
                <w:szCs w:val="24"/>
                <w:highlight w:val="none"/>
                <w:lang w:val="en-US" w:eastAsia="zh-CN"/>
              </w:rPr>
              <w:t>，会产生沉淀煤泥，产生量约为</w:t>
            </w:r>
            <w:r>
              <w:rPr>
                <w:rFonts w:hint="eastAsia" w:cs="Times New Roman"/>
                <w:color w:val="auto"/>
                <w:kern w:val="0"/>
                <w:sz w:val="24"/>
                <w:szCs w:val="24"/>
                <w:highlight w:val="none"/>
                <w:lang w:val="en-US" w:eastAsia="zh-CN"/>
              </w:rPr>
              <w:t>1.0</w:t>
            </w:r>
            <w:r>
              <w:rPr>
                <w:rFonts w:hint="eastAsia" w:ascii="Times New Roman" w:hAnsi="Times New Roman" w:eastAsia="宋体" w:cs="Times New Roman"/>
                <w:color w:val="auto"/>
                <w:kern w:val="0"/>
                <w:sz w:val="24"/>
                <w:szCs w:val="24"/>
                <w:highlight w:val="none"/>
                <w:lang w:val="en-US" w:eastAsia="zh-CN"/>
              </w:rPr>
              <w:t>t/a</w:t>
            </w:r>
            <w:r>
              <w:rPr>
                <w:rFonts w:ascii="宋体" w:hAnsi="宋体" w:eastAsia="宋体" w:cs="宋体"/>
                <w:color w:val="auto"/>
                <w:sz w:val="24"/>
                <w:szCs w:val="24"/>
              </w:rPr>
              <w:t>，</w:t>
            </w:r>
            <w:r>
              <w:rPr>
                <w:rFonts w:ascii="宋体" w:hAnsi="宋体" w:eastAsia="宋体" w:cs="宋体"/>
                <w:color w:val="auto"/>
                <w:sz w:val="24"/>
                <w:szCs w:val="24"/>
              </w:rPr>
              <w:t>定期清理后外售综合利用</w:t>
            </w:r>
            <w:r>
              <w:rPr>
                <w:rFonts w:hint="eastAsia" w:ascii="Times New Roman" w:hAnsi="Times New Roman" w:eastAsia="宋体" w:cs="Times New Roman"/>
                <w:color w:val="auto"/>
                <w:kern w:val="0"/>
                <w:sz w:val="24"/>
                <w:szCs w:val="24"/>
                <w:highlight w:val="none"/>
                <w:lang w:val="en-US" w:eastAsia="zh-CN"/>
              </w:rPr>
              <w:t>。</w:t>
            </w:r>
          </w:p>
          <w:p w14:paraId="16E33258">
            <w:pPr>
              <w:spacing w:line="360" w:lineRule="auto"/>
              <w:ind w:firstLine="480" w:firstLineChars="200"/>
              <w:jc w:val="both"/>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3）破损防风抑尘网</w:t>
            </w:r>
          </w:p>
          <w:p w14:paraId="0FA11D43">
            <w:pPr>
              <w:spacing w:line="360" w:lineRule="auto"/>
              <w:ind w:firstLine="480" w:firstLineChars="200"/>
              <w:jc w:val="both"/>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本项目设置防风抑尘网为金属材质，不易损坏，因此本项目产生破损防风抑尘网的量约为0.2t/a，作为废旧物资外售。</w:t>
            </w:r>
          </w:p>
          <w:p w14:paraId="099CB008">
            <w:pPr>
              <w:spacing w:line="360" w:lineRule="auto"/>
              <w:ind w:firstLine="480" w:firstLineChars="200"/>
              <w:jc w:val="both"/>
              <w:rPr>
                <w:rFonts w:hint="default"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4）破损苫布</w:t>
            </w:r>
          </w:p>
          <w:p w14:paraId="187FCE42">
            <w:pPr>
              <w:spacing w:line="360" w:lineRule="auto"/>
              <w:ind w:firstLine="480" w:firstLineChars="200"/>
              <w:jc w:val="both"/>
              <w:rPr>
                <w:rFonts w:hint="default"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本项目采用苫布遮盖堆场，产生破损苫布的量约为0.1t/a，作为废旧物资外售。</w:t>
            </w:r>
          </w:p>
          <w:p w14:paraId="76A249FC">
            <w:p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根据《固体废物分类与代码目录》，</w:t>
            </w:r>
            <w:r>
              <w:rPr>
                <w:rFonts w:hint="default" w:ascii="Times New Roman" w:hAnsi="Times New Roman" w:eastAsia="宋体" w:cs="Times New Roman"/>
                <w:color w:val="auto"/>
                <w:sz w:val="24"/>
                <w:highlight w:val="none"/>
                <w:lang w:val="en-US" w:eastAsia="zh-CN"/>
              </w:rPr>
              <w:t>本项目固体废物产生</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处置情况</w:t>
            </w:r>
            <w:r>
              <w:rPr>
                <w:rFonts w:hint="eastAsia" w:cs="Times New Roman"/>
                <w:color w:val="auto"/>
                <w:sz w:val="24"/>
                <w:highlight w:val="none"/>
                <w:lang w:val="en-US" w:eastAsia="zh-CN"/>
              </w:rPr>
              <w:t>及固体废物代码</w:t>
            </w:r>
            <w:r>
              <w:rPr>
                <w:rFonts w:hint="default" w:ascii="Times New Roman" w:hAnsi="Times New Roman" w:eastAsia="宋体" w:cs="Times New Roman"/>
                <w:color w:val="auto"/>
                <w:sz w:val="24"/>
                <w:highlight w:val="none"/>
                <w:lang w:val="en-US" w:eastAsia="zh-CN"/>
              </w:rPr>
              <w:t>详见表4-</w:t>
            </w:r>
            <w:r>
              <w:rPr>
                <w:rFonts w:hint="eastAsia"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w:t>
            </w:r>
          </w:p>
          <w:p w14:paraId="7CBCDFCE">
            <w:pPr>
              <w:adjustRightInd w:val="0"/>
              <w:snapToGrid w:val="0"/>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eastAsia" w:ascii="Times New Roman" w:hAnsi="Times New Roman" w:cs="Times New Roman"/>
                <w:b/>
                <w:color w:val="auto"/>
                <w:szCs w:val="21"/>
                <w:highlight w:val="none"/>
                <w:lang w:val="en-US" w:eastAsia="zh-CN"/>
              </w:rPr>
              <w:t>6</w:t>
            </w:r>
            <w:r>
              <w:rPr>
                <w:rFonts w:hint="default" w:ascii="Times New Roman" w:hAnsi="Times New Roman" w:cs="Times New Roman"/>
                <w:b/>
                <w:color w:val="auto"/>
                <w:szCs w:val="21"/>
                <w:highlight w:val="none"/>
                <w:lang w:val="en-US" w:eastAsia="zh-CN"/>
              </w:rPr>
              <w:t xml:space="preserve"> </w:t>
            </w:r>
            <w:r>
              <w:rPr>
                <w:rFonts w:hint="default" w:ascii="Times New Roman" w:hAnsi="Times New Roman" w:cs="Times New Roman"/>
                <w:b/>
                <w:color w:val="auto"/>
                <w:szCs w:val="21"/>
                <w:highlight w:val="none"/>
              </w:rPr>
              <w:t>本项目固体废物产生及处置情况</w:t>
            </w:r>
          </w:p>
          <w:tbl>
            <w:tblPr>
              <w:tblStyle w:val="31"/>
              <w:tblW w:w="79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58"/>
              <w:gridCol w:w="750"/>
              <w:gridCol w:w="889"/>
              <w:gridCol w:w="656"/>
              <w:gridCol w:w="650"/>
              <w:gridCol w:w="705"/>
              <w:gridCol w:w="362"/>
              <w:gridCol w:w="706"/>
              <w:gridCol w:w="1649"/>
            </w:tblGrid>
            <w:tr w14:paraId="769A0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vMerge w:val="restart"/>
                  <w:shd w:val="clear" w:color="auto" w:fill="auto"/>
                  <w:vAlign w:val="center"/>
                </w:tcPr>
                <w:p w14:paraId="07EC9C67">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工序/生产线</w:t>
                  </w:r>
                </w:p>
              </w:tc>
              <w:tc>
                <w:tcPr>
                  <w:tcW w:w="958" w:type="dxa"/>
                  <w:vMerge w:val="restart"/>
                  <w:shd w:val="clear" w:color="auto" w:fill="auto"/>
                  <w:vAlign w:val="center"/>
                </w:tcPr>
                <w:p w14:paraId="2DF5B0CA">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装置</w:t>
                  </w:r>
                </w:p>
              </w:tc>
              <w:tc>
                <w:tcPr>
                  <w:tcW w:w="750" w:type="dxa"/>
                  <w:vMerge w:val="restart"/>
                  <w:shd w:val="clear" w:color="auto" w:fill="auto"/>
                  <w:vAlign w:val="center"/>
                </w:tcPr>
                <w:p w14:paraId="6AD7D00B">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固体废物名称</w:t>
                  </w:r>
                </w:p>
              </w:tc>
              <w:tc>
                <w:tcPr>
                  <w:tcW w:w="889" w:type="dxa"/>
                  <w:vMerge w:val="restart"/>
                  <w:shd w:val="clear" w:color="auto" w:fill="auto"/>
                  <w:vAlign w:val="center"/>
                </w:tcPr>
                <w:p w14:paraId="32E1409F">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固体废物代码</w:t>
                  </w:r>
                </w:p>
              </w:tc>
              <w:tc>
                <w:tcPr>
                  <w:tcW w:w="656" w:type="dxa"/>
                  <w:vMerge w:val="restart"/>
                  <w:shd w:val="clear" w:color="auto" w:fill="auto"/>
                  <w:vAlign w:val="center"/>
                </w:tcPr>
                <w:p w14:paraId="053CC2C9">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固体废物属性</w:t>
                  </w:r>
                </w:p>
              </w:tc>
              <w:tc>
                <w:tcPr>
                  <w:tcW w:w="1355" w:type="dxa"/>
                  <w:gridSpan w:val="2"/>
                  <w:shd w:val="clear" w:color="auto" w:fill="auto"/>
                  <w:vAlign w:val="center"/>
                </w:tcPr>
                <w:p w14:paraId="35F7D3A8">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产生情况</w:t>
                  </w:r>
                </w:p>
              </w:tc>
              <w:tc>
                <w:tcPr>
                  <w:tcW w:w="1068" w:type="dxa"/>
                  <w:gridSpan w:val="2"/>
                  <w:shd w:val="clear" w:color="auto" w:fill="auto"/>
                  <w:vAlign w:val="center"/>
                </w:tcPr>
                <w:p w14:paraId="64DE1CE2">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处置措施</w:t>
                  </w:r>
                </w:p>
              </w:tc>
              <w:tc>
                <w:tcPr>
                  <w:tcW w:w="1649" w:type="dxa"/>
                  <w:vMerge w:val="restart"/>
                  <w:vAlign w:val="center"/>
                </w:tcPr>
                <w:p w14:paraId="158542D8">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最终去向</w:t>
                  </w:r>
                </w:p>
              </w:tc>
            </w:tr>
            <w:tr w14:paraId="7D5617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vMerge w:val="continue"/>
                  <w:tcBorders>
                    <w:bottom w:val="single" w:color="auto" w:sz="4" w:space="0"/>
                  </w:tcBorders>
                  <w:shd w:val="clear" w:color="auto" w:fill="auto"/>
                  <w:vAlign w:val="center"/>
                </w:tcPr>
                <w:p w14:paraId="5669102D">
                  <w:pPr>
                    <w:spacing w:line="0" w:lineRule="atLeast"/>
                    <w:jc w:val="center"/>
                    <w:rPr>
                      <w:rFonts w:hint="default" w:ascii="Times New Roman" w:hAnsi="Times New Roman" w:cs="Times New Roman"/>
                      <w:b/>
                      <w:bCs/>
                      <w:color w:val="auto"/>
                      <w:szCs w:val="21"/>
                      <w:highlight w:val="none"/>
                    </w:rPr>
                  </w:pPr>
                </w:p>
              </w:tc>
              <w:tc>
                <w:tcPr>
                  <w:tcW w:w="958" w:type="dxa"/>
                  <w:vMerge w:val="continue"/>
                  <w:tcBorders>
                    <w:bottom w:val="single" w:color="auto" w:sz="4" w:space="0"/>
                  </w:tcBorders>
                  <w:shd w:val="clear" w:color="auto" w:fill="auto"/>
                  <w:vAlign w:val="center"/>
                </w:tcPr>
                <w:p w14:paraId="24074583">
                  <w:pPr>
                    <w:spacing w:line="0" w:lineRule="atLeast"/>
                    <w:jc w:val="center"/>
                    <w:rPr>
                      <w:rFonts w:hint="default" w:ascii="Times New Roman" w:hAnsi="Times New Roman" w:cs="Times New Roman"/>
                      <w:b/>
                      <w:bCs/>
                      <w:color w:val="auto"/>
                      <w:szCs w:val="21"/>
                      <w:highlight w:val="none"/>
                    </w:rPr>
                  </w:pPr>
                </w:p>
              </w:tc>
              <w:tc>
                <w:tcPr>
                  <w:tcW w:w="750" w:type="dxa"/>
                  <w:vMerge w:val="continue"/>
                  <w:shd w:val="clear" w:color="auto" w:fill="auto"/>
                  <w:vAlign w:val="center"/>
                </w:tcPr>
                <w:p w14:paraId="3C581742">
                  <w:pPr>
                    <w:spacing w:line="0" w:lineRule="atLeast"/>
                    <w:jc w:val="center"/>
                    <w:rPr>
                      <w:rFonts w:hint="default" w:ascii="Times New Roman" w:hAnsi="Times New Roman" w:cs="Times New Roman"/>
                      <w:b/>
                      <w:bCs/>
                      <w:color w:val="auto"/>
                      <w:szCs w:val="21"/>
                      <w:highlight w:val="none"/>
                    </w:rPr>
                  </w:pPr>
                </w:p>
              </w:tc>
              <w:tc>
                <w:tcPr>
                  <w:tcW w:w="889" w:type="dxa"/>
                  <w:vMerge w:val="continue"/>
                  <w:shd w:val="clear" w:color="auto" w:fill="auto"/>
                  <w:vAlign w:val="center"/>
                </w:tcPr>
                <w:p w14:paraId="5421A48A">
                  <w:pPr>
                    <w:spacing w:line="0" w:lineRule="atLeast"/>
                    <w:jc w:val="center"/>
                    <w:rPr>
                      <w:rFonts w:hint="default" w:ascii="Times New Roman" w:hAnsi="Times New Roman" w:cs="Times New Roman"/>
                      <w:b/>
                      <w:bCs/>
                      <w:color w:val="auto"/>
                      <w:szCs w:val="21"/>
                      <w:highlight w:val="none"/>
                    </w:rPr>
                  </w:pPr>
                </w:p>
              </w:tc>
              <w:tc>
                <w:tcPr>
                  <w:tcW w:w="656" w:type="dxa"/>
                  <w:vMerge w:val="continue"/>
                  <w:shd w:val="clear" w:color="auto" w:fill="auto"/>
                  <w:vAlign w:val="center"/>
                </w:tcPr>
                <w:p w14:paraId="73BD20C1">
                  <w:pPr>
                    <w:spacing w:line="0" w:lineRule="atLeast"/>
                    <w:jc w:val="center"/>
                    <w:rPr>
                      <w:rFonts w:hint="default" w:ascii="Times New Roman" w:hAnsi="Times New Roman" w:cs="Times New Roman"/>
                      <w:b/>
                      <w:bCs/>
                      <w:color w:val="auto"/>
                      <w:szCs w:val="21"/>
                      <w:highlight w:val="none"/>
                    </w:rPr>
                  </w:pPr>
                </w:p>
              </w:tc>
              <w:tc>
                <w:tcPr>
                  <w:tcW w:w="650" w:type="dxa"/>
                  <w:shd w:val="clear" w:color="auto" w:fill="auto"/>
                  <w:vAlign w:val="center"/>
                </w:tcPr>
                <w:p w14:paraId="2C89E103">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核算</w:t>
                  </w:r>
                </w:p>
                <w:p w14:paraId="09DF56C9">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方法</w:t>
                  </w:r>
                </w:p>
              </w:tc>
              <w:tc>
                <w:tcPr>
                  <w:tcW w:w="705" w:type="dxa"/>
                  <w:shd w:val="clear" w:color="auto" w:fill="auto"/>
                  <w:vAlign w:val="center"/>
                </w:tcPr>
                <w:p w14:paraId="5DB3B714">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产生量t/a</w:t>
                  </w:r>
                </w:p>
              </w:tc>
              <w:tc>
                <w:tcPr>
                  <w:tcW w:w="362" w:type="dxa"/>
                  <w:shd w:val="clear" w:color="auto" w:fill="auto"/>
                  <w:vAlign w:val="center"/>
                </w:tcPr>
                <w:p w14:paraId="1148D019">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工艺</w:t>
                  </w:r>
                </w:p>
              </w:tc>
              <w:tc>
                <w:tcPr>
                  <w:tcW w:w="706" w:type="dxa"/>
                  <w:shd w:val="clear" w:color="auto" w:fill="auto"/>
                  <w:vAlign w:val="center"/>
                </w:tcPr>
                <w:p w14:paraId="493C2564">
                  <w:pPr>
                    <w:spacing w:line="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处置量t/a</w:t>
                  </w:r>
                </w:p>
              </w:tc>
              <w:tc>
                <w:tcPr>
                  <w:tcW w:w="1649" w:type="dxa"/>
                  <w:vMerge w:val="continue"/>
                  <w:vAlign w:val="center"/>
                </w:tcPr>
                <w:p w14:paraId="0E51BED9">
                  <w:pPr>
                    <w:spacing w:line="0" w:lineRule="atLeast"/>
                    <w:jc w:val="center"/>
                    <w:rPr>
                      <w:rFonts w:hint="default" w:ascii="Times New Roman" w:hAnsi="Times New Roman" w:cs="Times New Roman"/>
                      <w:b/>
                      <w:bCs/>
                      <w:color w:val="auto"/>
                      <w:szCs w:val="21"/>
                      <w:highlight w:val="none"/>
                    </w:rPr>
                  </w:pPr>
                </w:p>
              </w:tc>
            </w:tr>
            <w:tr w14:paraId="0F147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shd w:val="clear" w:color="auto" w:fill="auto"/>
                  <w:vAlign w:val="center"/>
                </w:tcPr>
                <w:p w14:paraId="2311E949">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员工生活</w:t>
                  </w:r>
                </w:p>
              </w:tc>
              <w:tc>
                <w:tcPr>
                  <w:tcW w:w="958" w:type="dxa"/>
                  <w:shd w:val="clear" w:color="auto" w:fill="auto"/>
                  <w:vAlign w:val="center"/>
                </w:tcPr>
                <w:p w14:paraId="70D1258E">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员工生活</w:t>
                  </w:r>
                </w:p>
              </w:tc>
              <w:tc>
                <w:tcPr>
                  <w:tcW w:w="750" w:type="dxa"/>
                  <w:shd w:val="clear" w:color="auto" w:fill="auto"/>
                  <w:vAlign w:val="center"/>
                </w:tcPr>
                <w:p w14:paraId="054503FD">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生活垃圾</w:t>
                  </w:r>
                </w:p>
              </w:tc>
              <w:tc>
                <w:tcPr>
                  <w:tcW w:w="889" w:type="dxa"/>
                  <w:shd w:val="clear" w:color="auto" w:fill="auto"/>
                  <w:vAlign w:val="center"/>
                </w:tcPr>
                <w:p w14:paraId="549C2D92">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900-099-S64 </w:t>
                  </w:r>
                </w:p>
              </w:tc>
              <w:tc>
                <w:tcPr>
                  <w:tcW w:w="656" w:type="dxa"/>
                  <w:shd w:val="clear" w:color="auto" w:fill="auto"/>
                  <w:vAlign w:val="center"/>
                </w:tcPr>
                <w:p w14:paraId="07AAAE51">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一般工业固体废物</w:t>
                  </w:r>
                </w:p>
              </w:tc>
              <w:tc>
                <w:tcPr>
                  <w:tcW w:w="650" w:type="dxa"/>
                  <w:shd w:val="clear" w:color="auto" w:fill="auto"/>
                  <w:vAlign w:val="center"/>
                </w:tcPr>
                <w:p w14:paraId="536471DE">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系数法</w:t>
                  </w:r>
                </w:p>
              </w:tc>
              <w:tc>
                <w:tcPr>
                  <w:tcW w:w="705" w:type="dxa"/>
                  <w:shd w:val="clear" w:color="auto" w:fill="auto"/>
                  <w:vAlign w:val="center"/>
                </w:tcPr>
                <w:p w14:paraId="641A3239">
                  <w:pPr>
                    <w:spacing w:line="0" w:lineRule="atLeast"/>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r>
                    <w:rPr>
                      <w:rFonts w:hint="eastAsia" w:cs="Times New Roman"/>
                      <w:color w:val="auto"/>
                      <w:szCs w:val="21"/>
                      <w:highlight w:val="none"/>
                      <w:lang w:val="en-US" w:eastAsia="zh-CN"/>
                    </w:rPr>
                    <w:t>12</w:t>
                  </w:r>
                </w:p>
              </w:tc>
              <w:tc>
                <w:tcPr>
                  <w:tcW w:w="362" w:type="dxa"/>
                  <w:shd w:val="clear" w:color="auto" w:fill="auto"/>
                  <w:vAlign w:val="center"/>
                </w:tcPr>
                <w:p w14:paraId="0F7720D3">
                  <w:pPr>
                    <w:spacing w:line="0" w:lineRule="atLeast"/>
                    <w:jc w:val="center"/>
                    <w:rPr>
                      <w:rFonts w:hint="default" w:ascii="Times New Roman" w:hAnsi="Times New Roman" w:eastAsia="宋体" w:cs="Times New Roman"/>
                      <w:color w:val="auto"/>
                      <w:spacing w:val="-6"/>
                      <w:szCs w:val="21"/>
                      <w:highlight w:val="none"/>
                      <w:lang w:val="en-US" w:eastAsia="zh-CN"/>
                    </w:rPr>
                  </w:pPr>
                  <w:r>
                    <w:rPr>
                      <w:rFonts w:hint="default" w:ascii="Times New Roman" w:hAnsi="Times New Roman" w:cs="Times New Roman"/>
                      <w:color w:val="auto"/>
                      <w:spacing w:val="-6"/>
                      <w:szCs w:val="21"/>
                      <w:highlight w:val="none"/>
                      <w:lang w:val="en-US" w:eastAsia="zh-CN"/>
                    </w:rPr>
                    <w:t>/</w:t>
                  </w:r>
                </w:p>
              </w:tc>
              <w:tc>
                <w:tcPr>
                  <w:tcW w:w="706" w:type="dxa"/>
                  <w:shd w:val="clear" w:color="auto" w:fill="auto"/>
                  <w:vAlign w:val="center"/>
                </w:tcPr>
                <w:p w14:paraId="3D6019CE">
                  <w:pPr>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r>
                    <w:rPr>
                      <w:rFonts w:hint="eastAsia" w:cs="Times New Roman"/>
                      <w:color w:val="auto"/>
                      <w:szCs w:val="21"/>
                      <w:highlight w:val="none"/>
                      <w:lang w:val="en-US" w:eastAsia="zh-CN"/>
                    </w:rPr>
                    <w:t>12</w:t>
                  </w:r>
                </w:p>
              </w:tc>
              <w:tc>
                <w:tcPr>
                  <w:tcW w:w="1649" w:type="dxa"/>
                  <w:vAlign w:val="center"/>
                </w:tcPr>
                <w:p w14:paraId="2F408014">
                  <w:pPr>
                    <w:spacing w:line="0" w:lineRule="atLeast"/>
                    <w:jc w:val="center"/>
                    <w:rPr>
                      <w:rFonts w:hint="default" w:ascii="Times New Roman" w:hAnsi="Times New Roman" w:cs="Times New Roman"/>
                      <w:color w:val="auto"/>
                      <w:spacing w:val="-6"/>
                      <w:szCs w:val="21"/>
                      <w:highlight w:val="none"/>
                    </w:rPr>
                  </w:pPr>
                  <w:r>
                    <w:rPr>
                      <w:rFonts w:hint="default" w:ascii="Times New Roman" w:hAnsi="Times New Roman" w:cs="Times New Roman"/>
                      <w:color w:val="auto"/>
                      <w:szCs w:val="21"/>
                      <w:highlight w:val="none"/>
                    </w:rPr>
                    <w:t>生活垃圾委托环卫部门定时清运</w:t>
                  </w:r>
                </w:p>
              </w:tc>
            </w:tr>
            <w:tr w14:paraId="292C3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shd w:val="clear" w:color="auto" w:fill="auto"/>
                  <w:vAlign w:val="center"/>
                </w:tcPr>
                <w:p w14:paraId="3AD29FC5">
                  <w:pPr>
                    <w:spacing w:line="0" w:lineRule="atLeas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雨水收集</w:t>
                  </w:r>
                </w:p>
              </w:tc>
              <w:tc>
                <w:tcPr>
                  <w:tcW w:w="958" w:type="dxa"/>
                  <w:shd w:val="clear" w:color="auto" w:fill="auto"/>
                  <w:vAlign w:val="center"/>
                </w:tcPr>
                <w:p w14:paraId="0FC31358">
                  <w:pPr>
                    <w:spacing w:line="0" w:lineRule="atLeast"/>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初期雨水收集池</w:t>
                  </w:r>
                </w:p>
              </w:tc>
              <w:tc>
                <w:tcPr>
                  <w:tcW w:w="750" w:type="dxa"/>
                  <w:shd w:val="clear" w:color="auto" w:fill="auto"/>
                  <w:vAlign w:val="center"/>
                </w:tcPr>
                <w:p w14:paraId="224CB083">
                  <w:pPr>
                    <w:spacing w:line="0" w:lineRule="atLeast"/>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沉淀煤泥</w:t>
                  </w:r>
                </w:p>
              </w:tc>
              <w:tc>
                <w:tcPr>
                  <w:tcW w:w="889" w:type="dxa"/>
                  <w:shd w:val="clear" w:color="auto" w:fill="auto"/>
                  <w:vAlign w:val="center"/>
                </w:tcPr>
                <w:p w14:paraId="6C1DBF2A">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 xml:space="preserve">900-099-S07 </w:t>
                  </w:r>
                </w:p>
              </w:tc>
              <w:tc>
                <w:tcPr>
                  <w:tcW w:w="656" w:type="dxa"/>
                  <w:shd w:val="clear" w:color="auto" w:fill="auto"/>
                  <w:vAlign w:val="center"/>
                </w:tcPr>
                <w:p w14:paraId="710F17A8">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一般工业固体废物</w:t>
                  </w:r>
                </w:p>
              </w:tc>
              <w:tc>
                <w:tcPr>
                  <w:tcW w:w="650" w:type="dxa"/>
                  <w:shd w:val="clear" w:color="auto" w:fill="auto"/>
                  <w:vAlign w:val="center"/>
                </w:tcPr>
                <w:p w14:paraId="4BFA23CA">
                  <w:pPr>
                    <w:spacing w:line="0" w:lineRule="atLeast"/>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rPr>
                    <w:t>物料衡算法</w:t>
                  </w:r>
                </w:p>
              </w:tc>
              <w:tc>
                <w:tcPr>
                  <w:tcW w:w="705" w:type="dxa"/>
                  <w:shd w:val="clear" w:color="auto" w:fill="auto"/>
                  <w:vAlign w:val="center"/>
                </w:tcPr>
                <w:p w14:paraId="4EF513CF">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362" w:type="dxa"/>
                  <w:shd w:val="clear" w:color="auto" w:fill="auto"/>
                  <w:vAlign w:val="center"/>
                </w:tcPr>
                <w:p w14:paraId="7B8D8E74">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06" w:type="dxa"/>
                  <w:shd w:val="clear" w:color="auto" w:fill="auto"/>
                  <w:vAlign w:val="center"/>
                </w:tcPr>
                <w:p w14:paraId="15AC812B">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649" w:type="dxa"/>
                  <w:vAlign w:val="center"/>
                </w:tcPr>
                <w:p w14:paraId="3E327312">
                  <w:pPr>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定期清理后外售综合利用</w:t>
                  </w:r>
                </w:p>
              </w:tc>
            </w:tr>
            <w:tr w14:paraId="015081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vMerge w:val="restart"/>
                  <w:shd w:val="clear" w:color="auto" w:fill="auto"/>
                  <w:vAlign w:val="center"/>
                </w:tcPr>
                <w:p w14:paraId="0D37D5DB">
                  <w:pPr>
                    <w:spacing w:line="0" w:lineRule="atLeast"/>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废气处理</w:t>
                  </w:r>
                </w:p>
              </w:tc>
              <w:tc>
                <w:tcPr>
                  <w:tcW w:w="958" w:type="dxa"/>
                  <w:shd w:val="clear" w:color="auto" w:fill="auto"/>
                  <w:vAlign w:val="center"/>
                </w:tcPr>
                <w:p w14:paraId="1A1DA5E3">
                  <w:pPr>
                    <w:spacing w:line="0" w:lineRule="atLeast"/>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防风抑尘网</w:t>
                  </w:r>
                </w:p>
              </w:tc>
              <w:tc>
                <w:tcPr>
                  <w:tcW w:w="750" w:type="dxa"/>
                  <w:shd w:val="clear" w:color="auto" w:fill="auto"/>
                  <w:vAlign w:val="center"/>
                </w:tcPr>
                <w:p w14:paraId="1FD95D47">
                  <w:pPr>
                    <w:spacing w:line="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破损防风抑尘网</w:t>
                  </w:r>
                </w:p>
              </w:tc>
              <w:tc>
                <w:tcPr>
                  <w:tcW w:w="889" w:type="dxa"/>
                  <w:shd w:val="clear" w:color="auto" w:fill="auto"/>
                  <w:vAlign w:val="center"/>
                </w:tcPr>
                <w:p w14:paraId="1488192F">
                  <w:pPr>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900-001-S17</w:t>
                  </w:r>
                </w:p>
              </w:tc>
              <w:tc>
                <w:tcPr>
                  <w:tcW w:w="656" w:type="dxa"/>
                  <w:shd w:val="clear" w:color="auto" w:fill="auto"/>
                  <w:vAlign w:val="center"/>
                </w:tcPr>
                <w:p w14:paraId="4FE480EB">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一般工业固体废物</w:t>
                  </w:r>
                </w:p>
              </w:tc>
              <w:tc>
                <w:tcPr>
                  <w:tcW w:w="650" w:type="dxa"/>
                  <w:shd w:val="clear" w:color="auto" w:fill="auto"/>
                  <w:vAlign w:val="center"/>
                </w:tcPr>
                <w:p w14:paraId="6557CAE4">
                  <w:pPr>
                    <w:spacing w:line="0" w:lineRule="atLeast"/>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物料衡算法</w:t>
                  </w:r>
                </w:p>
              </w:tc>
              <w:tc>
                <w:tcPr>
                  <w:tcW w:w="705" w:type="dxa"/>
                  <w:shd w:val="clear" w:color="auto" w:fill="auto"/>
                  <w:vAlign w:val="center"/>
                </w:tcPr>
                <w:p w14:paraId="06373AFE">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0.2</w:t>
                  </w:r>
                </w:p>
              </w:tc>
              <w:tc>
                <w:tcPr>
                  <w:tcW w:w="362" w:type="dxa"/>
                  <w:shd w:val="clear" w:color="auto" w:fill="auto"/>
                  <w:vAlign w:val="center"/>
                </w:tcPr>
                <w:p w14:paraId="705ED6B5">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06" w:type="dxa"/>
                  <w:shd w:val="clear" w:color="auto" w:fill="auto"/>
                  <w:vAlign w:val="center"/>
                </w:tcPr>
                <w:p w14:paraId="631C8984">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649" w:type="dxa"/>
                  <w:vAlign w:val="center"/>
                </w:tcPr>
                <w:p w14:paraId="7C98A22D">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作为废旧物资外售</w:t>
                  </w:r>
                </w:p>
              </w:tc>
            </w:tr>
            <w:tr w14:paraId="57217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2" w:type="dxa"/>
                  <w:vMerge w:val="continue"/>
                  <w:shd w:val="clear" w:color="auto" w:fill="auto"/>
                  <w:vAlign w:val="center"/>
                </w:tcPr>
                <w:p w14:paraId="55DAF8E5">
                  <w:pPr>
                    <w:spacing w:line="0" w:lineRule="atLeast"/>
                    <w:jc w:val="center"/>
                    <w:rPr>
                      <w:rFonts w:hint="eastAsia" w:ascii="Times New Roman" w:hAnsi="Times New Roman" w:eastAsia="宋体" w:cs="Times New Roman"/>
                      <w:color w:val="auto"/>
                      <w:szCs w:val="21"/>
                      <w:highlight w:val="none"/>
                      <w:lang w:eastAsia="zh-CN"/>
                    </w:rPr>
                  </w:pPr>
                </w:p>
              </w:tc>
              <w:tc>
                <w:tcPr>
                  <w:tcW w:w="958" w:type="dxa"/>
                  <w:shd w:val="clear" w:color="auto" w:fill="auto"/>
                  <w:vAlign w:val="center"/>
                </w:tcPr>
                <w:p w14:paraId="68319F29">
                  <w:pPr>
                    <w:spacing w:line="0" w:lineRule="atLeast"/>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苫布</w:t>
                  </w:r>
                </w:p>
              </w:tc>
              <w:tc>
                <w:tcPr>
                  <w:tcW w:w="750" w:type="dxa"/>
                  <w:shd w:val="clear" w:color="auto" w:fill="auto"/>
                  <w:vAlign w:val="center"/>
                </w:tcPr>
                <w:p w14:paraId="6E1EFB14">
                  <w:pPr>
                    <w:spacing w:line="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破损苫布</w:t>
                  </w:r>
                </w:p>
              </w:tc>
              <w:tc>
                <w:tcPr>
                  <w:tcW w:w="889" w:type="dxa"/>
                  <w:shd w:val="clear" w:color="auto" w:fill="auto"/>
                  <w:vAlign w:val="center"/>
                </w:tcPr>
                <w:p w14:paraId="1B8E1650">
                  <w:pPr>
                    <w:spacing w:line="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 xml:space="preserve">900-007-S17 </w:t>
                  </w:r>
                </w:p>
              </w:tc>
              <w:tc>
                <w:tcPr>
                  <w:tcW w:w="656" w:type="dxa"/>
                  <w:shd w:val="clear" w:color="auto" w:fill="auto"/>
                  <w:vAlign w:val="center"/>
                </w:tcPr>
                <w:p w14:paraId="657B9469">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一般工业固体废物</w:t>
                  </w:r>
                </w:p>
              </w:tc>
              <w:tc>
                <w:tcPr>
                  <w:tcW w:w="650" w:type="dxa"/>
                  <w:shd w:val="clear" w:color="auto" w:fill="auto"/>
                  <w:vAlign w:val="center"/>
                </w:tcPr>
                <w:p w14:paraId="3ABBE126">
                  <w:pPr>
                    <w:spacing w:line="0" w:lineRule="atLeast"/>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物料衡算法</w:t>
                  </w:r>
                </w:p>
              </w:tc>
              <w:tc>
                <w:tcPr>
                  <w:tcW w:w="705" w:type="dxa"/>
                  <w:shd w:val="clear" w:color="auto" w:fill="auto"/>
                  <w:vAlign w:val="center"/>
                </w:tcPr>
                <w:p w14:paraId="2802F652">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0.1</w:t>
                  </w:r>
                </w:p>
              </w:tc>
              <w:tc>
                <w:tcPr>
                  <w:tcW w:w="362" w:type="dxa"/>
                  <w:shd w:val="clear" w:color="auto" w:fill="auto"/>
                  <w:vAlign w:val="center"/>
                </w:tcPr>
                <w:p w14:paraId="5B8BAA5E">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06" w:type="dxa"/>
                  <w:shd w:val="clear" w:color="auto" w:fill="auto"/>
                  <w:vAlign w:val="center"/>
                </w:tcPr>
                <w:p w14:paraId="531970EA">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649" w:type="dxa"/>
                  <w:vAlign w:val="center"/>
                </w:tcPr>
                <w:p w14:paraId="70D0AFB1">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作为废旧物资外售</w:t>
                  </w:r>
                </w:p>
              </w:tc>
            </w:tr>
          </w:tbl>
          <w:p w14:paraId="3F640FAF">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环境管理要求</w:t>
            </w:r>
          </w:p>
          <w:p w14:paraId="2B4F6B56">
            <w:pPr>
              <w:pStyle w:val="97"/>
              <w:ind w:firstLine="48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本项目员工生活垃圾暂存垃圾桶委托环卫部门统一处理；沉淀煤泥</w:t>
            </w:r>
            <w:r>
              <w:rPr>
                <w:rFonts w:ascii="宋体" w:hAnsi="宋体" w:eastAsia="宋体" w:cs="宋体"/>
                <w:color w:val="auto"/>
                <w:sz w:val="24"/>
                <w:szCs w:val="24"/>
              </w:rPr>
              <w:t>定期清理后外售综合利用</w:t>
            </w:r>
            <w:r>
              <w:rPr>
                <w:rFonts w:hint="eastAsia" w:ascii="Times New Roman" w:hAnsi="Times New Roman" w:eastAsia="宋体" w:cs="Times New Roman"/>
                <w:color w:val="auto"/>
                <w:highlight w:val="none"/>
                <w:lang w:val="en-US" w:eastAsia="zh-CN"/>
              </w:rPr>
              <w:t>；</w:t>
            </w:r>
            <w:r>
              <w:rPr>
                <w:rFonts w:hint="eastAsia" w:cs="Times New Roman"/>
                <w:color w:val="auto"/>
                <w:szCs w:val="21"/>
                <w:highlight w:val="none"/>
                <w:lang w:val="en-US" w:eastAsia="zh-CN"/>
              </w:rPr>
              <w:t>破损防风抑尘网和破损苫布作为废旧物资外售。</w:t>
            </w:r>
            <w:r>
              <w:rPr>
                <w:rFonts w:hint="default" w:ascii="Times New Roman" w:hAnsi="Times New Roman" w:eastAsia="宋体" w:cs="Times New Roman"/>
                <w:color w:val="auto"/>
                <w:highlight w:val="none"/>
              </w:rPr>
              <w:t>综上，本项目在采取以上措施的情况下，固体废物处置措施合理、去向可行，不会对周围环境质量造成不利影响。</w:t>
            </w:r>
          </w:p>
          <w:p w14:paraId="79B3847A">
            <w:pPr>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5、</w:t>
            </w:r>
            <w:r>
              <w:rPr>
                <w:rFonts w:hint="default" w:ascii="Times New Roman" w:hAnsi="Times New Roman" w:cs="Times New Roman"/>
                <w:b/>
                <w:bCs/>
                <w:color w:val="auto"/>
                <w:sz w:val="24"/>
                <w:highlight w:val="none"/>
              </w:rPr>
              <w:t xml:space="preserve">地下水、土壤 </w:t>
            </w:r>
          </w:p>
          <w:p w14:paraId="1044BD2C">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根据《建设项目环境影响报告表编制技术指南（污染影响类）》（试行）的要求：地下水、土壤环境。原则</w:t>
            </w:r>
            <w:r>
              <w:rPr>
                <w:rFonts w:hint="default" w:ascii="Times New Roman" w:hAnsi="Times New Roman" w:cs="Times New Roman"/>
                <w:color w:val="auto"/>
                <w:sz w:val="21"/>
                <w:szCs w:val="21"/>
                <w:highlight w:val="none"/>
              </w:rPr>
              <w:t>上不开展环境质量现状调查。建设项目存在土壤、地下水环境污染途径的，应</w:t>
            </w:r>
            <w:r>
              <w:rPr>
                <w:rFonts w:hint="default" w:ascii="Times New Roman" w:hAnsi="Times New Roman" w:cs="Times New Roman"/>
                <w:color w:val="auto"/>
                <w:sz w:val="24"/>
                <w:highlight w:val="none"/>
              </w:rPr>
              <w:t>结合污染源、保护目标分布情况开展现状调查以留作背景值。</w:t>
            </w:r>
          </w:p>
          <w:p w14:paraId="4A9AE805">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default" w:ascii="Times New Roman" w:hAnsi="Times New Roman" w:cs="Times New Roman"/>
                <w:color w:val="auto"/>
                <w:sz w:val="24"/>
                <w:highlight w:val="none"/>
                <w:lang w:eastAsia="zh-CN"/>
              </w:rPr>
              <w:t>黑龙江省</w:t>
            </w:r>
            <w:r>
              <w:rPr>
                <w:rFonts w:hint="default" w:ascii="Times New Roman" w:hAnsi="Times New Roman" w:cs="Times New Roman"/>
                <w:color w:val="auto"/>
                <w:sz w:val="24"/>
                <w:highlight w:val="none"/>
                <w:lang w:val="zh-CN" w:eastAsia="zh-CN"/>
              </w:rPr>
              <w:t>鸡西市恒山区红旗乡民乐村004乡道北侧</w:t>
            </w:r>
            <w:r>
              <w:rPr>
                <w:rFonts w:hint="default" w:ascii="Times New Roman" w:hAnsi="Times New Roman" w:cs="Times New Roman"/>
                <w:color w:val="auto"/>
                <w:sz w:val="24"/>
                <w:highlight w:val="none"/>
              </w:rPr>
              <w:t>，不涉及集中式饮用水水源和热水、矿泉水、温泉等特殊地下水资源保护区，且项目周边不存在土壤环境敏感目标，不需开展土壤及地下水专项评价。</w:t>
            </w:r>
          </w:p>
          <w:p w14:paraId="4E70347B">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本项目为煤炭仓储建设项目</w:t>
            </w:r>
            <w:r>
              <w:rPr>
                <w:rFonts w:hint="default" w:ascii="Times New Roman" w:hAnsi="Times New Roman" w:cs="Times New Roman"/>
                <w:color w:val="auto"/>
                <w:kern w:val="0"/>
                <w:sz w:val="24"/>
              </w:rPr>
              <w:t>，</w:t>
            </w:r>
            <w:r>
              <w:rPr>
                <w:rFonts w:hint="default" w:ascii="Times New Roman" w:hAnsi="Times New Roman" w:cs="Times New Roman"/>
                <w:color w:val="auto"/>
                <w:kern w:val="0"/>
                <w:sz w:val="24"/>
                <w:lang w:val="en-US" w:eastAsia="zh-CN"/>
              </w:rPr>
              <w:t>厂区地面全部硬化，</w:t>
            </w:r>
            <w:r>
              <w:rPr>
                <w:rFonts w:hint="default" w:ascii="Times New Roman" w:hAnsi="Times New Roman" w:cs="Times New Roman"/>
                <w:color w:val="auto"/>
                <w:kern w:val="0"/>
                <w:sz w:val="24"/>
              </w:rPr>
              <w:t>不会对地下水产生影响</w:t>
            </w:r>
            <w:r>
              <w:rPr>
                <w:rFonts w:hint="eastAsia" w:ascii="Times New Roman" w:hAnsi="Times New Roman" w:cs="Times New Roman"/>
                <w:color w:val="auto"/>
                <w:kern w:val="0"/>
                <w:sz w:val="24"/>
                <w:lang w:eastAsia="zh-CN"/>
              </w:rPr>
              <w:t>，</w:t>
            </w:r>
            <w:r>
              <w:rPr>
                <w:rFonts w:hint="default" w:ascii="Times New Roman" w:hAnsi="Times New Roman" w:cs="Times New Roman"/>
                <w:color w:val="auto"/>
                <w:sz w:val="24"/>
                <w:highlight w:val="none"/>
              </w:rPr>
              <w:t>可以有效防止各类废水下渗对土壤和地下水环境造成污染。</w:t>
            </w:r>
          </w:p>
          <w:p w14:paraId="69BFADA2">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本次评价要求建设单位加强环保措施的运行管理，保证其稳定运行，降低气态污染物的排放，同时加强</w:t>
            </w:r>
            <w:r>
              <w:rPr>
                <w:rFonts w:hint="default" w:ascii="Times New Roman" w:hAnsi="Times New Roman" w:cs="Times New Roman"/>
                <w:color w:val="auto"/>
                <w:sz w:val="24"/>
                <w:highlight w:val="none"/>
                <w:lang w:eastAsia="zh-CN"/>
              </w:rPr>
              <w:t>储煤场</w:t>
            </w:r>
            <w:r>
              <w:rPr>
                <w:rFonts w:hint="default" w:ascii="Times New Roman" w:hAnsi="Times New Roman" w:cs="Times New Roman"/>
                <w:color w:val="auto"/>
                <w:sz w:val="24"/>
                <w:highlight w:val="none"/>
              </w:rPr>
              <w:t>地面维护工作，防止地面出现裂缝等，降低污染物入渗对土壤和地下水环境的影响。</w:t>
            </w:r>
          </w:p>
          <w:p w14:paraId="06014B3F">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源头控制措施</w:t>
            </w:r>
          </w:p>
          <w:p w14:paraId="2DACFF08">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eastAsia="zh-CN"/>
              </w:rPr>
              <w:t>无废水产生</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厕所依托东侧紧邻的黑龙江腾邺贸易有限公司</w:t>
            </w:r>
            <w:r>
              <w:rPr>
                <w:rFonts w:hint="default" w:ascii="Times New Roman" w:hAnsi="Times New Roman" w:cs="Times New Roman"/>
                <w:color w:val="auto"/>
                <w:sz w:val="24"/>
                <w:highlight w:val="none"/>
              </w:rPr>
              <w:t>。本项目在建设过程中均采取相应防渗措施，防止和降低污染物跑、冒、滴、漏，将污染物泄漏的环境风险事故降到最低程度。</w:t>
            </w:r>
          </w:p>
          <w:p w14:paraId="3D4A23F0">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分区防渗措施</w:t>
            </w:r>
          </w:p>
          <w:p w14:paraId="71235B04">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根据《环境影响评价技术导则 地下水环境》（HJ610-2016）表7设置本项目防渗分区，详见下表。</w:t>
            </w:r>
            <w:r>
              <w:rPr>
                <w:rFonts w:hint="default" w:ascii="Times New Roman" w:hAnsi="Times New Roman" w:cs="Times New Roman"/>
                <w:color w:val="auto"/>
                <w:sz w:val="24"/>
                <w:highlight w:val="none"/>
                <w:lang w:eastAsia="zh-CN"/>
              </w:rPr>
              <w:t>分区防渗图见附图</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w:t>
            </w:r>
          </w:p>
          <w:p w14:paraId="46E1A25F">
            <w:pPr>
              <w:adjustRightInd w:val="0"/>
              <w:snapToGrid w:val="0"/>
              <w:spacing w:line="360" w:lineRule="auto"/>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表4-</w:t>
            </w:r>
            <w:r>
              <w:rPr>
                <w:rFonts w:hint="eastAsia" w:ascii="Times New Roman" w:hAnsi="Times New Roman" w:cs="Times New Roman"/>
                <w:b/>
                <w:color w:val="auto"/>
                <w:szCs w:val="21"/>
                <w:highlight w:val="none"/>
                <w:lang w:val="en-US" w:eastAsia="zh-CN"/>
              </w:rPr>
              <w:t>7</w:t>
            </w:r>
            <w:r>
              <w:rPr>
                <w:rFonts w:hint="default" w:ascii="Times New Roman" w:hAnsi="Times New Roman" w:eastAsia="宋体" w:cs="Times New Roman"/>
                <w:b/>
                <w:color w:val="auto"/>
                <w:szCs w:val="21"/>
                <w:highlight w:val="none"/>
              </w:rPr>
              <w:t xml:space="preserve"> 地下水污染防渗分区参照表</w:t>
            </w:r>
          </w:p>
          <w:tbl>
            <w:tblPr>
              <w:tblStyle w:val="31"/>
              <w:tblW w:w="4994"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318"/>
              <w:gridCol w:w="1159"/>
              <w:gridCol w:w="1510"/>
              <w:gridCol w:w="2617"/>
            </w:tblGrid>
            <w:tr w14:paraId="1040F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noWrap w:val="0"/>
                  <w:vAlign w:val="center"/>
                </w:tcPr>
                <w:p w14:paraId="61C70298">
                  <w:pPr>
                    <w:widowControl/>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防渗分区</w:t>
                  </w:r>
                </w:p>
              </w:tc>
              <w:tc>
                <w:tcPr>
                  <w:tcW w:w="830" w:type="pct"/>
                  <w:noWrap w:val="0"/>
                  <w:vAlign w:val="center"/>
                </w:tcPr>
                <w:p w14:paraId="571C21C9">
                  <w:pPr>
                    <w:widowControl/>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天然包气带防污性能</w:t>
                  </w:r>
                </w:p>
              </w:tc>
              <w:tc>
                <w:tcPr>
                  <w:tcW w:w="730" w:type="pct"/>
                  <w:noWrap w:val="0"/>
                  <w:vAlign w:val="center"/>
                </w:tcPr>
                <w:p w14:paraId="771364D2">
                  <w:pPr>
                    <w:widowControl/>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污染控制难易程度</w:t>
                  </w:r>
                </w:p>
              </w:tc>
              <w:tc>
                <w:tcPr>
                  <w:tcW w:w="951" w:type="pct"/>
                  <w:noWrap w:val="0"/>
                  <w:vAlign w:val="center"/>
                </w:tcPr>
                <w:p w14:paraId="56198594">
                  <w:pPr>
                    <w:widowControl/>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污染物类型</w:t>
                  </w:r>
                </w:p>
              </w:tc>
              <w:tc>
                <w:tcPr>
                  <w:tcW w:w="1648" w:type="pct"/>
                  <w:noWrap w:val="0"/>
                  <w:vAlign w:val="center"/>
                </w:tcPr>
                <w:p w14:paraId="36365B55">
                  <w:pPr>
                    <w:widowControl/>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防渗技术要求</w:t>
                  </w:r>
                </w:p>
              </w:tc>
            </w:tr>
            <w:tr w14:paraId="6F65B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restart"/>
                  <w:noWrap w:val="0"/>
                  <w:vAlign w:val="center"/>
                </w:tcPr>
                <w:p w14:paraId="05927EA3">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重点防渗区</w:t>
                  </w:r>
                </w:p>
              </w:tc>
              <w:tc>
                <w:tcPr>
                  <w:tcW w:w="830" w:type="pct"/>
                  <w:noWrap w:val="0"/>
                  <w:vAlign w:val="center"/>
                </w:tcPr>
                <w:p w14:paraId="447C098F">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弱</w:t>
                  </w:r>
                </w:p>
              </w:tc>
              <w:tc>
                <w:tcPr>
                  <w:tcW w:w="730" w:type="pct"/>
                  <w:noWrap w:val="0"/>
                  <w:vAlign w:val="center"/>
                </w:tcPr>
                <w:p w14:paraId="6849C770">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难</w:t>
                  </w:r>
                </w:p>
              </w:tc>
              <w:tc>
                <w:tcPr>
                  <w:tcW w:w="951" w:type="pct"/>
                  <w:vMerge w:val="restart"/>
                  <w:noWrap w:val="0"/>
                  <w:vAlign w:val="center"/>
                </w:tcPr>
                <w:p w14:paraId="76F2BCE4">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重金属、持久性有机污染物</w:t>
                  </w:r>
                </w:p>
              </w:tc>
              <w:tc>
                <w:tcPr>
                  <w:tcW w:w="1648" w:type="pct"/>
                  <w:vMerge w:val="restart"/>
                  <w:noWrap w:val="0"/>
                  <w:vAlign w:val="center"/>
                </w:tcPr>
                <w:p w14:paraId="5EBEB45A">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等效黏土防渗层 Mb≥6.0m，K≤10</w:t>
                  </w:r>
                  <w:r>
                    <w:rPr>
                      <w:rFonts w:hint="default" w:ascii="Times New Roman" w:hAnsi="Times New Roman" w:cs="Times New Roman"/>
                      <w:color w:val="auto"/>
                      <w:kern w:val="0"/>
                      <w:szCs w:val="21"/>
                      <w:highlight w:val="none"/>
                      <w:vertAlign w:val="superscript"/>
                    </w:rPr>
                    <w:t>-7</w:t>
                  </w:r>
                  <w:r>
                    <w:rPr>
                      <w:rFonts w:hint="default" w:ascii="Times New Roman" w:hAnsi="Times New Roman" w:cs="Times New Roman"/>
                      <w:color w:val="auto"/>
                      <w:kern w:val="0"/>
                      <w:szCs w:val="21"/>
                      <w:highlight w:val="none"/>
                    </w:rPr>
                    <w:t>cm/s；或参照GB18598执行</w:t>
                  </w:r>
                </w:p>
              </w:tc>
            </w:tr>
            <w:tr w14:paraId="685288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continue"/>
                  <w:noWrap w:val="0"/>
                  <w:vAlign w:val="center"/>
                </w:tcPr>
                <w:p w14:paraId="560B8644">
                  <w:pPr>
                    <w:widowControl/>
                    <w:jc w:val="center"/>
                    <w:rPr>
                      <w:rFonts w:hint="default" w:ascii="Times New Roman" w:hAnsi="Times New Roman" w:cs="Times New Roman"/>
                      <w:color w:val="auto"/>
                      <w:kern w:val="0"/>
                      <w:szCs w:val="21"/>
                      <w:highlight w:val="none"/>
                    </w:rPr>
                  </w:pPr>
                </w:p>
              </w:tc>
              <w:tc>
                <w:tcPr>
                  <w:tcW w:w="830" w:type="pct"/>
                  <w:noWrap w:val="0"/>
                  <w:vAlign w:val="center"/>
                </w:tcPr>
                <w:p w14:paraId="20CA7089">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中-强</w:t>
                  </w:r>
                </w:p>
              </w:tc>
              <w:tc>
                <w:tcPr>
                  <w:tcW w:w="730" w:type="pct"/>
                  <w:noWrap w:val="0"/>
                  <w:vAlign w:val="center"/>
                </w:tcPr>
                <w:p w14:paraId="2CEE144F">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难</w:t>
                  </w:r>
                </w:p>
              </w:tc>
              <w:tc>
                <w:tcPr>
                  <w:tcW w:w="951" w:type="pct"/>
                  <w:vMerge w:val="continue"/>
                  <w:noWrap w:val="0"/>
                  <w:vAlign w:val="center"/>
                </w:tcPr>
                <w:p w14:paraId="344B2976">
                  <w:pPr>
                    <w:widowControl/>
                    <w:jc w:val="center"/>
                    <w:rPr>
                      <w:rFonts w:hint="default" w:ascii="Times New Roman" w:hAnsi="Times New Roman" w:cs="Times New Roman"/>
                      <w:color w:val="auto"/>
                      <w:kern w:val="0"/>
                      <w:szCs w:val="21"/>
                      <w:highlight w:val="none"/>
                    </w:rPr>
                  </w:pPr>
                </w:p>
              </w:tc>
              <w:tc>
                <w:tcPr>
                  <w:tcW w:w="1648" w:type="pct"/>
                  <w:vMerge w:val="continue"/>
                  <w:noWrap w:val="0"/>
                  <w:vAlign w:val="center"/>
                </w:tcPr>
                <w:p w14:paraId="59171624">
                  <w:pPr>
                    <w:widowControl/>
                    <w:jc w:val="center"/>
                    <w:rPr>
                      <w:rFonts w:hint="default" w:ascii="Times New Roman" w:hAnsi="Times New Roman" w:cs="Times New Roman"/>
                      <w:color w:val="auto"/>
                      <w:kern w:val="0"/>
                      <w:szCs w:val="21"/>
                      <w:highlight w:val="none"/>
                    </w:rPr>
                  </w:pPr>
                </w:p>
              </w:tc>
            </w:tr>
            <w:tr w14:paraId="7C463E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continue"/>
                  <w:noWrap w:val="0"/>
                  <w:vAlign w:val="center"/>
                </w:tcPr>
                <w:p w14:paraId="1CFBE757">
                  <w:pPr>
                    <w:widowControl/>
                    <w:jc w:val="center"/>
                    <w:rPr>
                      <w:rFonts w:hint="default" w:ascii="Times New Roman" w:hAnsi="Times New Roman" w:cs="Times New Roman"/>
                      <w:color w:val="auto"/>
                      <w:kern w:val="0"/>
                      <w:szCs w:val="21"/>
                      <w:highlight w:val="none"/>
                    </w:rPr>
                  </w:pPr>
                </w:p>
              </w:tc>
              <w:tc>
                <w:tcPr>
                  <w:tcW w:w="830" w:type="pct"/>
                  <w:noWrap w:val="0"/>
                  <w:vAlign w:val="center"/>
                </w:tcPr>
                <w:p w14:paraId="6F3C3B4E">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弱</w:t>
                  </w:r>
                </w:p>
              </w:tc>
              <w:tc>
                <w:tcPr>
                  <w:tcW w:w="730" w:type="pct"/>
                  <w:noWrap w:val="0"/>
                  <w:vAlign w:val="center"/>
                </w:tcPr>
                <w:p w14:paraId="1141EE54">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易</w:t>
                  </w:r>
                </w:p>
              </w:tc>
              <w:tc>
                <w:tcPr>
                  <w:tcW w:w="951" w:type="pct"/>
                  <w:vMerge w:val="continue"/>
                  <w:noWrap w:val="0"/>
                  <w:vAlign w:val="center"/>
                </w:tcPr>
                <w:p w14:paraId="0D42F2C8">
                  <w:pPr>
                    <w:widowControl/>
                    <w:jc w:val="center"/>
                    <w:rPr>
                      <w:rFonts w:hint="default" w:ascii="Times New Roman" w:hAnsi="Times New Roman" w:cs="Times New Roman"/>
                      <w:color w:val="auto"/>
                      <w:kern w:val="0"/>
                      <w:szCs w:val="21"/>
                      <w:highlight w:val="none"/>
                    </w:rPr>
                  </w:pPr>
                </w:p>
              </w:tc>
              <w:tc>
                <w:tcPr>
                  <w:tcW w:w="1648" w:type="pct"/>
                  <w:vMerge w:val="continue"/>
                  <w:noWrap w:val="0"/>
                  <w:vAlign w:val="center"/>
                </w:tcPr>
                <w:p w14:paraId="68F67726">
                  <w:pPr>
                    <w:widowControl/>
                    <w:jc w:val="center"/>
                    <w:rPr>
                      <w:rFonts w:hint="default" w:ascii="Times New Roman" w:hAnsi="Times New Roman" w:cs="Times New Roman"/>
                      <w:color w:val="auto"/>
                      <w:kern w:val="0"/>
                      <w:szCs w:val="21"/>
                      <w:highlight w:val="none"/>
                    </w:rPr>
                  </w:pPr>
                </w:p>
              </w:tc>
            </w:tr>
            <w:tr w14:paraId="7DF3D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restart"/>
                  <w:noWrap w:val="0"/>
                  <w:vAlign w:val="center"/>
                </w:tcPr>
                <w:p w14:paraId="08BF2493">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一般防渗区</w:t>
                  </w:r>
                </w:p>
              </w:tc>
              <w:tc>
                <w:tcPr>
                  <w:tcW w:w="830" w:type="pct"/>
                  <w:noWrap w:val="0"/>
                  <w:vAlign w:val="center"/>
                </w:tcPr>
                <w:p w14:paraId="71A9C95A">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弱</w:t>
                  </w:r>
                </w:p>
              </w:tc>
              <w:tc>
                <w:tcPr>
                  <w:tcW w:w="730" w:type="pct"/>
                  <w:noWrap w:val="0"/>
                  <w:vAlign w:val="center"/>
                </w:tcPr>
                <w:p w14:paraId="0DB51710">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易-难</w:t>
                  </w:r>
                </w:p>
              </w:tc>
              <w:tc>
                <w:tcPr>
                  <w:tcW w:w="951" w:type="pct"/>
                  <w:vMerge w:val="restart"/>
                  <w:noWrap w:val="0"/>
                  <w:vAlign w:val="center"/>
                </w:tcPr>
                <w:p w14:paraId="19D0BFDD">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其他类型</w:t>
                  </w:r>
                </w:p>
              </w:tc>
              <w:tc>
                <w:tcPr>
                  <w:tcW w:w="1648" w:type="pct"/>
                  <w:vMerge w:val="restart"/>
                  <w:noWrap w:val="0"/>
                  <w:vAlign w:val="center"/>
                </w:tcPr>
                <w:p w14:paraId="1ED5E53D">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等效黏土防渗层 Mb≥1.5m，K≤10</w:t>
                  </w:r>
                  <w:r>
                    <w:rPr>
                      <w:rFonts w:hint="default" w:ascii="Times New Roman" w:hAnsi="Times New Roman" w:cs="Times New Roman"/>
                      <w:color w:val="auto"/>
                      <w:kern w:val="0"/>
                      <w:szCs w:val="21"/>
                      <w:highlight w:val="none"/>
                      <w:vertAlign w:val="superscript"/>
                    </w:rPr>
                    <w:t>-7</w:t>
                  </w:r>
                  <w:r>
                    <w:rPr>
                      <w:rFonts w:hint="default" w:ascii="Times New Roman" w:hAnsi="Times New Roman" w:cs="Times New Roman"/>
                      <w:color w:val="auto"/>
                      <w:kern w:val="0"/>
                      <w:szCs w:val="21"/>
                      <w:highlight w:val="none"/>
                    </w:rPr>
                    <w:t>cm/s；或参照GB1</w:t>
                  </w:r>
                  <w:r>
                    <w:rPr>
                      <w:rFonts w:hint="default" w:ascii="Times New Roman" w:hAnsi="Times New Roman" w:cs="Times New Roman"/>
                      <w:color w:val="auto"/>
                      <w:kern w:val="0"/>
                      <w:szCs w:val="21"/>
                      <w:highlight w:val="none"/>
                      <w:lang w:val="en-US" w:eastAsia="zh-CN"/>
                    </w:rPr>
                    <w:t>6889</w:t>
                  </w:r>
                  <w:r>
                    <w:rPr>
                      <w:rFonts w:hint="default" w:ascii="Times New Roman" w:hAnsi="Times New Roman" w:cs="Times New Roman"/>
                      <w:color w:val="auto"/>
                      <w:kern w:val="0"/>
                      <w:szCs w:val="21"/>
                      <w:highlight w:val="none"/>
                    </w:rPr>
                    <w:t>执行</w:t>
                  </w:r>
                </w:p>
              </w:tc>
            </w:tr>
            <w:tr w14:paraId="4C2A23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continue"/>
                  <w:noWrap w:val="0"/>
                  <w:vAlign w:val="center"/>
                </w:tcPr>
                <w:p w14:paraId="1CB861D9">
                  <w:pPr>
                    <w:widowControl/>
                    <w:jc w:val="center"/>
                    <w:rPr>
                      <w:rFonts w:hint="default" w:ascii="Times New Roman" w:hAnsi="Times New Roman" w:cs="Times New Roman"/>
                      <w:color w:val="auto"/>
                      <w:kern w:val="0"/>
                      <w:szCs w:val="21"/>
                      <w:highlight w:val="none"/>
                    </w:rPr>
                  </w:pPr>
                </w:p>
              </w:tc>
              <w:tc>
                <w:tcPr>
                  <w:tcW w:w="830" w:type="pct"/>
                  <w:noWrap w:val="0"/>
                  <w:vAlign w:val="center"/>
                </w:tcPr>
                <w:p w14:paraId="46694389">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中-强</w:t>
                  </w:r>
                </w:p>
              </w:tc>
              <w:tc>
                <w:tcPr>
                  <w:tcW w:w="730" w:type="pct"/>
                  <w:noWrap w:val="0"/>
                  <w:vAlign w:val="center"/>
                </w:tcPr>
                <w:p w14:paraId="5B41302E">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难</w:t>
                  </w:r>
                </w:p>
              </w:tc>
              <w:tc>
                <w:tcPr>
                  <w:tcW w:w="951" w:type="pct"/>
                  <w:vMerge w:val="continue"/>
                  <w:noWrap w:val="0"/>
                  <w:vAlign w:val="center"/>
                </w:tcPr>
                <w:p w14:paraId="16FFB387">
                  <w:pPr>
                    <w:widowControl/>
                    <w:jc w:val="center"/>
                    <w:rPr>
                      <w:rFonts w:hint="default" w:ascii="Times New Roman" w:hAnsi="Times New Roman" w:cs="Times New Roman"/>
                      <w:color w:val="auto"/>
                      <w:kern w:val="0"/>
                      <w:szCs w:val="21"/>
                      <w:highlight w:val="none"/>
                    </w:rPr>
                  </w:pPr>
                </w:p>
              </w:tc>
              <w:tc>
                <w:tcPr>
                  <w:tcW w:w="1648" w:type="pct"/>
                  <w:vMerge w:val="continue"/>
                  <w:noWrap w:val="0"/>
                  <w:vAlign w:val="center"/>
                </w:tcPr>
                <w:p w14:paraId="160E018E">
                  <w:pPr>
                    <w:widowControl/>
                    <w:jc w:val="center"/>
                    <w:rPr>
                      <w:rFonts w:hint="default" w:ascii="Times New Roman" w:hAnsi="Times New Roman" w:cs="Times New Roman"/>
                      <w:color w:val="auto"/>
                      <w:kern w:val="0"/>
                      <w:szCs w:val="21"/>
                      <w:highlight w:val="none"/>
                    </w:rPr>
                  </w:pPr>
                </w:p>
              </w:tc>
            </w:tr>
            <w:tr w14:paraId="705BFF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continue"/>
                  <w:noWrap w:val="0"/>
                  <w:vAlign w:val="center"/>
                </w:tcPr>
                <w:p w14:paraId="350135E0">
                  <w:pPr>
                    <w:widowControl/>
                    <w:jc w:val="center"/>
                    <w:rPr>
                      <w:rFonts w:hint="default" w:ascii="Times New Roman" w:hAnsi="Times New Roman" w:cs="Times New Roman"/>
                      <w:color w:val="auto"/>
                      <w:kern w:val="0"/>
                      <w:szCs w:val="21"/>
                      <w:highlight w:val="none"/>
                    </w:rPr>
                  </w:pPr>
                </w:p>
              </w:tc>
              <w:tc>
                <w:tcPr>
                  <w:tcW w:w="830" w:type="pct"/>
                  <w:noWrap w:val="0"/>
                  <w:vAlign w:val="center"/>
                </w:tcPr>
                <w:p w14:paraId="63F62E60">
                  <w:pPr>
                    <w:widowControl/>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中</w:t>
                  </w:r>
                </w:p>
              </w:tc>
              <w:tc>
                <w:tcPr>
                  <w:tcW w:w="730" w:type="pct"/>
                  <w:noWrap w:val="0"/>
                  <w:vAlign w:val="center"/>
                </w:tcPr>
                <w:p w14:paraId="54DB6253">
                  <w:pPr>
                    <w:widowControl/>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易</w:t>
                  </w:r>
                </w:p>
              </w:tc>
              <w:tc>
                <w:tcPr>
                  <w:tcW w:w="951" w:type="pct"/>
                  <w:vMerge w:val="restart"/>
                  <w:noWrap w:val="0"/>
                  <w:vAlign w:val="center"/>
                </w:tcPr>
                <w:p w14:paraId="07F12D24">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重金属、持久性有机污染物</w:t>
                  </w:r>
                </w:p>
              </w:tc>
              <w:tc>
                <w:tcPr>
                  <w:tcW w:w="1648" w:type="pct"/>
                  <w:vMerge w:val="continue"/>
                  <w:noWrap w:val="0"/>
                  <w:vAlign w:val="center"/>
                </w:tcPr>
                <w:p w14:paraId="37373B02">
                  <w:pPr>
                    <w:widowControl/>
                    <w:jc w:val="center"/>
                    <w:rPr>
                      <w:rFonts w:hint="default" w:ascii="Times New Roman" w:hAnsi="Times New Roman" w:cs="Times New Roman"/>
                      <w:color w:val="auto"/>
                      <w:kern w:val="0"/>
                      <w:szCs w:val="21"/>
                      <w:highlight w:val="none"/>
                    </w:rPr>
                  </w:pPr>
                </w:p>
              </w:tc>
            </w:tr>
            <w:tr w14:paraId="3E5414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vMerge w:val="continue"/>
                  <w:noWrap w:val="0"/>
                  <w:vAlign w:val="center"/>
                </w:tcPr>
                <w:p w14:paraId="4CEA75CB">
                  <w:pPr>
                    <w:widowControl/>
                    <w:jc w:val="center"/>
                    <w:rPr>
                      <w:rFonts w:hint="default" w:ascii="Times New Roman" w:hAnsi="Times New Roman" w:cs="Times New Roman"/>
                      <w:color w:val="auto"/>
                      <w:kern w:val="0"/>
                      <w:szCs w:val="21"/>
                      <w:highlight w:val="none"/>
                    </w:rPr>
                  </w:pPr>
                </w:p>
              </w:tc>
              <w:tc>
                <w:tcPr>
                  <w:tcW w:w="830" w:type="pct"/>
                  <w:noWrap w:val="0"/>
                  <w:vAlign w:val="center"/>
                </w:tcPr>
                <w:p w14:paraId="3C9C5961">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强</w:t>
                  </w:r>
                </w:p>
              </w:tc>
              <w:tc>
                <w:tcPr>
                  <w:tcW w:w="730" w:type="pct"/>
                  <w:noWrap w:val="0"/>
                  <w:vAlign w:val="center"/>
                </w:tcPr>
                <w:p w14:paraId="39494D22">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易</w:t>
                  </w:r>
                </w:p>
              </w:tc>
              <w:tc>
                <w:tcPr>
                  <w:tcW w:w="951" w:type="pct"/>
                  <w:vMerge w:val="continue"/>
                  <w:noWrap w:val="0"/>
                  <w:vAlign w:val="center"/>
                </w:tcPr>
                <w:p w14:paraId="636FC2E7">
                  <w:pPr>
                    <w:widowControl/>
                    <w:jc w:val="center"/>
                    <w:rPr>
                      <w:rFonts w:hint="default" w:ascii="Times New Roman" w:hAnsi="Times New Roman" w:cs="Times New Roman"/>
                      <w:color w:val="auto"/>
                      <w:kern w:val="0"/>
                      <w:szCs w:val="21"/>
                      <w:highlight w:val="none"/>
                    </w:rPr>
                  </w:pPr>
                </w:p>
              </w:tc>
              <w:tc>
                <w:tcPr>
                  <w:tcW w:w="1648" w:type="pct"/>
                  <w:vMerge w:val="continue"/>
                  <w:noWrap w:val="0"/>
                  <w:vAlign w:val="center"/>
                </w:tcPr>
                <w:p w14:paraId="39E2D86D">
                  <w:pPr>
                    <w:widowControl/>
                    <w:jc w:val="center"/>
                    <w:rPr>
                      <w:rFonts w:hint="default" w:ascii="Times New Roman" w:hAnsi="Times New Roman" w:cs="Times New Roman"/>
                      <w:color w:val="auto"/>
                      <w:kern w:val="0"/>
                      <w:szCs w:val="21"/>
                      <w:highlight w:val="none"/>
                    </w:rPr>
                  </w:pPr>
                </w:p>
              </w:tc>
            </w:tr>
            <w:tr w14:paraId="26B64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pct"/>
                  <w:noWrap w:val="0"/>
                  <w:vAlign w:val="center"/>
                </w:tcPr>
                <w:p w14:paraId="168F8ECD">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简单防渗区</w:t>
                  </w:r>
                </w:p>
              </w:tc>
              <w:tc>
                <w:tcPr>
                  <w:tcW w:w="830" w:type="pct"/>
                  <w:noWrap w:val="0"/>
                  <w:vAlign w:val="center"/>
                </w:tcPr>
                <w:p w14:paraId="676BA37A">
                  <w:pPr>
                    <w:widowControl/>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中-强</w:t>
                  </w:r>
                </w:p>
              </w:tc>
              <w:tc>
                <w:tcPr>
                  <w:tcW w:w="730" w:type="pct"/>
                  <w:noWrap w:val="0"/>
                  <w:vAlign w:val="center"/>
                </w:tcPr>
                <w:p w14:paraId="36F65498">
                  <w:pPr>
                    <w:widowControl/>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易</w:t>
                  </w:r>
                </w:p>
              </w:tc>
              <w:tc>
                <w:tcPr>
                  <w:tcW w:w="951" w:type="pct"/>
                  <w:noWrap w:val="0"/>
                  <w:vAlign w:val="center"/>
                </w:tcPr>
                <w:p w14:paraId="2A74F42D">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其他类型</w:t>
                  </w:r>
                </w:p>
              </w:tc>
              <w:tc>
                <w:tcPr>
                  <w:tcW w:w="1648" w:type="pct"/>
                  <w:noWrap w:val="0"/>
                  <w:vAlign w:val="center"/>
                </w:tcPr>
                <w:p w14:paraId="4D7B41BB">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一般地面硬化</w:t>
                  </w:r>
                </w:p>
              </w:tc>
            </w:tr>
          </w:tbl>
          <w:p w14:paraId="164744AD">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 1 \* GB3 \* MERGEFORMAT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①</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一般防渗区</w:t>
            </w:r>
          </w:p>
          <w:p w14:paraId="2B0AC8BE">
            <w:pPr>
              <w:spacing w:line="360" w:lineRule="auto"/>
              <w:ind w:firstLine="480" w:firstLineChars="200"/>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初期雨水收集池</w:t>
            </w:r>
            <w:r>
              <w:rPr>
                <w:rFonts w:hint="default" w:ascii="Times New Roman" w:hAnsi="Times New Roman" w:cs="Times New Roman"/>
                <w:color w:val="auto"/>
                <w:sz w:val="24"/>
                <w:highlight w:val="none"/>
              </w:rPr>
              <w:t>采取一般防渗措施。</w:t>
            </w:r>
          </w:p>
          <w:p w14:paraId="47926531">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采用抗渗钢纤维混凝土面，层中掺水泥基透结晶型防水剂，其下粘土务实，单位面积防渗能力达到等效黏土防渗层Mb≥1.5m，渗透系数≤1×10</w:t>
            </w:r>
            <w:r>
              <w:rPr>
                <w:rFonts w:hint="default" w:ascii="Times New Roman" w:hAnsi="Times New Roman" w:cs="Times New Roman"/>
                <w:color w:val="auto"/>
                <w:sz w:val="24"/>
                <w:highlight w:val="none"/>
                <w:vertAlign w:val="superscript"/>
              </w:rPr>
              <w:t>-7</w:t>
            </w:r>
            <w:r>
              <w:rPr>
                <w:rFonts w:hint="default" w:ascii="Times New Roman" w:hAnsi="Times New Roman" w:cs="Times New Roman"/>
                <w:color w:val="auto"/>
                <w:sz w:val="24"/>
                <w:highlight w:val="none"/>
              </w:rPr>
              <w:t>cm/s，符合《环境影响评价技术导则  地下水环境》（HJ 610-2016）一般防渗区要求。</w:t>
            </w:r>
          </w:p>
          <w:p w14:paraId="4A020302">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②</w:t>
            </w:r>
            <w:r>
              <w:rPr>
                <w:rFonts w:hint="default" w:ascii="Times New Roman" w:hAnsi="Times New Roman" w:cs="Times New Roman"/>
                <w:color w:val="auto"/>
                <w:sz w:val="24"/>
                <w:highlight w:val="none"/>
              </w:rPr>
              <w:t>简单防渗区</w:t>
            </w:r>
          </w:p>
          <w:p w14:paraId="50D77EBE">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原煤堆场、</w:t>
            </w:r>
            <w:r>
              <w:rPr>
                <w:rFonts w:hint="default" w:ascii="Times New Roman" w:hAnsi="Times New Roman" w:cs="Times New Roman"/>
                <w:color w:val="auto"/>
                <w:highlight w:val="none"/>
                <w:lang w:val="en-GB"/>
              </w:rPr>
              <w:t>厂区</w:t>
            </w:r>
            <w:r>
              <w:rPr>
                <w:rFonts w:hint="default" w:ascii="Times New Roman" w:hAnsi="Times New Roman" w:cs="Times New Roman"/>
                <w:color w:val="auto"/>
                <w:highlight w:val="none"/>
                <w:lang w:val="en-US" w:eastAsia="zh-CN"/>
              </w:rPr>
              <w:t>道路</w:t>
            </w:r>
            <w:r>
              <w:rPr>
                <w:rFonts w:hint="default" w:ascii="Times New Roman" w:hAnsi="Times New Roman" w:cs="Times New Roman"/>
                <w:color w:val="auto"/>
                <w:highlight w:val="none"/>
              </w:rPr>
              <w:t>为简单防渗区，采取水泥地面硬化。</w:t>
            </w:r>
          </w:p>
          <w:p w14:paraId="4AC6E22E">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eastAsia" w:cs="Times New Roman"/>
                <w:color w:val="auto"/>
                <w:sz w:val="24"/>
                <w:highlight w:val="none"/>
                <w:lang w:eastAsia="zh-CN"/>
              </w:rPr>
              <w:t>初期雨水收集池</w:t>
            </w:r>
            <w:r>
              <w:rPr>
                <w:rFonts w:hint="default" w:ascii="Times New Roman" w:hAnsi="Times New Roman" w:cs="Times New Roman"/>
                <w:color w:val="auto"/>
                <w:highlight w:val="none"/>
              </w:rPr>
              <w:t>采取严格的防渗措施，可有效避免由于污水下渗造成的地下水环境污染。</w:t>
            </w:r>
          </w:p>
          <w:p w14:paraId="20C7D10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综上分析，本项目不需开展土壤及地下水环境影响评价。项目</w:t>
            </w:r>
            <w:r>
              <w:rPr>
                <w:rFonts w:hint="default" w:ascii="Times New Roman" w:hAnsi="Times New Roman" w:eastAsia="宋体" w:cs="Times New Roman"/>
                <w:color w:val="auto"/>
                <w:sz w:val="24"/>
                <w:highlight w:val="none"/>
                <w:lang w:eastAsia="zh-CN"/>
              </w:rPr>
              <w:t>运营过程中不产生危险废物，项目</w:t>
            </w:r>
            <w:r>
              <w:rPr>
                <w:rFonts w:hint="eastAsia" w:cs="Times New Roman"/>
                <w:color w:val="auto"/>
                <w:sz w:val="24"/>
                <w:highlight w:val="none"/>
                <w:lang w:eastAsia="zh-CN"/>
              </w:rPr>
              <w:t>初期雨水收集池</w:t>
            </w:r>
            <w:r>
              <w:rPr>
                <w:rFonts w:hint="eastAsia" w:cs="Times New Roman"/>
                <w:color w:val="auto"/>
                <w:sz w:val="24"/>
                <w:highlight w:val="none"/>
                <w:lang w:val="en-US" w:eastAsia="zh-CN"/>
              </w:rPr>
              <w:t>采用</w:t>
            </w:r>
            <w:r>
              <w:rPr>
                <w:rFonts w:hint="default" w:ascii="Times New Roman" w:hAnsi="Times New Roman" w:eastAsia="宋体" w:cs="Times New Roman"/>
                <w:color w:val="auto"/>
                <w:sz w:val="24"/>
                <w:highlight w:val="none"/>
              </w:rPr>
              <w:t>一般防渗，</w:t>
            </w:r>
            <w:r>
              <w:rPr>
                <w:rFonts w:hint="default" w:ascii="Times New Roman" w:hAnsi="Times New Roman" w:eastAsia="宋体" w:cs="Times New Roman"/>
                <w:color w:val="auto"/>
                <w:sz w:val="24"/>
                <w:highlight w:val="none"/>
                <w:lang w:val="en-US" w:eastAsia="zh-CN"/>
              </w:rPr>
              <w:t>原煤堆场、</w:t>
            </w:r>
            <w:r>
              <w:rPr>
                <w:rFonts w:hint="default" w:ascii="Times New Roman" w:hAnsi="Times New Roman" w:eastAsia="宋体" w:cs="Times New Roman"/>
                <w:color w:val="auto"/>
                <w:sz w:val="24"/>
                <w:highlight w:val="none"/>
                <w:lang w:val="en-GB"/>
              </w:rPr>
              <w:t>厂区</w:t>
            </w:r>
            <w:r>
              <w:rPr>
                <w:rFonts w:hint="default" w:ascii="Times New Roman" w:hAnsi="Times New Roman" w:eastAsia="宋体" w:cs="Times New Roman"/>
                <w:color w:val="auto"/>
                <w:sz w:val="24"/>
                <w:highlight w:val="none"/>
                <w:lang w:val="en-US" w:eastAsia="zh-CN"/>
              </w:rPr>
              <w:t>道路</w:t>
            </w:r>
            <w:r>
              <w:rPr>
                <w:rFonts w:hint="default" w:ascii="Times New Roman" w:hAnsi="Times New Roman" w:cs="Times New Roman"/>
                <w:color w:val="auto"/>
                <w:sz w:val="24"/>
                <w:highlight w:val="none"/>
                <w:lang w:val="en-GB" w:eastAsia="zh-CN"/>
              </w:rPr>
              <w:t>等</w:t>
            </w:r>
            <w:r>
              <w:rPr>
                <w:rFonts w:hint="eastAsia" w:cs="Times New Roman"/>
                <w:color w:val="auto"/>
                <w:sz w:val="24"/>
                <w:highlight w:val="none"/>
                <w:lang w:val="en-US" w:eastAsia="zh-CN"/>
              </w:rPr>
              <w:t>采用</w:t>
            </w:r>
            <w:r>
              <w:rPr>
                <w:rFonts w:hint="default" w:ascii="Times New Roman" w:hAnsi="Times New Roman" w:cs="Times New Roman"/>
                <w:color w:val="auto"/>
                <w:sz w:val="24"/>
                <w:highlight w:val="none"/>
                <w:lang w:eastAsia="zh-CN"/>
              </w:rPr>
              <w:t>简单</w:t>
            </w:r>
            <w:r>
              <w:rPr>
                <w:rFonts w:hint="default" w:ascii="Times New Roman" w:hAnsi="Times New Roman" w:eastAsia="宋体" w:cs="Times New Roman"/>
                <w:color w:val="auto"/>
                <w:sz w:val="24"/>
                <w:highlight w:val="none"/>
              </w:rPr>
              <w:t>防渗</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故项目生产不会对项目所在区域的地下水和土壤造成影响。</w:t>
            </w:r>
          </w:p>
          <w:p w14:paraId="7B1FFD53">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6</w:t>
            </w:r>
            <w:r>
              <w:rPr>
                <w:rFonts w:hint="default" w:ascii="Times New Roman" w:hAnsi="Times New Roman" w:cs="Times New Roman"/>
                <w:b/>
                <w:bCs/>
                <w:color w:val="auto"/>
                <w:sz w:val="24"/>
                <w:highlight w:val="none"/>
              </w:rPr>
              <w:t>、生态</w:t>
            </w:r>
          </w:p>
          <w:p w14:paraId="7A7E6BA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highlight w:val="none"/>
              </w:rPr>
              <w:t>本项目占地范围内不含生态环境保护目标。</w:t>
            </w:r>
            <w:r>
              <w:rPr>
                <w:rFonts w:hint="default" w:ascii="Times New Roman" w:hAnsi="Times New Roman" w:cs="Times New Roman"/>
                <w:color w:val="auto"/>
                <w:sz w:val="24"/>
                <w:szCs w:val="22"/>
                <w:highlight w:val="none"/>
              </w:rPr>
              <w:t>本项目运营期对生态环境的影响主要是生产过程中排放的颗粒物对周围生态环境的影响。污染物将通过干沉降和湿沉降以及降雨过程沉降于植物和地表，最终转入土壤并累积于土壤之中。</w:t>
            </w:r>
          </w:p>
          <w:p w14:paraId="7A9CC1B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为尽可能减轻该部分污染物对周围生态环境的影响，拟采取以下措施：</w:t>
            </w:r>
          </w:p>
          <w:p w14:paraId="33E944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（1）加强生产设备的管理和维护，确保除尘</w:t>
            </w:r>
            <w:r>
              <w:rPr>
                <w:rFonts w:hint="default" w:ascii="Times New Roman" w:hAnsi="Times New Roman" w:cs="Times New Roman"/>
                <w:color w:val="auto"/>
                <w:sz w:val="24"/>
                <w:szCs w:val="22"/>
                <w:highlight w:val="none"/>
                <w:lang w:eastAsia="zh-CN"/>
              </w:rPr>
              <w:t>效果</w:t>
            </w:r>
            <w:r>
              <w:rPr>
                <w:rFonts w:hint="default" w:ascii="Times New Roman" w:hAnsi="Times New Roman" w:cs="Times New Roman"/>
                <w:color w:val="auto"/>
                <w:sz w:val="24"/>
                <w:szCs w:val="22"/>
                <w:highlight w:val="none"/>
              </w:rPr>
              <w:t>达到设计水平并稳定运行，加强物料的管理，</w:t>
            </w:r>
            <w:r>
              <w:rPr>
                <w:rFonts w:hint="default" w:ascii="Times New Roman" w:hAnsi="Times New Roman" w:cs="Times New Roman"/>
                <w:color w:val="auto"/>
                <w:sz w:val="24"/>
                <w:szCs w:val="22"/>
                <w:highlight w:val="none"/>
                <w:lang w:eastAsia="zh-CN"/>
              </w:rPr>
              <w:t>减少</w:t>
            </w:r>
            <w:r>
              <w:rPr>
                <w:rFonts w:hint="default" w:ascii="Times New Roman" w:hAnsi="Times New Roman" w:cs="Times New Roman"/>
                <w:color w:val="auto"/>
                <w:sz w:val="24"/>
                <w:szCs w:val="22"/>
                <w:highlight w:val="none"/>
              </w:rPr>
              <w:t>颗粒物的排放总量，这是减轻生态负面影响的关键因素；</w:t>
            </w:r>
          </w:p>
          <w:p w14:paraId="354C88E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lang w:eastAsia="zh-CN"/>
              </w:rPr>
            </w:pPr>
            <w:r>
              <w:rPr>
                <w:rFonts w:hint="default" w:ascii="Times New Roman" w:hAnsi="Times New Roman" w:cs="Times New Roman"/>
                <w:color w:val="auto"/>
                <w:sz w:val="24"/>
                <w:szCs w:val="22"/>
                <w:highlight w:val="none"/>
              </w:rPr>
              <w:t>（2）在厂区四周设置围墙、种植树木等多种形式的围挡，尽可能限制无组织排放粉尘的扩散范围及强度</w:t>
            </w:r>
            <w:r>
              <w:rPr>
                <w:rFonts w:hint="default" w:ascii="Times New Roman" w:hAnsi="Times New Roman" w:cs="Times New Roman"/>
                <w:color w:val="auto"/>
                <w:sz w:val="24"/>
                <w:szCs w:val="22"/>
                <w:highlight w:val="none"/>
                <w:lang w:eastAsia="zh-CN"/>
              </w:rPr>
              <w:t>。</w:t>
            </w:r>
          </w:p>
          <w:p w14:paraId="2407F1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szCs w:val="22"/>
                <w:highlight w:val="none"/>
              </w:rPr>
              <w:t>采取以上措施后，运营期的颗粒物对周围生态环境的影响很小。</w:t>
            </w:r>
          </w:p>
          <w:p w14:paraId="17290356">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7、环境风险分析</w:t>
            </w:r>
          </w:p>
          <w:p w14:paraId="547B36F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堆煤场</w:t>
            </w:r>
            <w:r>
              <w:rPr>
                <w:rFonts w:hint="default" w:ascii="Times New Roman" w:hAnsi="Times New Roman" w:eastAsia="宋体" w:cs="Times New Roman"/>
                <w:color w:val="auto"/>
                <w:sz w:val="24"/>
                <w:szCs w:val="22"/>
                <w:highlight w:val="none"/>
                <w:lang w:eastAsia="zh-CN"/>
              </w:rPr>
              <w:t>煤炭</w:t>
            </w:r>
            <w:r>
              <w:rPr>
                <w:rFonts w:hint="default" w:ascii="Times New Roman" w:hAnsi="Times New Roman" w:eastAsia="宋体" w:cs="Times New Roman"/>
                <w:color w:val="auto"/>
                <w:sz w:val="24"/>
                <w:szCs w:val="22"/>
                <w:highlight w:val="none"/>
              </w:rPr>
              <w:t>煤粉由于风速大被扬尘，遇明火后被点燃，可使人中毒、窒息，泄漏物与空气形成爆炸性混合气体，引发火灾、爆炸事故。具有较大的危害性。</w:t>
            </w:r>
          </w:p>
          <w:p w14:paraId="43648F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lang w:eastAsia="zh-CN"/>
              </w:rPr>
            </w:pPr>
            <w:r>
              <w:rPr>
                <w:rFonts w:hint="default" w:ascii="Times New Roman" w:hAnsi="Times New Roman" w:eastAsia="宋体" w:cs="Times New Roman"/>
                <w:color w:val="auto"/>
                <w:sz w:val="24"/>
                <w:szCs w:val="22"/>
                <w:highlight w:val="none"/>
                <w:lang w:eastAsia="zh-CN"/>
              </w:rPr>
              <w:t>故针对本项目的风险防范提出以下措施：</w:t>
            </w:r>
          </w:p>
          <w:p w14:paraId="61BC79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1</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项目应加强对极端天气的预警，加强管理和安全知识教育，增强防范意识，严禁向</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内倾倒易燃物，如坑木、锯末、生活垃圾等；</w:t>
            </w:r>
          </w:p>
          <w:p w14:paraId="4DC2E1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2</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建设单位必须制定具有操作性的管理制</w:t>
            </w:r>
            <w:r>
              <w:rPr>
                <w:rFonts w:hint="eastAsia" w:ascii="Times New Roman" w:hAnsi="Times New Roman" w:cs="Times New Roman"/>
                <w:color w:val="auto"/>
                <w:sz w:val="24"/>
                <w:szCs w:val="22"/>
                <w:highlight w:val="none"/>
                <w:lang w:eastAsia="zh-CN"/>
              </w:rPr>
              <w:t>度</w:t>
            </w:r>
            <w:r>
              <w:rPr>
                <w:rFonts w:hint="default" w:ascii="Times New Roman" w:hAnsi="Times New Roman" w:eastAsia="宋体" w:cs="Times New Roman"/>
                <w:color w:val="auto"/>
                <w:sz w:val="24"/>
                <w:szCs w:val="22"/>
                <w:highlight w:val="none"/>
              </w:rPr>
              <w:t>、危害预警措施、应急预案等，要有固定的</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管理与灾害治理专业队伍或专职人员；建立自燃预警管理制度，定期测温及预测、预警、预报机制，并建立相应技术管理资料库；</w:t>
            </w:r>
          </w:p>
          <w:p w14:paraId="0C5832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3</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加强</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管理，杜绝外来炭物等可燃物进入排矸场，加强巡逻，禁止将易燃物品带入排矸场，防止火灾发生。</w:t>
            </w:r>
          </w:p>
          <w:p w14:paraId="4F1F52D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4</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要有充分的应急措施，项目应按照相关规定设置逃生系统，并能够有足够匹配的消防器材及备用应急电源。一旦发生意外，应立即启动应急预案。</w:t>
            </w:r>
          </w:p>
          <w:p w14:paraId="54FDF7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5</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建立安全生产岗位责任制，制定全套切实可行的安全生产规律和安全操作规程，并设专人负责安全，定期对职工进行安全方面知识的教育和学习；</w:t>
            </w:r>
          </w:p>
          <w:p w14:paraId="3E064B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6</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按有关规范要求配置干粉泡沫化学灭火器和消防栓。</w:t>
            </w:r>
            <w:r>
              <w:rPr>
                <w:rFonts w:hint="default" w:ascii="Times New Roman" w:hAnsi="Times New Roman" w:eastAsia="宋体" w:cs="Times New Roman"/>
                <w:color w:val="auto"/>
                <w:sz w:val="24"/>
                <w:szCs w:val="22"/>
                <w:highlight w:val="none"/>
                <w:lang w:eastAsia="zh-CN"/>
              </w:rPr>
              <w:t>大棚</w:t>
            </w:r>
            <w:r>
              <w:rPr>
                <w:rFonts w:hint="default" w:ascii="Times New Roman" w:hAnsi="Times New Roman" w:eastAsia="宋体" w:cs="Times New Roman"/>
                <w:color w:val="auto"/>
                <w:sz w:val="24"/>
                <w:szCs w:val="22"/>
                <w:highlight w:val="none"/>
              </w:rPr>
              <w:t>内禁止一切烟火，并有相应的防火安全措施，设置防火标识牌。</w:t>
            </w:r>
          </w:p>
          <w:p w14:paraId="40FA1F1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7</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加强对公司</w:t>
            </w:r>
            <w:r>
              <w:rPr>
                <w:rFonts w:hint="default" w:ascii="Times New Roman" w:hAnsi="Times New Roman" w:cs="Times New Roman"/>
                <w:color w:val="auto"/>
                <w:sz w:val="24"/>
                <w:szCs w:val="22"/>
                <w:highlight w:val="none"/>
                <w:lang w:eastAsia="zh-CN"/>
              </w:rPr>
              <w:t>职工</w:t>
            </w:r>
            <w:r>
              <w:rPr>
                <w:rFonts w:hint="default" w:ascii="Times New Roman" w:hAnsi="Times New Roman" w:eastAsia="宋体" w:cs="Times New Roman"/>
                <w:color w:val="auto"/>
                <w:sz w:val="24"/>
                <w:szCs w:val="22"/>
                <w:highlight w:val="none"/>
              </w:rPr>
              <w:t>教育培训，实行上岗证制度，增强职工风险意识，提高事故自救能力，制定和强化各种安全管理、安全生产的规程，减少人为风险事故的发生。</w:t>
            </w:r>
          </w:p>
          <w:p w14:paraId="14876B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8</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cs="Times New Roman"/>
                <w:color w:val="auto"/>
                <w:sz w:val="24"/>
                <w:szCs w:val="22"/>
                <w:highlight w:val="none"/>
                <w:lang w:eastAsia="zh-CN"/>
              </w:rPr>
              <w:t>制定</w:t>
            </w:r>
            <w:r>
              <w:rPr>
                <w:rFonts w:hint="default" w:ascii="Times New Roman" w:hAnsi="Times New Roman" w:eastAsia="宋体" w:cs="Times New Roman"/>
                <w:color w:val="auto"/>
                <w:sz w:val="24"/>
                <w:szCs w:val="22"/>
                <w:highlight w:val="none"/>
              </w:rPr>
              <w:t>发生事故时迅速撤离人员至安全区的方案，一旦发生事故，则要根据具体情况采取应急措施。</w:t>
            </w:r>
          </w:p>
          <w:p w14:paraId="03FE7E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2"/>
                <w:highlight w:val="none"/>
                <w:lang w:eastAsia="zh-CN"/>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9</w:t>
            </w:r>
            <w:r>
              <w:rPr>
                <w:rFonts w:hint="default" w:ascii="Times New Roman" w:hAnsi="Times New Roman" w:eastAsia="宋体" w:cs="Times New Roman"/>
                <w:color w:val="auto"/>
                <w:sz w:val="24"/>
                <w:szCs w:val="22"/>
                <w:highlight w:val="none"/>
                <w:lang w:eastAsia="zh-CN"/>
              </w:rPr>
              <w:t>）编制突发环境事件应急预案。</w:t>
            </w:r>
          </w:p>
          <w:p w14:paraId="1180A48D">
            <w:pPr>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8</w:t>
            </w:r>
            <w:r>
              <w:rPr>
                <w:rFonts w:hint="default" w:ascii="Times New Roman" w:hAnsi="Times New Roman" w:cs="Times New Roman"/>
                <w:b/>
                <w:bCs/>
                <w:color w:val="auto"/>
                <w:sz w:val="24"/>
                <w:highlight w:val="none"/>
              </w:rPr>
              <w:t>、环境管理</w:t>
            </w:r>
          </w:p>
          <w:p w14:paraId="5FAF981B">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环境管理是按照国家、省和市有关环境保护法规，进行环境管理，接受地方主管环保部门的监督，制定环保规划和目标，促使工程向</w:t>
            </w:r>
            <w:r>
              <w:rPr>
                <w:rFonts w:hint="eastAsia" w:ascii="Times New Roman" w:hAnsi="Times New Roman" w:cs="Times New Roman"/>
                <w:color w:val="auto"/>
                <w:kern w:val="21"/>
                <w:sz w:val="24"/>
                <w:highlight w:val="none"/>
                <w:lang w:eastAsia="zh-CN"/>
              </w:rPr>
              <w:t>“</w:t>
            </w:r>
            <w:r>
              <w:rPr>
                <w:rFonts w:hint="default" w:ascii="Times New Roman" w:hAnsi="Times New Roman" w:cs="Times New Roman"/>
                <w:color w:val="auto"/>
                <w:sz w:val="24"/>
                <w:highlight w:val="none"/>
              </w:rPr>
              <w:t>清洁生产</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的方向不断发展。</w:t>
            </w:r>
          </w:p>
          <w:p w14:paraId="0F1204EB">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根据《国务院关于环境保护工作的决定》中有关建立和健全环保机构的精神，建议项目建成投产后，建立二级环境管理体系。各级领导对环境污染负</w:t>
            </w:r>
            <w:r>
              <w:rPr>
                <w:rFonts w:hint="default" w:ascii="Times New Roman" w:hAnsi="Times New Roman" w:cs="Times New Roman"/>
                <w:color w:val="auto"/>
                <w:sz w:val="24"/>
                <w:highlight w:val="none"/>
                <w:lang w:eastAsia="zh-CN"/>
              </w:rPr>
              <w:t>有关</w:t>
            </w:r>
            <w:r>
              <w:rPr>
                <w:rFonts w:hint="default" w:ascii="Times New Roman" w:hAnsi="Times New Roman" w:cs="Times New Roman"/>
                <w:color w:val="auto"/>
                <w:sz w:val="24"/>
                <w:highlight w:val="none"/>
              </w:rPr>
              <w:t>、防治的责任。</w:t>
            </w:r>
          </w:p>
          <w:p w14:paraId="2CE01A49">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环境管理主要职责</w:t>
            </w:r>
          </w:p>
          <w:p w14:paraId="5230FF81">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认真贯彻国家和地方有关环保方针、政策法规。</w:t>
            </w:r>
          </w:p>
          <w:p w14:paraId="44404A11">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通过环境管理制度的考核，</w:t>
            </w:r>
            <w:r>
              <w:rPr>
                <w:rFonts w:hint="default" w:ascii="Times New Roman" w:hAnsi="Times New Roman" w:cs="Times New Roman"/>
                <w:color w:val="auto"/>
                <w:highlight w:val="none"/>
                <w:lang w:eastAsia="zh-CN"/>
              </w:rPr>
              <w:t>增强</w:t>
            </w:r>
            <w:r>
              <w:rPr>
                <w:rFonts w:hint="default" w:ascii="Times New Roman" w:hAnsi="Times New Roman" w:cs="Times New Roman"/>
                <w:color w:val="auto"/>
                <w:highlight w:val="none"/>
              </w:rPr>
              <w:t>全体员工的环保意识。</w:t>
            </w:r>
          </w:p>
          <w:p w14:paraId="78989C76">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建立健全一套符合本项目实际情况的环境保护管理制度，使环保工作有章可循，并形成制度化管理。</w:t>
            </w:r>
          </w:p>
          <w:p w14:paraId="6D599BC0">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制定环境管理控制目标及实施办法，搞好全厂污染物总量控制。</w:t>
            </w:r>
          </w:p>
          <w:p w14:paraId="3EE335EE">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参与各项环保设施施工质量的检查和竣工验收：监督和检查环保设施的运行和维护。</w:t>
            </w:r>
          </w:p>
          <w:p w14:paraId="75A8A892">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建立健全环保统计等技术档案。</w:t>
            </w:r>
          </w:p>
          <w:p w14:paraId="5078C8EB">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环境监测工作职责及主要任务</w:t>
            </w:r>
          </w:p>
          <w:p w14:paraId="3B9B7D7B">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环境监测是环境保护的基础和耳目，是掌握环境质量和了解其QA变化动态的重要手段。参照有关规定，本次环评对该项环境监测的工作职责及主要任务建议如下：</w:t>
            </w:r>
          </w:p>
          <w:p w14:paraId="50089ADD">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严格按照国家有关环境质量标准、污染物排放标准、环境监测技术规范和环境监测分析方法规定等要求，建立环境监测管理制度和环境监测质量保证体系，确保监测数据真实可靠。</w:t>
            </w:r>
          </w:p>
          <w:p w14:paraId="1E9BB1A3">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按照环境监测计划和安全环保部门的要求，定期对污染源的污染物及废水、废气治理设施运行状况进行监测，定期或不定期对厂区或厂区周边环境空气、噪声等环境要素中的常规污染物、特征污染物和环境影响因素进行监测。</w:t>
            </w:r>
          </w:p>
          <w:p w14:paraId="09F0C501">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及时汇总环境监测数据，定期对环境监测数据进行综合分析，掌握污染物排放状况及变化趋势，及时将结果反馈给生产管理部门、环境管理部门。</w:t>
            </w:r>
          </w:p>
          <w:p w14:paraId="0552A67D">
            <w:pPr>
              <w:pStyle w:val="56"/>
              <w:ind w:firstLine="480"/>
              <w:jc w:val="both"/>
              <w:rPr>
                <w:rFonts w:hint="default" w:ascii="Times New Roman" w:hAnsi="Times New Roman" w:cs="Times New Roman"/>
                <w:b/>
                <w:bCs w:val="0"/>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环境管理措施</w:t>
            </w:r>
          </w:p>
          <w:p w14:paraId="3E67CC5D">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建立健全</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环境管理制度</w:t>
            </w:r>
          </w:p>
          <w:p w14:paraId="3AE47FC5">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必须做好环保</w:t>
            </w:r>
            <w:r>
              <w:rPr>
                <w:rFonts w:hint="eastAsia" w:ascii="Times New Roman" w:hAnsi="Times New Roman" w:cs="Times New Roman"/>
                <w:color w:val="auto"/>
                <w:kern w:val="21"/>
                <w:sz w:val="24"/>
                <w:highlight w:val="none"/>
                <w:lang w:eastAsia="zh-CN"/>
              </w:rPr>
              <w:t>“</w:t>
            </w:r>
            <w:r>
              <w:rPr>
                <w:rFonts w:hint="default" w:ascii="Times New Roman" w:hAnsi="Times New Roman" w:cs="Times New Roman"/>
                <w:color w:val="auto"/>
                <w:highlight w:val="none"/>
              </w:rPr>
              <w:t>三同时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工作，加强对职工的安全和环保教育，进行生产过程中环境保护的培训，形成良好的环境保护意识。</w:t>
            </w:r>
          </w:p>
          <w:p w14:paraId="148797AB">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环境管理人员</w:t>
            </w:r>
          </w:p>
          <w:p w14:paraId="68BFCA0D">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设立专门的环保机构，由厂内专职管理技术人员兼职环保工作，具体负责环保设施的运行、检查、维护等工作。</w:t>
            </w:r>
            <w:r>
              <w:rPr>
                <w:rFonts w:hint="default" w:ascii="Times New Roman" w:hAnsi="Times New Roman" w:cs="Times New Roman"/>
                <w:color w:val="auto"/>
                <w:highlight w:val="none"/>
                <w:lang w:eastAsia="zh-CN"/>
              </w:rPr>
              <w:t>建立健全</w:t>
            </w:r>
            <w:r>
              <w:rPr>
                <w:rFonts w:hint="default" w:ascii="Times New Roman" w:hAnsi="Times New Roman" w:cs="Times New Roman"/>
                <w:color w:val="auto"/>
                <w:highlight w:val="none"/>
              </w:rPr>
              <w:t>环境管理制度，改善厂区环境。</w:t>
            </w:r>
          </w:p>
          <w:p w14:paraId="4249C8BE">
            <w:pPr>
              <w:adjustRightInd w:val="0"/>
              <w:snapToGrid w:val="0"/>
              <w:spacing w:line="360" w:lineRule="auto"/>
              <w:ind w:firstLine="480" w:firstLineChars="200"/>
              <w:jc w:val="both"/>
              <w:rPr>
                <w:rFonts w:hint="default" w:ascii="Times New Roman" w:hAnsi="Times New Roman" w:cs="Times New Roman"/>
                <w:bCs/>
                <w:color w:val="auto"/>
                <w:kern w:val="0"/>
                <w:sz w:val="24"/>
                <w:szCs w:val="20"/>
                <w:highlight w:val="none"/>
              </w:rPr>
            </w:pPr>
            <w:r>
              <w:rPr>
                <w:rFonts w:hint="default" w:ascii="Times New Roman" w:hAnsi="Times New Roman" w:cs="Times New Roman"/>
                <w:bCs/>
                <w:color w:val="auto"/>
                <w:kern w:val="0"/>
                <w:sz w:val="24"/>
                <w:szCs w:val="20"/>
                <w:highlight w:val="none"/>
                <w:lang w:eastAsia="zh-CN"/>
              </w:rPr>
              <w:t>（</w:t>
            </w:r>
            <w:r>
              <w:rPr>
                <w:rFonts w:hint="default" w:ascii="Times New Roman" w:hAnsi="Times New Roman" w:cs="Times New Roman"/>
                <w:bCs/>
                <w:color w:val="auto"/>
                <w:kern w:val="0"/>
                <w:sz w:val="24"/>
                <w:szCs w:val="20"/>
                <w:highlight w:val="none"/>
                <w:lang w:val="en-US" w:eastAsia="zh-CN"/>
              </w:rPr>
              <w:t>4</w:t>
            </w:r>
            <w:r>
              <w:rPr>
                <w:rFonts w:hint="default" w:ascii="Times New Roman" w:hAnsi="Times New Roman" w:cs="Times New Roman"/>
                <w:bCs/>
                <w:color w:val="auto"/>
                <w:kern w:val="0"/>
                <w:sz w:val="24"/>
                <w:szCs w:val="20"/>
                <w:highlight w:val="none"/>
                <w:lang w:eastAsia="zh-CN"/>
              </w:rPr>
              <w:t>）</w:t>
            </w:r>
            <w:r>
              <w:rPr>
                <w:rFonts w:hint="default" w:ascii="Times New Roman" w:hAnsi="Times New Roman" w:cs="Times New Roman"/>
                <w:bCs/>
                <w:color w:val="auto"/>
                <w:kern w:val="0"/>
                <w:sz w:val="24"/>
                <w:szCs w:val="20"/>
                <w:highlight w:val="none"/>
              </w:rPr>
              <w:t>排污口规范化</w:t>
            </w:r>
          </w:p>
          <w:p w14:paraId="401B0E39">
            <w:pPr>
              <w:pStyle w:val="56"/>
              <w:ind w:firstLine="480"/>
              <w:jc w:val="both"/>
              <w:rPr>
                <w:rFonts w:hint="default" w:ascii="Times New Roman" w:hAnsi="Times New Roman" w:cs="Times New Roman"/>
                <w:b/>
                <w:color w:val="auto"/>
                <w:szCs w:val="21"/>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必须根据有关规定要求做好排污口的规范化建设。排污口应有符合国家标准《环境保护图形标志》（GB155621.1-1995）规定要求的排放口标志牌。具体标识见表4-</w:t>
            </w:r>
            <w:r>
              <w:rPr>
                <w:rFonts w:hint="eastAsia"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p>
          <w:p w14:paraId="6A0CD8E0">
            <w:pPr>
              <w:spacing w:line="360" w:lineRule="auto"/>
              <w:ind w:firstLine="422" w:firstLineChars="20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eastAsia" w:ascii="Times New Roman" w:hAnsi="Times New Roman" w:cs="Times New Roman"/>
                <w:b/>
                <w:color w:val="auto"/>
                <w:szCs w:val="21"/>
                <w:highlight w:val="none"/>
                <w:lang w:val="en-US" w:eastAsia="zh-CN"/>
              </w:rPr>
              <w:t>8</w:t>
            </w:r>
            <w:r>
              <w:rPr>
                <w:rFonts w:hint="default" w:ascii="Times New Roman" w:hAnsi="Times New Roman" w:cs="Times New Roman"/>
                <w:b/>
                <w:color w:val="auto"/>
                <w:szCs w:val="21"/>
                <w:highlight w:val="none"/>
                <w:lang w:val="en-US" w:eastAsia="zh-CN"/>
              </w:rPr>
              <w:t xml:space="preserve"> </w:t>
            </w:r>
            <w:r>
              <w:rPr>
                <w:rFonts w:hint="default" w:ascii="Times New Roman" w:hAnsi="Times New Roman" w:cs="Times New Roman"/>
                <w:b/>
                <w:color w:val="auto"/>
                <w:szCs w:val="21"/>
                <w:highlight w:val="none"/>
              </w:rPr>
              <w:t>污染物排放口环境保护图形标志一览表</w:t>
            </w:r>
          </w:p>
          <w:tbl>
            <w:tblPr>
              <w:tblStyle w:val="31"/>
              <w:tblW w:w="4996" w:type="pct"/>
              <w:jc w:val="center"/>
              <w:tblLayout w:type="fixed"/>
              <w:tblCellMar>
                <w:top w:w="0" w:type="dxa"/>
                <w:left w:w="108" w:type="dxa"/>
                <w:bottom w:w="0" w:type="dxa"/>
                <w:right w:w="108" w:type="dxa"/>
              </w:tblCellMar>
            </w:tblPr>
            <w:tblGrid>
              <w:gridCol w:w="667"/>
              <w:gridCol w:w="1859"/>
              <w:gridCol w:w="1784"/>
              <w:gridCol w:w="1895"/>
              <w:gridCol w:w="1735"/>
            </w:tblGrid>
            <w:tr w14:paraId="536EDD83">
              <w:tblPrEx>
                <w:tblCellMar>
                  <w:top w:w="0" w:type="dxa"/>
                  <w:left w:w="108" w:type="dxa"/>
                  <w:bottom w:w="0" w:type="dxa"/>
                  <w:right w:w="108" w:type="dxa"/>
                </w:tblCellMar>
              </w:tblPrEx>
              <w:trPr>
                <w:trHeight w:val="759" w:hRule="atLeast"/>
                <w:jc w:val="center"/>
              </w:trPr>
              <w:tc>
                <w:tcPr>
                  <w:tcW w:w="420" w:type="pct"/>
                  <w:tcBorders>
                    <w:top w:val="single" w:color="auto" w:sz="12" w:space="0"/>
                    <w:bottom w:val="single" w:color="auto" w:sz="4" w:space="0"/>
                  </w:tcBorders>
                  <w:vAlign w:val="center"/>
                </w:tcPr>
                <w:p w14:paraId="54204762">
                  <w:pPr>
                    <w:adjustRightInd w:val="0"/>
                    <w:snapToGrid w:val="0"/>
                    <w:jc w:val="center"/>
                    <w:rPr>
                      <w:rFonts w:hint="default" w:ascii="Times New Roman" w:hAnsi="Times New Roman" w:cs="Times New Roman"/>
                      <w:b/>
                      <w:bCs/>
                      <w:color w:val="auto"/>
                      <w:kern w:val="21"/>
                      <w:highlight w:val="none"/>
                    </w:rPr>
                  </w:pPr>
                  <w:r>
                    <w:rPr>
                      <w:rFonts w:hint="default" w:ascii="Times New Roman" w:hAnsi="Times New Roman" w:cs="Times New Roman"/>
                      <w:b/>
                      <w:bCs/>
                      <w:color w:val="auto"/>
                      <w:kern w:val="21"/>
                      <w:highlight w:val="none"/>
                    </w:rPr>
                    <w:t>排放口</w:t>
                  </w:r>
                </w:p>
              </w:tc>
              <w:tc>
                <w:tcPr>
                  <w:tcW w:w="1170" w:type="pct"/>
                  <w:tcBorders>
                    <w:top w:val="single" w:color="auto" w:sz="12" w:space="0"/>
                    <w:left w:val="single" w:color="auto" w:sz="4" w:space="0"/>
                    <w:bottom w:val="single" w:color="auto" w:sz="4" w:space="0"/>
                  </w:tcBorders>
                  <w:vAlign w:val="center"/>
                </w:tcPr>
                <w:p w14:paraId="5639FA0E">
                  <w:pPr>
                    <w:adjustRightInd w:val="0"/>
                    <w:snapToGrid w:val="0"/>
                    <w:jc w:val="center"/>
                    <w:rPr>
                      <w:rFonts w:hint="default" w:ascii="Times New Roman" w:hAnsi="Times New Roman" w:eastAsia="宋体" w:cs="Times New Roman"/>
                      <w:b/>
                      <w:bCs/>
                      <w:color w:val="auto"/>
                      <w:kern w:val="21"/>
                      <w:highlight w:val="none"/>
                      <w:lang w:eastAsia="zh-CN"/>
                    </w:rPr>
                  </w:pPr>
                  <w:r>
                    <w:rPr>
                      <w:rFonts w:hint="default" w:ascii="Times New Roman" w:hAnsi="Times New Roman" w:cs="Times New Roman"/>
                      <w:b/>
                      <w:bCs/>
                      <w:color w:val="auto"/>
                      <w:kern w:val="21"/>
                      <w:highlight w:val="none"/>
                      <w:lang w:eastAsia="zh-CN"/>
                    </w:rPr>
                    <w:t>噪声排放源</w:t>
                  </w:r>
                </w:p>
              </w:tc>
              <w:tc>
                <w:tcPr>
                  <w:tcW w:w="1123" w:type="pct"/>
                  <w:tcBorders>
                    <w:top w:val="single" w:color="auto" w:sz="12" w:space="0"/>
                    <w:left w:val="single" w:color="auto" w:sz="4" w:space="0"/>
                    <w:bottom w:val="single" w:color="auto" w:sz="4" w:space="0"/>
                    <w:right w:val="single" w:color="auto" w:sz="4" w:space="0"/>
                  </w:tcBorders>
                  <w:vAlign w:val="center"/>
                </w:tcPr>
                <w:p w14:paraId="26E6EE92">
                  <w:pPr>
                    <w:adjustRightInd w:val="0"/>
                    <w:snapToGrid w:val="0"/>
                    <w:jc w:val="center"/>
                    <w:rPr>
                      <w:rFonts w:hint="default" w:ascii="Times New Roman" w:hAnsi="Times New Roman" w:cs="Times New Roman"/>
                      <w:b/>
                      <w:bCs/>
                      <w:color w:val="auto"/>
                      <w:kern w:val="21"/>
                      <w:highlight w:val="none"/>
                    </w:rPr>
                  </w:pPr>
                  <w:r>
                    <w:rPr>
                      <w:rFonts w:hint="default" w:ascii="Times New Roman" w:hAnsi="Times New Roman" w:cs="Times New Roman"/>
                      <w:b/>
                      <w:bCs/>
                      <w:color w:val="auto"/>
                      <w:kern w:val="21"/>
                      <w:highlight w:val="none"/>
                    </w:rPr>
                    <w:t>噪声</w:t>
                  </w:r>
                  <w:r>
                    <w:rPr>
                      <w:rFonts w:hint="default" w:ascii="Times New Roman" w:hAnsi="Times New Roman" w:cs="Times New Roman"/>
                      <w:b/>
                      <w:bCs/>
                      <w:color w:val="auto"/>
                      <w:kern w:val="21"/>
                      <w:highlight w:val="none"/>
                      <w:lang w:eastAsia="zh-CN"/>
                    </w:rPr>
                    <w:t>排放</w:t>
                  </w:r>
                  <w:r>
                    <w:rPr>
                      <w:rFonts w:hint="default" w:ascii="Times New Roman" w:hAnsi="Times New Roman" w:cs="Times New Roman"/>
                      <w:b/>
                      <w:bCs/>
                      <w:color w:val="auto"/>
                      <w:kern w:val="21"/>
                      <w:highlight w:val="none"/>
                    </w:rPr>
                    <w:t>源</w:t>
                  </w:r>
                </w:p>
              </w:tc>
              <w:tc>
                <w:tcPr>
                  <w:tcW w:w="1193" w:type="pct"/>
                  <w:tcBorders>
                    <w:top w:val="single" w:color="auto" w:sz="12" w:space="0"/>
                    <w:bottom w:val="single" w:color="auto" w:sz="4" w:space="0"/>
                    <w:right w:val="single" w:color="auto" w:sz="4" w:space="0"/>
                  </w:tcBorders>
                  <w:vAlign w:val="center"/>
                </w:tcPr>
                <w:p w14:paraId="75060A5A">
                  <w:pPr>
                    <w:adjustRightInd w:val="0"/>
                    <w:snapToGrid w:val="0"/>
                    <w:jc w:val="center"/>
                    <w:rPr>
                      <w:rFonts w:hint="default" w:ascii="Times New Roman" w:hAnsi="Times New Roman" w:cs="Times New Roman"/>
                      <w:b/>
                      <w:bCs/>
                      <w:color w:val="auto"/>
                      <w:kern w:val="21"/>
                      <w:highlight w:val="none"/>
                    </w:rPr>
                  </w:pPr>
                  <w:r>
                    <w:rPr>
                      <w:rFonts w:hint="default" w:ascii="Times New Roman" w:hAnsi="Times New Roman" w:cs="Times New Roman"/>
                      <w:b/>
                      <w:bCs/>
                      <w:color w:val="auto"/>
                      <w:kern w:val="21"/>
                      <w:highlight w:val="none"/>
                    </w:rPr>
                    <w:t>固废堆场</w:t>
                  </w:r>
                </w:p>
              </w:tc>
              <w:tc>
                <w:tcPr>
                  <w:tcW w:w="1092" w:type="pct"/>
                  <w:tcBorders>
                    <w:top w:val="single" w:color="auto" w:sz="12" w:space="0"/>
                    <w:left w:val="single" w:color="auto" w:sz="4" w:space="0"/>
                    <w:bottom w:val="single" w:color="auto" w:sz="4" w:space="0"/>
                    <w:right w:val="nil"/>
                  </w:tcBorders>
                  <w:vAlign w:val="center"/>
                </w:tcPr>
                <w:p w14:paraId="39A773FB">
                  <w:pPr>
                    <w:adjustRightInd w:val="0"/>
                    <w:snapToGrid w:val="0"/>
                    <w:jc w:val="center"/>
                    <w:rPr>
                      <w:rFonts w:hint="default" w:ascii="Times New Roman" w:hAnsi="Times New Roman" w:eastAsia="宋体" w:cs="Times New Roman"/>
                      <w:b/>
                      <w:bCs/>
                      <w:color w:val="auto"/>
                      <w:kern w:val="21"/>
                      <w:highlight w:val="none"/>
                      <w:lang w:eastAsia="zh-CN"/>
                    </w:rPr>
                  </w:pPr>
                  <w:r>
                    <w:rPr>
                      <w:rFonts w:hint="default" w:ascii="Times New Roman" w:hAnsi="Times New Roman" w:cs="Times New Roman"/>
                      <w:b/>
                      <w:bCs/>
                      <w:color w:val="auto"/>
                      <w:kern w:val="21"/>
                      <w:highlight w:val="none"/>
                      <w:lang w:eastAsia="zh-CN"/>
                    </w:rPr>
                    <w:t>固废堆场</w:t>
                  </w:r>
                </w:p>
              </w:tc>
            </w:tr>
            <w:tr w14:paraId="7588E4F6">
              <w:tblPrEx>
                <w:tblCellMar>
                  <w:top w:w="0" w:type="dxa"/>
                  <w:left w:w="108" w:type="dxa"/>
                  <w:bottom w:w="0" w:type="dxa"/>
                  <w:right w:w="108" w:type="dxa"/>
                </w:tblCellMar>
              </w:tblPrEx>
              <w:trPr>
                <w:trHeight w:val="1978" w:hRule="atLeast"/>
                <w:jc w:val="center"/>
              </w:trPr>
              <w:tc>
                <w:tcPr>
                  <w:tcW w:w="420" w:type="pct"/>
                  <w:tcBorders>
                    <w:top w:val="single" w:color="auto" w:sz="4" w:space="0"/>
                    <w:bottom w:val="single" w:color="auto" w:sz="12" w:space="0"/>
                  </w:tcBorders>
                  <w:vAlign w:val="center"/>
                </w:tcPr>
                <w:p w14:paraId="7DE82CDC">
                  <w:pPr>
                    <w:adjustRightInd w:val="0"/>
                    <w:snapToGrid w:val="0"/>
                    <w:jc w:val="center"/>
                    <w:rPr>
                      <w:rFonts w:hint="default" w:ascii="Times New Roman" w:hAnsi="Times New Roman" w:cs="Times New Roman"/>
                      <w:color w:val="auto"/>
                      <w:kern w:val="21"/>
                      <w:highlight w:val="none"/>
                    </w:rPr>
                  </w:pPr>
                  <w:r>
                    <w:rPr>
                      <w:rFonts w:hint="default" w:ascii="Times New Roman" w:hAnsi="Times New Roman" w:cs="Times New Roman"/>
                      <w:color w:val="auto"/>
                      <w:kern w:val="21"/>
                      <w:highlight w:val="none"/>
                    </w:rPr>
                    <w:t>图形</w:t>
                  </w:r>
                </w:p>
                <w:p w14:paraId="137020D3">
                  <w:pPr>
                    <w:adjustRightInd w:val="0"/>
                    <w:snapToGrid w:val="0"/>
                    <w:jc w:val="center"/>
                    <w:rPr>
                      <w:rFonts w:hint="default" w:ascii="Times New Roman" w:hAnsi="Times New Roman" w:cs="Times New Roman"/>
                      <w:color w:val="auto"/>
                      <w:kern w:val="21"/>
                      <w:highlight w:val="none"/>
                    </w:rPr>
                  </w:pPr>
                  <w:r>
                    <w:rPr>
                      <w:rFonts w:hint="default" w:ascii="Times New Roman" w:hAnsi="Times New Roman" w:cs="Times New Roman"/>
                      <w:color w:val="auto"/>
                      <w:kern w:val="21"/>
                      <w:highlight w:val="none"/>
                    </w:rPr>
                    <w:t>符号</w:t>
                  </w:r>
                </w:p>
              </w:tc>
              <w:tc>
                <w:tcPr>
                  <w:tcW w:w="1170" w:type="pct"/>
                  <w:tcBorders>
                    <w:top w:val="single" w:color="auto" w:sz="4" w:space="0"/>
                    <w:left w:val="single" w:color="auto" w:sz="4" w:space="0"/>
                    <w:bottom w:val="single" w:color="auto" w:sz="12" w:space="0"/>
                  </w:tcBorders>
                  <w:vAlign w:val="center"/>
                </w:tcPr>
                <w:p w14:paraId="11F10C61">
                  <w:pPr>
                    <w:adjustRightInd w:val="0"/>
                    <w:snapToGrid w:val="0"/>
                    <w:jc w:val="center"/>
                    <w:rPr>
                      <w:rFonts w:hint="default" w:ascii="Times New Roman" w:hAnsi="Times New Roman" w:cs="Times New Roman"/>
                      <w:color w:val="auto"/>
                      <w:kern w:val="21"/>
                      <w:highlight w:val="none"/>
                    </w:rPr>
                  </w:pPr>
                  <w:r>
                    <w:rPr>
                      <w:rFonts w:hint="default" w:ascii="Times New Roman" w:hAnsi="Times New Roman" w:eastAsia="宋体" w:cs="Times New Roman"/>
                      <w:color w:val="auto"/>
                      <w:kern w:val="2"/>
                      <w:sz w:val="21"/>
                      <w:szCs w:val="24"/>
                      <w:highlight w:val="none"/>
                      <w:lang w:val="en-US" w:eastAsia="zh-CN" w:bidi="ar-SA"/>
                    </w:rPr>
                    <w:drawing>
                      <wp:inline distT="0" distB="0" distL="114300" distR="114300">
                        <wp:extent cx="1000125" cy="1000125"/>
                        <wp:effectExtent l="0" t="0" r="9525" b="9525"/>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20">
                                  <a:lum/>
                                </a:blip>
                                <a:stretch>
                                  <a:fillRect/>
                                </a:stretch>
                              </pic:blipFill>
                              <pic:spPr>
                                <a:xfrm>
                                  <a:off x="0" y="0"/>
                                  <a:ext cx="1000125" cy="1000125"/>
                                </a:xfrm>
                                <a:prstGeom prst="rect">
                                  <a:avLst/>
                                </a:prstGeom>
                                <a:noFill/>
                                <a:ln>
                                  <a:noFill/>
                                </a:ln>
                              </pic:spPr>
                            </pic:pic>
                          </a:graphicData>
                        </a:graphic>
                      </wp:inline>
                    </w:drawing>
                  </w:r>
                </w:p>
              </w:tc>
              <w:tc>
                <w:tcPr>
                  <w:tcW w:w="1123" w:type="pct"/>
                  <w:tcBorders>
                    <w:top w:val="single" w:color="auto" w:sz="4" w:space="0"/>
                    <w:left w:val="single" w:color="auto" w:sz="4" w:space="0"/>
                    <w:bottom w:val="single" w:color="auto" w:sz="12" w:space="0"/>
                    <w:right w:val="single" w:color="auto" w:sz="4" w:space="0"/>
                  </w:tcBorders>
                  <w:vAlign w:val="center"/>
                </w:tcPr>
                <w:p w14:paraId="6A71E051">
                  <w:pPr>
                    <w:adjustRightInd w:val="0"/>
                    <w:snapToGrid w:val="0"/>
                    <w:jc w:val="center"/>
                    <w:rPr>
                      <w:rFonts w:hint="default" w:ascii="Times New Roman" w:hAnsi="Times New Roman" w:cs="Times New Roman"/>
                      <w:color w:val="auto"/>
                      <w:kern w:val="21"/>
                      <w:highlight w:val="none"/>
                    </w:rPr>
                  </w:pPr>
                  <w:r>
                    <w:rPr>
                      <w:rFonts w:hint="default" w:ascii="Times New Roman" w:hAnsi="Times New Roman" w:eastAsia="宋体" w:cs="Times New Roman"/>
                      <w:color w:val="auto"/>
                      <w:kern w:val="2"/>
                      <w:sz w:val="21"/>
                      <w:szCs w:val="24"/>
                      <w:highlight w:val="none"/>
                      <w:lang w:val="en-US" w:eastAsia="zh-CN" w:bidi="ar-SA"/>
                    </w:rPr>
                    <w:drawing>
                      <wp:inline distT="0" distB="0" distL="114300" distR="114300">
                        <wp:extent cx="1000125" cy="984250"/>
                        <wp:effectExtent l="0" t="0" r="9525" b="6350"/>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21">
                                  <a:lum/>
                                </a:blip>
                                <a:stretch>
                                  <a:fillRect/>
                                </a:stretch>
                              </pic:blipFill>
                              <pic:spPr>
                                <a:xfrm>
                                  <a:off x="0" y="0"/>
                                  <a:ext cx="1000125" cy="984250"/>
                                </a:xfrm>
                                <a:prstGeom prst="rect">
                                  <a:avLst/>
                                </a:prstGeom>
                                <a:noFill/>
                                <a:ln>
                                  <a:noFill/>
                                </a:ln>
                              </pic:spPr>
                            </pic:pic>
                          </a:graphicData>
                        </a:graphic>
                      </wp:inline>
                    </w:drawing>
                  </w:r>
                </w:p>
              </w:tc>
              <w:tc>
                <w:tcPr>
                  <w:tcW w:w="1193" w:type="pct"/>
                  <w:tcBorders>
                    <w:top w:val="single" w:color="auto" w:sz="4" w:space="0"/>
                    <w:left w:val="single" w:color="auto" w:sz="4" w:space="0"/>
                    <w:bottom w:val="single" w:color="auto" w:sz="12" w:space="0"/>
                    <w:right w:val="single" w:color="auto" w:sz="4" w:space="0"/>
                  </w:tcBorders>
                  <w:vAlign w:val="center"/>
                </w:tcPr>
                <w:p w14:paraId="325E51BE">
                  <w:pPr>
                    <w:adjustRightInd w:val="0"/>
                    <w:snapToGrid w:val="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2"/>
                      <w:sz w:val="21"/>
                      <w:szCs w:val="24"/>
                      <w:highlight w:val="none"/>
                      <w:lang w:val="en-US" w:eastAsia="zh-CN" w:bidi="ar-SA"/>
                    </w:rPr>
                    <w:drawing>
                      <wp:inline distT="0" distB="0" distL="114300" distR="114300">
                        <wp:extent cx="1000125" cy="1000125"/>
                        <wp:effectExtent l="0" t="0" r="9525" b="9525"/>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22">
                                  <a:lum/>
                                </a:blip>
                                <a:stretch>
                                  <a:fillRect/>
                                </a:stretch>
                              </pic:blipFill>
                              <pic:spPr>
                                <a:xfrm>
                                  <a:off x="0" y="0"/>
                                  <a:ext cx="1000125" cy="1000125"/>
                                </a:xfrm>
                                <a:prstGeom prst="rect">
                                  <a:avLst/>
                                </a:prstGeom>
                                <a:noFill/>
                                <a:ln>
                                  <a:noFill/>
                                </a:ln>
                              </pic:spPr>
                            </pic:pic>
                          </a:graphicData>
                        </a:graphic>
                      </wp:inline>
                    </w:drawing>
                  </w:r>
                </w:p>
              </w:tc>
              <w:tc>
                <w:tcPr>
                  <w:tcW w:w="1092" w:type="pct"/>
                  <w:tcBorders>
                    <w:top w:val="single" w:color="auto" w:sz="4" w:space="0"/>
                    <w:left w:val="single" w:color="auto" w:sz="4" w:space="0"/>
                    <w:bottom w:val="single" w:color="auto" w:sz="12" w:space="0"/>
                    <w:right w:val="nil"/>
                  </w:tcBorders>
                  <w:vAlign w:val="center"/>
                </w:tcPr>
                <w:p w14:paraId="045F8272">
                  <w:pPr>
                    <w:adjustRightInd w:val="0"/>
                    <w:snapToGrid w:val="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2"/>
                      <w:sz w:val="21"/>
                      <w:szCs w:val="24"/>
                      <w:highlight w:val="none"/>
                      <w:lang w:val="en-US" w:eastAsia="zh-CN" w:bidi="ar-SA"/>
                    </w:rPr>
                    <w:drawing>
                      <wp:inline distT="0" distB="0" distL="114300" distR="114300">
                        <wp:extent cx="1000125" cy="993140"/>
                        <wp:effectExtent l="0" t="0" r="9525" b="16510"/>
                        <wp:docPr id="5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5"/>
                                <pic:cNvPicPr>
                                  <a:picLocks noChangeAspect="1"/>
                                </pic:cNvPicPr>
                              </pic:nvPicPr>
                              <pic:blipFill>
                                <a:blip r:embed="rId23">
                                  <a:lum/>
                                </a:blip>
                                <a:stretch>
                                  <a:fillRect/>
                                </a:stretch>
                              </pic:blipFill>
                              <pic:spPr>
                                <a:xfrm>
                                  <a:off x="0" y="0"/>
                                  <a:ext cx="1000125" cy="993140"/>
                                </a:xfrm>
                                <a:prstGeom prst="rect">
                                  <a:avLst/>
                                </a:prstGeom>
                                <a:noFill/>
                                <a:ln>
                                  <a:noFill/>
                                </a:ln>
                              </pic:spPr>
                            </pic:pic>
                          </a:graphicData>
                        </a:graphic>
                      </wp:inline>
                    </w:drawing>
                  </w:r>
                </w:p>
              </w:tc>
            </w:tr>
          </w:tbl>
          <w:p w14:paraId="60B67146">
            <w:pPr>
              <w:jc w:val="both"/>
              <w:rPr>
                <w:rFonts w:hint="default" w:ascii="Times New Roman" w:hAnsi="Times New Roman" w:cs="Times New Roman"/>
                <w:color w:val="auto"/>
                <w:highlight w:val="none"/>
              </w:rPr>
            </w:pPr>
            <w:r>
              <w:rPr>
                <w:rFonts w:hint="default" w:ascii="Times New Roman" w:hAnsi="Times New Roman" w:cs="Times New Roman"/>
                <w:b/>
                <w:color w:val="auto"/>
                <w:highlight w:val="none"/>
              </w:rPr>
              <w:t>注：黄色为警告标志，绿色为提示标志。</w:t>
            </w:r>
          </w:p>
          <w:p w14:paraId="5EC489C6">
            <w:pPr>
              <w:pStyle w:val="60"/>
              <w:spacing w:before="82" w:line="360" w:lineRule="auto"/>
              <w:ind w:firstLine="482" w:firstLineChars="200"/>
              <w:jc w:val="both"/>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lang w:val="en-US" w:eastAsia="zh-CN"/>
              </w:rPr>
              <w:t>9</w:t>
            </w:r>
            <w:r>
              <w:rPr>
                <w:rFonts w:hint="default" w:ascii="Times New Roman" w:hAnsi="Times New Roman" w:cs="Times New Roman"/>
                <w:b/>
                <w:bCs/>
                <w:color w:val="auto"/>
                <w:sz w:val="24"/>
                <w:highlight w:val="none"/>
                <w:lang w:val="en-US"/>
              </w:rPr>
              <w:t>、</w:t>
            </w:r>
            <w:r>
              <w:rPr>
                <w:rFonts w:hint="default" w:ascii="Times New Roman" w:hAnsi="Times New Roman" w:cs="Times New Roman"/>
                <w:b/>
                <w:color w:val="auto"/>
                <w:sz w:val="24"/>
                <w:highlight w:val="none"/>
              </w:rPr>
              <w:t>环境监测计划</w:t>
            </w:r>
          </w:p>
          <w:p w14:paraId="6C308320">
            <w:pPr>
              <w:spacing w:line="360" w:lineRule="auto"/>
              <w:ind w:firstLine="480" w:firstLineChars="200"/>
              <w:jc w:val="left"/>
              <w:rPr>
                <w:rFonts w:hint="default" w:ascii="Times New Roman" w:hAnsi="Times New Roman" w:cs="Times New Roman"/>
                <w:b/>
                <w:color w:val="auto"/>
                <w:szCs w:val="21"/>
                <w:highlight w:val="none"/>
                <w:lang w:val="zh-CN"/>
              </w:rPr>
            </w:pPr>
            <w:r>
              <w:rPr>
                <w:rFonts w:hint="default" w:ascii="Times New Roman" w:hAnsi="Times New Roman" w:cs="Times New Roman"/>
                <w:bCs/>
                <w:color w:val="auto"/>
                <w:sz w:val="24"/>
                <w:highlight w:val="none"/>
              </w:rPr>
              <w:t>按照</w:t>
            </w:r>
            <w:r>
              <w:rPr>
                <w:rFonts w:hint="default" w:ascii="Times New Roman" w:hAnsi="Times New Roman" w:cs="Times New Roman"/>
                <w:color w:val="auto"/>
                <w:sz w:val="24"/>
                <w:szCs w:val="24"/>
                <w:highlight w:val="none"/>
              </w:rPr>
              <w:t>《排污单位自行监测技术指南 总则》（HJ819-2017）、</w:t>
            </w:r>
            <w:r>
              <w:rPr>
                <w:rFonts w:hint="default" w:ascii="Times New Roman" w:hAnsi="Times New Roman" w:cs="Times New Roman"/>
                <w:color w:val="auto"/>
                <w:sz w:val="24"/>
                <w:highlight w:val="none"/>
              </w:rPr>
              <w:t>《煤炭工业污染物排放标准》（GB20426-2006）</w:t>
            </w:r>
            <w:r>
              <w:rPr>
                <w:rFonts w:hint="default" w:ascii="Times New Roman" w:hAnsi="Times New Roman" w:cs="Times New Roman"/>
                <w:bCs/>
                <w:color w:val="auto"/>
                <w:sz w:val="24"/>
                <w:highlight w:val="none"/>
              </w:rPr>
              <w:t>、《工业企业厂界环境噪声排放标准》（GB12348-2008）等规定的监测分析方法，建设项目环境保护管理规定和要求，该项目应</w:t>
            </w:r>
            <w:r>
              <w:rPr>
                <w:rFonts w:hint="default" w:ascii="Times New Roman" w:hAnsi="Times New Roman" w:cs="Times New Roman"/>
                <w:bCs/>
                <w:color w:val="auto"/>
                <w:sz w:val="24"/>
                <w:highlight w:val="none"/>
                <w:lang w:eastAsia="zh-CN"/>
              </w:rPr>
              <w:t>做</w:t>
            </w:r>
            <w:r>
              <w:rPr>
                <w:rFonts w:hint="default" w:ascii="Times New Roman" w:hAnsi="Times New Roman" w:cs="Times New Roman"/>
                <w:bCs/>
                <w:color w:val="auto"/>
                <w:sz w:val="24"/>
                <w:highlight w:val="none"/>
              </w:rPr>
              <w:t>环保设施竣工验收，重点对废气、噪声等进行验收；建设单位配套的污染防治设施，必须按规定进行竣工环保自主验收，同时还应配合环保部门做好日常监测工作。</w:t>
            </w:r>
          </w:p>
          <w:p w14:paraId="5F7DCA6C">
            <w:pPr>
              <w:spacing w:line="360" w:lineRule="auto"/>
              <w:ind w:firstLine="422" w:firstLineChars="200"/>
              <w:jc w:val="center"/>
              <w:rPr>
                <w:rFonts w:hint="default" w:ascii="Times New Roman" w:hAnsi="Times New Roman" w:cs="Times New Roman"/>
                <w:b/>
                <w:color w:val="auto"/>
                <w:szCs w:val="21"/>
                <w:highlight w:val="none"/>
                <w:lang w:val="zh-CN"/>
              </w:rPr>
            </w:pPr>
            <w:r>
              <w:rPr>
                <w:rFonts w:hint="default" w:ascii="Times New Roman" w:hAnsi="Times New Roman" w:cs="Times New Roman"/>
                <w:b/>
                <w:color w:val="auto"/>
                <w:szCs w:val="21"/>
                <w:highlight w:val="none"/>
                <w:lang w:val="zh-CN"/>
              </w:rPr>
              <w:t>表</w:t>
            </w:r>
            <w:r>
              <w:rPr>
                <w:rFonts w:hint="default" w:ascii="Times New Roman" w:hAnsi="Times New Roman" w:cs="Times New Roman"/>
                <w:b/>
                <w:color w:val="auto"/>
                <w:szCs w:val="21"/>
                <w:highlight w:val="none"/>
              </w:rPr>
              <w:t>4-</w:t>
            </w:r>
            <w:r>
              <w:rPr>
                <w:rFonts w:hint="eastAsia" w:ascii="Times New Roman" w:hAnsi="Times New Roman" w:cs="Times New Roman"/>
                <w:b/>
                <w:color w:val="auto"/>
                <w:szCs w:val="21"/>
                <w:highlight w:val="none"/>
                <w:lang w:val="en-US" w:eastAsia="zh-CN"/>
              </w:rPr>
              <w:t>9</w:t>
            </w:r>
            <w:r>
              <w:rPr>
                <w:rFonts w:hint="default" w:ascii="Times New Roman" w:hAnsi="Times New Roman" w:cs="Times New Roman"/>
                <w:b/>
                <w:color w:val="auto"/>
                <w:szCs w:val="21"/>
                <w:highlight w:val="none"/>
                <w:lang w:val="zh-CN"/>
              </w:rPr>
              <w:t xml:space="preserve"> 环境监测计划一览表</w:t>
            </w:r>
          </w:p>
          <w:tbl>
            <w:tblPr>
              <w:tblStyle w:val="31"/>
              <w:tblW w:w="79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44"/>
              <w:gridCol w:w="816"/>
              <w:gridCol w:w="1107"/>
              <w:gridCol w:w="967"/>
              <w:gridCol w:w="1155"/>
              <w:gridCol w:w="3427"/>
            </w:tblGrid>
            <w:tr w14:paraId="026F67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444" w:type="dxa"/>
                  <w:vAlign w:val="center"/>
                </w:tcPr>
                <w:p w14:paraId="32928EDB">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816" w:type="dxa"/>
                  <w:vAlign w:val="center"/>
                </w:tcPr>
                <w:p w14:paraId="1E3AE07F">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环境要素</w:t>
                  </w:r>
                </w:p>
              </w:tc>
              <w:tc>
                <w:tcPr>
                  <w:tcW w:w="1107" w:type="dxa"/>
                  <w:vAlign w:val="center"/>
                </w:tcPr>
                <w:p w14:paraId="1DF9AB97">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监测项目</w:t>
                  </w:r>
                </w:p>
              </w:tc>
              <w:tc>
                <w:tcPr>
                  <w:tcW w:w="967" w:type="dxa"/>
                  <w:vAlign w:val="center"/>
                </w:tcPr>
                <w:p w14:paraId="7E5B9703">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w:t>
                  </w:r>
                </w:p>
              </w:tc>
              <w:tc>
                <w:tcPr>
                  <w:tcW w:w="1155" w:type="dxa"/>
                  <w:vAlign w:val="center"/>
                </w:tcPr>
                <w:p w14:paraId="718F1E14">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监测时间和频率</w:t>
                  </w:r>
                </w:p>
              </w:tc>
              <w:tc>
                <w:tcPr>
                  <w:tcW w:w="3427" w:type="dxa"/>
                  <w:vAlign w:val="center"/>
                </w:tcPr>
                <w:p w14:paraId="008FD8E1">
                  <w:pPr>
                    <w:pStyle w:val="58"/>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5C2515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896" w:hRule="atLeast"/>
                <w:jc w:val="center"/>
              </w:trPr>
              <w:tc>
                <w:tcPr>
                  <w:tcW w:w="444" w:type="dxa"/>
                  <w:vAlign w:val="center"/>
                </w:tcPr>
                <w:p w14:paraId="48D095D0">
                  <w:pPr>
                    <w:pStyle w:val="58"/>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lang w:val="en-US" w:eastAsia="zh-CN"/>
                    </w:rPr>
                    <w:t>1</w:t>
                  </w:r>
                </w:p>
              </w:tc>
              <w:tc>
                <w:tcPr>
                  <w:tcW w:w="816" w:type="dxa"/>
                  <w:vAlign w:val="center"/>
                </w:tcPr>
                <w:p w14:paraId="165748C3">
                  <w:pPr>
                    <w:pStyle w:val="58"/>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废气</w:t>
                  </w:r>
                </w:p>
              </w:tc>
              <w:tc>
                <w:tcPr>
                  <w:tcW w:w="1107" w:type="dxa"/>
                  <w:tcBorders>
                    <w:bottom w:val="single" w:color="auto" w:sz="4" w:space="0"/>
                  </w:tcBorders>
                  <w:vAlign w:val="center"/>
                </w:tcPr>
                <w:p w14:paraId="4D3AFEBD">
                  <w:pPr>
                    <w:pStyle w:val="58"/>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szCs w:val="21"/>
                      <w:highlight w:val="none"/>
                      <w:lang w:eastAsia="zh-CN"/>
                    </w:rPr>
                    <w:t>颗粒物</w:t>
                  </w:r>
                </w:p>
              </w:tc>
              <w:tc>
                <w:tcPr>
                  <w:tcW w:w="967" w:type="dxa"/>
                  <w:tcBorders>
                    <w:bottom w:val="single" w:color="auto" w:sz="4" w:space="0"/>
                  </w:tcBorders>
                  <w:vAlign w:val="center"/>
                </w:tcPr>
                <w:p w14:paraId="276769F4">
                  <w:pPr>
                    <w:pStyle w:val="58"/>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szCs w:val="21"/>
                      <w:highlight w:val="none"/>
                      <w:lang w:eastAsia="zh-CN"/>
                    </w:rPr>
                    <w:t>厂界下风向</w:t>
                  </w:r>
                </w:p>
              </w:tc>
              <w:tc>
                <w:tcPr>
                  <w:tcW w:w="1155" w:type="dxa"/>
                  <w:vAlign w:val="center"/>
                </w:tcPr>
                <w:p w14:paraId="7A1BDA1A">
                  <w:pPr>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highlight w:val="none"/>
                    </w:rPr>
                    <w:t>1次/</w:t>
                  </w:r>
                  <w:r>
                    <w:rPr>
                      <w:rFonts w:hint="default" w:ascii="Times New Roman" w:hAnsi="Times New Roman" w:cs="Times New Roman"/>
                      <w:color w:val="auto"/>
                      <w:highlight w:val="none"/>
                      <w:lang w:eastAsia="zh-CN"/>
                    </w:rPr>
                    <w:t>年</w:t>
                  </w:r>
                </w:p>
              </w:tc>
              <w:tc>
                <w:tcPr>
                  <w:tcW w:w="3427" w:type="dxa"/>
                  <w:vAlign w:val="center"/>
                </w:tcPr>
                <w:p w14:paraId="0B613AE9">
                  <w:pPr>
                    <w:pStyle w:val="58"/>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zh-CN"/>
                    </w:rPr>
                    <w:t>《煤炭工业污染物排放标准》（GB20426-2006）中表5限值</w:t>
                  </w:r>
                </w:p>
              </w:tc>
            </w:tr>
            <w:tr w14:paraId="7C919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21" w:hRule="atLeast"/>
                <w:jc w:val="center"/>
              </w:trPr>
              <w:tc>
                <w:tcPr>
                  <w:tcW w:w="444" w:type="dxa"/>
                  <w:vAlign w:val="center"/>
                </w:tcPr>
                <w:p w14:paraId="3BAC1939">
                  <w:pPr>
                    <w:pStyle w:val="58"/>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lang w:val="en-US" w:eastAsia="zh-CN"/>
                    </w:rPr>
                    <w:t>2</w:t>
                  </w:r>
                </w:p>
              </w:tc>
              <w:tc>
                <w:tcPr>
                  <w:tcW w:w="816" w:type="dxa"/>
                  <w:vAlign w:val="center"/>
                </w:tcPr>
                <w:p w14:paraId="119C3752">
                  <w:pPr>
                    <w:pStyle w:val="58"/>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声环境</w:t>
                  </w:r>
                </w:p>
              </w:tc>
              <w:tc>
                <w:tcPr>
                  <w:tcW w:w="1107" w:type="dxa"/>
                  <w:vAlign w:val="center"/>
                </w:tcPr>
                <w:p w14:paraId="39258BCF">
                  <w:pPr>
                    <w:pStyle w:val="58"/>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噪声</w:t>
                  </w:r>
                </w:p>
              </w:tc>
              <w:tc>
                <w:tcPr>
                  <w:tcW w:w="967" w:type="dxa"/>
                  <w:vAlign w:val="center"/>
                </w:tcPr>
                <w:p w14:paraId="522EC4FF">
                  <w:pPr>
                    <w:pStyle w:val="58"/>
                    <w:jc w:val="center"/>
                    <w:rPr>
                      <w:rFonts w:hint="eastAsia"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厂界</w:t>
                  </w:r>
                  <w:r>
                    <w:rPr>
                      <w:rFonts w:hint="eastAsia" w:cs="Times New Roman"/>
                      <w:color w:val="auto"/>
                      <w:kern w:val="0"/>
                      <w:szCs w:val="21"/>
                      <w:highlight w:val="none"/>
                      <w:lang w:val="en-US" w:eastAsia="zh-CN"/>
                    </w:rPr>
                    <w:t>四周</w:t>
                  </w:r>
                </w:p>
              </w:tc>
              <w:tc>
                <w:tcPr>
                  <w:tcW w:w="1155" w:type="dxa"/>
                  <w:vAlign w:val="center"/>
                </w:tcPr>
                <w:p w14:paraId="681F318E">
                  <w:pPr>
                    <w:jc w:val="center"/>
                    <w:rPr>
                      <w:rFonts w:hint="eastAsia"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highlight w:val="none"/>
                    </w:rPr>
                    <w:t>1次/季度</w:t>
                  </w:r>
                  <w:r>
                    <w:rPr>
                      <w:rFonts w:hint="eastAsia" w:cs="Times New Roman"/>
                      <w:color w:val="auto"/>
                      <w:highlight w:val="none"/>
                      <w:lang w:eastAsia="zh-CN"/>
                    </w:rPr>
                    <w:t>（昼间监 测）</w:t>
                  </w:r>
                </w:p>
              </w:tc>
              <w:tc>
                <w:tcPr>
                  <w:tcW w:w="3427" w:type="dxa"/>
                  <w:vAlign w:val="center"/>
                </w:tcPr>
                <w:p w14:paraId="6DA4E298">
                  <w:pPr>
                    <w:pStyle w:val="58"/>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厂界执行</w:t>
                  </w:r>
                  <w:r>
                    <w:rPr>
                      <w:rFonts w:hint="default" w:ascii="Times New Roman" w:hAnsi="Times New Roman" w:cs="Times New Roman"/>
                      <w:color w:val="auto"/>
                      <w:kern w:val="0"/>
                      <w:szCs w:val="21"/>
                      <w:highlight w:val="none"/>
                    </w:rPr>
                    <w:t>《工业企业厂界环境噪声排放标准》（GB12348-2008）</w:t>
                  </w:r>
                </w:p>
                <w:p w14:paraId="14E85277">
                  <w:pPr>
                    <w:pStyle w:val="58"/>
                    <w:jc w:val="center"/>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val="en-US" w:eastAsia="zh-CN"/>
                    </w:rPr>
                    <w:t>3类</w:t>
                  </w:r>
                  <w:r>
                    <w:rPr>
                      <w:rFonts w:hint="default" w:ascii="Times New Roman" w:hAnsi="Times New Roman" w:cs="Times New Roman"/>
                      <w:color w:val="auto"/>
                      <w:kern w:val="0"/>
                      <w:szCs w:val="21"/>
                      <w:highlight w:val="none"/>
                    </w:rPr>
                    <w:t>标准</w:t>
                  </w:r>
                </w:p>
              </w:tc>
            </w:tr>
          </w:tbl>
          <w:p w14:paraId="0B9C5610">
            <w:pPr>
              <w:adjustRightInd w:val="0"/>
              <w:snapToGrid w:val="0"/>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10</w:t>
            </w:r>
            <w:r>
              <w:rPr>
                <w:rFonts w:hint="default" w:ascii="Times New Roman" w:hAnsi="Times New Roman" w:cs="Times New Roman"/>
                <w:b/>
                <w:bCs/>
                <w:color w:val="auto"/>
                <w:sz w:val="24"/>
                <w:highlight w:val="none"/>
              </w:rPr>
              <w:t>、环保投资</w:t>
            </w:r>
          </w:p>
          <w:p w14:paraId="50C5FEFD">
            <w:pPr>
              <w:spacing w:line="360" w:lineRule="auto"/>
              <w:ind w:firstLine="480" w:firstLineChars="200"/>
              <w:jc w:val="both"/>
              <w:rPr>
                <w:rFonts w:hint="default" w:ascii="Times New Roman" w:hAnsi="Times New Roman" w:cs="Times New Roman"/>
                <w:b/>
                <w:color w:val="auto"/>
                <w:szCs w:val="21"/>
                <w:highlight w:val="none"/>
              </w:rPr>
            </w:pPr>
            <w:r>
              <w:rPr>
                <w:rFonts w:hint="default" w:ascii="Times New Roman" w:hAnsi="Times New Roman" w:eastAsia="宋体" w:cs="Times New Roman"/>
                <w:color w:val="auto"/>
                <w:sz w:val="24"/>
                <w:highlight w:val="none"/>
                <w:lang w:eastAsia="zh-CN"/>
              </w:rPr>
              <w:t>本</w:t>
            </w:r>
            <w:r>
              <w:rPr>
                <w:rFonts w:hint="default" w:ascii="Times New Roman" w:hAnsi="Times New Roman" w:eastAsia="宋体" w:cs="Times New Roman"/>
                <w:color w:val="auto"/>
                <w:sz w:val="24"/>
                <w:highlight w:val="none"/>
              </w:rPr>
              <w:t>项目总投资</w:t>
            </w:r>
            <w:r>
              <w:rPr>
                <w:rFonts w:hint="eastAsia" w:cs="Times New Roman"/>
                <w:color w:val="auto"/>
                <w:sz w:val="24"/>
                <w:highlight w:val="none"/>
                <w:lang w:val="en-US" w:eastAsia="zh-CN"/>
              </w:rPr>
              <w:t>150</w:t>
            </w:r>
            <w:r>
              <w:rPr>
                <w:rFonts w:hint="default" w:ascii="Times New Roman" w:hAnsi="Times New Roman" w:eastAsia="宋体" w:cs="Times New Roman"/>
                <w:color w:val="auto"/>
                <w:sz w:val="24"/>
                <w:highlight w:val="none"/>
              </w:rPr>
              <w:t>万元，其中环保投资为</w:t>
            </w:r>
            <w:r>
              <w:rPr>
                <w:rFonts w:hint="eastAsia" w:cs="Times New Roman"/>
                <w:color w:val="auto"/>
                <w:sz w:val="24"/>
                <w:highlight w:val="none"/>
                <w:lang w:val="en-US" w:eastAsia="zh-CN"/>
              </w:rPr>
              <w:t>22</w:t>
            </w:r>
            <w:r>
              <w:rPr>
                <w:rFonts w:hint="default" w:ascii="Times New Roman" w:hAnsi="Times New Roman" w:eastAsia="宋体" w:cs="Times New Roman"/>
                <w:color w:val="auto"/>
                <w:sz w:val="24"/>
                <w:highlight w:val="none"/>
              </w:rPr>
              <w:t>万元，占总投资的</w:t>
            </w:r>
            <w:r>
              <w:rPr>
                <w:rFonts w:hint="eastAsia" w:cs="Times New Roman"/>
                <w:color w:val="auto"/>
                <w:sz w:val="24"/>
                <w:highlight w:val="none"/>
                <w:lang w:val="en-US" w:eastAsia="zh-CN"/>
              </w:rPr>
              <w:t>14.67</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rPr>
              <w:t>本项目环保投资具体情况参见下表。</w:t>
            </w:r>
          </w:p>
          <w:p w14:paraId="729A7ABC">
            <w:pPr>
              <w:spacing w:line="360" w:lineRule="auto"/>
              <w:ind w:firstLine="422" w:firstLineChars="200"/>
              <w:jc w:val="center"/>
              <w:rPr>
                <w:rFonts w:hint="default" w:ascii="Times New Roman" w:hAnsi="Times New Roman" w:cs="Times New Roman"/>
                <w:b/>
                <w:color w:val="auto"/>
                <w:szCs w:val="21"/>
                <w:highlight w:val="none"/>
              </w:rPr>
            </w:pPr>
          </w:p>
          <w:p w14:paraId="0409F18F">
            <w:pPr>
              <w:spacing w:line="360" w:lineRule="auto"/>
              <w:ind w:firstLine="422" w:firstLineChars="200"/>
              <w:jc w:val="center"/>
              <w:rPr>
                <w:rFonts w:hint="default" w:ascii="Times New Roman" w:hAnsi="Times New Roman" w:cs="Times New Roman"/>
                <w:b/>
                <w:color w:val="auto"/>
                <w:szCs w:val="21"/>
                <w:highlight w:val="none"/>
              </w:rPr>
            </w:pPr>
          </w:p>
          <w:p w14:paraId="084A9FE9">
            <w:pPr>
              <w:spacing w:line="360" w:lineRule="auto"/>
              <w:ind w:firstLine="422" w:firstLineChars="20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default" w:ascii="Times New Roman" w:hAnsi="Times New Roman" w:cs="Times New Roman"/>
                <w:b/>
                <w:color w:val="auto"/>
                <w:szCs w:val="21"/>
                <w:highlight w:val="none"/>
                <w:lang w:val="en-US" w:eastAsia="zh-CN"/>
              </w:rPr>
              <w:t>1</w:t>
            </w:r>
            <w:r>
              <w:rPr>
                <w:rFonts w:hint="eastAsia" w:ascii="Times New Roman" w:hAnsi="Times New Roman" w:cs="Times New Roman"/>
                <w:b/>
                <w:color w:val="auto"/>
                <w:szCs w:val="21"/>
                <w:highlight w:val="none"/>
                <w:lang w:val="en-US" w:eastAsia="zh-CN"/>
              </w:rPr>
              <w:t>0</w:t>
            </w:r>
            <w:r>
              <w:rPr>
                <w:rFonts w:hint="default" w:ascii="Times New Roman" w:hAnsi="Times New Roman" w:cs="Times New Roman"/>
                <w:b/>
                <w:color w:val="auto"/>
                <w:szCs w:val="21"/>
                <w:highlight w:val="none"/>
                <w:lang w:val="en-US" w:eastAsia="zh-CN"/>
              </w:rPr>
              <w:t xml:space="preserve"> </w:t>
            </w:r>
            <w:r>
              <w:rPr>
                <w:rFonts w:hint="default" w:ascii="Times New Roman" w:hAnsi="Times New Roman" w:cs="Times New Roman"/>
                <w:b/>
                <w:color w:val="auto"/>
                <w:szCs w:val="21"/>
                <w:highlight w:val="none"/>
              </w:rPr>
              <w:t>环保投资一览表</w:t>
            </w:r>
          </w:p>
          <w:tbl>
            <w:tblPr>
              <w:tblStyle w:val="31"/>
              <w:tblW w:w="4993"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7"/>
              <w:gridCol w:w="3039"/>
              <w:gridCol w:w="986"/>
              <w:gridCol w:w="1091"/>
              <w:gridCol w:w="2102"/>
            </w:tblGrid>
            <w:tr w14:paraId="1C0F1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700AFC6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序号</w:t>
                  </w:r>
                </w:p>
              </w:tc>
              <w:tc>
                <w:tcPr>
                  <w:tcW w:w="1914" w:type="pct"/>
                  <w:tcBorders>
                    <w:tl2br w:val="nil"/>
                    <w:tr2bl w:val="nil"/>
                  </w:tcBorders>
                  <w:noWrap w:val="0"/>
                  <w:vAlign w:val="center"/>
                </w:tcPr>
                <w:p w14:paraId="5222B83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环保措施</w:t>
                  </w:r>
                </w:p>
              </w:tc>
              <w:tc>
                <w:tcPr>
                  <w:tcW w:w="621" w:type="pct"/>
                  <w:tcBorders>
                    <w:tl2br w:val="nil"/>
                    <w:tr2bl w:val="nil"/>
                  </w:tcBorders>
                  <w:noWrap w:val="0"/>
                  <w:vAlign w:val="center"/>
                </w:tcPr>
                <w:p w14:paraId="0CE94ED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数量</w:t>
                  </w:r>
                </w:p>
              </w:tc>
              <w:tc>
                <w:tcPr>
                  <w:tcW w:w="687" w:type="pct"/>
                  <w:tcBorders>
                    <w:tl2br w:val="nil"/>
                    <w:tr2bl w:val="nil"/>
                  </w:tcBorders>
                  <w:noWrap w:val="0"/>
                  <w:vAlign w:val="center"/>
                </w:tcPr>
                <w:p w14:paraId="24720F0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金额</w:t>
                  </w:r>
                </w:p>
                <w:p w14:paraId="2270D4F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（万元）</w:t>
                  </w:r>
                </w:p>
              </w:tc>
              <w:tc>
                <w:tcPr>
                  <w:tcW w:w="1324" w:type="pct"/>
                  <w:tcBorders>
                    <w:tl2br w:val="nil"/>
                    <w:tr2bl w:val="nil"/>
                  </w:tcBorders>
                  <w:noWrap w:val="0"/>
                  <w:vAlign w:val="center"/>
                </w:tcPr>
                <w:p w14:paraId="167047E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备注</w:t>
                  </w:r>
                </w:p>
              </w:tc>
            </w:tr>
            <w:tr w14:paraId="04A5C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44AF65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废水</w:t>
                  </w:r>
                </w:p>
              </w:tc>
              <w:tc>
                <w:tcPr>
                  <w:tcW w:w="1914" w:type="pct"/>
                  <w:tcBorders>
                    <w:tl2br w:val="nil"/>
                    <w:tr2bl w:val="nil"/>
                  </w:tcBorders>
                  <w:noWrap w:val="0"/>
                  <w:vAlign w:val="center"/>
                </w:tcPr>
                <w:p w14:paraId="0882770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highlight w:val="none"/>
                      <w:lang w:val="en-US" w:eastAsia="zh-CN"/>
                    </w:rPr>
                    <w:t>初期雨水收集池</w:t>
                  </w:r>
                  <w:r>
                    <w:rPr>
                      <w:rFonts w:hint="default" w:ascii="Times New Roman" w:hAnsi="Times New Roman" w:cs="Times New Roman"/>
                      <w:color w:val="auto"/>
                      <w:kern w:val="0"/>
                      <w:szCs w:val="21"/>
                      <w:highlight w:val="none"/>
                      <w:lang w:val="en-US" w:eastAsia="zh-CN" w:bidi="ar"/>
                    </w:rPr>
                    <w:t>（包含防渗措施）、雨水导流沟</w:t>
                  </w:r>
                </w:p>
              </w:tc>
              <w:tc>
                <w:tcPr>
                  <w:tcW w:w="621" w:type="pct"/>
                  <w:tcBorders>
                    <w:tl2br w:val="nil"/>
                    <w:tr2bl w:val="nil"/>
                  </w:tcBorders>
                  <w:noWrap w:val="0"/>
                  <w:vAlign w:val="center"/>
                </w:tcPr>
                <w:p w14:paraId="343861B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lang w:val="en-US" w:eastAsia="zh-CN"/>
                    </w:rPr>
                    <w:t>1处</w:t>
                  </w:r>
                </w:p>
              </w:tc>
              <w:tc>
                <w:tcPr>
                  <w:tcW w:w="687" w:type="pct"/>
                  <w:tcBorders>
                    <w:tl2br w:val="nil"/>
                    <w:tr2bl w:val="nil"/>
                  </w:tcBorders>
                  <w:noWrap w:val="0"/>
                  <w:vAlign w:val="center"/>
                </w:tcPr>
                <w:p w14:paraId="6DCDB62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c>
                <w:tcPr>
                  <w:tcW w:w="1324" w:type="pct"/>
                  <w:tcBorders>
                    <w:tl2br w:val="nil"/>
                    <w:tr2bl w:val="nil"/>
                  </w:tcBorders>
                  <w:noWrap w:val="0"/>
                  <w:vAlign w:val="center"/>
                </w:tcPr>
                <w:p w14:paraId="4537D6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67865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vMerge w:val="restart"/>
                  <w:tcBorders>
                    <w:tl2br w:val="nil"/>
                    <w:tr2bl w:val="nil"/>
                  </w:tcBorders>
                  <w:noWrap w:val="0"/>
                  <w:vAlign w:val="center"/>
                </w:tcPr>
                <w:p w14:paraId="7719D0B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废气</w:t>
                  </w:r>
                </w:p>
              </w:tc>
              <w:tc>
                <w:tcPr>
                  <w:tcW w:w="1914" w:type="pct"/>
                  <w:tcBorders>
                    <w:tl2br w:val="nil"/>
                    <w:tr2bl w:val="nil"/>
                  </w:tcBorders>
                  <w:noWrap w:val="0"/>
                  <w:vAlign w:val="center"/>
                </w:tcPr>
                <w:p w14:paraId="0267B3C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防风抑尘网</w:t>
                  </w:r>
                </w:p>
              </w:tc>
              <w:tc>
                <w:tcPr>
                  <w:tcW w:w="621" w:type="pct"/>
                  <w:tcBorders>
                    <w:tl2br w:val="nil"/>
                    <w:tr2bl w:val="nil"/>
                  </w:tcBorders>
                  <w:noWrap w:val="0"/>
                  <w:vAlign w:val="center"/>
                </w:tcPr>
                <w:p w14:paraId="1294791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687" w:type="pct"/>
                  <w:tcBorders>
                    <w:tl2br w:val="nil"/>
                    <w:tr2bl w:val="nil"/>
                  </w:tcBorders>
                  <w:noWrap w:val="0"/>
                  <w:vAlign w:val="center"/>
                </w:tcPr>
                <w:p w14:paraId="4FCD59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c>
                <w:tcPr>
                  <w:tcW w:w="1324" w:type="pct"/>
                  <w:tcBorders>
                    <w:tl2br w:val="nil"/>
                    <w:tr2bl w:val="nil"/>
                  </w:tcBorders>
                  <w:noWrap w:val="0"/>
                  <w:vAlign w:val="center"/>
                </w:tcPr>
                <w:p w14:paraId="171AA3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2010DE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vMerge w:val="continue"/>
                  <w:tcBorders>
                    <w:tl2br w:val="nil"/>
                    <w:tr2bl w:val="nil"/>
                  </w:tcBorders>
                  <w:noWrap w:val="0"/>
                  <w:vAlign w:val="center"/>
                </w:tcPr>
                <w:p w14:paraId="0A9D834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p>
              </w:tc>
              <w:tc>
                <w:tcPr>
                  <w:tcW w:w="1914" w:type="pct"/>
                  <w:tcBorders>
                    <w:tl2br w:val="nil"/>
                    <w:tr2bl w:val="nil"/>
                  </w:tcBorders>
                  <w:noWrap w:val="0"/>
                  <w:vAlign w:val="center"/>
                </w:tcPr>
                <w:p w14:paraId="2B3ECC6F">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苫布</w:t>
                  </w:r>
                </w:p>
              </w:tc>
              <w:tc>
                <w:tcPr>
                  <w:tcW w:w="621" w:type="pct"/>
                  <w:tcBorders>
                    <w:tl2br w:val="nil"/>
                    <w:tr2bl w:val="nil"/>
                  </w:tcBorders>
                  <w:noWrap w:val="0"/>
                  <w:vAlign w:val="center"/>
                </w:tcPr>
                <w:p w14:paraId="32711AC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687" w:type="pct"/>
                  <w:tcBorders>
                    <w:tl2br w:val="nil"/>
                    <w:tr2bl w:val="nil"/>
                  </w:tcBorders>
                  <w:noWrap w:val="0"/>
                  <w:vAlign w:val="center"/>
                </w:tcPr>
                <w:p w14:paraId="58D9A9CE">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w:t>
                  </w:r>
                </w:p>
              </w:tc>
              <w:tc>
                <w:tcPr>
                  <w:tcW w:w="1324" w:type="pct"/>
                  <w:tcBorders>
                    <w:tl2br w:val="nil"/>
                    <w:tr2bl w:val="nil"/>
                  </w:tcBorders>
                  <w:noWrap w:val="0"/>
                  <w:vAlign w:val="center"/>
                </w:tcPr>
                <w:p w14:paraId="7CD640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5899C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vMerge w:val="continue"/>
                  <w:tcBorders>
                    <w:tl2br w:val="nil"/>
                    <w:tr2bl w:val="nil"/>
                  </w:tcBorders>
                  <w:noWrap w:val="0"/>
                  <w:vAlign w:val="center"/>
                </w:tcPr>
                <w:p w14:paraId="7E24A46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p>
              </w:tc>
              <w:tc>
                <w:tcPr>
                  <w:tcW w:w="1914" w:type="pct"/>
                  <w:tcBorders>
                    <w:tl2br w:val="nil"/>
                    <w:tr2bl w:val="nil"/>
                  </w:tcBorders>
                  <w:noWrap w:val="0"/>
                  <w:vAlign w:val="center"/>
                </w:tcPr>
                <w:p w14:paraId="2D145F3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lang w:eastAsia="zh-CN"/>
                    </w:rPr>
                  </w:pPr>
                  <w:r>
                    <w:rPr>
                      <w:rFonts w:hint="eastAsia" w:cs="Times New Roman"/>
                      <w:color w:val="auto"/>
                      <w:szCs w:val="21"/>
                      <w:highlight w:val="none"/>
                      <w:lang w:val="en-US" w:eastAsia="zh-CN"/>
                    </w:rPr>
                    <w:t>洒水车</w:t>
                  </w:r>
                </w:p>
              </w:tc>
              <w:tc>
                <w:tcPr>
                  <w:tcW w:w="621" w:type="pct"/>
                  <w:tcBorders>
                    <w:tl2br w:val="nil"/>
                    <w:tr2bl w:val="nil"/>
                  </w:tcBorders>
                  <w:noWrap w:val="0"/>
                  <w:vAlign w:val="center"/>
                </w:tcPr>
                <w:p w14:paraId="57C658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687" w:type="pct"/>
                  <w:tcBorders>
                    <w:tl2br w:val="nil"/>
                    <w:tr2bl w:val="nil"/>
                  </w:tcBorders>
                  <w:noWrap w:val="0"/>
                  <w:vAlign w:val="center"/>
                </w:tcPr>
                <w:p w14:paraId="32535D2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1324" w:type="pct"/>
                  <w:tcBorders>
                    <w:tl2br w:val="nil"/>
                    <w:tr2bl w:val="nil"/>
                  </w:tcBorders>
                  <w:noWrap w:val="0"/>
                  <w:vAlign w:val="center"/>
                </w:tcPr>
                <w:p w14:paraId="16C9D64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56B35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2352F0B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噪声</w:t>
                  </w:r>
                </w:p>
              </w:tc>
              <w:tc>
                <w:tcPr>
                  <w:tcW w:w="1914" w:type="pct"/>
                  <w:tcBorders>
                    <w:tl2br w:val="nil"/>
                    <w:tr2bl w:val="nil"/>
                  </w:tcBorders>
                  <w:noWrap w:val="0"/>
                  <w:vAlign w:val="center"/>
                </w:tcPr>
                <w:p w14:paraId="7AD9D63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bCs/>
                      <w:snapToGrid w:val="0"/>
                      <w:color w:val="auto"/>
                      <w:kern w:val="0"/>
                      <w:szCs w:val="21"/>
                      <w:highlight w:val="none"/>
                    </w:rPr>
                    <w:t>低噪设备</w:t>
                  </w:r>
                </w:p>
              </w:tc>
              <w:tc>
                <w:tcPr>
                  <w:tcW w:w="621" w:type="pct"/>
                  <w:tcBorders>
                    <w:tl2br w:val="nil"/>
                    <w:tr2bl w:val="nil"/>
                  </w:tcBorders>
                  <w:noWrap w:val="0"/>
                  <w:vAlign w:val="center"/>
                </w:tcPr>
                <w:p w14:paraId="4DE5770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687" w:type="pct"/>
                  <w:tcBorders>
                    <w:tl2br w:val="nil"/>
                    <w:tr2bl w:val="nil"/>
                  </w:tcBorders>
                  <w:noWrap w:val="0"/>
                  <w:vAlign w:val="center"/>
                </w:tcPr>
                <w:p w14:paraId="3C79360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1324" w:type="pct"/>
                  <w:tcBorders>
                    <w:tl2br w:val="nil"/>
                    <w:tr2bl w:val="nil"/>
                  </w:tcBorders>
                  <w:noWrap w:val="0"/>
                  <w:vAlign w:val="center"/>
                </w:tcPr>
                <w:p w14:paraId="5ED4801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36F906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4B9D820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固废</w:t>
                  </w:r>
                </w:p>
              </w:tc>
              <w:tc>
                <w:tcPr>
                  <w:tcW w:w="1914" w:type="pct"/>
                  <w:tcBorders>
                    <w:tl2br w:val="nil"/>
                    <w:tr2bl w:val="nil"/>
                  </w:tcBorders>
                  <w:noWrap w:val="0"/>
                  <w:vAlign w:val="center"/>
                </w:tcPr>
                <w:p w14:paraId="693D46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Cs w:val="21"/>
                      <w:highlight w:val="none"/>
                      <w:lang w:bidi="ar"/>
                    </w:rPr>
                    <w:t>生活垃圾</w:t>
                  </w:r>
                  <w:r>
                    <w:rPr>
                      <w:rFonts w:hint="default" w:ascii="Times New Roman" w:hAnsi="Times New Roman" w:cs="Times New Roman"/>
                      <w:color w:val="auto"/>
                      <w:kern w:val="0"/>
                      <w:szCs w:val="21"/>
                      <w:highlight w:val="none"/>
                      <w:lang w:val="en-US" w:eastAsia="zh-CN" w:bidi="ar"/>
                    </w:rPr>
                    <w:t>收集箱</w:t>
                  </w:r>
                </w:p>
              </w:tc>
              <w:tc>
                <w:tcPr>
                  <w:tcW w:w="621" w:type="pct"/>
                  <w:tcBorders>
                    <w:tl2br w:val="nil"/>
                    <w:tr2bl w:val="nil"/>
                  </w:tcBorders>
                  <w:noWrap w:val="0"/>
                  <w:vAlign w:val="center"/>
                </w:tcPr>
                <w:p w14:paraId="144721C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687" w:type="pct"/>
                  <w:tcBorders>
                    <w:tl2br w:val="nil"/>
                    <w:tr2bl w:val="nil"/>
                  </w:tcBorders>
                  <w:noWrap w:val="0"/>
                  <w:vAlign w:val="center"/>
                </w:tcPr>
                <w:p w14:paraId="6763162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0.5</w:t>
                  </w:r>
                </w:p>
              </w:tc>
              <w:tc>
                <w:tcPr>
                  <w:tcW w:w="1324" w:type="pct"/>
                  <w:tcBorders>
                    <w:tl2br w:val="nil"/>
                    <w:tr2bl w:val="nil"/>
                  </w:tcBorders>
                  <w:noWrap w:val="0"/>
                  <w:vAlign w:val="center"/>
                </w:tcPr>
                <w:p w14:paraId="0338FD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20733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3D9E8D5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土壤</w:t>
                  </w:r>
                </w:p>
              </w:tc>
              <w:tc>
                <w:tcPr>
                  <w:tcW w:w="1914" w:type="pct"/>
                  <w:tcBorders>
                    <w:tl2br w:val="nil"/>
                    <w:tr2bl w:val="nil"/>
                  </w:tcBorders>
                  <w:noWrap w:val="0"/>
                  <w:vAlign w:val="center"/>
                </w:tcPr>
                <w:p w14:paraId="3309BD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val="en-US" w:eastAsia="zh-CN" w:bidi="ar"/>
                    </w:rPr>
                    <w:t>厂区地面硬化</w:t>
                  </w:r>
                </w:p>
              </w:tc>
              <w:tc>
                <w:tcPr>
                  <w:tcW w:w="621" w:type="pct"/>
                  <w:tcBorders>
                    <w:tl2br w:val="nil"/>
                    <w:tr2bl w:val="nil"/>
                  </w:tcBorders>
                  <w:noWrap w:val="0"/>
                  <w:vAlign w:val="center"/>
                </w:tcPr>
                <w:p w14:paraId="423F4C0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687" w:type="pct"/>
                  <w:tcBorders>
                    <w:tl2br w:val="nil"/>
                    <w:tr2bl w:val="nil"/>
                  </w:tcBorders>
                  <w:noWrap w:val="0"/>
                  <w:vAlign w:val="center"/>
                </w:tcPr>
                <w:p w14:paraId="61C85B1F">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1324" w:type="pct"/>
                  <w:tcBorders>
                    <w:tl2br w:val="nil"/>
                    <w:tr2bl w:val="nil"/>
                  </w:tcBorders>
                  <w:noWrap w:val="0"/>
                  <w:vAlign w:val="center"/>
                </w:tcPr>
                <w:p w14:paraId="14155E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26A06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67E6D92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val="en-US" w:eastAsia="zh-CN" w:bidi="ar"/>
                    </w:rPr>
                    <w:t>日常</w:t>
                  </w:r>
                </w:p>
              </w:tc>
              <w:tc>
                <w:tcPr>
                  <w:tcW w:w="1914" w:type="pct"/>
                  <w:tcBorders>
                    <w:tl2br w:val="nil"/>
                    <w:tr2bl w:val="nil"/>
                  </w:tcBorders>
                  <w:noWrap w:val="0"/>
                  <w:vAlign w:val="center"/>
                </w:tcPr>
                <w:p w14:paraId="1118B76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val="en-US" w:eastAsia="zh-CN" w:bidi="ar"/>
                    </w:rPr>
                    <w:t>例行监测</w:t>
                  </w:r>
                </w:p>
              </w:tc>
              <w:tc>
                <w:tcPr>
                  <w:tcW w:w="621" w:type="pct"/>
                  <w:tcBorders>
                    <w:tl2br w:val="nil"/>
                    <w:tr2bl w:val="nil"/>
                  </w:tcBorders>
                  <w:noWrap w:val="0"/>
                  <w:vAlign w:val="center"/>
                </w:tcPr>
                <w:p w14:paraId="527C53C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687" w:type="pct"/>
                  <w:tcBorders>
                    <w:tl2br w:val="nil"/>
                    <w:tr2bl w:val="nil"/>
                  </w:tcBorders>
                  <w:noWrap w:val="0"/>
                  <w:vAlign w:val="center"/>
                </w:tcPr>
                <w:p w14:paraId="2ED3F5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0.5</w:t>
                  </w:r>
                </w:p>
              </w:tc>
              <w:tc>
                <w:tcPr>
                  <w:tcW w:w="1324" w:type="pct"/>
                  <w:tcBorders>
                    <w:tl2br w:val="nil"/>
                    <w:tr2bl w:val="nil"/>
                  </w:tcBorders>
                  <w:noWrap w:val="0"/>
                  <w:vAlign w:val="center"/>
                </w:tcPr>
                <w:p w14:paraId="44696A6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304499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pct"/>
                  <w:tcBorders>
                    <w:tl2br w:val="nil"/>
                    <w:tr2bl w:val="nil"/>
                  </w:tcBorders>
                  <w:noWrap w:val="0"/>
                  <w:vAlign w:val="center"/>
                </w:tcPr>
                <w:p w14:paraId="2D498E4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生态环境</w:t>
                  </w:r>
                </w:p>
              </w:tc>
              <w:tc>
                <w:tcPr>
                  <w:tcW w:w="1914" w:type="pct"/>
                  <w:tcBorders>
                    <w:tl2br w:val="nil"/>
                    <w:tr2bl w:val="nil"/>
                  </w:tcBorders>
                  <w:noWrap w:val="0"/>
                  <w:vAlign w:val="center"/>
                </w:tcPr>
                <w:p w14:paraId="2EF346C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绿化</w:t>
                  </w:r>
                </w:p>
              </w:tc>
              <w:tc>
                <w:tcPr>
                  <w:tcW w:w="621" w:type="pct"/>
                  <w:tcBorders>
                    <w:tl2br w:val="nil"/>
                    <w:tr2bl w:val="nil"/>
                  </w:tcBorders>
                  <w:noWrap w:val="0"/>
                  <w:vAlign w:val="center"/>
                </w:tcPr>
                <w:p w14:paraId="7AD8E38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687" w:type="pct"/>
                  <w:tcBorders>
                    <w:tl2br w:val="nil"/>
                    <w:tr2bl w:val="nil"/>
                  </w:tcBorders>
                  <w:noWrap w:val="0"/>
                  <w:vAlign w:val="center"/>
                </w:tcPr>
                <w:p w14:paraId="13F346C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1324" w:type="pct"/>
                  <w:tcBorders>
                    <w:tl2br w:val="nil"/>
                    <w:tr2bl w:val="nil"/>
                  </w:tcBorders>
                  <w:noWrap w:val="0"/>
                  <w:vAlign w:val="center"/>
                </w:tcPr>
                <w:p w14:paraId="4670BF1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46CF3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88" w:type="pct"/>
                  <w:gridSpan w:val="3"/>
                  <w:tcBorders>
                    <w:tl2br w:val="nil"/>
                    <w:tr2bl w:val="nil"/>
                  </w:tcBorders>
                  <w:noWrap w:val="0"/>
                  <w:vAlign w:val="center"/>
                </w:tcPr>
                <w:p w14:paraId="70ACB1E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总计</w:t>
                  </w:r>
                </w:p>
              </w:tc>
              <w:tc>
                <w:tcPr>
                  <w:tcW w:w="687" w:type="pct"/>
                  <w:tcBorders>
                    <w:tl2br w:val="nil"/>
                    <w:tr2bl w:val="nil"/>
                  </w:tcBorders>
                  <w:noWrap w:val="0"/>
                  <w:vAlign w:val="center"/>
                </w:tcPr>
                <w:p w14:paraId="7811DC3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1324" w:type="pct"/>
                  <w:tcBorders>
                    <w:tl2br w:val="nil"/>
                    <w:tr2bl w:val="nil"/>
                  </w:tcBorders>
                  <w:noWrap w:val="0"/>
                  <w:vAlign w:val="center"/>
                </w:tcPr>
                <w:p w14:paraId="74ED650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bl>
          <w:p w14:paraId="659FB0A1">
            <w:pPr>
              <w:adjustRightInd w:val="0"/>
              <w:snapToGrid w:val="0"/>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11</w:t>
            </w:r>
            <w:r>
              <w:rPr>
                <w:rFonts w:hint="default" w:ascii="Times New Roman" w:hAnsi="Times New Roman" w:cs="Times New Roman"/>
                <w:b/>
                <w:bCs/>
                <w:color w:val="auto"/>
                <w:sz w:val="24"/>
                <w:highlight w:val="none"/>
              </w:rPr>
              <w:t>、三同时制度及环保验收</w:t>
            </w:r>
          </w:p>
          <w:p w14:paraId="52A5D648">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建设项目需要完善的减振降噪设施、废气处理设施、污水处理设施和固废处理措施等，应与主体工程同时设计、同时施工、同时投入使用。</w:t>
            </w:r>
          </w:p>
          <w:p w14:paraId="139385EA">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做好废水、废气、噪声等污染处理设施和设备的维护和保养工作，保证污染处理设施有较高的运转率。</w:t>
            </w:r>
          </w:p>
          <w:p w14:paraId="35F79ED5">
            <w:pPr>
              <w:pStyle w:val="56"/>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污染处理设施因故需拆除或停止运行，必须事先报环保主管部门审批。</w:t>
            </w:r>
          </w:p>
          <w:p w14:paraId="722DA36F">
            <w:pPr>
              <w:pStyle w:val="56"/>
              <w:ind w:firstLine="480"/>
              <w:jc w:val="both"/>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建设单位尽快落实整改的环保措施，完成投运后，尽快开展环保验收</w:t>
            </w:r>
            <w:r>
              <w:rPr>
                <w:rFonts w:hint="eastAsia" w:ascii="Times New Roman" w:hAnsi="Times New Roman" w:cs="Times New Roman"/>
                <w:color w:val="auto"/>
                <w:highlight w:val="none"/>
                <w:lang w:eastAsia="zh-CN"/>
              </w:rPr>
              <w:t>并进</w:t>
            </w:r>
            <w:r>
              <w:rPr>
                <w:rFonts w:hint="default" w:ascii="Times New Roman" w:hAnsi="Times New Roman" w:eastAsia="宋体" w:cs="Times New Roman"/>
                <w:color w:val="auto"/>
                <w:highlight w:val="none"/>
              </w:rPr>
              <w:t>行竣工环保自主验收。</w:t>
            </w:r>
          </w:p>
          <w:p w14:paraId="259B9D3C">
            <w:pPr>
              <w:pStyle w:val="56"/>
              <w:ind w:firstLine="480"/>
              <w:jc w:val="both"/>
              <w:rPr>
                <w:rFonts w:hint="default" w:ascii="Times New Roman" w:hAnsi="Times New Roman" w:eastAsia="宋体" w:cs="Times New Roman"/>
                <w:b/>
                <w:bCs w:val="0"/>
                <w:color w:val="auto"/>
                <w:highlight w:val="none"/>
              </w:rPr>
            </w:pPr>
            <w:r>
              <w:rPr>
                <w:rFonts w:hint="default" w:ascii="Times New Roman" w:hAnsi="Times New Roman" w:eastAsia="宋体" w:cs="Times New Roman"/>
                <w:b/>
                <w:bCs w:val="0"/>
                <w:color w:val="auto"/>
                <w:highlight w:val="none"/>
                <w:lang w:val="en-US" w:eastAsia="zh-CN"/>
              </w:rPr>
              <w:t>12</w:t>
            </w:r>
            <w:r>
              <w:rPr>
                <w:rFonts w:hint="default" w:ascii="Times New Roman" w:hAnsi="Times New Roman" w:eastAsia="宋体" w:cs="Times New Roman"/>
                <w:b/>
                <w:bCs w:val="0"/>
                <w:color w:val="auto"/>
                <w:highlight w:val="none"/>
              </w:rPr>
              <w:t>、排污许可证制度衔接</w:t>
            </w:r>
          </w:p>
          <w:p w14:paraId="604F3C9D">
            <w:pPr>
              <w:pStyle w:val="18"/>
              <w:numPr>
                <w:ilvl w:val="0"/>
                <w:numId w:val="0"/>
              </w:numPr>
              <w:spacing w:line="360" w:lineRule="auto"/>
              <w:ind w:firstLine="480" w:firstLineChars="200"/>
              <w:rPr>
                <w:rFonts w:hint="eastAsia" w:cs="Times New Roman"/>
                <w:b w:val="0"/>
                <w:bCs/>
                <w:color w:val="auto"/>
                <w:sz w:val="24"/>
                <w:szCs w:val="24"/>
                <w:highlight w:val="none"/>
                <w:lang w:eastAsia="zh-CN"/>
              </w:rPr>
            </w:pPr>
            <w:r>
              <w:rPr>
                <w:rFonts w:hint="default" w:ascii="Times New Roman" w:hAnsi="Times New Roman" w:eastAsia="宋体" w:cs="Times New Roman"/>
                <w:b w:val="0"/>
                <w:bCs/>
                <w:color w:val="auto"/>
                <w:sz w:val="24"/>
                <w:szCs w:val="24"/>
                <w:highlight w:val="none"/>
              </w:rPr>
              <w:t>根据《国务院办公厅关于印发控制污染物排放许可</w:t>
            </w:r>
            <w:r>
              <w:rPr>
                <w:rFonts w:hint="eastAsia" w:ascii="Times New Roman" w:hAnsi="Times New Roman" w:cs="Times New Roman"/>
                <w:b w:val="0"/>
                <w:bCs/>
                <w:color w:val="auto"/>
                <w:sz w:val="24"/>
                <w:szCs w:val="24"/>
                <w:highlight w:val="none"/>
                <w:lang w:eastAsia="zh-CN"/>
              </w:rPr>
              <w:t>制度</w:t>
            </w:r>
            <w:r>
              <w:rPr>
                <w:rFonts w:hint="default" w:ascii="Times New Roman" w:hAnsi="Times New Roman" w:eastAsia="宋体" w:cs="Times New Roman"/>
                <w:b w:val="0"/>
                <w:bCs/>
                <w:color w:val="auto"/>
                <w:sz w:val="24"/>
                <w:szCs w:val="24"/>
                <w:highlight w:val="none"/>
              </w:rPr>
              <w:t>实施方案的通知》（国办发[2016]81 号），将排污许可</w:t>
            </w:r>
            <w:r>
              <w:rPr>
                <w:rFonts w:hint="default" w:ascii="Times New Roman" w:hAnsi="Times New Roman" w:eastAsia="宋体" w:cs="Times New Roman"/>
                <w:b w:val="0"/>
                <w:bCs/>
                <w:color w:val="auto"/>
                <w:sz w:val="24"/>
                <w:szCs w:val="24"/>
                <w:highlight w:val="none"/>
                <w:lang w:eastAsia="zh-CN"/>
              </w:rPr>
              <w:t>制度</w:t>
            </w:r>
            <w:r>
              <w:rPr>
                <w:rFonts w:hint="default" w:ascii="Times New Roman" w:hAnsi="Times New Roman" w:eastAsia="宋体" w:cs="Times New Roman"/>
                <w:b w:val="0"/>
                <w:bCs/>
                <w:color w:val="auto"/>
                <w:sz w:val="24"/>
                <w:szCs w:val="24"/>
                <w:highlight w:val="none"/>
              </w:rPr>
              <w:t>建设成为固定污染源环境管理的核心制度。本项目应严格按照国家排污许可证改革的要求，推进刷卡排污及污染源</w:t>
            </w:r>
            <w:r>
              <w:rPr>
                <w:rFonts w:hint="eastAsia" w:ascii="Times New Roman" w:hAnsi="Times New Roman" w:cs="Times New Roman"/>
                <w:color w:val="auto"/>
                <w:kern w:val="21"/>
                <w:sz w:val="24"/>
                <w:highlight w:val="none"/>
                <w:lang w:eastAsia="zh-CN"/>
              </w:rPr>
              <w:t>“</w:t>
            </w:r>
            <w:r>
              <w:rPr>
                <w:rFonts w:hint="default" w:ascii="Times New Roman" w:hAnsi="Times New Roman" w:eastAsia="宋体" w:cs="Times New Roman"/>
                <w:b w:val="0"/>
                <w:bCs/>
                <w:color w:val="auto"/>
                <w:sz w:val="24"/>
                <w:szCs w:val="24"/>
                <w:highlight w:val="none"/>
              </w:rPr>
              <w:t>一证式</w:t>
            </w:r>
            <w:r>
              <w:rPr>
                <w:rFonts w:hint="eastAsia" w:ascii="Times New Roman" w:hAnsi="Times New Roman"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管理工作，并作为建设单位在生产运营期接受环境监管和环境保护部门实施监管的主要法律文书，单位依法申领排污许可证，按证排污，自证守法。环境保护部门基于企事业单位守法承诺，依法发放排污许可证，依证强化事中事后监管</w:t>
            </w:r>
            <w:r>
              <w:rPr>
                <w:rFonts w:hint="eastAsia" w:cs="Times New Roman"/>
                <w:b w:val="0"/>
                <w:bCs/>
                <w:color w:val="auto"/>
                <w:sz w:val="24"/>
                <w:szCs w:val="24"/>
                <w:highlight w:val="none"/>
                <w:lang w:eastAsia="zh-CN"/>
              </w:rPr>
              <w:t>。</w:t>
            </w:r>
          </w:p>
          <w:p w14:paraId="54470E4D">
            <w:pPr>
              <w:pStyle w:val="56"/>
              <w:ind w:firstLine="480"/>
              <w:jc w:val="both"/>
              <w:rPr>
                <w:rFonts w:hint="default" w:ascii="Times New Roman" w:hAnsi="Times New Roman" w:eastAsia="宋体" w:cs="Times New Roman"/>
                <w:b/>
                <w:bCs w:val="0"/>
                <w:color w:val="auto"/>
                <w:highlight w:val="none"/>
                <w:lang w:val="en-US" w:eastAsia="zh-CN"/>
              </w:rPr>
            </w:pPr>
            <w:r>
              <w:rPr>
                <w:rFonts w:hint="eastAsia" w:ascii="Times New Roman" w:hAnsi="Times New Roman" w:cs="Times New Roman"/>
                <w:b/>
                <w:bCs w:val="0"/>
                <w:color w:val="auto"/>
                <w:highlight w:val="none"/>
                <w:lang w:val="en-US" w:eastAsia="zh-CN"/>
              </w:rPr>
              <w:t>13</w:t>
            </w:r>
            <w:r>
              <w:rPr>
                <w:rFonts w:hint="default" w:ascii="Times New Roman" w:hAnsi="Times New Roman" w:eastAsia="宋体" w:cs="Times New Roman"/>
                <w:b/>
                <w:bCs w:val="0"/>
                <w:color w:val="auto"/>
                <w:highlight w:val="none"/>
                <w:lang w:val="en-US" w:eastAsia="zh-CN"/>
              </w:rPr>
              <w:t>、运输线路环境影响</w:t>
            </w:r>
          </w:p>
          <w:p w14:paraId="1EB4C46E">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（1）运输路线环境敏感目标</w:t>
            </w:r>
          </w:p>
          <w:p w14:paraId="78B0627D">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本项目公路运输依托现有004乡道，沿途为少量居民。</w:t>
            </w:r>
          </w:p>
          <w:p w14:paraId="15CC6E85">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（2）运输噪声影响分析</w:t>
            </w:r>
          </w:p>
          <w:p w14:paraId="610F16B4">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运输车辆行驶噪声源强约为70~80dB（A），对运输交通噪声，禁止使用超过噪声限值的运输车辆，汽车运输机械设备应安装消声器和禁用高音喇叭，机动车辆必须加强维修和保养，保持技术性能良好，应限制鸣笛、合理安排运输车辆工作时间，22:00～次日6:00禁止运输工作，产品运输均在昼间进行，加强对运输车辆管理，杜绝超载现象，按期保养车辆保持车辆良好工况，运输车辆在经过沿线敏感目标时控制行驶速度，避免交通噪声对沿途居民产生影响，在采取上述措施的前提下，沿线村屯声环境满足《声环境质量标准》（GB3096-2008）2类标准</w:t>
            </w:r>
            <w:r>
              <w:rPr>
                <w:rFonts w:hint="eastAsia"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运输沿线公路交通噪声影响是可以接受的。</w:t>
            </w:r>
          </w:p>
          <w:p w14:paraId="175F2B1F">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（3）运输道路扬尘影响</w:t>
            </w:r>
          </w:p>
          <w:p w14:paraId="74C07BDD">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运输过程中要加强厂区内道路养护，保障路面平整，控制汽车行驶速度，加强对运输车辆管理，杜绝超载现象，按期保养车辆保持车辆良好工况，运输车辆采用苫布苫盖，可有效降低汽车运输的起尘量，运输车辆在经过沿线敏感目标时控制行驶速度</w:t>
            </w:r>
            <w:r>
              <w:rPr>
                <w:rFonts w:hint="eastAsia" w:ascii="Times New Roman" w:hAnsi="Times New Roman" w:eastAsia="宋体" w:cs="Times New Roman"/>
                <w:b/>
                <w:bCs w:val="0"/>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运输产生的扬尘环境空气的影响较小。</w:t>
            </w:r>
          </w:p>
          <w:p w14:paraId="62D4C9C9">
            <w:pPr>
              <w:pStyle w:val="18"/>
              <w:numPr>
                <w:ilvl w:val="0"/>
                <w:numId w:val="0"/>
              </w:numPr>
              <w:spacing w:line="360" w:lineRule="auto"/>
              <w:rPr>
                <w:rFonts w:hint="default" w:ascii="Times New Roman" w:hAnsi="Times New Roman" w:eastAsia="宋体" w:cs="Times New Roman"/>
                <w:b w:val="0"/>
                <w:bCs/>
                <w:color w:val="auto"/>
                <w:sz w:val="24"/>
                <w:szCs w:val="24"/>
                <w:highlight w:val="none"/>
                <w:lang w:val="en-US" w:eastAsia="zh-CN"/>
              </w:rPr>
            </w:pPr>
            <w:r>
              <w:rPr>
                <w:color w:val="auto"/>
                <w:sz w:val="21"/>
              </w:rPr>
              <mc:AlternateContent>
                <mc:Choice Requires="wps">
                  <w:drawing>
                    <wp:anchor distT="0" distB="0" distL="114300" distR="114300" simplePos="0" relativeHeight="251696128" behindDoc="0" locked="0" layoutInCell="1" allowOverlap="1">
                      <wp:simplePos x="0" y="0"/>
                      <wp:positionH relativeFrom="column">
                        <wp:posOffset>109855</wp:posOffset>
                      </wp:positionH>
                      <wp:positionV relativeFrom="paragraph">
                        <wp:posOffset>3404870</wp:posOffset>
                      </wp:positionV>
                      <wp:extent cx="180975" cy="0"/>
                      <wp:effectExtent l="0" t="9525" r="9525" b="9525"/>
                      <wp:wrapNone/>
                      <wp:docPr id="116" name="直接连接符 116"/>
                      <wp:cNvGraphicFramePr/>
                      <a:graphic xmlns:a="http://schemas.openxmlformats.org/drawingml/2006/main">
                        <a:graphicData uri="http://schemas.microsoft.com/office/word/2010/wordprocessingShape">
                          <wps:wsp>
                            <wps:cNvCnPr/>
                            <wps:spPr>
                              <a:xfrm>
                                <a:off x="0" y="0"/>
                                <a:ext cx="180975" cy="0"/>
                              </a:xfrm>
                              <a:prstGeom prst="line">
                                <a:avLst/>
                              </a:prstGeom>
                              <a:ln w="19050">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65pt;margin-top:268.1pt;height:0pt;width:14.25pt;z-index:251696128;mso-width-relative:page;mso-height-relative:page;" filled="f" stroked="t" coordsize="21600,21600" o:gfxdata="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SzfWNcAAAAJAQAADwAAAAAA&#10;AAABACAAAAAiAAAAZHJzL2Rvd25yZXYueG1sUEsBAhQAFAAAAAgAh07iQIU24SnbAQAAngMAAA4A&#10;AAAAAAAAAQAgAAAAJgEAAGRycy9lMm9Eb2MueG1sUEsFBgAAAAAGAAYAWQEAAHMFAAAAAA==&#10;">
                      <v:fill on="f" focussize="0,0"/>
                      <v:stroke weight="1.5pt" color="#92D050 [3204]" joinstyle="round"/>
                      <v:imagedata o:title=""/>
                      <o:lock v:ext="edit" aspectratio="f"/>
                    </v:line>
                  </w:pict>
                </mc:Fallback>
              </mc:AlternateContent>
            </w:r>
            <w:r>
              <w:rPr>
                <w:color w:val="auto"/>
                <w:sz w:val="21"/>
              </w:rPr>
              <mc:AlternateContent>
                <mc:Choice Requires="wps">
                  <w:drawing>
                    <wp:anchor distT="0" distB="0" distL="114300" distR="114300" simplePos="0" relativeHeight="251695104" behindDoc="0" locked="0" layoutInCell="1" allowOverlap="1">
                      <wp:simplePos x="0" y="0"/>
                      <wp:positionH relativeFrom="column">
                        <wp:posOffset>121285</wp:posOffset>
                      </wp:positionH>
                      <wp:positionV relativeFrom="paragraph">
                        <wp:posOffset>2970530</wp:posOffset>
                      </wp:positionV>
                      <wp:extent cx="160655" cy="83185"/>
                      <wp:effectExtent l="9525" t="9525" r="20320" b="21590"/>
                      <wp:wrapNone/>
                      <wp:docPr id="115" name="矩形 115"/>
                      <wp:cNvGraphicFramePr/>
                      <a:graphic xmlns:a="http://schemas.openxmlformats.org/drawingml/2006/main">
                        <a:graphicData uri="http://schemas.microsoft.com/office/word/2010/wordprocessingShape">
                          <wps:wsp>
                            <wps:cNvSpPr/>
                            <wps:spPr>
                              <a:xfrm>
                                <a:off x="0" y="0"/>
                                <a:ext cx="160655" cy="83185"/>
                              </a:xfrm>
                              <a:prstGeom prst="rect">
                                <a:avLst/>
                              </a:prstGeom>
                              <a:noFill/>
                              <a:ln w="1905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55pt;margin-top:233.9pt;height:6.55pt;width:12.65pt;z-index:251695104;v-text-anchor:middle;mso-width-relative:page;mso-height-relative:page;" filled="f" stroked="t" coordsize="21600,21600" o:gfxdata="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Z&#10;fWEU1wAAAAkBAAAPAAAAAAAAAAEAIAAAACIAAABkcnMvZG93bnJldi54bWxQSwECFAAUAAAACACH&#10;TuJAd0Tpl14CAAC2BAAADgAAAAAAAAABACAAAAAmAQAAZHJzL2Uyb0RvYy54bWxQSwUGAAAAAAYA&#10;BgBZAQAA9gUAAAAA&#10;">
                      <v:fill on="f" focussize="0,0"/>
                      <v:stroke weight="1.5pt" color="#FF0000 [2404]" joinstyle="round"/>
                      <v:imagedata o:title=""/>
                      <o:lock v:ext="edit" aspectratio="f"/>
                    </v:rect>
                  </w:pict>
                </mc:Fallback>
              </mc:AlternateContent>
            </w:r>
            <w:r>
              <w:rPr>
                <w:color w:val="auto"/>
              </w:rPr>
              <w:drawing>
                <wp:inline distT="0" distB="0" distL="114300" distR="114300">
                  <wp:extent cx="5040630" cy="3562350"/>
                  <wp:effectExtent l="0" t="0" r="7620" b="0"/>
                  <wp:docPr id="10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5"/>
                          <pic:cNvPicPr>
                            <a:picLocks noChangeAspect="1"/>
                          </pic:cNvPicPr>
                        </pic:nvPicPr>
                        <pic:blipFill>
                          <a:blip r:embed="rId24"/>
                          <a:stretch>
                            <a:fillRect/>
                          </a:stretch>
                        </pic:blipFill>
                        <pic:spPr>
                          <a:xfrm>
                            <a:off x="0" y="0"/>
                            <a:ext cx="5040630" cy="3562350"/>
                          </a:xfrm>
                          <a:prstGeom prst="rect">
                            <a:avLst/>
                          </a:prstGeom>
                          <a:noFill/>
                          <a:ln>
                            <a:noFill/>
                          </a:ln>
                        </pic:spPr>
                      </pic:pic>
                    </a:graphicData>
                  </a:graphic>
                </wp:inline>
              </w:drawing>
            </w:r>
            <w:r>
              <w:rPr>
                <w:rFonts w:hint="default" w:ascii="Times New Roman" w:hAnsi="Times New Roman" w:cs="Times New Roman" w:eastAsiaTheme="minorEastAsia"/>
                <w:color w:val="auto"/>
                <w:highlight w:val="none"/>
                <w:lang w:eastAsia="zh-CN"/>
              </w:rPr>
              <w:drawing>
                <wp:anchor distT="0" distB="0" distL="114300" distR="114300" simplePos="0" relativeHeight="251691008" behindDoc="0" locked="0" layoutInCell="1" allowOverlap="1">
                  <wp:simplePos x="0" y="0"/>
                  <wp:positionH relativeFrom="column">
                    <wp:posOffset>151765</wp:posOffset>
                  </wp:positionH>
                  <wp:positionV relativeFrom="paragraph">
                    <wp:posOffset>3131820</wp:posOffset>
                  </wp:positionV>
                  <wp:extent cx="100965" cy="151765"/>
                  <wp:effectExtent l="0" t="0" r="13335" b="635"/>
                  <wp:wrapNone/>
                  <wp:docPr id="110" name="图片 6" descr="a6b58903766673bbc56dd3101ceb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 descr="a6b58903766673bbc56dd3101ceb48b"/>
                          <pic:cNvPicPr>
                            <a:picLocks noChangeAspect="1"/>
                          </pic:cNvPicPr>
                        </pic:nvPicPr>
                        <pic:blipFill>
                          <a:blip r:embed="rId25">
                            <a:clrChange>
                              <a:clrFrom>
                                <a:srgbClr val="F6F6F6"/>
                              </a:clrFrom>
                              <a:clrTo>
                                <a:srgbClr val="F6F6F6">
                                  <a:alpha val="0"/>
                                </a:srgbClr>
                              </a:clrTo>
                            </a:clrChange>
                          </a:blip>
                          <a:stretch>
                            <a:fillRect/>
                          </a:stretch>
                        </pic:blipFill>
                        <pic:spPr>
                          <a:xfrm>
                            <a:off x="0" y="0"/>
                            <a:ext cx="100965" cy="151765"/>
                          </a:xfrm>
                          <a:prstGeom prst="rect">
                            <a:avLst/>
                          </a:prstGeom>
                          <a:noFill/>
                          <a:ln>
                            <a:noFill/>
                          </a:ln>
                        </pic:spPr>
                      </pic:pic>
                    </a:graphicData>
                  </a:graphic>
                </wp:anchor>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12065</wp:posOffset>
                      </wp:positionH>
                      <wp:positionV relativeFrom="paragraph">
                        <wp:posOffset>2669540</wp:posOffset>
                      </wp:positionV>
                      <wp:extent cx="1171575" cy="876935"/>
                      <wp:effectExtent l="5080" t="5080" r="4445" b="13335"/>
                      <wp:wrapNone/>
                      <wp:docPr id="108" name="文本框 71"/>
                      <wp:cNvGraphicFramePr/>
                      <a:graphic xmlns:a="http://schemas.openxmlformats.org/drawingml/2006/main">
                        <a:graphicData uri="http://schemas.microsoft.com/office/word/2010/wordprocessingShape">
                          <wps:wsp>
                            <wps:cNvSpPr/>
                            <wps:spPr>
                              <a:xfrm>
                                <a:off x="0" y="0"/>
                                <a:ext cx="1171575" cy="8769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49929D">
                                  <w:pPr>
                                    <w:ind w:firstLine="422" w:firstLineChars="200"/>
                                    <w:rPr>
                                      <w:b/>
                                      <w:bCs/>
                                      <w:sz w:val="18"/>
                                      <w:szCs w:val="18"/>
                                    </w:rPr>
                                  </w:pPr>
                                  <w:r>
                                    <w:rPr>
                                      <w:rFonts w:hint="eastAsia"/>
                                      <w:b/>
                                      <w:bCs/>
                                      <w:szCs w:val="21"/>
                                    </w:rPr>
                                    <w:t>图 例</w:t>
                                  </w:r>
                                </w:p>
                                <w:p w14:paraId="5C496FF9">
                                  <w:pPr>
                                    <w:pStyle w:val="24"/>
                                    <w:rPr>
                                      <w:sz w:val="18"/>
                                      <w:szCs w:val="18"/>
                                    </w:rPr>
                                  </w:pPr>
                                  <w:r>
                                    <w:rPr>
                                      <w:rFonts w:hint="eastAsia"/>
                                      <w:szCs w:val="21"/>
                                    </w:rPr>
                                    <w:t>本项目位置</w:t>
                                  </w:r>
                                  <w:r>
                                    <w:rPr>
                                      <w:rFonts w:hint="eastAsia"/>
                                      <w:sz w:val="18"/>
                                      <w:szCs w:val="18"/>
                                    </w:rPr>
                                    <w:t xml:space="preserve">  </w:t>
                                  </w:r>
                                </w:p>
                                <w:p w14:paraId="66E1A875">
                                  <w:pPr>
                                    <w:ind w:firstLine="420" w:firstLineChars="200"/>
                                    <w:rPr>
                                      <w:rFonts w:hint="eastAsia" w:ascii="宋体" w:hAnsi="宋体" w:cs="宋体"/>
                                      <w:lang w:eastAsia="zh-CN"/>
                                    </w:rPr>
                                  </w:pPr>
                                  <w:r>
                                    <w:rPr>
                                      <w:rFonts w:hint="eastAsia" w:ascii="宋体" w:hAnsi="宋体" w:cs="宋体"/>
                                      <w:lang w:val="en-US" w:eastAsia="zh-CN"/>
                                    </w:rPr>
                                    <w:t>运输起</w:t>
                                  </w:r>
                                  <w:r>
                                    <w:rPr>
                                      <w:rFonts w:hint="eastAsia" w:ascii="宋体" w:hAnsi="宋体" w:cs="宋体"/>
                                      <w:lang w:eastAsia="zh-CN"/>
                                    </w:rPr>
                                    <w:t>点</w:t>
                                  </w:r>
                                </w:p>
                                <w:p w14:paraId="06A201AE">
                                  <w:pPr>
                                    <w:ind w:firstLine="420" w:firstLineChars="200"/>
                                    <w:rPr>
                                      <w:rFonts w:hint="default" w:ascii="宋体" w:hAnsi="宋体" w:eastAsia="宋体" w:cs="宋体"/>
                                      <w:lang w:val="en-US" w:eastAsia="zh-CN"/>
                                    </w:rPr>
                                  </w:pPr>
                                  <w:r>
                                    <w:rPr>
                                      <w:rFonts w:hint="eastAsia" w:ascii="宋体" w:hAnsi="宋体" w:cs="宋体"/>
                                      <w:lang w:val="en-US" w:eastAsia="zh-CN"/>
                                    </w:rPr>
                                    <w:t xml:space="preserve">运输路线 </w:t>
                                  </w:r>
                                </w:p>
                              </w:txbxContent>
                            </wps:txbx>
                            <wps:bodyPr upright="1"/>
                          </wps:wsp>
                        </a:graphicData>
                      </a:graphic>
                    </wp:anchor>
                  </w:drawing>
                </mc:Choice>
                <mc:Fallback>
                  <w:pict>
                    <v:rect id="文本框 71" o:spid="_x0000_s1026" o:spt="1" style="position:absolute;left:0pt;margin-left:0.95pt;margin-top:210.2pt;height:69.05pt;width:92.25pt;z-index:251688960;mso-width-relative:page;mso-height-relative:page;" fillcolor="#FFFFFF" filled="t" stroked="t" coordsize="21600,21600" o:gfxdata="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Drd1TXAAAACQEAAA8AAAAAAAAAAQAgAAAAIgAAAGRy&#10;cy9kb3ducmV2LnhtbFBLAQIUABQAAAAIAIdO4kACAKjCBgIAAC8EAAAOAAAAAAAAAAEAIAAAACYB&#10;AABkcnMvZTJvRG9jLnhtbFBLBQYAAAAABgAGAFkBAACeBQAAAAA=&#10;">
                      <v:fill on="t" focussize="0,0"/>
                      <v:stroke color="#000000" joinstyle="miter"/>
                      <v:imagedata o:title=""/>
                      <o:lock v:ext="edit" aspectratio="f"/>
                      <v:textbox>
                        <w:txbxContent>
                          <w:p w14:paraId="4D49929D">
                            <w:pPr>
                              <w:ind w:firstLine="422" w:firstLineChars="200"/>
                              <w:rPr>
                                <w:b/>
                                <w:bCs/>
                                <w:sz w:val="18"/>
                                <w:szCs w:val="18"/>
                              </w:rPr>
                            </w:pPr>
                            <w:r>
                              <w:rPr>
                                <w:rFonts w:hint="eastAsia"/>
                                <w:b/>
                                <w:bCs/>
                                <w:szCs w:val="21"/>
                              </w:rPr>
                              <w:t>图 例</w:t>
                            </w:r>
                          </w:p>
                          <w:p w14:paraId="5C496FF9">
                            <w:pPr>
                              <w:pStyle w:val="24"/>
                              <w:rPr>
                                <w:sz w:val="18"/>
                                <w:szCs w:val="18"/>
                              </w:rPr>
                            </w:pPr>
                            <w:r>
                              <w:rPr>
                                <w:rFonts w:hint="eastAsia"/>
                                <w:szCs w:val="21"/>
                              </w:rPr>
                              <w:t>本项目位置</w:t>
                            </w:r>
                            <w:r>
                              <w:rPr>
                                <w:rFonts w:hint="eastAsia"/>
                                <w:sz w:val="18"/>
                                <w:szCs w:val="18"/>
                              </w:rPr>
                              <w:t xml:space="preserve">  </w:t>
                            </w:r>
                          </w:p>
                          <w:p w14:paraId="66E1A875">
                            <w:pPr>
                              <w:ind w:firstLine="420" w:firstLineChars="200"/>
                              <w:rPr>
                                <w:rFonts w:hint="eastAsia" w:ascii="宋体" w:hAnsi="宋体" w:cs="宋体"/>
                                <w:lang w:eastAsia="zh-CN"/>
                              </w:rPr>
                            </w:pPr>
                            <w:r>
                              <w:rPr>
                                <w:rFonts w:hint="eastAsia" w:ascii="宋体" w:hAnsi="宋体" w:cs="宋体"/>
                                <w:lang w:val="en-US" w:eastAsia="zh-CN"/>
                              </w:rPr>
                              <w:t>运输起</w:t>
                            </w:r>
                            <w:r>
                              <w:rPr>
                                <w:rFonts w:hint="eastAsia" w:ascii="宋体" w:hAnsi="宋体" w:cs="宋体"/>
                                <w:lang w:eastAsia="zh-CN"/>
                              </w:rPr>
                              <w:t>点</w:t>
                            </w:r>
                          </w:p>
                          <w:p w14:paraId="06A201AE">
                            <w:pPr>
                              <w:ind w:firstLine="420" w:firstLineChars="200"/>
                              <w:rPr>
                                <w:rFonts w:hint="default" w:ascii="宋体" w:hAnsi="宋体" w:eastAsia="宋体" w:cs="宋体"/>
                                <w:lang w:val="en-US" w:eastAsia="zh-CN"/>
                              </w:rPr>
                            </w:pPr>
                            <w:r>
                              <w:rPr>
                                <w:rFonts w:hint="eastAsia" w:ascii="宋体" w:hAnsi="宋体" w:cs="宋体"/>
                                <w:lang w:val="en-US" w:eastAsia="zh-CN"/>
                              </w:rPr>
                              <w:t xml:space="preserve">运输路线 </w:t>
                            </w:r>
                          </w:p>
                        </w:txbxContent>
                      </v:textbox>
                    </v:rect>
                  </w:pict>
                </mc:Fallback>
              </mc:AlternateContent>
            </w:r>
            <w:r>
              <w:rPr>
                <w:rFonts w:ascii="Times New Roman" w:hAnsi="Times New Roman" w:eastAsia="宋体"/>
                <w:color w:val="auto"/>
                <w:kern w:val="0"/>
                <w:sz w:val="24"/>
                <w:highlight w:val="none"/>
              </w:rPr>
              <w:drawing>
                <wp:anchor distT="0" distB="0" distL="114300" distR="114300" simplePos="0" relativeHeight="251686912" behindDoc="0" locked="0" layoutInCell="1" allowOverlap="1">
                  <wp:simplePos x="0" y="0"/>
                  <wp:positionH relativeFrom="column">
                    <wp:posOffset>4526915</wp:posOffset>
                  </wp:positionH>
                  <wp:positionV relativeFrom="paragraph">
                    <wp:posOffset>5080</wp:posOffset>
                  </wp:positionV>
                  <wp:extent cx="490855" cy="517525"/>
                  <wp:effectExtent l="0" t="0" r="4445" b="15875"/>
                  <wp:wrapNone/>
                  <wp:docPr id="10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 descr="IMG_256"/>
                          <pic:cNvPicPr>
                            <a:picLocks noChangeAspect="1"/>
                          </pic:cNvPicPr>
                        </pic:nvPicPr>
                        <pic:blipFill>
                          <a:blip r:embed="rId26"/>
                          <a:srcRect l="4952" t="1324" r="53288" b="11133"/>
                          <a:stretch>
                            <a:fillRect/>
                          </a:stretch>
                        </pic:blipFill>
                        <pic:spPr>
                          <a:xfrm>
                            <a:off x="0" y="0"/>
                            <a:ext cx="490855" cy="517525"/>
                          </a:xfrm>
                          <a:prstGeom prst="rect">
                            <a:avLst/>
                          </a:prstGeom>
                          <a:noFill/>
                          <a:ln>
                            <a:noFill/>
                          </a:ln>
                        </pic:spPr>
                      </pic:pic>
                    </a:graphicData>
                  </a:graphic>
                </wp:anchor>
              </w:drawing>
            </w:r>
          </w:p>
          <w:p w14:paraId="2350BC90">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default" w:ascii="Times New Roman" w:hAnsi="Times New Roman" w:eastAsia="宋体" w:cs="Times New Roman"/>
                <w:b/>
                <w:color w:val="auto"/>
                <w:kern w:val="21"/>
                <w:sz w:val="21"/>
                <w:szCs w:val="21"/>
                <w:highlight w:val="none"/>
                <w:u w:val="none"/>
              </w:rPr>
            </w:pPr>
            <w:r>
              <w:rPr>
                <w:rFonts w:hint="eastAsia" w:ascii="Times New Roman" w:hAnsi="Times New Roman" w:eastAsia="宋体" w:cs="Times New Roman"/>
                <w:b/>
                <w:color w:val="auto"/>
                <w:kern w:val="21"/>
                <w:sz w:val="21"/>
                <w:szCs w:val="21"/>
                <w:highlight w:val="none"/>
                <w:u w:val="none"/>
                <w:lang w:val="en-US" w:eastAsia="zh-CN"/>
              </w:rPr>
              <w:t>图4-1鸡西矿业（集团）有限责任公司二道河子煤矿九采区四井运输线路图</w:t>
            </w:r>
          </w:p>
          <w:p w14:paraId="11715200">
            <w:pPr>
              <w:pStyle w:val="18"/>
              <w:numPr>
                <w:ilvl w:val="0"/>
                <w:numId w:val="0"/>
              </w:numPr>
              <w:spacing w:line="360" w:lineRule="auto"/>
              <w:rPr>
                <w:rFonts w:hint="default" w:ascii="Times New Roman" w:hAnsi="Times New Roman" w:eastAsia="宋体" w:cs="Times New Roman"/>
                <w:b w:val="0"/>
                <w:bCs/>
                <w:color w:val="auto"/>
                <w:sz w:val="24"/>
                <w:szCs w:val="24"/>
                <w:highlight w:val="none"/>
                <w:lang w:val="en-US" w:eastAsia="zh-CN"/>
              </w:rPr>
            </w:pPr>
            <w:r>
              <w:rPr>
                <w:color w:val="auto"/>
                <w:sz w:val="21"/>
              </w:rPr>
              <mc:AlternateContent>
                <mc:Choice Requires="wps">
                  <w:drawing>
                    <wp:anchor distT="0" distB="0" distL="114300" distR="114300" simplePos="0" relativeHeight="251694080" behindDoc="0" locked="0" layoutInCell="1" allowOverlap="1">
                      <wp:simplePos x="0" y="0"/>
                      <wp:positionH relativeFrom="column">
                        <wp:posOffset>130175</wp:posOffset>
                      </wp:positionH>
                      <wp:positionV relativeFrom="paragraph">
                        <wp:posOffset>3376930</wp:posOffset>
                      </wp:positionV>
                      <wp:extent cx="180975" cy="0"/>
                      <wp:effectExtent l="0" t="9525" r="9525" b="9525"/>
                      <wp:wrapNone/>
                      <wp:docPr id="114" name="直接连接符 114"/>
                      <wp:cNvGraphicFramePr/>
                      <a:graphic xmlns:a="http://schemas.openxmlformats.org/drawingml/2006/main">
                        <a:graphicData uri="http://schemas.microsoft.com/office/word/2010/wordprocessingShape">
                          <wps:wsp>
                            <wps:cNvCnPr/>
                            <wps:spPr>
                              <a:xfrm>
                                <a:off x="1624330" y="4297680"/>
                                <a:ext cx="180975" cy="0"/>
                              </a:xfrm>
                              <a:prstGeom prst="line">
                                <a:avLst/>
                              </a:prstGeom>
                              <a:ln w="19050">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25pt;margin-top:265.9pt;height:0pt;width:14.25pt;z-index:251694080;mso-width-relative:page;mso-height-relative:page;" filled="f" stroked="t" coordsize="21600,21600" o:gfxdata="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qNgeXX&#10;AAAACQEAAA8AAAAAAAAAAQAgAAAAIgAAAGRycy9kb3ducmV2LnhtbFBLAQIUABQAAAAIAIdO4kDX&#10;Cq/E6AEAAKoDAAAOAAAAAAAAAAEAIAAAACYBAABkcnMvZTJvRG9jLnhtbFBLBQYAAAAABgAGAFkB&#10;AACABQAAAAA=&#10;">
                      <v:fill on="f" focussize="0,0"/>
                      <v:stroke weight="1.5pt" color="#92D050 [3204]" joinstyle="round"/>
                      <v:imagedata o:title=""/>
                      <o:lock v:ext="edit" aspectratio="f"/>
                    </v:line>
                  </w:pict>
                </mc:Fallback>
              </mc:AlternateContent>
            </w:r>
            <w:r>
              <w:rPr>
                <w:color w:val="auto"/>
                <w:sz w:val="21"/>
              </w:rPr>
              <mc:AlternateContent>
                <mc:Choice Requires="wps">
                  <w:drawing>
                    <wp:anchor distT="0" distB="0" distL="114300" distR="114300" simplePos="0" relativeHeight="251693056" behindDoc="0" locked="0" layoutInCell="1" allowOverlap="1">
                      <wp:simplePos x="0" y="0"/>
                      <wp:positionH relativeFrom="column">
                        <wp:posOffset>140970</wp:posOffset>
                      </wp:positionH>
                      <wp:positionV relativeFrom="paragraph">
                        <wp:posOffset>2952750</wp:posOffset>
                      </wp:positionV>
                      <wp:extent cx="160655" cy="83185"/>
                      <wp:effectExtent l="9525" t="9525" r="20320" b="21590"/>
                      <wp:wrapNone/>
                      <wp:docPr id="112" name="矩形 112"/>
                      <wp:cNvGraphicFramePr/>
                      <a:graphic xmlns:a="http://schemas.openxmlformats.org/drawingml/2006/main">
                        <a:graphicData uri="http://schemas.microsoft.com/office/word/2010/wordprocessingShape">
                          <wps:wsp>
                            <wps:cNvSpPr/>
                            <wps:spPr>
                              <a:xfrm>
                                <a:off x="1635125" y="3853180"/>
                                <a:ext cx="160655" cy="83185"/>
                              </a:xfrm>
                              <a:prstGeom prst="rect">
                                <a:avLst/>
                              </a:prstGeom>
                              <a:noFill/>
                              <a:ln w="1905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pt;margin-top:232.5pt;height:6.55pt;width:12.65pt;z-index:251693056;v-text-anchor:middle;mso-width-relative:page;mso-height-relative:page;" filled="f" stroked="t" coordsize="21600,21600" o:gfxdata="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UpNo7YAAAACQEAAA8AAAAAAAAAAQAgAAAAIgAAAGRycy9kb3ducmV2LnhtbFBL&#10;AQIUABQAAAAIAIdO4kCL6Nj/aAIAAMIEAAAOAAAAAAAAAAEAIAAAACcBAABkcnMvZTJvRG9jLnht&#10;bFBLBQYAAAAABgAGAFkBAAABBgAAAAA=&#10;">
                      <v:fill on="f" focussize="0,0"/>
                      <v:stroke weight="1.5pt" color="#FF0000 [2404]" joinstyle="round"/>
                      <v:imagedata o:title=""/>
                      <o:lock v:ext="edit" aspectratio="f"/>
                    </v:rect>
                  </w:pict>
                </mc:Fallback>
              </mc:AlternateContent>
            </w:r>
            <w:r>
              <w:rPr>
                <w:rFonts w:hint="default" w:ascii="Times New Roman" w:hAnsi="Times New Roman" w:cs="Times New Roman" w:eastAsiaTheme="minorEastAsia"/>
                <w:color w:val="auto"/>
                <w:highlight w:val="none"/>
                <w:lang w:eastAsia="zh-CN"/>
              </w:rPr>
              <w:drawing>
                <wp:anchor distT="0" distB="0" distL="114300" distR="114300" simplePos="0" relativeHeight="251692032" behindDoc="0" locked="0" layoutInCell="1" allowOverlap="1">
                  <wp:simplePos x="0" y="0"/>
                  <wp:positionH relativeFrom="column">
                    <wp:posOffset>173355</wp:posOffset>
                  </wp:positionH>
                  <wp:positionV relativeFrom="paragraph">
                    <wp:posOffset>3112135</wp:posOffset>
                  </wp:positionV>
                  <wp:extent cx="100965" cy="151765"/>
                  <wp:effectExtent l="0" t="0" r="13335" b="635"/>
                  <wp:wrapNone/>
                  <wp:docPr id="111" name="图片 6" descr="a6b58903766673bbc56dd3101ceb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6" descr="a6b58903766673bbc56dd3101ceb48b"/>
                          <pic:cNvPicPr>
                            <a:picLocks noChangeAspect="1"/>
                          </pic:cNvPicPr>
                        </pic:nvPicPr>
                        <pic:blipFill>
                          <a:blip r:embed="rId25">
                            <a:clrChange>
                              <a:clrFrom>
                                <a:srgbClr val="F6F6F6"/>
                              </a:clrFrom>
                              <a:clrTo>
                                <a:srgbClr val="F6F6F6">
                                  <a:alpha val="0"/>
                                </a:srgbClr>
                              </a:clrTo>
                            </a:clrChange>
                          </a:blip>
                          <a:stretch>
                            <a:fillRect/>
                          </a:stretch>
                        </pic:blipFill>
                        <pic:spPr>
                          <a:xfrm>
                            <a:off x="0" y="0"/>
                            <a:ext cx="100965" cy="151765"/>
                          </a:xfrm>
                          <a:prstGeom prst="rect">
                            <a:avLst/>
                          </a:prstGeom>
                          <a:noFill/>
                          <a:ln>
                            <a:noFill/>
                          </a:ln>
                        </pic:spPr>
                      </pic:pic>
                    </a:graphicData>
                  </a:graphic>
                </wp:anchor>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89984" behindDoc="0" locked="0" layoutInCell="1" allowOverlap="1">
                      <wp:simplePos x="0" y="0"/>
                      <wp:positionH relativeFrom="column">
                        <wp:posOffset>21590</wp:posOffset>
                      </wp:positionH>
                      <wp:positionV relativeFrom="paragraph">
                        <wp:posOffset>2642870</wp:posOffset>
                      </wp:positionV>
                      <wp:extent cx="1171575" cy="876935"/>
                      <wp:effectExtent l="5080" t="5080" r="4445" b="13335"/>
                      <wp:wrapNone/>
                      <wp:docPr id="109" name="文本框 71"/>
                      <wp:cNvGraphicFramePr/>
                      <a:graphic xmlns:a="http://schemas.openxmlformats.org/drawingml/2006/main">
                        <a:graphicData uri="http://schemas.microsoft.com/office/word/2010/wordprocessingShape">
                          <wps:wsp>
                            <wps:cNvSpPr/>
                            <wps:spPr>
                              <a:xfrm>
                                <a:off x="0" y="0"/>
                                <a:ext cx="1171575" cy="8769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05344D">
                                  <w:pPr>
                                    <w:ind w:firstLine="422" w:firstLineChars="200"/>
                                    <w:rPr>
                                      <w:b/>
                                      <w:bCs/>
                                      <w:sz w:val="18"/>
                                      <w:szCs w:val="18"/>
                                    </w:rPr>
                                  </w:pPr>
                                  <w:r>
                                    <w:rPr>
                                      <w:rFonts w:hint="eastAsia"/>
                                      <w:b/>
                                      <w:bCs/>
                                      <w:szCs w:val="21"/>
                                    </w:rPr>
                                    <w:t>图 例</w:t>
                                  </w:r>
                                </w:p>
                                <w:p w14:paraId="42DA1B99">
                                  <w:pPr>
                                    <w:pStyle w:val="24"/>
                                    <w:rPr>
                                      <w:sz w:val="18"/>
                                      <w:szCs w:val="18"/>
                                    </w:rPr>
                                  </w:pPr>
                                  <w:r>
                                    <w:rPr>
                                      <w:rFonts w:hint="eastAsia"/>
                                      <w:szCs w:val="21"/>
                                    </w:rPr>
                                    <w:t>本项目位置</w:t>
                                  </w:r>
                                  <w:r>
                                    <w:rPr>
                                      <w:rFonts w:hint="eastAsia"/>
                                      <w:sz w:val="18"/>
                                      <w:szCs w:val="18"/>
                                    </w:rPr>
                                    <w:t xml:space="preserve">  </w:t>
                                  </w:r>
                                </w:p>
                                <w:p w14:paraId="6399301F">
                                  <w:pPr>
                                    <w:ind w:firstLine="420" w:firstLineChars="200"/>
                                    <w:rPr>
                                      <w:rFonts w:hint="eastAsia" w:ascii="宋体" w:hAnsi="宋体" w:cs="宋体"/>
                                      <w:lang w:eastAsia="zh-CN"/>
                                    </w:rPr>
                                  </w:pPr>
                                  <w:r>
                                    <w:rPr>
                                      <w:rFonts w:hint="eastAsia" w:ascii="宋体" w:hAnsi="宋体" w:cs="宋体"/>
                                      <w:lang w:val="en-US" w:eastAsia="zh-CN"/>
                                    </w:rPr>
                                    <w:t>运输起</w:t>
                                  </w:r>
                                  <w:r>
                                    <w:rPr>
                                      <w:rFonts w:hint="eastAsia" w:ascii="宋体" w:hAnsi="宋体" w:cs="宋体"/>
                                      <w:lang w:eastAsia="zh-CN"/>
                                    </w:rPr>
                                    <w:t>点</w:t>
                                  </w:r>
                                </w:p>
                                <w:p w14:paraId="1F0F52C4">
                                  <w:pPr>
                                    <w:ind w:firstLine="420" w:firstLineChars="200"/>
                                    <w:rPr>
                                      <w:rFonts w:hint="default" w:ascii="宋体" w:hAnsi="宋体" w:eastAsia="宋体" w:cs="宋体"/>
                                      <w:lang w:val="en-US" w:eastAsia="zh-CN"/>
                                    </w:rPr>
                                  </w:pPr>
                                  <w:r>
                                    <w:rPr>
                                      <w:rFonts w:hint="eastAsia" w:ascii="宋体" w:hAnsi="宋体" w:cs="宋体"/>
                                      <w:lang w:val="en-US" w:eastAsia="zh-CN"/>
                                    </w:rPr>
                                    <w:t xml:space="preserve">运输路线 </w:t>
                                  </w:r>
                                </w:p>
                              </w:txbxContent>
                            </wps:txbx>
                            <wps:bodyPr upright="1"/>
                          </wps:wsp>
                        </a:graphicData>
                      </a:graphic>
                    </wp:anchor>
                  </w:drawing>
                </mc:Choice>
                <mc:Fallback>
                  <w:pict>
                    <v:rect id="文本框 71" o:spid="_x0000_s1026" o:spt="1" style="position:absolute;left:0pt;margin-left:1.7pt;margin-top:208.1pt;height:69.05pt;width:92.25pt;z-index:251689984;mso-width-relative:page;mso-height-relative:page;" fillcolor="#FFFFFF" filled="t" stroked="t" coordsize="21600,21600" o:gfxdata="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1rIcTtgAAAAJAQAADwAAAAAAAAABACAAAAAiAAAA&#10;ZHJzL2Rvd25yZXYueG1sUEsBAhQAFAAAAAgAh07iQFN0zvAHAgAALwQAAA4AAAAAAAAAAQAgAAAA&#10;JwEAAGRycy9lMm9Eb2MueG1sUEsFBgAAAAAGAAYAWQEAAKAFAAAAAA==&#10;">
                      <v:fill on="t" focussize="0,0"/>
                      <v:stroke color="#000000" joinstyle="miter"/>
                      <v:imagedata o:title=""/>
                      <o:lock v:ext="edit" aspectratio="f"/>
                      <v:textbox>
                        <w:txbxContent>
                          <w:p w14:paraId="4D05344D">
                            <w:pPr>
                              <w:ind w:firstLine="422" w:firstLineChars="200"/>
                              <w:rPr>
                                <w:b/>
                                <w:bCs/>
                                <w:sz w:val="18"/>
                                <w:szCs w:val="18"/>
                              </w:rPr>
                            </w:pPr>
                            <w:r>
                              <w:rPr>
                                <w:rFonts w:hint="eastAsia"/>
                                <w:b/>
                                <w:bCs/>
                                <w:szCs w:val="21"/>
                              </w:rPr>
                              <w:t>图 例</w:t>
                            </w:r>
                          </w:p>
                          <w:p w14:paraId="42DA1B99">
                            <w:pPr>
                              <w:pStyle w:val="24"/>
                              <w:rPr>
                                <w:sz w:val="18"/>
                                <w:szCs w:val="18"/>
                              </w:rPr>
                            </w:pPr>
                            <w:r>
                              <w:rPr>
                                <w:rFonts w:hint="eastAsia"/>
                                <w:szCs w:val="21"/>
                              </w:rPr>
                              <w:t>本项目位置</w:t>
                            </w:r>
                            <w:r>
                              <w:rPr>
                                <w:rFonts w:hint="eastAsia"/>
                                <w:sz w:val="18"/>
                                <w:szCs w:val="18"/>
                              </w:rPr>
                              <w:t xml:space="preserve">  </w:t>
                            </w:r>
                          </w:p>
                          <w:p w14:paraId="6399301F">
                            <w:pPr>
                              <w:ind w:firstLine="420" w:firstLineChars="200"/>
                              <w:rPr>
                                <w:rFonts w:hint="eastAsia" w:ascii="宋体" w:hAnsi="宋体" w:cs="宋体"/>
                                <w:lang w:eastAsia="zh-CN"/>
                              </w:rPr>
                            </w:pPr>
                            <w:r>
                              <w:rPr>
                                <w:rFonts w:hint="eastAsia" w:ascii="宋体" w:hAnsi="宋体" w:cs="宋体"/>
                                <w:lang w:val="en-US" w:eastAsia="zh-CN"/>
                              </w:rPr>
                              <w:t>运输起</w:t>
                            </w:r>
                            <w:r>
                              <w:rPr>
                                <w:rFonts w:hint="eastAsia" w:ascii="宋体" w:hAnsi="宋体" w:cs="宋体"/>
                                <w:lang w:eastAsia="zh-CN"/>
                              </w:rPr>
                              <w:t>点</w:t>
                            </w:r>
                          </w:p>
                          <w:p w14:paraId="1F0F52C4">
                            <w:pPr>
                              <w:ind w:firstLine="420" w:firstLineChars="200"/>
                              <w:rPr>
                                <w:rFonts w:hint="default" w:ascii="宋体" w:hAnsi="宋体" w:eastAsia="宋体" w:cs="宋体"/>
                                <w:lang w:val="en-US" w:eastAsia="zh-CN"/>
                              </w:rPr>
                            </w:pPr>
                            <w:r>
                              <w:rPr>
                                <w:rFonts w:hint="eastAsia" w:ascii="宋体" w:hAnsi="宋体" w:cs="宋体"/>
                                <w:lang w:val="en-US" w:eastAsia="zh-CN"/>
                              </w:rPr>
                              <w:t xml:space="preserve">运输路线 </w:t>
                            </w:r>
                          </w:p>
                        </w:txbxContent>
                      </v:textbox>
                    </v:rect>
                  </w:pict>
                </mc:Fallback>
              </mc:AlternateContent>
            </w:r>
            <w:r>
              <w:rPr>
                <w:color w:val="auto"/>
              </w:rPr>
              <w:drawing>
                <wp:inline distT="0" distB="0" distL="114300" distR="114300">
                  <wp:extent cx="5040630" cy="3554730"/>
                  <wp:effectExtent l="0" t="0" r="7620" b="7620"/>
                  <wp:docPr id="10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4"/>
                          <pic:cNvPicPr>
                            <a:picLocks noChangeAspect="1"/>
                          </pic:cNvPicPr>
                        </pic:nvPicPr>
                        <pic:blipFill>
                          <a:blip r:embed="rId27"/>
                          <a:stretch>
                            <a:fillRect/>
                          </a:stretch>
                        </pic:blipFill>
                        <pic:spPr>
                          <a:xfrm>
                            <a:off x="0" y="0"/>
                            <a:ext cx="5040630" cy="3554730"/>
                          </a:xfrm>
                          <a:prstGeom prst="rect">
                            <a:avLst/>
                          </a:prstGeom>
                          <a:noFill/>
                          <a:ln>
                            <a:noFill/>
                          </a:ln>
                        </pic:spPr>
                      </pic:pic>
                    </a:graphicData>
                  </a:graphic>
                </wp:inline>
              </w:drawing>
            </w:r>
            <w:r>
              <w:rPr>
                <w:rFonts w:ascii="Times New Roman" w:hAnsi="Times New Roman" w:eastAsia="宋体"/>
                <w:color w:val="auto"/>
                <w:kern w:val="0"/>
                <w:sz w:val="24"/>
                <w:highlight w:val="none"/>
              </w:rPr>
              <w:drawing>
                <wp:anchor distT="0" distB="0" distL="114300" distR="114300" simplePos="0" relativeHeight="251687936" behindDoc="0" locked="0" layoutInCell="1" allowOverlap="1">
                  <wp:simplePos x="0" y="0"/>
                  <wp:positionH relativeFrom="column">
                    <wp:posOffset>4517390</wp:posOffset>
                  </wp:positionH>
                  <wp:positionV relativeFrom="paragraph">
                    <wp:posOffset>3175</wp:posOffset>
                  </wp:positionV>
                  <wp:extent cx="490855" cy="517525"/>
                  <wp:effectExtent l="0" t="0" r="4445" b="15875"/>
                  <wp:wrapNone/>
                  <wp:docPr id="10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 descr="IMG_256"/>
                          <pic:cNvPicPr>
                            <a:picLocks noChangeAspect="1"/>
                          </pic:cNvPicPr>
                        </pic:nvPicPr>
                        <pic:blipFill>
                          <a:blip r:embed="rId26"/>
                          <a:srcRect l="4952" t="1324" r="53288" b="11133"/>
                          <a:stretch>
                            <a:fillRect/>
                          </a:stretch>
                        </pic:blipFill>
                        <pic:spPr>
                          <a:xfrm>
                            <a:off x="0" y="0"/>
                            <a:ext cx="490855" cy="517525"/>
                          </a:xfrm>
                          <a:prstGeom prst="rect">
                            <a:avLst/>
                          </a:prstGeom>
                          <a:noFill/>
                          <a:ln>
                            <a:noFill/>
                          </a:ln>
                        </pic:spPr>
                      </pic:pic>
                    </a:graphicData>
                  </a:graphic>
                </wp:anchor>
              </w:drawing>
            </w:r>
          </w:p>
          <w:p w14:paraId="0636BE25">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default" w:ascii="Times New Roman" w:hAnsi="Times New Roman" w:eastAsia="宋体" w:cs="Times New Roman"/>
                <w:b/>
                <w:color w:val="auto"/>
                <w:kern w:val="21"/>
                <w:sz w:val="21"/>
                <w:szCs w:val="21"/>
                <w:highlight w:val="none"/>
                <w:u w:val="none"/>
              </w:rPr>
            </w:pPr>
            <w:r>
              <w:rPr>
                <w:rFonts w:hint="eastAsia" w:ascii="Times New Roman" w:hAnsi="Times New Roman" w:eastAsia="宋体" w:cs="Times New Roman"/>
                <w:b/>
                <w:color w:val="auto"/>
                <w:kern w:val="21"/>
                <w:sz w:val="21"/>
                <w:szCs w:val="21"/>
                <w:highlight w:val="none"/>
                <w:u w:val="none"/>
                <w:lang w:val="en-US" w:eastAsia="zh-CN"/>
              </w:rPr>
              <w:t>图4-2鸡西矿业（集团）有限责任公司二道河子煤矿九采区五井运输线路图</w:t>
            </w:r>
          </w:p>
          <w:p w14:paraId="1E006D76">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62269AA6">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762CB87B">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355DF428">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66482271">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49DA50C0">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3226218B">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4E769C8B">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35DA474C">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2AC5475E">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1B3B4ECC">
            <w:pPr>
              <w:pStyle w:val="18"/>
              <w:numPr>
                <w:ilvl w:val="0"/>
                <w:numId w:val="0"/>
              </w:numPr>
              <w:spacing w:line="360" w:lineRule="auto"/>
              <w:rPr>
                <w:rFonts w:hint="default" w:ascii="Times New Roman" w:hAnsi="Times New Roman" w:eastAsia="宋体" w:cs="Times New Roman"/>
                <w:b w:val="0"/>
                <w:bCs/>
                <w:color w:val="auto"/>
                <w:sz w:val="24"/>
                <w:szCs w:val="24"/>
                <w:highlight w:val="none"/>
                <w:lang w:val="en-US" w:eastAsia="zh-CN"/>
              </w:rPr>
            </w:pPr>
          </w:p>
          <w:p w14:paraId="2145F9D7">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47708164">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41CB976E">
            <w:pPr>
              <w:pStyle w:val="18"/>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p>
          <w:p w14:paraId="3304742D">
            <w:pPr>
              <w:pStyle w:val="18"/>
              <w:numPr>
                <w:ilvl w:val="0"/>
                <w:numId w:val="0"/>
              </w:numPr>
              <w:spacing w:line="360" w:lineRule="auto"/>
              <w:rPr>
                <w:rFonts w:hint="default" w:ascii="Times New Roman" w:hAnsi="Times New Roman" w:eastAsia="宋体" w:cs="Times New Roman"/>
                <w:b w:val="0"/>
                <w:bCs/>
                <w:color w:val="auto"/>
                <w:sz w:val="24"/>
                <w:szCs w:val="24"/>
                <w:highlight w:val="none"/>
                <w:lang w:val="en-US" w:eastAsia="zh-CN"/>
              </w:rPr>
            </w:pPr>
          </w:p>
          <w:p w14:paraId="145FE731">
            <w:pPr>
              <w:pStyle w:val="18"/>
              <w:numPr>
                <w:ilvl w:val="0"/>
                <w:numId w:val="0"/>
              </w:numPr>
              <w:spacing w:line="360" w:lineRule="auto"/>
              <w:ind w:firstLine="480" w:firstLineChars="200"/>
              <w:rPr>
                <w:rFonts w:hint="eastAsia" w:ascii="Times New Roman" w:hAnsi="Times New Roman" w:eastAsia="宋体" w:cs="Times New Roman"/>
                <w:b w:val="0"/>
                <w:bCs/>
                <w:color w:val="auto"/>
                <w:sz w:val="24"/>
                <w:szCs w:val="24"/>
                <w:highlight w:val="none"/>
                <w:lang w:val="en-US" w:eastAsia="zh-CN"/>
              </w:rPr>
            </w:pPr>
          </w:p>
        </w:tc>
      </w:tr>
    </w:tbl>
    <w:p w14:paraId="57B33EAC">
      <w:pPr>
        <w:pStyle w:val="27"/>
        <w:jc w:val="center"/>
        <w:outlineLvl w:val="0"/>
        <w:rPr>
          <w:rFonts w:hint="default" w:ascii="Times New Roman" w:hAnsi="Times New Roman" w:eastAsia="黑体" w:cs="Times New Roman"/>
          <w:snapToGrid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C8E587E">
      <w:pPr>
        <w:pStyle w:val="27"/>
        <w:numPr>
          <w:ilvl w:val="0"/>
          <w:numId w:val="4"/>
        </w:numPr>
        <w:jc w:val="center"/>
        <w:outlineLvl w:val="0"/>
        <w:rPr>
          <w:rFonts w:hint="default" w:ascii="Times New Roman" w:hAnsi="Times New Roman" w:eastAsia="黑体" w:cs="Times New Roman"/>
          <w:snapToGrid w:val="0"/>
          <w:color w:val="auto"/>
          <w:sz w:val="30"/>
          <w:szCs w:val="30"/>
          <w:highlight w:val="none"/>
        </w:rPr>
      </w:pPr>
      <w:bookmarkStart w:id="15" w:name="_Toc9974"/>
      <w:bookmarkStart w:id="16" w:name="_Hlk54167917"/>
      <w:bookmarkStart w:id="17" w:name="_Toc9580101"/>
      <w:bookmarkStart w:id="18" w:name="_Toc9580102"/>
      <w:r>
        <w:rPr>
          <w:rFonts w:hint="default" w:ascii="Times New Roman" w:hAnsi="Times New Roman" w:eastAsia="黑体" w:cs="Times New Roman"/>
          <w:snapToGrid w:val="0"/>
          <w:color w:val="auto"/>
          <w:sz w:val="30"/>
          <w:szCs w:val="30"/>
          <w:highlight w:val="none"/>
        </w:rPr>
        <w:t>环境保护措施监督检查清单</w:t>
      </w:r>
      <w:bookmarkEnd w:id="15"/>
      <w:bookmarkEnd w:id="16"/>
    </w:p>
    <w:tbl>
      <w:tblPr>
        <w:tblStyle w:val="3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333"/>
        <w:gridCol w:w="797"/>
        <w:gridCol w:w="2698"/>
        <w:gridCol w:w="3261"/>
      </w:tblGrid>
      <w:tr w14:paraId="24AC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Align w:val="top"/>
          </w:tcPr>
          <w:p w14:paraId="338FB2AA">
            <w:pPr>
              <w:keepNext w:val="0"/>
              <w:keepLines w:val="0"/>
              <w:pageBreakBefore w:val="0"/>
              <w:kinsoku/>
              <w:wordWrap/>
              <w:overflowPunct/>
              <w:topLinePunct w:val="0"/>
              <w:autoSpaceDE/>
              <w:autoSpaceDN/>
              <w:bidi w:val="0"/>
              <w:spacing w:line="312" w:lineRule="auto"/>
              <w:ind w:firstLine="240" w:firstLineChars="100"/>
              <w:jc w:val="left"/>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kern w:val="2"/>
                <w:sz w:val="24"/>
                <w:szCs w:val="24"/>
                <w:highlight w:val="none"/>
                <w:lang w:val="en-US" w:eastAsia="zh-CN" w:bidi="ar-SA"/>
              </w:rPr>
              <mc:AlternateContent>
                <mc:Choice Requires="wpg">
                  <w:drawing>
                    <wp:anchor distT="0" distB="0" distL="114300" distR="114300" simplePos="0" relativeHeight="251662336" behindDoc="0" locked="0" layoutInCell="1" allowOverlap="1">
                      <wp:simplePos x="0" y="0"/>
                      <wp:positionH relativeFrom="column">
                        <wp:posOffset>-57150</wp:posOffset>
                      </wp:positionH>
                      <wp:positionV relativeFrom="paragraph">
                        <wp:posOffset>0</wp:posOffset>
                      </wp:positionV>
                      <wp:extent cx="807720" cy="796290"/>
                      <wp:effectExtent l="3175" t="3175" r="8255" b="19685"/>
                      <wp:wrapNone/>
                      <wp:docPr id="6" name="组合 14"/>
                      <wp:cNvGraphicFramePr/>
                      <a:graphic xmlns:a="http://schemas.openxmlformats.org/drawingml/2006/main">
                        <a:graphicData uri="http://schemas.microsoft.com/office/word/2010/wordprocessingGroup">
                          <wpg:wgp>
                            <wpg:cNvGrpSpPr/>
                            <wpg:grpSpPr>
                              <a:xfrm>
                                <a:off x="0" y="0"/>
                                <a:ext cx="807720" cy="796290"/>
                                <a:chOff x="0" y="0"/>
                                <a:chExt cx="1249" cy="1232"/>
                              </a:xfrm>
                            </wpg:grpSpPr>
                            <wps:wsp>
                              <wps:cNvPr id="1" name="直接连接符 1"/>
                              <wps:cNvCnPr/>
                              <wps:spPr>
                                <a:xfrm>
                                  <a:off x="0" y="0"/>
                                  <a:ext cx="1249" cy="1232"/>
                                </a:xfrm>
                                <a:prstGeom prst="line">
                                  <a:avLst/>
                                </a:prstGeom>
                                <a:ln w="6350" cap="flat" cmpd="sng">
                                  <a:solidFill>
                                    <a:srgbClr val="000000"/>
                                  </a:solidFill>
                                  <a:prstDash val="solid"/>
                                  <a:headEnd type="none" w="med" len="med"/>
                                  <a:tailEnd type="none" w="med" len="med"/>
                                </a:ln>
                              </wps:spPr>
                              <wps:bodyPr upright="0"/>
                            </wps:wsp>
                            <wps:wsp>
                              <wps:cNvPr id="2" name="文本框 2"/>
                              <wps:cNvSpPr/>
                              <wps:spPr>
                                <a:xfrm>
                                  <a:off x="520" y="81"/>
                                  <a:ext cx="410" cy="318"/>
                                </a:xfrm>
                                <a:prstGeom prst="rect">
                                  <a:avLst/>
                                </a:prstGeom>
                                <a:noFill/>
                                <a:ln>
                                  <a:noFill/>
                                </a:ln>
                              </wps:spPr>
                              <wps:txbx>
                                <w:txbxContent>
                                  <w:p w14:paraId="79AC3C08">
                                    <w:pPr>
                                      <w:snapToGrid w:val="0"/>
                                      <w:rPr>
                                        <w:color w:val="000000"/>
                                        <w:sz w:val="24"/>
                                      </w:rPr>
                                    </w:pPr>
                                    <w:r>
                                      <w:rPr>
                                        <w:rFonts w:hint="eastAsia"/>
                                        <w:color w:val="000000"/>
                                        <w:sz w:val="24"/>
                                      </w:rPr>
                                      <w:t>内</w:t>
                                    </w:r>
                                  </w:p>
                                </w:txbxContent>
                              </wps:txbx>
                              <wps:bodyPr lIns="0" tIns="0" rIns="0" bIns="0" upright="1"/>
                            </wps:wsp>
                            <wps:wsp>
                              <wps:cNvPr id="3" name="文本框 3"/>
                              <wps:cNvSpPr/>
                              <wps:spPr>
                                <a:xfrm>
                                  <a:off x="733" y="294"/>
                                  <a:ext cx="468" cy="318"/>
                                </a:xfrm>
                                <a:prstGeom prst="rect">
                                  <a:avLst/>
                                </a:prstGeom>
                                <a:noFill/>
                                <a:ln>
                                  <a:noFill/>
                                </a:ln>
                              </wps:spPr>
                              <wps:txbx>
                                <w:txbxContent>
                                  <w:p w14:paraId="54AF1BC5">
                                    <w:pPr>
                                      <w:snapToGrid w:val="0"/>
                                      <w:rPr>
                                        <w:color w:val="000000"/>
                                        <w:sz w:val="24"/>
                                      </w:rPr>
                                    </w:pPr>
                                    <w:r>
                                      <w:rPr>
                                        <w:rFonts w:hint="eastAsia"/>
                                        <w:color w:val="000000"/>
                                        <w:sz w:val="24"/>
                                      </w:rPr>
                                      <w:t>容</w:t>
                                    </w:r>
                                  </w:p>
                                </w:txbxContent>
                              </wps:txbx>
                              <wps:bodyPr lIns="0" tIns="0" rIns="0" bIns="0" upright="1"/>
                            </wps:wsp>
                            <wps:wsp>
                              <wps:cNvPr id="4" name="文本框 4"/>
                              <wps:cNvSpPr/>
                              <wps:spPr>
                                <a:xfrm>
                                  <a:off x="142" y="587"/>
                                  <a:ext cx="468" cy="302"/>
                                </a:xfrm>
                                <a:prstGeom prst="rect">
                                  <a:avLst/>
                                </a:prstGeom>
                                <a:noFill/>
                                <a:ln>
                                  <a:noFill/>
                                </a:ln>
                              </wps:spPr>
                              <wps:txbx>
                                <w:txbxContent>
                                  <w:p w14:paraId="374DC5AA">
                                    <w:pPr>
                                      <w:snapToGrid w:val="0"/>
                                      <w:rPr>
                                        <w:color w:val="000000"/>
                                        <w:sz w:val="24"/>
                                      </w:rPr>
                                    </w:pPr>
                                    <w:r>
                                      <w:rPr>
                                        <w:rFonts w:hint="eastAsia"/>
                                        <w:color w:val="000000"/>
                                        <w:sz w:val="24"/>
                                      </w:rPr>
                                      <w:t>类</w:t>
                                    </w:r>
                                  </w:p>
                                </w:txbxContent>
                              </wps:txbx>
                              <wps:bodyPr lIns="0" tIns="0" rIns="0" bIns="0" upright="1"/>
                            </wps:wsp>
                            <wps:wsp>
                              <wps:cNvPr id="5" name="文本框 5"/>
                              <wps:cNvSpPr/>
                              <wps:spPr>
                                <a:xfrm>
                                  <a:off x="431" y="871"/>
                                  <a:ext cx="555" cy="318"/>
                                </a:xfrm>
                                <a:prstGeom prst="rect">
                                  <a:avLst/>
                                </a:prstGeom>
                                <a:noFill/>
                                <a:ln>
                                  <a:noFill/>
                                </a:ln>
                              </wps:spPr>
                              <wps:txbx>
                                <w:txbxContent>
                                  <w:p w14:paraId="732D3D87">
                                    <w:pPr>
                                      <w:snapToGrid w:val="0"/>
                                      <w:rPr>
                                        <w:color w:val="000000"/>
                                        <w:sz w:val="24"/>
                                      </w:rPr>
                                    </w:pPr>
                                    <w:r>
                                      <w:rPr>
                                        <w:rFonts w:hint="eastAsia"/>
                                        <w:color w:val="000000"/>
                                        <w:sz w:val="24"/>
                                      </w:rPr>
                                      <w:t>型</w:t>
                                    </w:r>
                                  </w:p>
                                </w:txbxContent>
                              </wps:txbx>
                              <wps:bodyPr lIns="0" tIns="0" rIns="0" bIns="0" upright="1"/>
                            </wps:wsp>
                          </wpg:wgp>
                        </a:graphicData>
                      </a:graphic>
                    </wp:anchor>
                  </w:drawing>
                </mc:Choice>
                <mc:Fallback>
                  <w:pict>
                    <v:group id="组合 14" o:spid="_x0000_s1026" o:spt="203" style="position:absolute;left:0pt;margin-left:-4.5pt;margin-top:0pt;height:62.7pt;width:63.6pt;z-index:251662336;mso-width-relative:page;mso-height-relative:page;" coordsize="1249,1232" o:gfxdata="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&#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HpaCEDYAAAABwEAAA8AAAAAAAAAAQAgAAAAIgAAAGRy&#10;cy9kb3ducmV2LnhtbFBLAQIUABQAAAAIAIdO4kBoLlgNIgMAACkLAAAOAAAAAAAAAAEAIAAAACcB&#10;AABkcnMvZTJvRG9jLnhtbFBLBQYAAAAABgAGAFkBAAC7BgAAAAA=&#10;">
                      <o:lock v:ext="edit" aspectratio="f"/>
                      <v:line id="_x0000_s1026" o:spid="_x0000_s1026" o:spt="20" style="position:absolute;left:0;top:0;height:1232;width:1249;"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rect id="文本框 2" o:spid="_x0000_s1026" o:spt="1" style="position:absolute;left:520;top:81;height:318;width:410;" filled="f" stroked="f" coordsize="21600,21600" o:gfxdata="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nE5b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9AC3C08">
                              <w:pPr>
                                <w:snapToGrid w:val="0"/>
                                <w:rPr>
                                  <w:color w:val="000000"/>
                                  <w:sz w:val="24"/>
                                </w:rPr>
                              </w:pPr>
                              <w:r>
                                <w:rPr>
                                  <w:rFonts w:hint="eastAsia"/>
                                  <w:color w:val="000000"/>
                                  <w:sz w:val="24"/>
                                </w:rPr>
                                <w:t>内</w:t>
                              </w:r>
                            </w:p>
                          </w:txbxContent>
                        </v:textbox>
                      </v:rect>
                      <v:rect id="文本框 3" o:spid="_x0000_s1026" o:spt="1" style="position:absolute;left:733;top:294;height:318;width:468;" filled="f" stroked="f" coordsize="21600,21600" o:gfxdata="UEsDBAoAAAAAAIdO4kAAAAAAAAAAAAAAAAAEAAAAZHJzL1BLAwQUAAAACACHTuJAgPVhfr0AAADa&#10;AAAADwAAAGRycy9kb3ducmV2LnhtbEWPT4vCMBTE78J+h/AWvGmqC6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9WF+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4AF1BC5">
                              <w:pPr>
                                <w:snapToGrid w:val="0"/>
                                <w:rPr>
                                  <w:color w:val="000000"/>
                                  <w:sz w:val="24"/>
                                </w:rPr>
                              </w:pPr>
                              <w:r>
                                <w:rPr>
                                  <w:rFonts w:hint="eastAsia"/>
                                  <w:color w:val="000000"/>
                                  <w:sz w:val="24"/>
                                </w:rPr>
                                <w:t>容</w:t>
                              </w:r>
                            </w:p>
                          </w:txbxContent>
                        </v:textbox>
                      </v:rect>
                      <v:rect id="文本框 4" o:spid="_x0000_s1026" o:spt="1" style="position:absolute;left:142;top:587;height:302;width:468;" filled="f" stroked="f" coordsize="21600,21600" o:gfxdata="UEsDBAoAAAAAAIdO4kAAAAAAAAAAAAAAAAAEAAAAZHJzL1BLAwQUAAAACACHTuJADxz5Cr0AAADa&#10;AAAADwAAAGRycy9kb3ducmV2LnhtbEWPT4vCMBTE78J+h/AWvGmqL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HPkK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74DC5AA">
                              <w:pPr>
                                <w:snapToGrid w:val="0"/>
                                <w:rPr>
                                  <w:color w:val="000000"/>
                                  <w:sz w:val="24"/>
                                </w:rPr>
                              </w:pPr>
                              <w:r>
                                <w:rPr>
                                  <w:rFonts w:hint="eastAsia"/>
                                  <w:color w:val="000000"/>
                                  <w:sz w:val="24"/>
                                </w:rPr>
                                <w:t>类</w:t>
                              </w:r>
                            </w:p>
                          </w:txbxContent>
                        </v:textbox>
                      </v:rect>
                      <v:rect id="文本框 5" o:spid="_x0000_s1026" o:spt="1" style="position:absolute;left:431;top:871;height:318;width:555;" filled="f" stroked="f" coordsize="21600,21600" o:gfxdata="UEsDBAoAAAAAAIdO4kAAAAAAAAAAAAAAAAAEAAAAZHJzL1BLAwQUAAAACACHTuJAYFBckb0AAADa&#10;AAAADwAAAGRycy9kb3ducmV2LnhtbEWPT4vCMBTE78J+h/AWvGmqs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FyR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32D3D87">
                              <w:pPr>
                                <w:snapToGrid w:val="0"/>
                                <w:rPr>
                                  <w:color w:val="000000"/>
                                  <w:sz w:val="24"/>
                                </w:rPr>
                              </w:pPr>
                              <w:r>
                                <w:rPr>
                                  <w:rFonts w:hint="eastAsia"/>
                                  <w:color w:val="000000"/>
                                  <w:sz w:val="24"/>
                                </w:rPr>
                                <w:t>型</w:t>
                              </w:r>
                            </w:p>
                          </w:txbxContent>
                        </v:textbox>
                      </v:rect>
                    </v:group>
                  </w:pict>
                </mc:Fallback>
              </mc:AlternateContent>
            </w:r>
          </w:p>
        </w:tc>
        <w:tc>
          <w:tcPr>
            <w:tcW w:w="1333" w:type="dxa"/>
            <w:vAlign w:val="center"/>
          </w:tcPr>
          <w:p w14:paraId="6124C46A">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排放口（编号、名称）/污染源</w:t>
            </w:r>
          </w:p>
        </w:tc>
        <w:tc>
          <w:tcPr>
            <w:tcW w:w="797" w:type="dxa"/>
            <w:vAlign w:val="center"/>
          </w:tcPr>
          <w:p w14:paraId="17827C97">
            <w:pPr>
              <w:keepNext w:val="0"/>
              <w:keepLines w:val="0"/>
              <w:pageBreakBefore w:val="0"/>
              <w:kinsoku/>
              <w:wordWrap/>
              <w:overflowPunct/>
              <w:topLinePunct w:val="0"/>
              <w:autoSpaceDE/>
              <w:autoSpaceDN/>
              <w:bidi w:val="0"/>
              <w:spacing w:line="312" w:lineRule="auto"/>
              <w:ind w:left="-105" w:leftChars="-50" w:right="-105" w:rightChars="-5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污染物项目</w:t>
            </w:r>
          </w:p>
        </w:tc>
        <w:tc>
          <w:tcPr>
            <w:tcW w:w="2698" w:type="dxa"/>
            <w:vAlign w:val="center"/>
          </w:tcPr>
          <w:p w14:paraId="5FBB58A5">
            <w:pPr>
              <w:keepNext w:val="0"/>
              <w:keepLines w:val="0"/>
              <w:pageBreakBefore w:val="0"/>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环境保护措施</w:t>
            </w:r>
          </w:p>
        </w:tc>
        <w:tc>
          <w:tcPr>
            <w:tcW w:w="3261" w:type="dxa"/>
            <w:vAlign w:val="center"/>
          </w:tcPr>
          <w:p w14:paraId="5AB8D271">
            <w:pPr>
              <w:keepNext w:val="0"/>
              <w:keepLines w:val="0"/>
              <w:pageBreakBefore w:val="0"/>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执行标准</w:t>
            </w:r>
          </w:p>
        </w:tc>
      </w:tr>
      <w:tr w14:paraId="7B1E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Merge w:val="restart"/>
            <w:vAlign w:val="center"/>
          </w:tcPr>
          <w:p w14:paraId="7C980C28">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大气环境</w:t>
            </w:r>
          </w:p>
        </w:tc>
        <w:tc>
          <w:tcPr>
            <w:tcW w:w="1333" w:type="dxa"/>
            <w:vAlign w:val="center"/>
          </w:tcPr>
          <w:p w14:paraId="148A4B84">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运输扬尘</w:t>
            </w:r>
          </w:p>
        </w:tc>
        <w:tc>
          <w:tcPr>
            <w:tcW w:w="797" w:type="dxa"/>
            <w:vMerge w:val="restart"/>
            <w:vAlign w:val="center"/>
          </w:tcPr>
          <w:p w14:paraId="4FDBB1D6">
            <w:pPr>
              <w:pStyle w:val="57"/>
              <w:keepNext w:val="0"/>
              <w:keepLines w:val="0"/>
              <w:pageBreakBefore w:val="0"/>
              <w:widowControl w:val="0"/>
              <w:kinsoku/>
              <w:wordWrap/>
              <w:overflowPunct/>
              <w:topLinePunct w:val="0"/>
              <w:autoSpaceDE/>
              <w:autoSpaceDN/>
              <w:bidi w:val="0"/>
              <w:spacing w:before="31" w:after="31" w:line="312" w:lineRule="auto"/>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无组织颗粒物</w:t>
            </w:r>
          </w:p>
        </w:tc>
        <w:tc>
          <w:tcPr>
            <w:tcW w:w="2698" w:type="dxa"/>
            <w:vAlign w:val="center"/>
          </w:tcPr>
          <w:p w14:paraId="192FFA42">
            <w:pPr>
              <w:pStyle w:val="6"/>
              <w:keepNext w:val="0"/>
              <w:keepLines w:val="0"/>
              <w:pageBreakBefore w:val="0"/>
              <w:widowControl w:val="0"/>
              <w:kinsoku/>
              <w:wordWrap/>
              <w:overflowPunct/>
              <w:topLinePunct w:val="0"/>
              <w:autoSpaceDE/>
              <w:autoSpaceDN/>
              <w:bidi w:val="0"/>
              <w:spacing w:line="312"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道路硬化，及时清扫地面并在运输道路路面和两侧洒水</w:t>
            </w:r>
          </w:p>
        </w:tc>
        <w:tc>
          <w:tcPr>
            <w:tcW w:w="3261" w:type="dxa"/>
            <w:vMerge w:val="restart"/>
            <w:vAlign w:val="center"/>
          </w:tcPr>
          <w:p w14:paraId="0F8249FB">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spacing w:val="-10"/>
                <w:highlight w:val="none"/>
                <w:lang w:eastAsia="zh-CN"/>
              </w:rPr>
            </w:pPr>
            <w:r>
              <w:rPr>
                <w:rFonts w:hint="default" w:ascii="Times New Roman" w:hAnsi="Times New Roman" w:eastAsia="宋体" w:cs="Times New Roman"/>
                <w:color w:val="auto"/>
                <w:spacing w:val="-10"/>
                <w:sz w:val="24"/>
                <w:szCs w:val="24"/>
                <w:highlight w:val="none"/>
                <w:lang w:eastAsia="zh-CN"/>
              </w:rPr>
              <w:t xml:space="preserve">《煤炭工业污染物排放标准》（GB20426-2006）中表5 煤炭工业无组织排放限值 </w:t>
            </w:r>
          </w:p>
        </w:tc>
      </w:tr>
      <w:tr w14:paraId="6562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Merge w:val="continue"/>
            <w:vAlign w:val="center"/>
          </w:tcPr>
          <w:p w14:paraId="69A9122C">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p>
        </w:tc>
        <w:tc>
          <w:tcPr>
            <w:tcW w:w="1333" w:type="dxa"/>
            <w:vAlign w:val="center"/>
          </w:tcPr>
          <w:p w14:paraId="7B1BEDE1">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原料装卸扬尘</w:t>
            </w:r>
          </w:p>
        </w:tc>
        <w:tc>
          <w:tcPr>
            <w:tcW w:w="797" w:type="dxa"/>
            <w:vMerge w:val="continue"/>
            <w:vAlign w:val="center"/>
          </w:tcPr>
          <w:p w14:paraId="761045B8">
            <w:pPr>
              <w:pStyle w:val="57"/>
              <w:keepNext w:val="0"/>
              <w:keepLines w:val="0"/>
              <w:pageBreakBefore w:val="0"/>
              <w:widowControl w:val="0"/>
              <w:kinsoku/>
              <w:wordWrap/>
              <w:overflowPunct/>
              <w:topLinePunct w:val="0"/>
              <w:autoSpaceDE/>
              <w:autoSpaceDN/>
              <w:bidi w:val="0"/>
              <w:spacing w:before="31" w:after="31" w:line="312" w:lineRule="auto"/>
              <w:textAlignment w:val="auto"/>
              <w:rPr>
                <w:rFonts w:hint="default" w:ascii="Times New Roman" w:hAnsi="Times New Roman" w:eastAsia="宋体" w:cs="Times New Roman"/>
                <w:color w:val="auto"/>
                <w:sz w:val="24"/>
                <w:highlight w:val="none"/>
                <w:lang w:val="en-US" w:eastAsia="zh-CN"/>
              </w:rPr>
            </w:pPr>
          </w:p>
        </w:tc>
        <w:tc>
          <w:tcPr>
            <w:tcW w:w="2698" w:type="dxa"/>
            <w:vAlign w:val="center"/>
          </w:tcPr>
          <w:p w14:paraId="34C1485B">
            <w:pPr>
              <w:pStyle w:val="6"/>
              <w:keepNext w:val="0"/>
              <w:keepLines w:val="0"/>
              <w:pageBreakBefore w:val="0"/>
              <w:widowControl w:val="0"/>
              <w:kinsoku/>
              <w:wordWrap/>
              <w:overflowPunct/>
              <w:topLinePunct w:val="0"/>
              <w:autoSpaceDE/>
              <w:autoSpaceDN/>
              <w:bidi w:val="0"/>
              <w:spacing w:line="312" w:lineRule="auto"/>
              <w:ind w:firstLine="0" w:firstLineChars="0"/>
              <w:jc w:val="center"/>
              <w:textAlignment w:val="auto"/>
              <w:rPr>
                <w:rFonts w:hint="default" w:ascii="Times New Roman" w:hAnsi="Times New Roman"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洒水降尘，装卸过程在防风抑尘网内进行</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防风抑尘网高3m、长420m</w:t>
            </w:r>
          </w:p>
        </w:tc>
        <w:tc>
          <w:tcPr>
            <w:tcW w:w="3261" w:type="dxa"/>
            <w:vMerge w:val="continue"/>
            <w:vAlign w:val="center"/>
          </w:tcPr>
          <w:p w14:paraId="51384FD3">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lang w:eastAsia="zh-CN"/>
              </w:rPr>
            </w:pPr>
          </w:p>
        </w:tc>
      </w:tr>
      <w:tr w14:paraId="2D0F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Merge w:val="continue"/>
            <w:vAlign w:val="center"/>
          </w:tcPr>
          <w:p w14:paraId="6E78F7AF">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p>
        </w:tc>
        <w:tc>
          <w:tcPr>
            <w:tcW w:w="1333" w:type="dxa"/>
            <w:vAlign w:val="center"/>
          </w:tcPr>
          <w:p w14:paraId="1756C673">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堆场扬尘</w:t>
            </w:r>
          </w:p>
        </w:tc>
        <w:tc>
          <w:tcPr>
            <w:tcW w:w="797" w:type="dxa"/>
            <w:vMerge w:val="continue"/>
            <w:vAlign w:val="center"/>
          </w:tcPr>
          <w:p w14:paraId="76A6BFD7">
            <w:pPr>
              <w:pStyle w:val="57"/>
              <w:keepNext w:val="0"/>
              <w:keepLines w:val="0"/>
              <w:pageBreakBefore w:val="0"/>
              <w:widowControl w:val="0"/>
              <w:kinsoku/>
              <w:wordWrap/>
              <w:overflowPunct/>
              <w:topLinePunct w:val="0"/>
              <w:autoSpaceDE/>
              <w:autoSpaceDN/>
              <w:bidi w:val="0"/>
              <w:spacing w:before="31" w:after="31" w:line="312" w:lineRule="auto"/>
              <w:textAlignment w:val="auto"/>
              <w:rPr>
                <w:rFonts w:hint="default" w:ascii="Times New Roman" w:hAnsi="Times New Roman" w:cs="Times New Roman"/>
                <w:color w:val="auto"/>
                <w:sz w:val="24"/>
                <w:highlight w:val="none"/>
                <w:lang w:val="en-US" w:eastAsia="zh-CN"/>
              </w:rPr>
            </w:pPr>
          </w:p>
        </w:tc>
        <w:tc>
          <w:tcPr>
            <w:tcW w:w="2698" w:type="dxa"/>
            <w:vAlign w:val="center"/>
          </w:tcPr>
          <w:p w14:paraId="72858633">
            <w:pPr>
              <w:pStyle w:val="6"/>
              <w:keepNext w:val="0"/>
              <w:keepLines w:val="0"/>
              <w:pageBreakBefore w:val="0"/>
              <w:widowControl w:val="0"/>
              <w:kinsoku/>
              <w:wordWrap/>
              <w:overflowPunct/>
              <w:topLinePunct w:val="0"/>
              <w:autoSpaceDE/>
              <w:autoSpaceDN/>
              <w:bidi w:val="0"/>
              <w:spacing w:line="312"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洒水降尘</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防风抑尘网</w:t>
            </w:r>
            <w:r>
              <w:rPr>
                <w:rFonts w:hint="default" w:ascii="Times New Roman" w:hAnsi="Times New Roman" w:cs="Times New Roman"/>
                <w:color w:val="auto"/>
                <w:sz w:val="24"/>
                <w:szCs w:val="24"/>
                <w:highlight w:val="none"/>
                <w:lang w:eastAsia="zh-CN"/>
              </w:rPr>
              <w:t>和苫布苫盖</w:t>
            </w:r>
            <w:r>
              <w:rPr>
                <w:rFonts w:hint="default" w:ascii="Times New Roman" w:hAnsi="Times New Roman" w:eastAsia="宋体" w:cs="Times New Roman"/>
                <w:color w:val="auto"/>
                <w:sz w:val="24"/>
                <w:szCs w:val="24"/>
                <w:highlight w:val="none"/>
                <w:lang w:eastAsia="zh-CN"/>
              </w:rPr>
              <w:t>等措施</w:t>
            </w:r>
          </w:p>
        </w:tc>
        <w:tc>
          <w:tcPr>
            <w:tcW w:w="3261" w:type="dxa"/>
            <w:vMerge w:val="continue"/>
            <w:vAlign w:val="center"/>
          </w:tcPr>
          <w:p w14:paraId="0106D5B9">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spacing w:val="-10"/>
                <w:highlight w:val="none"/>
                <w:lang w:eastAsia="zh-CN"/>
              </w:rPr>
            </w:pPr>
          </w:p>
        </w:tc>
      </w:tr>
      <w:tr w14:paraId="0481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Align w:val="center"/>
          </w:tcPr>
          <w:p w14:paraId="69B25C97">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地表水环境</w:t>
            </w:r>
          </w:p>
        </w:tc>
        <w:tc>
          <w:tcPr>
            <w:tcW w:w="1333" w:type="dxa"/>
            <w:shd w:val="clear" w:color="auto" w:fill="auto"/>
            <w:vAlign w:val="center"/>
          </w:tcPr>
          <w:p w14:paraId="3F2FFA3E">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lang w:eastAsia="zh-CN"/>
              </w:rPr>
              <w:t>雨水</w:t>
            </w:r>
          </w:p>
        </w:tc>
        <w:tc>
          <w:tcPr>
            <w:tcW w:w="797" w:type="dxa"/>
            <w:shd w:val="clear" w:color="auto" w:fill="auto"/>
            <w:vAlign w:val="center"/>
          </w:tcPr>
          <w:p w14:paraId="734ABC10">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rPr>
              <w:t>/</w:t>
            </w:r>
          </w:p>
        </w:tc>
        <w:tc>
          <w:tcPr>
            <w:tcW w:w="2698" w:type="dxa"/>
            <w:shd w:val="clear" w:color="auto" w:fill="auto"/>
            <w:vAlign w:val="center"/>
          </w:tcPr>
          <w:p w14:paraId="3A90FE1B">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厂区四周设置雨水收集渠，收集雨水进入</w:t>
            </w:r>
            <w:r>
              <w:rPr>
                <w:rFonts w:hint="eastAsia" w:cs="Times New Roman"/>
                <w:color w:val="auto"/>
                <w:sz w:val="24"/>
                <w:szCs w:val="24"/>
                <w:highlight w:val="none"/>
                <w:lang w:val="en-US" w:eastAsia="zh-CN"/>
              </w:rPr>
              <w:t>初期雨水收集池</w:t>
            </w:r>
            <w:r>
              <w:rPr>
                <w:rFonts w:hint="default" w:ascii="Times New Roman" w:hAnsi="Times New Roman" w:cs="Times New Roman"/>
                <w:color w:val="auto"/>
                <w:sz w:val="24"/>
                <w:szCs w:val="24"/>
                <w:highlight w:val="none"/>
                <w:lang w:val="en-US" w:eastAsia="zh-CN"/>
              </w:rPr>
              <w:t>，经沉淀后用于洒水降尘</w:t>
            </w:r>
            <w:r>
              <w:rPr>
                <w:rFonts w:hint="eastAsia" w:cs="Times New Roman"/>
                <w:color w:val="auto"/>
                <w:sz w:val="24"/>
                <w:szCs w:val="24"/>
                <w:highlight w:val="none"/>
                <w:lang w:val="en-US" w:eastAsia="zh-CN"/>
              </w:rPr>
              <w:t>，</w:t>
            </w:r>
            <w:r>
              <w:rPr>
                <w:rFonts w:hint="eastAsia" w:cs="Times New Roman"/>
                <w:color w:val="auto"/>
                <w:sz w:val="24"/>
                <w:szCs w:val="24"/>
                <w:highlight w:val="none"/>
                <w:lang w:val="en-US" w:eastAsia="zh-CN"/>
              </w:rPr>
              <w:t>初期雨水收集池容积为200m</w:t>
            </w:r>
            <w:r>
              <w:rPr>
                <w:rFonts w:hint="eastAsia" w:cs="Times New Roman"/>
                <w:color w:val="auto"/>
                <w:sz w:val="24"/>
                <w:szCs w:val="24"/>
                <w:highlight w:val="none"/>
                <w:vertAlign w:val="superscript"/>
                <w:lang w:val="en-US" w:eastAsia="zh-CN"/>
              </w:rPr>
              <w:t>3</w:t>
            </w:r>
          </w:p>
        </w:tc>
        <w:tc>
          <w:tcPr>
            <w:tcW w:w="3261" w:type="dxa"/>
            <w:vAlign w:val="center"/>
          </w:tcPr>
          <w:p w14:paraId="5C9AF3F5">
            <w:pPr>
              <w:keepNext w:val="0"/>
              <w:keepLines w:val="0"/>
              <w:pageBreakBefore w:val="0"/>
              <w:widowControl w:val="0"/>
              <w:kinsoku/>
              <w:wordWrap/>
              <w:overflowPunct/>
              <w:topLinePunct w:val="0"/>
              <w:autoSpaceDE/>
              <w:autoSpaceDN/>
              <w:bidi w:val="0"/>
              <w:adjustRightInd w:val="0"/>
              <w:spacing w:line="312" w:lineRule="auto"/>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w:t>
            </w:r>
          </w:p>
        </w:tc>
      </w:tr>
      <w:tr w14:paraId="0BB5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Align w:val="center"/>
          </w:tcPr>
          <w:p w14:paraId="33E2D49F">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声环境</w:t>
            </w:r>
          </w:p>
        </w:tc>
        <w:tc>
          <w:tcPr>
            <w:tcW w:w="1333" w:type="dxa"/>
            <w:vAlign w:val="center"/>
          </w:tcPr>
          <w:p w14:paraId="0C4F227C">
            <w:pPr>
              <w:pStyle w:val="53"/>
              <w:keepNext w:val="0"/>
              <w:keepLines w:val="0"/>
              <w:pageBreakBefore w:val="0"/>
              <w:widowControl w:val="0"/>
              <w:kinsoku/>
              <w:wordWrap/>
              <w:overflowPunct/>
              <w:topLinePunct w:val="0"/>
              <w:autoSpaceDE/>
              <w:autoSpaceDN/>
              <w:bidi w:val="0"/>
              <w:spacing w:line="312" w:lineRule="auto"/>
              <w:textAlignment w:val="auto"/>
              <w:rPr>
                <w:rFonts w:hint="default" w:ascii="Times New Roman" w:hAnsi="Times New Roman" w:cs="Times New Roman"/>
                <w:b w:val="0"/>
                <w:color w:val="auto"/>
                <w:sz w:val="24"/>
                <w:highlight w:val="none"/>
              </w:rPr>
            </w:pPr>
            <w:r>
              <w:rPr>
                <w:rFonts w:hint="default" w:ascii="Times New Roman" w:hAnsi="Times New Roman" w:cs="Times New Roman"/>
                <w:b w:val="0"/>
                <w:color w:val="auto"/>
                <w:sz w:val="24"/>
                <w:highlight w:val="none"/>
              </w:rPr>
              <w:t>设备运行</w:t>
            </w:r>
          </w:p>
        </w:tc>
        <w:tc>
          <w:tcPr>
            <w:tcW w:w="797" w:type="dxa"/>
            <w:vAlign w:val="center"/>
          </w:tcPr>
          <w:p w14:paraId="3CD7C672">
            <w:pPr>
              <w:pStyle w:val="53"/>
              <w:keepNext w:val="0"/>
              <w:keepLines w:val="0"/>
              <w:pageBreakBefore w:val="0"/>
              <w:widowControl w:val="0"/>
              <w:kinsoku/>
              <w:wordWrap/>
              <w:overflowPunct/>
              <w:topLinePunct w:val="0"/>
              <w:autoSpaceDE/>
              <w:autoSpaceDN/>
              <w:bidi w:val="0"/>
              <w:spacing w:line="312" w:lineRule="auto"/>
              <w:textAlignment w:val="auto"/>
              <w:rPr>
                <w:rFonts w:hint="default" w:ascii="Times New Roman" w:hAnsi="Times New Roman" w:cs="Times New Roman"/>
                <w:b w:val="0"/>
                <w:color w:val="auto"/>
                <w:sz w:val="24"/>
                <w:highlight w:val="none"/>
              </w:rPr>
            </w:pPr>
            <w:r>
              <w:rPr>
                <w:rFonts w:hint="default" w:ascii="Times New Roman" w:hAnsi="Times New Roman" w:cs="Times New Roman"/>
                <w:b w:val="0"/>
                <w:color w:val="auto"/>
                <w:sz w:val="24"/>
                <w:highlight w:val="none"/>
              </w:rPr>
              <w:t>噪声</w:t>
            </w:r>
          </w:p>
        </w:tc>
        <w:tc>
          <w:tcPr>
            <w:tcW w:w="2698" w:type="dxa"/>
            <w:vAlign w:val="center"/>
          </w:tcPr>
          <w:p w14:paraId="327787B5">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低噪设备、</w:t>
            </w:r>
            <w:r>
              <w:rPr>
                <w:rFonts w:hint="default" w:ascii="Times New Roman" w:hAnsi="Times New Roman" w:cs="Times New Roman"/>
                <w:color w:val="auto"/>
                <w:sz w:val="24"/>
                <w:highlight w:val="none"/>
                <w:lang w:eastAsia="zh-CN"/>
              </w:rPr>
              <w:t>距离衰减、</w:t>
            </w:r>
            <w:r>
              <w:rPr>
                <w:rFonts w:hint="default" w:ascii="Times New Roman" w:hAnsi="Times New Roman" w:cs="Times New Roman"/>
                <w:color w:val="auto"/>
                <w:sz w:val="24"/>
                <w:highlight w:val="none"/>
              </w:rPr>
              <w:t>夜间不作业</w:t>
            </w:r>
          </w:p>
        </w:tc>
        <w:tc>
          <w:tcPr>
            <w:tcW w:w="3261" w:type="dxa"/>
            <w:vAlign w:val="center"/>
          </w:tcPr>
          <w:p w14:paraId="286CB6A4">
            <w:pPr>
              <w:keepNext w:val="0"/>
              <w:keepLines w:val="0"/>
              <w:pageBreakBefore w:val="0"/>
              <w:widowControl w:val="0"/>
              <w:kinsoku/>
              <w:wordWrap/>
              <w:overflowPunct/>
              <w:topLinePunct w:val="0"/>
              <w:autoSpaceDE/>
              <w:autoSpaceDN/>
              <w:bidi w:val="0"/>
              <w:spacing w:line="312" w:lineRule="auto"/>
              <w:jc w:val="center"/>
              <w:textAlignment w:val="auto"/>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lang w:eastAsia="zh-CN"/>
              </w:rPr>
              <w:t>执行</w:t>
            </w:r>
            <w:r>
              <w:rPr>
                <w:rFonts w:hint="default" w:ascii="Times New Roman" w:hAnsi="Times New Roman" w:cs="Times New Roman"/>
                <w:color w:val="auto"/>
                <w:sz w:val="24"/>
                <w:highlight w:val="none"/>
              </w:rPr>
              <w:t>《工业企业厂界环境噪声排放标准》（GB12348-2008）表1中</w:t>
            </w:r>
            <w:r>
              <w:rPr>
                <w:rFonts w:hint="default" w:ascii="Times New Roman" w:hAnsi="Times New Roman" w:cs="Times New Roman"/>
                <w:color w:val="auto"/>
                <w:sz w:val="24"/>
                <w:highlight w:val="none"/>
                <w:lang w:val="en-US" w:eastAsia="zh-CN"/>
              </w:rPr>
              <w:t>3类</w:t>
            </w:r>
            <w:r>
              <w:rPr>
                <w:rFonts w:hint="default" w:ascii="Times New Roman" w:hAnsi="Times New Roman" w:cs="Times New Roman"/>
                <w:color w:val="auto"/>
                <w:sz w:val="24"/>
                <w:highlight w:val="none"/>
              </w:rPr>
              <w:t>标准</w:t>
            </w:r>
          </w:p>
        </w:tc>
      </w:tr>
      <w:tr w14:paraId="6E91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vAlign w:val="center"/>
          </w:tcPr>
          <w:p w14:paraId="2D09E563">
            <w:pPr>
              <w:keepNext w:val="0"/>
              <w:keepLines w:val="0"/>
              <w:pageBreakBefore w:val="0"/>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固体废物</w:t>
            </w:r>
          </w:p>
        </w:tc>
        <w:tc>
          <w:tcPr>
            <w:tcW w:w="8089" w:type="dxa"/>
            <w:gridSpan w:val="4"/>
            <w:vAlign w:val="center"/>
          </w:tcPr>
          <w:p w14:paraId="71CDD186">
            <w:pPr>
              <w:keepNext w:val="0"/>
              <w:keepLines w:val="0"/>
              <w:pageBreakBefore w:val="0"/>
              <w:kinsoku/>
              <w:wordWrap/>
              <w:overflowPunct/>
              <w:topLinePunct w:val="0"/>
              <w:autoSpaceDE w:val="0"/>
              <w:autoSpaceDN w:val="0"/>
              <w:bidi w:val="0"/>
              <w:spacing w:line="312" w:lineRule="auto"/>
              <w:ind w:firstLine="480" w:firstLineChars="200"/>
              <w:textAlignment w:val="auto"/>
              <w:rPr>
                <w:rFonts w:hint="default" w:ascii="Times New Roman" w:hAnsi="Times New Roman" w:eastAsia="宋体" w:cs="Times New Roman"/>
                <w:b w:val="0"/>
                <w:color w:val="auto"/>
                <w:sz w:val="24"/>
                <w:highlight w:val="none"/>
                <w:lang w:eastAsia="zh-CN"/>
              </w:rPr>
            </w:pPr>
            <w:r>
              <w:rPr>
                <w:rFonts w:hint="default" w:ascii="Times New Roman" w:hAnsi="Times New Roman" w:cs="Times New Roman"/>
                <w:color w:val="auto"/>
                <w:sz w:val="24"/>
                <w:highlight w:val="none"/>
              </w:rPr>
              <w:t>厂区设置垃圾桶</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员工生活垃圾暂存垃圾桶委托环卫部门统一处理</w:t>
            </w:r>
            <w:r>
              <w:rPr>
                <w:rFonts w:hint="eastAsia" w:cs="Times New Roman"/>
                <w:color w:val="auto"/>
                <w:sz w:val="24"/>
                <w:highlight w:val="none"/>
                <w:lang w:val="en-US" w:eastAsia="zh-CN"/>
              </w:rPr>
              <w:t>；沉淀煤泥</w:t>
            </w:r>
            <w:r>
              <w:rPr>
                <w:rFonts w:ascii="宋体" w:hAnsi="宋体" w:eastAsia="宋体" w:cs="宋体"/>
                <w:color w:val="auto"/>
                <w:sz w:val="24"/>
                <w:szCs w:val="24"/>
              </w:rPr>
              <w:t>定期清理后外售综合利用</w:t>
            </w:r>
            <w:r>
              <w:rPr>
                <w:rFonts w:hint="eastAsia" w:cs="Times New Roman"/>
                <w:color w:val="auto"/>
                <w:sz w:val="24"/>
                <w:highlight w:val="none"/>
                <w:lang w:val="en-US" w:eastAsia="zh-CN"/>
              </w:rPr>
              <w:t>；破损防风抑尘网作为废旧物资外售；破损苫布作为废旧物资外售。</w:t>
            </w:r>
          </w:p>
        </w:tc>
      </w:tr>
      <w:tr w14:paraId="5B53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5" w:type="dxa"/>
            <w:vAlign w:val="center"/>
          </w:tcPr>
          <w:p w14:paraId="45EC5DF2">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土壤及地下水污染防治措施</w:t>
            </w:r>
          </w:p>
        </w:tc>
        <w:tc>
          <w:tcPr>
            <w:tcW w:w="8089" w:type="dxa"/>
            <w:gridSpan w:val="4"/>
            <w:vAlign w:val="center"/>
          </w:tcPr>
          <w:p w14:paraId="6B7B1FA4">
            <w:pPr>
              <w:spacing w:line="360" w:lineRule="auto"/>
              <w:ind w:firstLine="480" w:firstLineChars="200"/>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初期雨水收集池</w:t>
            </w:r>
            <w:r>
              <w:rPr>
                <w:rFonts w:hint="default" w:ascii="Times New Roman" w:hAnsi="Times New Roman" w:cs="Times New Roman"/>
                <w:color w:val="auto"/>
                <w:sz w:val="24"/>
                <w:highlight w:val="none"/>
              </w:rPr>
              <w:t>采取一般防渗措施采用抗渗钢纤维混凝土面，层中掺水泥基透结晶型防水剂，其下粘土务实，单位面积防渗能力达到等效黏土防渗层Mb≥1.5m，渗透系数≤1×10</w:t>
            </w:r>
            <w:r>
              <w:rPr>
                <w:rFonts w:hint="default" w:ascii="Times New Roman" w:hAnsi="Times New Roman" w:cs="Times New Roman"/>
                <w:color w:val="auto"/>
                <w:sz w:val="24"/>
                <w:highlight w:val="none"/>
                <w:vertAlign w:val="superscript"/>
              </w:rPr>
              <w:t>-7</w:t>
            </w:r>
            <w:r>
              <w:rPr>
                <w:rFonts w:hint="default" w:ascii="Times New Roman" w:hAnsi="Times New Roman" w:cs="Times New Roman"/>
                <w:color w:val="auto"/>
                <w:sz w:val="24"/>
                <w:highlight w:val="none"/>
              </w:rPr>
              <w:t>cm/s。</w:t>
            </w:r>
            <w:r>
              <w:rPr>
                <w:rFonts w:hint="eastAsia" w:cs="Times New Roman"/>
                <w:color w:val="auto"/>
                <w:sz w:val="24"/>
                <w:highlight w:val="none"/>
                <w:lang w:val="en-US" w:eastAsia="zh-CN"/>
              </w:rPr>
              <w:t>原煤堆场、</w:t>
            </w:r>
            <w:r>
              <w:rPr>
                <w:rFonts w:hint="default" w:ascii="Times New Roman" w:hAnsi="Times New Roman" w:cs="Times New Roman"/>
                <w:color w:val="auto"/>
                <w:sz w:val="24"/>
                <w:highlight w:val="none"/>
                <w:lang w:val="en-GB"/>
              </w:rPr>
              <w:t>厂区</w:t>
            </w:r>
            <w:r>
              <w:rPr>
                <w:rFonts w:hint="eastAsia" w:cs="Times New Roman"/>
                <w:color w:val="auto"/>
                <w:sz w:val="24"/>
                <w:highlight w:val="none"/>
                <w:lang w:val="en-US" w:eastAsia="zh-CN"/>
              </w:rPr>
              <w:t>道路</w:t>
            </w:r>
            <w:r>
              <w:rPr>
                <w:rFonts w:hint="default" w:ascii="Times New Roman" w:hAnsi="Times New Roman" w:cs="Times New Roman"/>
                <w:color w:val="auto"/>
                <w:sz w:val="24"/>
                <w:highlight w:val="none"/>
              </w:rPr>
              <w:t>为简单防渗区，采取水泥地面硬化。</w:t>
            </w:r>
          </w:p>
        </w:tc>
      </w:tr>
      <w:tr w14:paraId="6975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5" w:type="dxa"/>
            <w:vAlign w:val="center"/>
          </w:tcPr>
          <w:p w14:paraId="5B94208F">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生态保护措施</w:t>
            </w:r>
          </w:p>
        </w:tc>
        <w:tc>
          <w:tcPr>
            <w:tcW w:w="8089" w:type="dxa"/>
            <w:gridSpan w:val="4"/>
            <w:vAlign w:val="center"/>
          </w:tcPr>
          <w:p w14:paraId="2E18086A">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highlight w:val="none"/>
              </w:rPr>
              <w:t>本项目占地范围内不含生态环境保护目标。</w:t>
            </w:r>
            <w:r>
              <w:rPr>
                <w:rFonts w:hint="default" w:ascii="Times New Roman" w:hAnsi="Times New Roman" w:cs="Times New Roman"/>
                <w:color w:val="auto"/>
                <w:sz w:val="24"/>
                <w:szCs w:val="22"/>
                <w:highlight w:val="none"/>
              </w:rPr>
              <w:t>本项目运营期对生态环境的影响主要是生产过程中排放的颗粒物对周围生态环境的影响。污染物将通过干沉降和湿沉降以及降雨过程沉降于植物和地表，最终转入土壤并累积于土壤之中。</w:t>
            </w:r>
          </w:p>
          <w:p w14:paraId="2A0E727F">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为尽可能减轻该部分污染物对周围生态环境的影响，拟采取以下措施：</w:t>
            </w:r>
          </w:p>
          <w:p w14:paraId="6C8741E2">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（1）加强生产设备的管理和维护，确保除尘</w:t>
            </w:r>
            <w:r>
              <w:rPr>
                <w:rFonts w:hint="default" w:ascii="Times New Roman" w:hAnsi="Times New Roman" w:cs="Times New Roman"/>
                <w:color w:val="auto"/>
                <w:sz w:val="24"/>
                <w:szCs w:val="22"/>
                <w:highlight w:val="none"/>
                <w:lang w:eastAsia="zh-CN"/>
              </w:rPr>
              <w:t>效果</w:t>
            </w:r>
            <w:r>
              <w:rPr>
                <w:rFonts w:hint="default" w:ascii="Times New Roman" w:hAnsi="Times New Roman" w:cs="Times New Roman"/>
                <w:color w:val="auto"/>
                <w:sz w:val="24"/>
                <w:szCs w:val="22"/>
                <w:highlight w:val="none"/>
              </w:rPr>
              <w:t>达到设计水平并稳定运行，加强物料的管理，</w:t>
            </w:r>
            <w:r>
              <w:rPr>
                <w:rFonts w:hint="default" w:ascii="Times New Roman" w:hAnsi="Times New Roman" w:cs="Times New Roman"/>
                <w:color w:val="auto"/>
                <w:sz w:val="24"/>
                <w:szCs w:val="22"/>
                <w:highlight w:val="none"/>
                <w:lang w:eastAsia="zh-CN"/>
              </w:rPr>
              <w:t>减少</w:t>
            </w:r>
            <w:r>
              <w:rPr>
                <w:rFonts w:hint="default" w:ascii="Times New Roman" w:hAnsi="Times New Roman" w:cs="Times New Roman"/>
                <w:color w:val="auto"/>
                <w:sz w:val="24"/>
                <w:szCs w:val="22"/>
                <w:highlight w:val="none"/>
              </w:rPr>
              <w:t>颗粒物的排放总量，这是减轻生态负面影响的关键因素；</w:t>
            </w:r>
          </w:p>
          <w:p w14:paraId="1FB710B4">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lang w:eastAsia="zh-CN"/>
              </w:rPr>
            </w:pPr>
            <w:r>
              <w:rPr>
                <w:rFonts w:hint="default" w:ascii="Times New Roman" w:hAnsi="Times New Roman" w:cs="Times New Roman"/>
                <w:color w:val="auto"/>
                <w:sz w:val="24"/>
                <w:szCs w:val="22"/>
                <w:highlight w:val="none"/>
              </w:rPr>
              <w:t>（2）在厂区四周设置围墙、种植树木等多种形式的围挡，尽可能限制无组织排放粉尘的扩散范围及强度</w:t>
            </w:r>
            <w:r>
              <w:rPr>
                <w:rFonts w:hint="default" w:ascii="Times New Roman" w:hAnsi="Times New Roman" w:cs="Times New Roman"/>
                <w:color w:val="auto"/>
                <w:sz w:val="24"/>
                <w:szCs w:val="22"/>
                <w:highlight w:val="none"/>
                <w:lang w:eastAsia="zh-CN"/>
              </w:rPr>
              <w:t>。</w:t>
            </w:r>
          </w:p>
          <w:p w14:paraId="242E9D5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szCs w:val="22"/>
                <w:highlight w:val="none"/>
              </w:rPr>
              <w:t>采取以上措施后，运营期的颗粒物对周围生态环境的影响很小。</w:t>
            </w:r>
          </w:p>
        </w:tc>
      </w:tr>
      <w:tr w14:paraId="54FD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5" w:type="dxa"/>
            <w:vAlign w:val="center"/>
          </w:tcPr>
          <w:p w14:paraId="3381ACFA">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pacing w:val="-8"/>
                <w:sz w:val="24"/>
                <w:highlight w:val="none"/>
              </w:rPr>
            </w:pPr>
          </w:p>
          <w:p w14:paraId="74BFACFA">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pacing w:val="-8"/>
                <w:sz w:val="24"/>
                <w:highlight w:val="none"/>
              </w:rPr>
            </w:pPr>
            <w:r>
              <w:rPr>
                <w:rFonts w:hint="default" w:ascii="Times New Roman" w:hAnsi="Times New Roman" w:cs="Times New Roman"/>
                <w:color w:val="auto"/>
                <w:spacing w:val="-8"/>
                <w:sz w:val="24"/>
                <w:highlight w:val="none"/>
              </w:rPr>
              <w:t>环境风险</w:t>
            </w:r>
          </w:p>
          <w:p w14:paraId="499A97A1">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pacing w:val="-8"/>
                <w:sz w:val="24"/>
                <w:highlight w:val="none"/>
              </w:rPr>
              <w:t>防范措施</w:t>
            </w:r>
          </w:p>
        </w:tc>
        <w:tc>
          <w:tcPr>
            <w:tcW w:w="8089" w:type="dxa"/>
            <w:gridSpan w:val="4"/>
            <w:vAlign w:val="center"/>
          </w:tcPr>
          <w:p w14:paraId="7E898160">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lang w:eastAsia="zh-CN"/>
              </w:rPr>
            </w:pPr>
            <w:r>
              <w:rPr>
                <w:rFonts w:hint="default" w:ascii="Times New Roman" w:hAnsi="Times New Roman" w:eastAsia="宋体" w:cs="Times New Roman"/>
                <w:color w:val="auto"/>
                <w:sz w:val="24"/>
                <w:szCs w:val="22"/>
                <w:highlight w:val="none"/>
              </w:rPr>
              <w:t>堆煤场</w:t>
            </w:r>
            <w:r>
              <w:rPr>
                <w:rFonts w:hint="default" w:ascii="Times New Roman" w:hAnsi="Times New Roman" w:eastAsia="宋体" w:cs="Times New Roman"/>
                <w:color w:val="auto"/>
                <w:sz w:val="24"/>
                <w:szCs w:val="22"/>
                <w:highlight w:val="none"/>
                <w:lang w:eastAsia="zh-CN"/>
              </w:rPr>
              <w:t>煤炭</w:t>
            </w:r>
            <w:r>
              <w:rPr>
                <w:rFonts w:hint="default" w:ascii="Times New Roman" w:hAnsi="Times New Roman" w:eastAsia="宋体" w:cs="Times New Roman"/>
                <w:color w:val="auto"/>
                <w:sz w:val="24"/>
                <w:szCs w:val="22"/>
                <w:highlight w:val="none"/>
              </w:rPr>
              <w:t>煤粉由于风速大被扬尘，遇明火后被点燃，可使人中毒、窒息，泄漏物与空气形成爆炸性混合气体，引发火灾、爆炸事故。具有较大的危害性。</w:t>
            </w:r>
            <w:r>
              <w:rPr>
                <w:rFonts w:hint="default" w:ascii="Times New Roman" w:hAnsi="Times New Roman" w:eastAsia="宋体" w:cs="Times New Roman"/>
                <w:color w:val="auto"/>
                <w:sz w:val="24"/>
                <w:szCs w:val="22"/>
                <w:highlight w:val="none"/>
                <w:lang w:eastAsia="zh-CN"/>
              </w:rPr>
              <w:t>故针对本项目的风险防范提出以下措施：</w:t>
            </w:r>
          </w:p>
          <w:p w14:paraId="64D2E705">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1</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项目应加强对极端天气的预警，加强管理和安全知识教育，增强防范意识，严禁向</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内倾倒易燃物，如坑木、锯末、生活垃圾等；</w:t>
            </w:r>
          </w:p>
          <w:p w14:paraId="2332A0BC">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2</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建设单位必须制定具有操作性的管理制</w:t>
            </w:r>
            <w:r>
              <w:rPr>
                <w:rFonts w:hint="eastAsia" w:ascii="Times New Roman" w:hAnsi="Times New Roman" w:cs="Times New Roman"/>
                <w:color w:val="auto"/>
                <w:sz w:val="24"/>
                <w:szCs w:val="22"/>
                <w:highlight w:val="none"/>
                <w:lang w:eastAsia="zh-CN"/>
              </w:rPr>
              <w:t>度</w:t>
            </w:r>
            <w:r>
              <w:rPr>
                <w:rFonts w:hint="default" w:ascii="Times New Roman" w:hAnsi="Times New Roman" w:eastAsia="宋体" w:cs="Times New Roman"/>
                <w:color w:val="auto"/>
                <w:sz w:val="24"/>
                <w:szCs w:val="22"/>
                <w:highlight w:val="none"/>
              </w:rPr>
              <w:t>、危害预警措施、应急预案等，要有固定的</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管理与灾害治理专业队伍或专职人员；建立自燃预警管理制度，定期测温及预测、预警、预报机制，并建立相应技术管理资料库；</w:t>
            </w:r>
          </w:p>
          <w:p w14:paraId="65C5B4E6">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3</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加强</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管理，杜绝外来炭物等可燃物进入排矸场，加强巡逻，禁止将易燃物品带入排矸场，防止火灾发生。</w:t>
            </w:r>
          </w:p>
          <w:p w14:paraId="2AC248BB">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4</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要有充分的应急措施，项目应按照相关规定设置逃生系统，并能够有</w:t>
            </w:r>
            <w:r>
              <w:rPr>
                <w:rFonts w:hint="eastAsia" w:ascii="Times New Roman" w:hAnsi="Times New Roman" w:cs="Times New Roman"/>
                <w:color w:val="auto"/>
                <w:sz w:val="24"/>
                <w:szCs w:val="22"/>
                <w:highlight w:val="none"/>
                <w:lang w:eastAsia="zh-CN"/>
              </w:rPr>
              <w:t>足够</w:t>
            </w:r>
            <w:r>
              <w:rPr>
                <w:rFonts w:hint="default" w:ascii="Times New Roman" w:hAnsi="Times New Roman" w:eastAsia="宋体" w:cs="Times New Roman"/>
                <w:color w:val="auto"/>
                <w:sz w:val="24"/>
                <w:szCs w:val="22"/>
                <w:highlight w:val="none"/>
              </w:rPr>
              <w:t>匹配的消防器材及备用应急电源。一旦发生意外，应立即启动应急预案。</w:t>
            </w:r>
          </w:p>
          <w:p w14:paraId="4D5E527D">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5</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建立安全生产岗位责任制，制定全套切实可行的安全生产规律和安全操作规程，并设专人负责安全，定期对职工进行安全方面知识的教育和学习；</w:t>
            </w:r>
          </w:p>
          <w:p w14:paraId="6A1EFA60">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6</w:t>
            </w:r>
            <w:r>
              <w:rPr>
                <w:rFonts w:hint="default" w:ascii="Times New Roman" w:hAnsi="Times New Roman" w:eastAsia="宋体" w:cs="Times New Roman"/>
                <w:color w:val="auto"/>
                <w:sz w:val="24"/>
                <w:szCs w:val="22"/>
                <w:highlight w:val="none"/>
                <w:lang w:eastAsia="zh-CN"/>
              </w:rPr>
              <w:t>）储煤场</w:t>
            </w:r>
            <w:r>
              <w:rPr>
                <w:rFonts w:hint="default" w:ascii="Times New Roman" w:hAnsi="Times New Roman" w:eastAsia="宋体" w:cs="Times New Roman"/>
                <w:color w:val="auto"/>
                <w:sz w:val="24"/>
                <w:szCs w:val="22"/>
                <w:highlight w:val="none"/>
              </w:rPr>
              <w:t>按有关规范要求配置干粉泡沫化学灭火器和消防栓。</w:t>
            </w:r>
            <w:r>
              <w:rPr>
                <w:rFonts w:hint="default" w:ascii="Times New Roman" w:hAnsi="Times New Roman" w:eastAsia="宋体" w:cs="Times New Roman"/>
                <w:color w:val="auto"/>
                <w:sz w:val="24"/>
                <w:szCs w:val="22"/>
                <w:highlight w:val="none"/>
                <w:lang w:eastAsia="zh-CN"/>
              </w:rPr>
              <w:t>大棚</w:t>
            </w:r>
            <w:r>
              <w:rPr>
                <w:rFonts w:hint="default" w:ascii="Times New Roman" w:hAnsi="Times New Roman" w:eastAsia="宋体" w:cs="Times New Roman"/>
                <w:color w:val="auto"/>
                <w:sz w:val="24"/>
                <w:szCs w:val="22"/>
                <w:highlight w:val="none"/>
              </w:rPr>
              <w:t>内禁止一切烟火，并有相应的防火安全措施，设置防火标识牌。</w:t>
            </w:r>
          </w:p>
          <w:p w14:paraId="274FD268">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7</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加强对公司</w:t>
            </w:r>
            <w:r>
              <w:rPr>
                <w:rFonts w:hint="default" w:ascii="Times New Roman" w:hAnsi="Times New Roman" w:cs="Times New Roman"/>
                <w:color w:val="auto"/>
                <w:sz w:val="24"/>
                <w:szCs w:val="22"/>
                <w:highlight w:val="none"/>
                <w:lang w:eastAsia="zh-CN"/>
              </w:rPr>
              <w:t>职工</w:t>
            </w:r>
            <w:r>
              <w:rPr>
                <w:rFonts w:hint="default" w:ascii="Times New Roman" w:hAnsi="Times New Roman" w:eastAsia="宋体" w:cs="Times New Roman"/>
                <w:color w:val="auto"/>
                <w:sz w:val="24"/>
                <w:szCs w:val="22"/>
                <w:highlight w:val="none"/>
              </w:rPr>
              <w:t>教育培训，实行上岗证制度，增强职工风险意识，提高事故自救能力，制定和强化各种安全管理、安全生产的规程，减少人为风险事故的发生。</w:t>
            </w:r>
          </w:p>
          <w:p w14:paraId="2F293069">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8</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cs="Times New Roman"/>
                <w:color w:val="auto"/>
                <w:sz w:val="24"/>
                <w:szCs w:val="22"/>
                <w:highlight w:val="none"/>
                <w:lang w:eastAsia="zh-CN"/>
              </w:rPr>
              <w:t>制定</w:t>
            </w:r>
            <w:r>
              <w:rPr>
                <w:rFonts w:hint="default" w:ascii="Times New Roman" w:hAnsi="Times New Roman" w:eastAsia="宋体" w:cs="Times New Roman"/>
                <w:color w:val="auto"/>
                <w:sz w:val="24"/>
                <w:szCs w:val="22"/>
                <w:highlight w:val="none"/>
              </w:rPr>
              <w:t>发生事故时迅速撤离人员至安全区的方案，一旦发生事故，则要根据具体情况采取应急措施。</w:t>
            </w:r>
          </w:p>
          <w:p w14:paraId="2A527F86">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val="en-US" w:eastAsia="zh-CN"/>
              </w:rPr>
              <w:t>9</w:t>
            </w:r>
            <w:r>
              <w:rPr>
                <w:rFonts w:hint="default" w:ascii="Times New Roman" w:hAnsi="Times New Roman" w:eastAsia="宋体" w:cs="Times New Roman"/>
                <w:color w:val="auto"/>
                <w:sz w:val="24"/>
                <w:szCs w:val="22"/>
                <w:highlight w:val="none"/>
                <w:lang w:eastAsia="zh-CN"/>
              </w:rPr>
              <w:t>）编制突发环境事件应急预案。</w:t>
            </w:r>
          </w:p>
        </w:tc>
      </w:tr>
      <w:tr w14:paraId="0F0A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5" w:type="dxa"/>
            <w:vAlign w:val="center"/>
          </w:tcPr>
          <w:p w14:paraId="1BBAA4B3">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pacing w:val="-8"/>
                <w:sz w:val="24"/>
                <w:highlight w:val="none"/>
              </w:rPr>
            </w:pPr>
            <w:r>
              <w:rPr>
                <w:rFonts w:hint="default" w:ascii="Times New Roman" w:hAnsi="Times New Roman" w:cs="Times New Roman"/>
                <w:color w:val="auto"/>
                <w:spacing w:val="-8"/>
                <w:sz w:val="24"/>
                <w:highlight w:val="none"/>
              </w:rPr>
              <w:t>电磁辐射</w:t>
            </w:r>
          </w:p>
        </w:tc>
        <w:tc>
          <w:tcPr>
            <w:tcW w:w="8089" w:type="dxa"/>
            <w:gridSpan w:val="4"/>
            <w:vAlign w:val="center"/>
          </w:tcPr>
          <w:p w14:paraId="6AC9F34A">
            <w:pPr>
              <w:keepNext w:val="0"/>
              <w:keepLines w:val="0"/>
              <w:pageBreakBefore w:val="0"/>
              <w:widowControl/>
              <w:kinsoku/>
              <w:wordWrap/>
              <w:overflowPunct/>
              <w:topLinePunct w:val="0"/>
              <w:autoSpaceDE/>
              <w:autoSpaceDN/>
              <w:bidi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r>
      <w:tr w14:paraId="2A87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5" w:type="dxa"/>
            <w:vAlign w:val="center"/>
          </w:tcPr>
          <w:p w14:paraId="07BCF186">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pacing w:val="-8"/>
                <w:sz w:val="24"/>
                <w:highlight w:val="none"/>
              </w:rPr>
            </w:pPr>
            <w:r>
              <w:rPr>
                <w:rFonts w:hint="default" w:ascii="Times New Roman" w:hAnsi="Times New Roman" w:cs="Times New Roman"/>
                <w:color w:val="auto"/>
                <w:spacing w:val="-8"/>
                <w:sz w:val="24"/>
                <w:highlight w:val="none"/>
              </w:rPr>
              <w:t>其他环境</w:t>
            </w:r>
          </w:p>
          <w:p w14:paraId="04D4BE26">
            <w:pPr>
              <w:keepNext w:val="0"/>
              <w:keepLines w:val="0"/>
              <w:pageBreakBefore w:val="0"/>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pacing w:val="-8"/>
                <w:sz w:val="24"/>
                <w:highlight w:val="none"/>
              </w:rPr>
              <w:t>管理要求</w:t>
            </w:r>
          </w:p>
        </w:tc>
        <w:tc>
          <w:tcPr>
            <w:tcW w:w="8089" w:type="dxa"/>
            <w:gridSpan w:val="4"/>
            <w:vAlign w:val="center"/>
          </w:tcPr>
          <w:p w14:paraId="6B142EF8">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2"/>
                <w:highlight w:val="none"/>
                <w:lang w:eastAsia="zh-CN"/>
              </w:rPr>
              <w:t>定期对厂区及周边进行清理保洁，保持良好的环境卫生面貌，防止出现</w:t>
            </w:r>
            <w:r>
              <w:rPr>
                <w:rFonts w:hint="eastAsia"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eastAsia="zh-CN"/>
              </w:rPr>
              <w:t>脏、乱、差</w:t>
            </w:r>
            <w:r>
              <w:rPr>
                <w:rFonts w:hint="eastAsia"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lang w:eastAsia="zh-CN"/>
              </w:rPr>
              <w:t>现象</w:t>
            </w:r>
            <w:r>
              <w:rPr>
                <w:rFonts w:hint="eastAsia" w:cs="Times New Roman"/>
                <w:color w:val="auto"/>
                <w:sz w:val="24"/>
                <w:szCs w:val="22"/>
                <w:highlight w:val="none"/>
                <w:lang w:eastAsia="zh-CN"/>
              </w:rPr>
              <w:t>。</w:t>
            </w:r>
          </w:p>
        </w:tc>
      </w:tr>
      <w:bookmarkEnd w:id="17"/>
      <w:bookmarkEnd w:id="18"/>
    </w:tbl>
    <w:p w14:paraId="4F531268">
      <w:pPr>
        <w:spacing w:line="300" w:lineRule="auto"/>
        <w:jc w:val="left"/>
        <w:rPr>
          <w:rFonts w:hint="default" w:ascii="Times New Roman" w:hAnsi="Times New Roman" w:eastAsia="黑体" w:cs="Times New Roman"/>
          <w:b/>
          <w:bCs/>
          <w:color w:val="auto"/>
          <w:sz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407D939E">
      <w:pPr>
        <w:pStyle w:val="27"/>
        <w:jc w:val="center"/>
        <w:outlineLvl w:val="0"/>
        <w:rPr>
          <w:rFonts w:hint="default" w:ascii="Times New Roman" w:hAnsi="Times New Roman" w:eastAsia="黑体" w:cs="Times New Roman"/>
          <w:snapToGrid w:val="0"/>
          <w:color w:val="auto"/>
          <w:sz w:val="30"/>
          <w:szCs w:val="30"/>
          <w:highlight w:val="none"/>
        </w:rPr>
      </w:pPr>
      <w:bookmarkStart w:id="19" w:name="_Toc9580104"/>
      <w:bookmarkStart w:id="20" w:name="_Toc27592"/>
      <w:r>
        <w:rPr>
          <w:rFonts w:hint="default" w:ascii="Times New Roman" w:hAnsi="Times New Roman" w:eastAsia="黑体" w:cs="Times New Roman"/>
          <w:snapToGrid w:val="0"/>
          <w:color w:val="auto"/>
          <w:sz w:val="30"/>
          <w:szCs w:val="30"/>
          <w:highlight w:val="none"/>
        </w:rPr>
        <w:t>六、结论与建议</w:t>
      </w:r>
      <w:bookmarkEnd w:id="19"/>
      <w:bookmarkEnd w:id="20"/>
    </w:p>
    <w:tbl>
      <w:tblPr>
        <w:tblStyle w:val="31"/>
        <w:tblW w:w="954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48"/>
      </w:tblGrid>
      <w:tr w14:paraId="0F5AF6D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175" w:hRule="atLeast"/>
          <w:jc w:val="center"/>
        </w:trPr>
        <w:tc>
          <w:tcPr>
            <w:tcW w:w="9548" w:type="dxa"/>
            <w:tcBorders>
              <w:top w:val="single" w:color="auto" w:sz="4" w:space="0"/>
              <w:left w:val="single" w:color="auto" w:sz="4" w:space="0"/>
              <w:bottom w:val="single" w:color="auto" w:sz="4" w:space="0"/>
              <w:right w:val="single" w:color="auto" w:sz="4" w:space="0"/>
            </w:tcBorders>
            <w:vAlign w:val="top"/>
          </w:tcPr>
          <w:p w14:paraId="2B53058A">
            <w:pPr>
              <w:pStyle w:val="54"/>
              <w:keepNext w:val="0"/>
              <w:keepLines w:val="0"/>
              <w:pageBreakBefore w:val="0"/>
              <w:widowControl w:val="0"/>
              <w:kinsoku/>
              <w:wordWrap/>
              <w:overflowPunct/>
              <w:topLinePunct w:val="0"/>
              <w:autoSpaceDE/>
              <w:autoSpaceDN/>
              <w:bidi w:val="0"/>
              <w:adjustRightInd/>
              <w:snapToGrid/>
              <w:spacing w:before="157" w:beforeLines="50" w:afterLines="0" w:line="360" w:lineRule="auto"/>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该项目符合国家产业政策，符合地方社会发展需要。经论证，污染防治措施合理可行；环境风险在可接受范围之内。建设单位在落实</w:t>
            </w:r>
            <w:r>
              <w:rPr>
                <w:rFonts w:hint="eastAsia" w:ascii="Times New Roman" w:hAnsi="Times New Roman" w:cs="Times New Roman"/>
                <w:color w:val="auto"/>
                <w:kern w:val="21"/>
                <w:sz w:val="24"/>
                <w:highlight w:val="none"/>
                <w:lang w:eastAsia="zh-CN"/>
              </w:rPr>
              <w:t>“</w:t>
            </w:r>
            <w:r>
              <w:rPr>
                <w:rFonts w:hint="default" w:ascii="Times New Roman" w:hAnsi="Times New Roman" w:cs="Times New Roman"/>
                <w:color w:val="auto"/>
                <w:highlight w:val="none"/>
              </w:rPr>
              <w:t>三同时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制度的情况下，项目运行期产生的污染物能够达标排放，对周围环境能够控制在标准允许和环境容量容许的范围内，对环境敏感点不会产生明显影响，会产生较大的经济效益和社会效益。在报告表提出的各项环保措施得到落实的前提下，本项目从环境保护角度看，建设项目环境影响可行。</w:t>
            </w:r>
          </w:p>
          <w:p w14:paraId="67018C15">
            <w:pPr>
              <w:pStyle w:val="54"/>
              <w:spacing w:beforeLines="0" w:line="360" w:lineRule="auto"/>
              <w:ind w:firstLine="480"/>
              <w:rPr>
                <w:rFonts w:hint="default" w:ascii="Times New Roman" w:hAnsi="Times New Roman" w:cs="Times New Roman"/>
                <w:color w:val="auto"/>
                <w:highlight w:val="none"/>
              </w:rPr>
            </w:pPr>
          </w:p>
          <w:p w14:paraId="6B348E9F">
            <w:pPr>
              <w:pStyle w:val="54"/>
              <w:spacing w:beforeLines="0" w:line="360" w:lineRule="auto"/>
              <w:ind w:firstLine="480"/>
              <w:rPr>
                <w:rFonts w:hint="default" w:ascii="Times New Roman" w:hAnsi="Times New Roman" w:cs="Times New Roman"/>
                <w:color w:val="auto"/>
                <w:highlight w:val="none"/>
              </w:rPr>
            </w:pPr>
          </w:p>
          <w:p w14:paraId="7DCB73D9">
            <w:pPr>
              <w:pStyle w:val="54"/>
              <w:spacing w:beforeLines="0" w:line="360" w:lineRule="auto"/>
              <w:ind w:firstLine="480"/>
              <w:rPr>
                <w:rFonts w:hint="default" w:ascii="Times New Roman" w:hAnsi="Times New Roman" w:cs="Times New Roman"/>
                <w:color w:val="auto"/>
                <w:highlight w:val="none"/>
              </w:rPr>
            </w:pPr>
          </w:p>
          <w:p w14:paraId="0CE2127E">
            <w:pPr>
              <w:pStyle w:val="54"/>
              <w:spacing w:beforeLines="0" w:line="360" w:lineRule="auto"/>
              <w:ind w:firstLine="480"/>
              <w:rPr>
                <w:rFonts w:hint="default" w:ascii="Times New Roman" w:hAnsi="Times New Roman" w:cs="Times New Roman"/>
                <w:color w:val="auto"/>
                <w:highlight w:val="none"/>
              </w:rPr>
            </w:pPr>
          </w:p>
          <w:p w14:paraId="0A6E9CF4">
            <w:pPr>
              <w:pStyle w:val="54"/>
              <w:spacing w:beforeLines="0" w:line="360" w:lineRule="auto"/>
              <w:ind w:firstLine="480"/>
              <w:rPr>
                <w:rFonts w:hint="default" w:ascii="Times New Roman" w:hAnsi="Times New Roman" w:cs="Times New Roman"/>
                <w:color w:val="auto"/>
                <w:highlight w:val="none"/>
              </w:rPr>
            </w:pPr>
          </w:p>
          <w:p w14:paraId="5B703E4E">
            <w:pPr>
              <w:pStyle w:val="54"/>
              <w:spacing w:beforeLines="0" w:line="360" w:lineRule="auto"/>
              <w:ind w:firstLine="480"/>
              <w:rPr>
                <w:rFonts w:hint="default" w:ascii="Times New Roman" w:hAnsi="Times New Roman" w:cs="Times New Roman"/>
                <w:color w:val="auto"/>
                <w:highlight w:val="none"/>
              </w:rPr>
            </w:pPr>
          </w:p>
          <w:p w14:paraId="1AC0DCF1">
            <w:pPr>
              <w:pStyle w:val="54"/>
              <w:spacing w:beforeLines="0" w:line="360" w:lineRule="auto"/>
              <w:ind w:firstLine="480"/>
              <w:rPr>
                <w:rFonts w:hint="default" w:ascii="Times New Roman" w:hAnsi="Times New Roman" w:cs="Times New Roman"/>
                <w:color w:val="auto"/>
                <w:highlight w:val="none"/>
              </w:rPr>
            </w:pPr>
          </w:p>
          <w:p w14:paraId="122DE352">
            <w:pPr>
              <w:pStyle w:val="54"/>
              <w:spacing w:beforeLines="0" w:line="360" w:lineRule="auto"/>
              <w:ind w:firstLine="480"/>
              <w:rPr>
                <w:rFonts w:hint="default" w:ascii="Times New Roman" w:hAnsi="Times New Roman" w:cs="Times New Roman"/>
                <w:color w:val="auto"/>
                <w:highlight w:val="none"/>
              </w:rPr>
            </w:pPr>
          </w:p>
          <w:p w14:paraId="2F2DF2F0">
            <w:pPr>
              <w:pStyle w:val="54"/>
              <w:spacing w:beforeLines="0" w:line="360" w:lineRule="auto"/>
              <w:ind w:firstLine="480"/>
              <w:rPr>
                <w:rFonts w:hint="default" w:ascii="Times New Roman" w:hAnsi="Times New Roman" w:cs="Times New Roman"/>
                <w:color w:val="auto"/>
                <w:highlight w:val="none"/>
              </w:rPr>
            </w:pPr>
          </w:p>
          <w:p w14:paraId="65CD5DA9">
            <w:pPr>
              <w:pStyle w:val="54"/>
              <w:spacing w:beforeLines="0" w:line="360" w:lineRule="auto"/>
              <w:ind w:firstLine="480"/>
              <w:rPr>
                <w:rFonts w:hint="default" w:ascii="Times New Roman" w:hAnsi="Times New Roman" w:cs="Times New Roman"/>
                <w:color w:val="auto"/>
                <w:highlight w:val="none"/>
              </w:rPr>
            </w:pPr>
          </w:p>
          <w:p w14:paraId="54244876">
            <w:pPr>
              <w:pStyle w:val="54"/>
              <w:spacing w:beforeLines="0" w:line="360" w:lineRule="auto"/>
              <w:ind w:firstLine="480"/>
              <w:rPr>
                <w:rFonts w:hint="default" w:ascii="Times New Roman" w:hAnsi="Times New Roman" w:cs="Times New Roman"/>
                <w:color w:val="auto"/>
                <w:highlight w:val="none"/>
              </w:rPr>
            </w:pPr>
          </w:p>
          <w:p w14:paraId="77819BDB">
            <w:pPr>
              <w:pStyle w:val="54"/>
              <w:spacing w:beforeLines="0" w:line="360" w:lineRule="auto"/>
              <w:ind w:firstLine="480"/>
              <w:rPr>
                <w:rFonts w:hint="default" w:ascii="Times New Roman" w:hAnsi="Times New Roman" w:cs="Times New Roman"/>
                <w:color w:val="auto"/>
                <w:highlight w:val="none"/>
              </w:rPr>
            </w:pPr>
          </w:p>
          <w:p w14:paraId="29A126C4">
            <w:pPr>
              <w:pStyle w:val="54"/>
              <w:spacing w:beforeLines="0" w:line="360" w:lineRule="auto"/>
              <w:ind w:firstLine="480"/>
              <w:rPr>
                <w:rFonts w:hint="default" w:ascii="Times New Roman" w:hAnsi="Times New Roman" w:cs="Times New Roman"/>
                <w:color w:val="auto"/>
                <w:highlight w:val="none"/>
              </w:rPr>
            </w:pPr>
          </w:p>
          <w:p w14:paraId="32EBFBFD">
            <w:pPr>
              <w:pStyle w:val="54"/>
              <w:spacing w:beforeLines="0" w:line="360" w:lineRule="auto"/>
              <w:ind w:firstLine="480"/>
              <w:rPr>
                <w:rFonts w:hint="default" w:ascii="Times New Roman" w:hAnsi="Times New Roman" w:cs="Times New Roman"/>
                <w:color w:val="auto"/>
                <w:highlight w:val="none"/>
              </w:rPr>
            </w:pPr>
          </w:p>
          <w:p w14:paraId="54E88E8F">
            <w:pPr>
              <w:pStyle w:val="54"/>
              <w:spacing w:beforeLines="0" w:line="360" w:lineRule="auto"/>
              <w:ind w:firstLine="480"/>
              <w:rPr>
                <w:rFonts w:hint="default" w:ascii="Times New Roman" w:hAnsi="Times New Roman" w:cs="Times New Roman"/>
                <w:color w:val="auto"/>
                <w:highlight w:val="none"/>
              </w:rPr>
            </w:pPr>
          </w:p>
          <w:p w14:paraId="138F674D">
            <w:pPr>
              <w:pStyle w:val="54"/>
              <w:spacing w:beforeLines="0" w:line="360" w:lineRule="auto"/>
              <w:ind w:left="0" w:leftChars="0" w:firstLine="0" w:firstLineChars="0"/>
              <w:rPr>
                <w:rFonts w:hint="default" w:ascii="Times New Roman" w:hAnsi="Times New Roman" w:cs="Times New Roman"/>
                <w:color w:val="auto"/>
                <w:highlight w:val="none"/>
              </w:rPr>
            </w:pPr>
          </w:p>
          <w:p w14:paraId="134545D1">
            <w:pPr>
              <w:pStyle w:val="54"/>
              <w:spacing w:beforeLines="0" w:line="360" w:lineRule="auto"/>
              <w:ind w:left="0" w:leftChars="0" w:firstLine="0" w:firstLineChars="0"/>
              <w:rPr>
                <w:rFonts w:hint="default" w:ascii="Times New Roman" w:hAnsi="Times New Roman" w:cs="Times New Roman"/>
                <w:color w:val="auto"/>
                <w:highlight w:val="none"/>
              </w:rPr>
            </w:pPr>
          </w:p>
          <w:p w14:paraId="31756241">
            <w:pPr>
              <w:pStyle w:val="54"/>
              <w:spacing w:beforeLines="0" w:line="360" w:lineRule="auto"/>
              <w:ind w:left="0" w:leftChars="0" w:firstLine="0" w:firstLineChars="0"/>
              <w:rPr>
                <w:rFonts w:hint="default" w:ascii="Times New Roman" w:hAnsi="Times New Roman" w:cs="Times New Roman"/>
                <w:color w:val="auto"/>
                <w:highlight w:val="none"/>
              </w:rPr>
            </w:pPr>
          </w:p>
          <w:p w14:paraId="63882C0C">
            <w:pPr>
              <w:pStyle w:val="54"/>
              <w:spacing w:beforeLines="0" w:line="360" w:lineRule="auto"/>
              <w:ind w:left="0" w:leftChars="0" w:firstLine="0" w:firstLineChars="0"/>
              <w:rPr>
                <w:rFonts w:hint="default" w:ascii="Times New Roman" w:hAnsi="Times New Roman" w:cs="Times New Roman"/>
                <w:color w:val="auto"/>
                <w:highlight w:val="none"/>
              </w:rPr>
            </w:pPr>
          </w:p>
        </w:tc>
      </w:tr>
    </w:tbl>
    <w:p w14:paraId="36C52DE0">
      <w:pPr>
        <w:rPr>
          <w:rFonts w:hint="default" w:ascii="Times New Roman" w:hAnsi="Times New Roman" w:cs="Times New Roman"/>
          <w:color w:val="auto"/>
          <w:highlight w:val="none"/>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7973FC8E">
      <w:pPr>
        <w:pStyle w:val="11"/>
        <w:outlineLvl w:val="0"/>
        <w:rPr>
          <w:rFonts w:hint="default" w:ascii="Times New Roman" w:hAnsi="Times New Roman" w:eastAsia="方正小标宋_GBK" w:cs="Times New Roman"/>
          <w:snapToGrid w:val="0"/>
          <w:color w:val="auto"/>
          <w:sz w:val="38"/>
          <w:szCs w:val="38"/>
          <w:highlight w:val="none"/>
        </w:rPr>
      </w:pPr>
      <w:bookmarkStart w:id="21" w:name="_Toc8850"/>
      <w:bookmarkStart w:id="22" w:name="_Toc9003"/>
      <w:r>
        <w:rPr>
          <w:rFonts w:hint="default" w:ascii="Times New Roman" w:hAnsi="Times New Roman" w:cs="Times New Roman"/>
          <w:b/>
          <w:bCs/>
          <w:color w:val="auto"/>
          <w:sz w:val="24"/>
          <w:szCs w:val="24"/>
          <w:highlight w:val="none"/>
        </w:rPr>
        <w:t>附表</w:t>
      </w: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 xml:space="preserve"> 建设项目污染物排放量汇总表</w:t>
      </w:r>
      <w:bookmarkEnd w:id="21"/>
      <w:bookmarkEnd w:id="22"/>
    </w:p>
    <w:p w14:paraId="0168E22D">
      <w:pPr>
        <w:pStyle w:val="25"/>
        <w:jc w:val="center"/>
        <w:rPr>
          <w:rFonts w:hint="default" w:ascii="Times New Roman" w:hAnsi="Times New Roman" w:eastAsia="宋体" w:cs="Times New Roman"/>
          <w:color w:val="auto"/>
          <w:sz w:val="36"/>
          <w:szCs w:val="36"/>
          <w:highlight w:val="none"/>
        </w:rPr>
      </w:pPr>
      <w:r>
        <w:rPr>
          <w:rFonts w:hint="default" w:ascii="Times New Roman" w:hAnsi="Times New Roman" w:eastAsia="宋体" w:cs="Times New Roman"/>
          <w:color w:val="auto"/>
          <w:sz w:val="36"/>
          <w:szCs w:val="36"/>
          <w:highlight w:val="none"/>
        </w:rPr>
        <w:t>建设项目污染物排放量汇总表</w:t>
      </w:r>
    </w:p>
    <w:tbl>
      <w:tblPr>
        <w:tblStyle w:val="31"/>
        <w:tblW w:w="133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560"/>
        <w:gridCol w:w="1477"/>
        <w:gridCol w:w="1129"/>
        <w:gridCol w:w="1578"/>
        <w:gridCol w:w="1478"/>
        <w:gridCol w:w="1550"/>
        <w:gridCol w:w="1709"/>
        <w:gridCol w:w="1492"/>
      </w:tblGrid>
      <w:tr w14:paraId="38A28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tcBorders>
              <w:tl2br w:val="single" w:color="auto" w:sz="4" w:space="0"/>
            </w:tcBorders>
            <w:tcMar>
              <w:left w:w="28" w:type="dxa"/>
              <w:right w:w="28" w:type="dxa"/>
            </w:tcMar>
            <w:vAlign w:val="center"/>
          </w:tcPr>
          <w:p w14:paraId="4F756091">
            <w:pPr>
              <w:adjustRightInd w:val="0"/>
              <w:snapToGrid w:val="0"/>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42961B1B">
            <w:pPr>
              <w:adjustRightInd w:val="0"/>
              <w:snapToGrid w:val="0"/>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560" w:type="dxa"/>
            <w:tcMar>
              <w:left w:w="28" w:type="dxa"/>
              <w:right w:w="28" w:type="dxa"/>
            </w:tcMar>
            <w:vAlign w:val="center"/>
          </w:tcPr>
          <w:p w14:paraId="18539719">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477" w:type="dxa"/>
            <w:tcMar>
              <w:left w:w="28" w:type="dxa"/>
              <w:right w:w="28" w:type="dxa"/>
            </w:tcMar>
            <w:vAlign w:val="center"/>
          </w:tcPr>
          <w:p w14:paraId="423605A4">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049E64E9">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129" w:type="dxa"/>
            <w:tcMar>
              <w:left w:w="28" w:type="dxa"/>
              <w:right w:w="28" w:type="dxa"/>
            </w:tcMar>
            <w:vAlign w:val="center"/>
          </w:tcPr>
          <w:p w14:paraId="4966E150">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3340056B">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7FF4635A">
            <w:pPr>
              <w:adjustRightInd w:val="0"/>
              <w:snapToGrid w:val="0"/>
              <w:spacing w:line="259" w:lineRule="auto"/>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578" w:type="dxa"/>
            <w:tcMar>
              <w:left w:w="28" w:type="dxa"/>
              <w:right w:w="28" w:type="dxa"/>
            </w:tcMar>
            <w:vAlign w:val="center"/>
          </w:tcPr>
          <w:p w14:paraId="3EE0A4DC">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536A0E72">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478" w:type="dxa"/>
            <w:tcMar>
              <w:left w:w="28" w:type="dxa"/>
              <w:right w:w="28" w:type="dxa"/>
            </w:tcMar>
            <w:vAlign w:val="center"/>
          </w:tcPr>
          <w:p w14:paraId="2156213C">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71E88541">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550" w:type="dxa"/>
            <w:tcMar>
              <w:left w:w="28" w:type="dxa"/>
              <w:right w:w="28" w:type="dxa"/>
            </w:tcMar>
            <w:vAlign w:val="center"/>
          </w:tcPr>
          <w:p w14:paraId="2380FCF6">
            <w:pPr>
              <w:adjustRightInd w:val="0"/>
              <w:snapToGrid w:val="0"/>
              <w:jc w:val="center"/>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4202378B">
            <w:pPr>
              <w:adjustRightInd w:val="0"/>
              <w:snapToGrid w:val="0"/>
              <w:jc w:val="center"/>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709" w:type="dxa"/>
            <w:tcMar>
              <w:left w:w="28" w:type="dxa"/>
              <w:right w:w="28" w:type="dxa"/>
            </w:tcMar>
            <w:vAlign w:val="center"/>
          </w:tcPr>
          <w:p w14:paraId="448D589F">
            <w:pPr>
              <w:adjustRightInd w:val="0"/>
              <w:snapToGrid w:val="0"/>
              <w:jc w:val="center"/>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4C480E9F">
            <w:pPr>
              <w:adjustRightInd w:val="0"/>
              <w:snapToGrid w:val="0"/>
              <w:jc w:val="center"/>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492" w:type="dxa"/>
            <w:tcMar>
              <w:left w:w="28" w:type="dxa"/>
              <w:right w:w="28" w:type="dxa"/>
            </w:tcMar>
            <w:vAlign w:val="center"/>
          </w:tcPr>
          <w:p w14:paraId="03D0E9E7">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0DB17114">
            <w:pPr>
              <w:adjustRightInd w:val="0"/>
              <w:snapToGrid w:val="0"/>
              <w:jc w:val="center"/>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7EA1C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Align w:val="center"/>
          </w:tcPr>
          <w:p w14:paraId="5EAC6E07">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1560" w:type="dxa"/>
            <w:vAlign w:val="center"/>
          </w:tcPr>
          <w:p w14:paraId="63C6FBA4">
            <w:pPr>
              <w:jc w:val="center"/>
              <w:rPr>
                <w:rFonts w:hint="default" w:ascii="Times New Roman" w:hAnsi="Times New Roman" w:eastAsia="宋体" w:cs="Times New Roman"/>
                <w:snapToGrid w:val="0"/>
                <w:color w:val="auto"/>
                <w:kern w:val="21"/>
                <w:szCs w:val="21"/>
                <w:highlight w:val="none"/>
                <w:lang w:eastAsia="zh-CN"/>
              </w:rPr>
            </w:pPr>
            <w:r>
              <w:rPr>
                <w:rFonts w:hint="default" w:ascii="Times New Roman" w:hAnsi="Times New Roman" w:cs="Times New Roman"/>
                <w:color w:val="auto"/>
                <w:highlight w:val="none"/>
                <w:lang w:val="en-US" w:eastAsia="zh-CN"/>
              </w:rPr>
              <w:t>/</w:t>
            </w:r>
          </w:p>
        </w:tc>
        <w:tc>
          <w:tcPr>
            <w:tcW w:w="1477" w:type="dxa"/>
            <w:vAlign w:val="center"/>
          </w:tcPr>
          <w:p w14:paraId="5F1F6E85">
            <w:pPr>
              <w:adjustRightInd w:val="0"/>
              <w:snapToGrid w:val="0"/>
              <w:jc w:val="center"/>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color w:val="auto"/>
                <w:highlight w:val="none"/>
                <w:lang w:val="en-US" w:eastAsia="zh-CN"/>
              </w:rPr>
              <w:t>/</w:t>
            </w:r>
          </w:p>
        </w:tc>
        <w:tc>
          <w:tcPr>
            <w:tcW w:w="1129" w:type="dxa"/>
            <w:vAlign w:val="center"/>
          </w:tcPr>
          <w:p w14:paraId="4886672A">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c>
          <w:tcPr>
            <w:tcW w:w="1578" w:type="dxa"/>
            <w:vAlign w:val="center"/>
          </w:tcPr>
          <w:p w14:paraId="1A6DEA9D">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c>
          <w:tcPr>
            <w:tcW w:w="1478" w:type="dxa"/>
            <w:vAlign w:val="center"/>
          </w:tcPr>
          <w:p w14:paraId="12542BE3">
            <w:pPr>
              <w:widowControl/>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c>
          <w:tcPr>
            <w:tcW w:w="1550" w:type="dxa"/>
            <w:vAlign w:val="center"/>
          </w:tcPr>
          <w:p w14:paraId="3C840936">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c>
          <w:tcPr>
            <w:tcW w:w="1709" w:type="dxa"/>
            <w:vAlign w:val="center"/>
          </w:tcPr>
          <w:p w14:paraId="2275C99B">
            <w:pPr>
              <w:widowControl/>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c>
          <w:tcPr>
            <w:tcW w:w="1492" w:type="dxa"/>
            <w:vAlign w:val="center"/>
          </w:tcPr>
          <w:p w14:paraId="5B576DB4">
            <w:pPr>
              <w:widowControl/>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highlight w:val="none"/>
                <w:lang w:val="en-US" w:eastAsia="zh-CN"/>
              </w:rPr>
              <w:t>/</w:t>
            </w:r>
          </w:p>
        </w:tc>
      </w:tr>
      <w:tr w14:paraId="192093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Align w:val="center"/>
          </w:tcPr>
          <w:p w14:paraId="2029FF5F">
            <w:pPr>
              <w:adjustRightInd w:val="0"/>
              <w:snapToGrid w:val="0"/>
              <w:jc w:val="center"/>
              <w:rPr>
                <w:rFonts w:hint="default" w:ascii="Times New Roman" w:hAnsi="Times New Roman" w:eastAsia="宋体" w:cs="Times New Roman"/>
                <w:snapToGrid w:val="0"/>
                <w:color w:val="auto"/>
                <w:kern w:val="21"/>
                <w:szCs w:val="21"/>
                <w:highlight w:val="none"/>
                <w:lang w:eastAsia="zh-CN"/>
              </w:rPr>
            </w:pPr>
            <w:r>
              <w:rPr>
                <w:rFonts w:hint="default" w:ascii="Times New Roman" w:hAnsi="Times New Roman" w:cs="Times New Roman"/>
                <w:snapToGrid w:val="0"/>
                <w:color w:val="auto"/>
                <w:kern w:val="21"/>
                <w:szCs w:val="21"/>
                <w:highlight w:val="none"/>
                <w:lang w:eastAsia="zh-CN"/>
              </w:rPr>
              <w:t>废气</w:t>
            </w:r>
          </w:p>
        </w:tc>
        <w:tc>
          <w:tcPr>
            <w:tcW w:w="1560" w:type="dxa"/>
            <w:vAlign w:val="center"/>
          </w:tcPr>
          <w:p w14:paraId="0B506805">
            <w:pPr>
              <w:adjustRightInd w:val="0"/>
              <w:snapToGrid w:val="0"/>
              <w:jc w:val="center"/>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颗粒物</w:t>
            </w:r>
          </w:p>
        </w:tc>
        <w:tc>
          <w:tcPr>
            <w:tcW w:w="1477" w:type="dxa"/>
            <w:vAlign w:val="center"/>
          </w:tcPr>
          <w:p w14:paraId="48BCB4A9">
            <w:pPr>
              <w:adjustRightInd w:val="0"/>
              <w:snapToGrid w:val="0"/>
              <w:jc w:val="center"/>
              <w:rPr>
                <w:rFonts w:hint="default" w:ascii="Times New Roman" w:hAnsi="Times New Roman" w:cs="Times New Roman"/>
                <w:i w:val="0"/>
                <w:iCs w:val="0"/>
                <w:color w:val="auto"/>
                <w:kern w:val="0"/>
                <w:sz w:val="21"/>
                <w:szCs w:val="21"/>
                <w:highlight w:val="none"/>
                <w:u w:val="none"/>
                <w:lang w:val="en-US" w:eastAsia="zh-CN"/>
              </w:rPr>
            </w:pPr>
            <w:r>
              <w:rPr>
                <w:rFonts w:hint="default" w:ascii="Times New Roman" w:hAnsi="Times New Roman" w:cs="Times New Roman"/>
                <w:snapToGrid w:val="0"/>
                <w:color w:val="auto"/>
                <w:kern w:val="21"/>
                <w:szCs w:val="21"/>
                <w:highlight w:val="none"/>
              </w:rPr>
              <w:t>/</w:t>
            </w:r>
          </w:p>
        </w:tc>
        <w:tc>
          <w:tcPr>
            <w:tcW w:w="1129" w:type="dxa"/>
            <w:vAlign w:val="center"/>
          </w:tcPr>
          <w:p w14:paraId="4E0C448C">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78" w:type="dxa"/>
            <w:vAlign w:val="center"/>
          </w:tcPr>
          <w:p w14:paraId="3EC92EF0">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478" w:type="dxa"/>
            <w:vAlign w:val="center"/>
          </w:tcPr>
          <w:p w14:paraId="7F8CCCA2">
            <w:pPr>
              <w:widowControl/>
              <w:jc w:val="center"/>
              <w:textAlignment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i w:val="0"/>
                <w:iCs w:val="0"/>
                <w:color w:val="auto"/>
                <w:kern w:val="0"/>
                <w:sz w:val="22"/>
                <w:szCs w:val="22"/>
                <w:highlight w:val="none"/>
                <w:u w:val="none"/>
                <w:lang w:val="en-US" w:eastAsia="zh-CN" w:bidi="ar"/>
              </w:rPr>
              <w:t>55.74</w:t>
            </w:r>
            <w:r>
              <w:rPr>
                <w:rFonts w:hint="default" w:ascii="Times New Roman" w:hAnsi="Times New Roman" w:cs="Times New Roman"/>
                <w:color w:val="auto"/>
                <w:sz w:val="21"/>
                <w:szCs w:val="21"/>
                <w:highlight w:val="none"/>
              </w:rPr>
              <w:t>t/a</w:t>
            </w:r>
          </w:p>
        </w:tc>
        <w:tc>
          <w:tcPr>
            <w:tcW w:w="1550" w:type="dxa"/>
            <w:vAlign w:val="center"/>
          </w:tcPr>
          <w:p w14:paraId="2573DA52">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709" w:type="dxa"/>
            <w:vAlign w:val="center"/>
          </w:tcPr>
          <w:p w14:paraId="091BE1E5">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2"/>
                <w:szCs w:val="22"/>
                <w:highlight w:val="none"/>
                <w:u w:val="none"/>
                <w:lang w:val="en-US" w:eastAsia="zh-CN" w:bidi="ar"/>
              </w:rPr>
              <w:t>55.74</w:t>
            </w:r>
            <w:r>
              <w:rPr>
                <w:rFonts w:hint="default" w:ascii="Times New Roman" w:hAnsi="Times New Roman" w:cs="Times New Roman"/>
                <w:color w:val="auto"/>
                <w:sz w:val="21"/>
                <w:szCs w:val="21"/>
                <w:highlight w:val="none"/>
              </w:rPr>
              <w:t>t/a</w:t>
            </w:r>
          </w:p>
        </w:tc>
        <w:tc>
          <w:tcPr>
            <w:tcW w:w="1492" w:type="dxa"/>
            <w:vAlign w:val="center"/>
          </w:tcPr>
          <w:p w14:paraId="77BFA940">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2"/>
                <w:szCs w:val="22"/>
                <w:highlight w:val="none"/>
                <w:u w:val="none"/>
                <w:lang w:val="en-US" w:eastAsia="zh-CN" w:bidi="ar"/>
              </w:rPr>
              <w:t>55.74</w:t>
            </w:r>
            <w:r>
              <w:rPr>
                <w:rFonts w:hint="default" w:ascii="Times New Roman" w:hAnsi="Times New Roman" w:cs="Times New Roman"/>
                <w:color w:val="auto"/>
                <w:sz w:val="21"/>
                <w:szCs w:val="21"/>
                <w:highlight w:val="none"/>
              </w:rPr>
              <w:t>t/a</w:t>
            </w:r>
          </w:p>
        </w:tc>
      </w:tr>
      <w:tr w14:paraId="35044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Merge w:val="restart"/>
            <w:vAlign w:val="center"/>
          </w:tcPr>
          <w:p w14:paraId="776147C8">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 xml:space="preserve">一般工业 </w:t>
            </w:r>
          </w:p>
          <w:p w14:paraId="58BF4FF5">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1560" w:type="dxa"/>
            <w:vAlign w:val="center"/>
          </w:tcPr>
          <w:p w14:paraId="0A66143F">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生活垃圾</w:t>
            </w:r>
          </w:p>
        </w:tc>
        <w:tc>
          <w:tcPr>
            <w:tcW w:w="1477" w:type="dxa"/>
            <w:vAlign w:val="center"/>
          </w:tcPr>
          <w:p w14:paraId="31EAA188">
            <w:pPr>
              <w:adjustRightInd w:val="0"/>
              <w:snapToGrid w:val="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w:t>
            </w:r>
          </w:p>
        </w:tc>
        <w:tc>
          <w:tcPr>
            <w:tcW w:w="1129" w:type="dxa"/>
            <w:vAlign w:val="center"/>
          </w:tcPr>
          <w:p w14:paraId="0A2E79B5">
            <w:pPr>
              <w:adjustRightInd w:val="0"/>
              <w:snapToGrid w:val="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w:t>
            </w:r>
          </w:p>
        </w:tc>
        <w:tc>
          <w:tcPr>
            <w:tcW w:w="1578" w:type="dxa"/>
            <w:vAlign w:val="center"/>
          </w:tcPr>
          <w:p w14:paraId="36D249DB">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478" w:type="dxa"/>
            <w:vAlign w:val="center"/>
          </w:tcPr>
          <w:p w14:paraId="1755C0DD">
            <w:pPr>
              <w:widowControl/>
              <w:jc w:val="center"/>
              <w:textAlignment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12</w:t>
            </w:r>
            <w:r>
              <w:rPr>
                <w:rFonts w:hint="default" w:ascii="Times New Roman" w:hAnsi="Times New Roman" w:cs="Times New Roman"/>
                <w:snapToGrid w:val="0"/>
                <w:color w:val="auto"/>
                <w:kern w:val="21"/>
                <w:szCs w:val="21"/>
                <w:highlight w:val="none"/>
              </w:rPr>
              <w:t>t/a</w:t>
            </w:r>
          </w:p>
        </w:tc>
        <w:tc>
          <w:tcPr>
            <w:tcW w:w="1550" w:type="dxa"/>
            <w:vAlign w:val="center"/>
          </w:tcPr>
          <w:p w14:paraId="2F330B7C">
            <w:pPr>
              <w:adjustRightInd w:val="0"/>
              <w:snapToGrid w:val="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709" w:type="dxa"/>
            <w:vAlign w:val="center"/>
          </w:tcPr>
          <w:p w14:paraId="0F73EBAF">
            <w:pPr>
              <w:widowControl/>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12</w:t>
            </w:r>
            <w:r>
              <w:rPr>
                <w:rFonts w:hint="default" w:ascii="Times New Roman" w:hAnsi="Times New Roman" w:cs="Times New Roman"/>
                <w:snapToGrid w:val="0"/>
                <w:color w:val="auto"/>
                <w:kern w:val="21"/>
                <w:szCs w:val="21"/>
                <w:highlight w:val="none"/>
              </w:rPr>
              <w:t>t/a</w:t>
            </w:r>
          </w:p>
        </w:tc>
        <w:tc>
          <w:tcPr>
            <w:tcW w:w="1492" w:type="dxa"/>
            <w:vAlign w:val="center"/>
          </w:tcPr>
          <w:p w14:paraId="7FEB3226">
            <w:pPr>
              <w:widowControl/>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12</w:t>
            </w:r>
            <w:r>
              <w:rPr>
                <w:rFonts w:hint="default" w:ascii="Times New Roman" w:hAnsi="Times New Roman" w:cs="Times New Roman"/>
                <w:snapToGrid w:val="0"/>
                <w:color w:val="auto"/>
                <w:kern w:val="21"/>
                <w:szCs w:val="21"/>
                <w:highlight w:val="none"/>
              </w:rPr>
              <w:t>t/a</w:t>
            </w:r>
          </w:p>
        </w:tc>
      </w:tr>
      <w:tr w14:paraId="639A9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Merge w:val="continue"/>
            <w:vAlign w:val="center"/>
          </w:tcPr>
          <w:p w14:paraId="7B121638">
            <w:pPr>
              <w:adjustRightInd w:val="0"/>
              <w:snapToGrid w:val="0"/>
              <w:jc w:val="center"/>
              <w:rPr>
                <w:rFonts w:hint="default" w:ascii="Times New Roman" w:hAnsi="Times New Roman" w:cs="Times New Roman"/>
                <w:snapToGrid w:val="0"/>
                <w:color w:val="auto"/>
                <w:kern w:val="21"/>
                <w:szCs w:val="21"/>
                <w:highlight w:val="none"/>
              </w:rPr>
            </w:pPr>
          </w:p>
        </w:tc>
        <w:tc>
          <w:tcPr>
            <w:tcW w:w="1560" w:type="dxa"/>
            <w:vAlign w:val="center"/>
          </w:tcPr>
          <w:p w14:paraId="6AF5C2FD">
            <w:pPr>
              <w:adjustRightInd w:val="0"/>
              <w:snapToGrid w:val="0"/>
              <w:jc w:val="center"/>
              <w:rPr>
                <w:rFonts w:hint="default" w:ascii="Times New Roman" w:hAnsi="Times New Roman" w:cs="Times New Roman"/>
                <w:snapToGrid w:val="0"/>
                <w:color w:val="auto"/>
                <w:kern w:val="21"/>
                <w:szCs w:val="21"/>
                <w:highlight w:val="none"/>
                <w:lang w:eastAsia="zh-CN"/>
              </w:rPr>
            </w:pPr>
            <w:r>
              <w:rPr>
                <w:rFonts w:hint="eastAsia" w:cs="Times New Roman"/>
                <w:snapToGrid w:val="0"/>
                <w:color w:val="auto"/>
                <w:kern w:val="21"/>
                <w:szCs w:val="21"/>
                <w:highlight w:val="none"/>
                <w:lang w:eastAsia="zh-CN"/>
              </w:rPr>
              <w:t>沉淀煤泥</w:t>
            </w:r>
          </w:p>
        </w:tc>
        <w:tc>
          <w:tcPr>
            <w:tcW w:w="1477" w:type="dxa"/>
            <w:vAlign w:val="center"/>
          </w:tcPr>
          <w:p w14:paraId="434047A9">
            <w:pPr>
              <w:adjustRightInd w:val="0"/>
              <w:snapToGrid w:val="0"/>
              <w:jc w:val="center"/>
              <w:rPr>
                <w:rFonts w:hint="eastAsia"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129" w:type="dxa"/>
            <w:vAlign w:val="center"/>
          </w:tcPr>
          <w:p w14:paraId="2715887B">
            <w:pPr>
              <w:adjustRightInd w:val="0"/>
              <w:snapToGrid w:val="0"/>
              <w:jc w:val="center"/>
              <w:rPr>
                <w:rFonts w:hint="eastAsia"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578" w:type="dxa"/>
            <w:vAlign w:val="center"/>
          </w:tcPr>
          <w:p w14:paraId="1288287C">
            <w:pPr>
              <w:adjustRightInd w:val="0"/>
              <w:snapToGrid w:val="0"/>
              <w:jc w:val="center"/>
              <w:rPr>
                <w:rFonts w:hint="eastAsia"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478" w:type="dxa"/>
            <w:vAlign w:val="center"/>
          </w:tcPr>
          <w:p w14:paraId="4F774D5E">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1.00t/a</w:t>
            </w:r>
          </w:p>
        </w:tc>
        <w:tc>
          <w:tcPr>
            <w:tcW w:w="1550" w:type="dxa"/>
            <w:vAlign w:val="center"/>
          </w:tcPr>
          <w:p w14:paraId="3E5CBABB">
            <w:pPr>
              <w:adjustRightInd w:val="0"/>
              <w:snapToGrid w:val="0"/>
              <w:jc w:val="center"/>
              <w:rPr>
                <w:rFonts w:hint="default" w:ascii="Times New Roman" w:hAnsi="Times New Roman"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709" w:type="dxa"/>
            <w:vAlign w:val="center"/>
          </w:tcPr>
          <w:p w14:paraId="68D518AB">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1.00t/a</w:t>
            </w:r>
          </w:p>
        </w:tc>
        <w:tc>
          <w:tcPr>
            <w:tcW w:w="1492" w:type="dxa"/>
            <w:vAlign w:val="center"/>
          </w:tcPr>
          <w:p w14:paraId="2BA40876">
            <w:pPr>
              <w:widowControl/>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+1.00t/a</w:t>
            </w:r>
          </w:p>
        </w:tc>
      </w:tr>
      <w:tr w14:paraId="558A0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Merge w:val="continue"/>
            <w:vAlign w:val="center"/>
          </w:tcPr>
          <w:p w14:paraId="210D72DC">
            <w:pPr>
              <w:adjustRightInd w:val="0"/>
              <w:snapToGrid w:val="0"/>
              <w:jc w:val="center"/>
              <w:rPr>
                <w:rFonts w:hint="default" w:ascii="Times New Roman" w:hAnsi="Times New Roman" w:cs="Times New Roman"/>
                <w:snapToGrid w:val="0"/>
                <w:color w:val="auto"/>
                <w:kern w:val="21"/>
                <w:szCs w:val="21"/>
                <w:highlight w:val="none"/>
              </w:rPr>
            </w:pPr>
          </w:p>
        </w:tc>
        <w:tc>
          <w:tcPr>
            <w:tcW w:w="1560" w:type="dxa"/>
            <w:vAlign w:val="center"/>
          </w:tcPr>
          <w:p w14:paraId="0CACF864">
            <w:pPr>
              <w:adjustRightInd w:val="0"/>
              <w:snapToGrid w:val="0"/>
              <w:jc w:val="center"/>
              <w:rPr>
                <w:rFonts w:hint="eastAsia" w:cs="Times New Roman"/>
                <w:snapToGrid w:val="0"/>
                <w:color w:val="auto"/>
                <w:kern w:val="21"/>
                <w:szCs w:val="21"/>
                <w:highlight w:val="none"/>
                <w:lang w:eastAsia="zh-CN"/>
              </w:rPr>
            </w:pPr>
            <w:r>
              <w:rPr>
                <w:rFonts w:hint="eastAsia" w:cs="Times New Roman"/>
                <w:snapToGrid w:val="0"/>
                <w:color w:val="auto"/>
                <w:kern w:val="21"/>
                <w:szCs w:val="21"/>
                <w:highlight w:val="none"/>
                <w:lang w:eastAsia="zh-CN"/>
              </w:rPr>
              <w:t>破损防风抑尘网</w:t>
            </w:r>
          </w:p>
        </w:tc>
        <w:tc>
          <w:tcPr>
            <w:tcW w:w="1477" w:type="dxa"/>
            <w:vAlign w:val="center"/>
          </w:tcPr>
          <w:p w14:paraId="3F620AD2">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129" w:type="dxa"/>
            <w:vAlign w:val="center"/>
          </w:tcPr>
          <w:p w14:paraId="0D34CC80">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578" w:type="dxa"/>
            <w:vAlign w:val="center"/>
          </w:tcPr>
          <w:p w14:paraId="14330236">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478" w:type="dxa"/>
            <w:vAlign w:val="center"/>
          </w:tcPr>
          <w:p w14:paraId="40AE7F9C">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2</w:t>
            </w:r>
            <w:r>
              <w:rPr>
                <w:rFonts w:hint="default" w:ascii="Times New Roman" w:hAnsi="Times New Roman" w:cs="Times New Roman"/>
                <w:snapToGrid w:val="0"/>
                <w:color w:val="auto"/>
                <w:kern w:val="21"/>
                <w:szCs w:val="21"/>
                <w:highlight w:val="none"/>
              </w:rPr>
              <w:t>t/a</w:t>
            </w:r>
          </w:p>
        </w:tc>
        <w:tc>
          <w:tcPr>
            <w:tcW w:w="1550" w:type="dxa"/>
            <w:vAlign w:val="center"/>
          </w:tcPr>
          <w:p w14:paraId="522D66F1">
            <w:pPr>
              <w:adjustRightInd w:val="0"/>
              <w:snapToGrid w:val="0"/>
              <w:jc w:val="center"/>
              <w:rPr>
                <w:rFonts w:hint="eastAsia"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rPr>
              <w:t>/</w:t>
            </w:r>
          </w:p>
        </w:tc>
        <w:tc>
          <w:tcPr>
            <w:tcW w:w="1709" w:type="dxa"/>
            <w:vAlign w:val="center"/>
          </w:tcPr>
          <w:p w14:paraId="3175E144">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2</w:t>
            </w:r>
            <w:r>
              <w:rPr>
                <w:rFonts w:hint="default" w:ascii="Times New Roman" w:hAnsi="Times New Roman" w:cs="Times New Roman"/>
                <w:snapToGrid w:val="0"/>
                <w:color w:val="auto"/>
                <w:kern w:val="21"/>
                <w:szCs w:val="21"/>
                <w:highlight w:val="none"/>
              </w:rPr>
              <w:t>t/a</w:t>
            </w:r>
          </w:p>
        </w:tc>
        <w:tc>
          <w:tcPr>
            <w:tcW w:w="1492" w:type="dxa"/>
            <w:vAlign w:val="center"/>
          </w:tcPr>
          <w:p w14:paraId="64011BA1">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2</w:t>
            </w:r>
            <w:r>
              <w:rPr>
                <w:rFonts w:hint="default" w:ascii="Times New Roman" w:hAnsi="Times New Roman" w:cs="Times New Roman"/>
                <w:snapToGrid w:val="0"/>
                <w:color w:val="auto"/>
                <w:kern w:val="21"/>
                <w:szCs w:val="21"/>
                <w:highlight w:val="none"/>
              </w:rPr>
              <w:t>t/a</w:t>
            </w:r>
          </w:p>
        </w:tc>
      </w:tr>
      <w:tr w14:paraId="6867C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42" w:type="dxa"/>
            <w:vMerge w:val="continue"/>
            <w:vAlign w:val="center"/>
          </w:tcPr>
          <w:p w14:paraId="1A2FA0C9">
            <w:pPr>
              <w:adjustRightInd w:val="0"/>
              <w:snapToGrid w:val="0"/>
              <w:jc w:val="center"/>
              <w:rPr>
                <w:rFonts w:hint="default" w:ascii="Times New Roman" w:hAnsi="Times New Roman" w:cs="Times New Roman"/>
                <w:snapToGrid w:val="0"/>
                <w:color w:val="auto"/>
                <w:kern w:val="21"/>
                <w:szCs w:val="21"/>
                <w:highlight w:val="none"/>
              </w:rPr>
            </w:pPr>
          </w:p>
        </w:tc>
        <w:tc>
          <w:tcPr>
            <w:tcW w:w="1560" w:type="dxa"/>
            <w:vAlign w:val="center"/>
          </w:tcPr>
          <w:p w14:paraId="4D9A22EC">
            <w:pPr>
              <w:adjustRightInd w:val="0"/>
              <w:snapToGrid w:val="0"/>
              <w:jc w:val="center"/>
              <w:rPr>
                <w:rFonts w:hint="eastAsia" w:cs="Times New Roman"/>
                <w:snapToGrid w:val="0"/>
                <w:color w:val="auto"/>
                <w:kern w:val="21"/>
                <w:szCs w:val="21"/>
                <w:highlight w:val="none"/>
                <w:lang w:eastAsia="zh-CN"/>
              </w:rPr>
            </w:pPr>
            <w:r>
              <w:rPr>
                <w:rFonts w:hint="eastAsia" w:cs="Times New Roman"/>
                <w:snapToGrid w:val="0"/>
                <w:color w:val="auto"/>
                <w:kern w:val="21"/>
                <w:szCs w:val="21"/>
                <w:highlight w:val="none"/>
                <w:lang w:eastAsia="zh-CN"/>
              </w:rPr>
              <w:t>破损苫布</w:t>
            </w:r>
          </w:p>
        </w:tc>
        <w:tc>
          <w:tcPr>
            <w:tcW w:w="1477" w:type="dxa"/>
            <w:vAlign w:val="center"/>
          </w:tcPr>
          <w:p w14:paraId="4DAE0E18">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129" w:type="dxa"/>
            <w:vAlign w:val="center"/>
          </w:tcPr>
          <w:p w14:paraId="6F385A23">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578" w:type="dxa"/>
            <w:vAlign w:val="center"/>
          </w:tcPr>
          <w:p w14:paraId="06440C7B">
            <w:pPr>
              <w:adjustRightInd w:val="0"/>
              <w:snapToGrid w:val="0"/>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478" w:type="dxa"/>
            <w:vAlign w:val="center"/>
          </w:tcPr>
          <w:p w14:paraId="13415CC8">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w:t>
            </w:r>
            <w:r>
              <w:rPr>
                <w:rFonts w:hint="default" w:ascii="Times New Roman" w:hAnsi="Times New Roman" w:cs="Times New Roman"/>
                <w:snapToGrid w:val="0"/>
                <w:color w:val="auto"/>
                <w:kern w:val="21"/>
                <w:szCs w:val="21"/>
                <w:highlight w:val="none"/>
              </w:rPr>
              <w:t>t/a</w:t>
            </w:r>
          </w:p>
        </w:tc>
        <w:tc>
          <w:tcPr>
            <w:tcW w:w="1550" w:type="dxa"/>
            <w:vAlign w:val="center"/>
          </w:tcPr>
          <w:p w14:paraId="3BF7F948">
            <w:pPr>
              <w:adjustRightInd w:val="0"/>
              <w:snapToGrid w:val="0"/>
              <w:jc w:val="center"/>
              <w:rPr>
                <w:rFonts w:hint="eastAsia"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rPr>
              <w:t>/</w:t>
            </w:r>
          </w:p>
        </w:tc>
        <w:tc>
          <w:tcPr>
            <w:tcW w:w="1709" w:type="dxa"/>
            <w:vAlign w:val="center"/>
          </w:tcPr>
          <w:p w14:paraId="542E799F">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w:t>
            </w:r>
            <w:r>
              <w:rPr>
                <w:rFonts w:hint="default" w:ascii="Times New Roman" w:hAnsi="Times New Roman" w:cs="Times New Roman"/>
                <w:snapToGrid w:val="0"/>
                <w:color w:val="auto"/>
                <w:kern w:val="21"/>
                <w:szCs w:val="21"/>
                <w:highlight w:val="none"/>
              </w:rPr>
              <w:t>t/a</w:t>
            </w:r>
          </w:p>
        </w:tc>
        <w:tc>
          <w:tcPr>
            <w:tcW w:w="1492" w:type="dxa"/>
            <w:vAlign w:val="center"/>
          </w:tcPr>
          <w:p w14:paraId="1791CC0F">
            <w:pPr>
              <w:widowControl/>
              <w:jc w:val="center"/>
              <w:textAlignment w:val="center"/>
              <w:rPr>
                <w:rFonts w:hint="eastAsia" w:cs="Times New Roman"/>
                <w:i w:val="0"/>
                <w:iCs w:val="0"/>
                <w:color w:val="auto"/>
                <w:kern w:val="0"/>
                <w:sz w:val="21"/>
                <w:szCs w:val="21"/>
                <w:highlight w:val="none"/>
                <w:u w:val="none"/>
                <w:lang w:val="en-US" w:eastAsia="zh-CN"/>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w:t>
            </w:r>
            <w:r>
              <w:rPr>
                <w:rFonts w:hint="default" w:ascii="Times New Roman" w:hAnsi="Times New Roman" w:cs="Times New Roman"/>
                <w:snapToGrid w:val="0"/>
                <w:color w:val="auto"/>
                <w:kern w:val="21"/>
                <w:szCs w:val="21"/>
                <w:highlight w:val="none"/>
              </w:rPr>
              <w:t>t/a</w:t>
            </w:r>
          </w:p>
        </w:tc>
      </w:tr>
    </w:tbl>
    <w:p w14:paraId="5C25F053">
      <w:pPr>
        <w:adjustRightInd w:val="0"/>
        <w:snapToGrid w:val="0"/>
        <w:spacing w:beforeLines="80" w:afterLines="10" w:line="259" w:lineRule="auto"/>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5F771AB7">
      <w:pPr>
        <w:adjustRightInd w:val="0"/>
        <w:snapToGrid w:val="0"/>
        <w:spacing w:beforeLines="80" w:afterLines="10" w:line="259" w:lineRule="auto"/>
        <w:jc w:val="left"/>
        <w:rPr>
          <w:rFonts w:hint="default" w:ascii="Times New Roman" w:hAnsi="Times New Roman" w:cs="Times New Roman"/>
          <w:snapToGrid w:val="0"/>
          <w:color w:val="auto"/>
          <w:spacing w:val="-6"/>
          <w:kern w:val="21"/>
          <w:szCs w:val="21"/>
          <w:highlight w:val="none"/>
        </w:rPr>
        <w:sectPr>
          <w:footerReference r:id="rId6" w:type="default"/>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6510EC16">
      <w:pPr>
        <w:spacing w:beforeLines="5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1"/>
          <w:szCs w:val="20"/>
          <w:highlight w:val="none"/>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1350010</wp:posOffset>
                </wp:positionH>
                <wp:positionV relativeFrom="paragraph">
                  <wp:posOffset>3421380</wp:posOffset>
                </wp:positionV>
                <wp:extent cx="771525" cy="257175"/>
                <wp:effectExtent l="4445" t="5080" r="5080" b="156845"/>
                <wp:wrapNone/>
                <wp:docPr id="15" name="矩形标注 88"/>
                <wp:cNvGraphicFramePr/>
                <a:graphic xmlns:a="http://schemas.openxmlformats.org/drawingml/2006/main">
                  <a:graphicData uri="http://schemas.microsoft.com/office/word/2010/wordprocessingShape">
                    <wps:wsp>
                      <wps:cNvSpPr/>
                      <wps:spPr>
                        <a:xfrm>
                          <a:off x="0" y="0"/>
                          <a:ext cx="771525" cy="257175"/>
                        </a:xfrm>
                        <a:prstGeom prst="wedgeRectCallout">
                          <a:avLst>
                            <a:gd name="adj1" fmla="val -45662"/>
                            <a:gd name="adj2" fmla="val 104787"/>
                          </a:avLst>
                        </a:prstGeom>
                        <a:solidFill>
                          <a:srgbClr val="FFFFFF"/>
                        </a:solidFill>
                        <a:ln w="9525" cap="flat" cmpd="sng">
                          <a:solidFill>
                            <a:srgbClr val="000000"/>
                          </a:solidFill>
                          <a:prstDash val="solid"/>
                          <a:miter/>
                          <a:headEnd type="none" w="med" len="med"/>
                          <a:tailEnd type="none" w="med" len="med"/>
                        </a:ln>
                      </wps:spPr>
                      <wps:txbx>
                        <w:txbxContent>
                          <w:p w14:paraId="129BB012">
                            <w:pPr>
                              <w:rPr>
                                <w:sz w:val="18"/>
                                <w:szCs w:val="18"/>
                              </w:rPr>
                            </w:pPr>
                            <w:r>
                              <w:rPr>
                                <w:rFonts w:hint="eastAsia"/>
                                <w:sz w:val="18"/>
                                <w:szCs w:val="18"/>
                              </w:rPr>
                              <w:t>本项目位置</w:t>
                            </w:r>
                          </w:p>
                        </w:txbxContent>
                      </wps:txbx>
                      <wps:bodyPr upright="1"/>
                    </wps:wsp>
                  </a:graphicData>
                </a:graphic>
              </wp:anchor>
            </w:drawing>
          </mc:Choice>
          <mc:Fallback>
            <w:pict>
              <v:shape id="矩形标注 88" o:spid="_x0000_s1026" o:spt="61" type="#_x0000_t61" style="position:absolute;left:0pt;margin-left:106.3pt;margin-top:269.4pt;height:20.25pt;width:60.75pt;z-index:251669504;mso-width-relative:page;mso-height-relative:page;" fillcolor="#FFFFFF" filled="t" stroked="t" coordsize="21600,21600" o:gfxdata="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twN/D3AAAAAsBAAAPAAAAAAAAAAEAIAAAACIAAABkcnMv&#10;ZG93bnJldi54bWxQSwECFAAUAAAACACHTuJA8S4oKDgCAACPBAAADgAAAAAAAAABACAAAAArAQAA&#10;ZHJzL2Uyb0RvYy54bWxQSwUGAAAAAAYABgBZAQAA1QUAAAAA&#10;" adj="937,33434">
                <v:fill on="t" focussize="0,0"/>
                <v:stroke color="#000000" joinstyle="miter"/>
                <v:imagedata o:title=""/>
                <o:lock v:ext="edit" aspectratio="f"/>
                <v:textbox>
                  <w:txbxContent>
                    <w:p w14:paraId="129BB012">
                      <w:pPr>
                        <w:rPr>
                          <w:sz w:val="18"/>
                          <w:szCs w:val="18"/>
                        </w:rPr>
                      </w:pPr>
                      <w:r>
                        <w:rPr>
                          <w:rFonts w:hint="eastAsia"/>
                          <w:sz w:val="18"/>
                          <w:szCs w:val="18"/>
                        </w:rPr>
                        <w:t>本项目位置</w:t>
                      </w:r>
                    </w:p>
                  </w:txbxContent>
                </v:textbox>
              </v:shape>
            </w:pict>
          </mc:Fallback>
        </mc:AlternateContent>
      </w:r>
      <w:r>
        <w:rPr>
          <w:rFonts w:hint="default" w:ascii="Times New Roman" w:hAnsi="Times New Roman" w:cs="Times New Roman"/>
          <w:color w:val="auto"/>
          <w:highlight w:val="none"/>
          <w:lang w:val="en-US" w:eastAsia="zh-CN"/>
        </w:rPr>
        <w:drawing>
          <wp:inline distT="0" distB="0" distL="114300" distR="114300">
            <wp:extent cx="8368665" cy="5326380"/>
            <wp:effectExtent l="0" t="0" r="13335" b="7620"/>
            <wp:docPr id="32" name="图片 1" descr="971785f5e851cc10cc77fa6b452f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971785f5e851cc10cc77fa6b452fc50"/>
                    <pic:cNvPicPr>
                      <a:picLocks noChangeAspect="1"/>
                    </pic:cNvPicPr>
                  </pic:nvPicPr>
                  <pic:blipFill>
                    <a:blip r:embed="rId28"/>
                    <a:stretch>
                      <a:fillRect/>
                    </a:stretch>
                  </pic:blipFill>
                  <pic:spPr>
                    <a:xfrm>
                      <a:off x="0" y="0"/>
                      <a:ext cx="8368665" cy="5326380"/>
                    </a:xfrm>
                    <a:prstGeom prst="rect">
                      <a:avLst/>
                    </a:prstGeom>
                    <a:noFill/>
                    <a:ln>
                      <a:noFill/>
                    </a:ln>
                  </pic:spPr>
                </pic:pic>
              </a:graphicData>
            </a:graphic>
          </wp:inline>
        </w:drawing>
      </w:r>
    </w:p>
    <w:p w14:paraId="5E8EB8EB">
      <w:pPr>
        <w:pStyle w:val="11"/>
        <w:jc w:val="center"/>
        <w:outlineLvl w:val="0"/>
        <w:rPr>
          <w:rFonts w:hint="default" w:ascii="Times New Roman" w:hAnsi="Times New Roman" w:cs="Times New Roman"/>
          <w:color w:val="auto"/>
          <w:highlight w:val="none"/>
        </w:rPr>
        <w:sectPr>
          <w:footerReference r:id="rId7" w:type="default"/>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23" w:name="_Toc17578"/>
      <w:r>
        <w:rPr>
          <w:rFonts w:hint="default" w:ascii="Times New Roman" w:hAnsi="Times New Roman" w:cs="Times New Roman"/>
          <w:b/>
          <w:bCs/>
          <w:color w:val="auto"/>
          <w:sz w:val="24"/>
          <w:szCs w:val="24"/>
          <w:highlight w:val="none"/>
        </w:rPr>
        <w:t xml:space="preserve">附图1 </w:t>
      </w:r>
      <w:r>
        <w:rPr>
          <w:rFonts w:hint="default" w:ascii="Times New Roman" w:hAnsi="Times New Roman" w:cs="Times New Roman"/>
          <w:b/>
          <w:bCs/>
          <w:color w:val="auto"/>
          <w:sz w:val="24"/>
          <w:szCs w:val="24"/>
          <w:highlight w:val="none"/>
          <w:lang w:eastAsia="zh-CN"/>
        </w:rPr>
        <w:t>鸡西市环境</w:t>
      </w:r>
      <w:r>
        <w:rPr>
          <w:rFonts w:hint="default" w:ascii="Times New Roman" w:hAnsi="Times New Roman" w:cs="Times New Roman"/>
          <w:b/>
          <w:bCs/>
          <w:color w:val="auto"/>
          <w:sz w:val="24"/>
          <w:szCs w:val="24"/>
          <w:highlight w:val="none"/>
        </w:rPr>
        <w:t>管控单元分布图</w:t>
      </w:r>
      <w:bookmarkEnd w:id="23"/>
    </w:p>
    <w:p w14:paraId="085AFBFD">
      <w:pPr>
        <w:pStyle w:val="11"/>
        <w:jc w:val="center"/>
        <w:rPr>
          <w:rFonts w:hint="default" w:ascii="Times New Roman" w:hAnsi="Times New Roman" w:cs="Times New Roman"/>
          <w:color w:val="auto"/>
          <w:highlight w:val="none"/>
        </w:rPr>
      </w:pPr>
      <w:r>
        <w:rPr>
          <w:rFonts w:ascii="Times New Roman" w:hAnsi="Times New Roman" w:eastAsia="宋体"/>
          <w:color w:val="auto"/>
          <w:kern w:val="0"/>
          <w:sz w:val="24"/>
          <w:highlight w:val="none"/>
        </w:rPr>
        <w:drawing>
          <wp:anchor distT="0" distB="0" distL="114300" distR="114300" simplePos="0" relativeHeight="251681792" behindDoc="0" locked="0" layoutInCell="1" allowOverlap="1">
            <wp:simplePos x="0" y="0"/>
            <wp:positionH relativeFrom="column">
              <wp:posOffset>7666355</wp:posOffset>
            </wp:positionH>
            <wp:positionV relativeFrom="paragraph">
              <wp:posOffset>22860</wp:posOffset>
            </wp:positionV>
            <wp:extent cx="741045" cy="781050"/>
            <wp:effectExtent l="0" t="0" r="1905" b="0"/>
            <wp:wrapNone/>
            <wp:docPr id="4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descr="IMG_256"/>
                    <pic:cNvPicPr>
                      <a:picLocks noChangeAspect="1"/>
                    </pic:cNvPicPr>
                  </pic:nvPicPr>
                  <pic:blipFill>
                    <a:blip r:embed="rId26"/>
                    <a:srcRect l="4952" t="1324" r="53288" b="11133"/>
                    <a:stretch>
                      <a:fillRect/>
                    </a:stretch>
                  </pic:blipFill>
                  <pic:spPr>
                    <a:xfrm>
                      <a:off x="0" y="0"/>
                      <a:ext cx="741045" cy="781050"/>
                    </a:xfrm>
                    <a:prstGeom prst="rect">
                      <a:avLst/>
                    </a:prstGeom>
                    <a:noFill/>
                    <a:ln>
                      <a:noFill/>
                    </a:ln>
                  </pic:spPr>
                </pic:pic>
              </a:graphicData>
            </a:graphic>
          </wp:anchor>
        </w:drawing>
      </w:r>
      <w:r>
        <w:rPr>
          <w:rFonts w:hint="default" w:ascii="Times New Roman" w:hAnsi="Times New Roman" w:eastAsia="宋体" w:cs="Times New Roman"/>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-13335</wp:posOffset>
                </wp:positionH>
                <wp:positionV relativeFrom="paragraph">
                  <wp:posOffset>4483735</wp:posOffset>
                </wp:positionV>
                <wp:extent cx="1258570" cy="681355"/>
                <wp:effectExtent l="4445" t="4445" r="13335" b="19050"/>
                <wp:wrapNone/>
                <wp:docPr id="119" name="矩形 119"/>
                <wp:cNvGraphicFramePr/>
                <a:graphic xmlns:a="http://schemas.openxmlformats.org/drawingml/2006/main">
                  <a:graphicData uri="http://schemas.microsoft.com/office/word/2010/wordprocessingShape">
                    <wps:wsp>
                      <wps:cNvSpPr/>
                      <wps:spPr>
                        <a:xfrm>
                          <a:off x="0" y="0"/>
                          <a:ext cx="1258570" cy="6813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0F8E94">
                            <w:pPr>
                              <w:spacing w:line="36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图例</w:t>
                            </w:r>
                          </w:p>
                          <w:p w14:paraId="17C56B5B">
                            <w:pPr>
                              <w:widowControl w:val="0"/>
                              <w:spacing w:after="120" w:line="360" w:lineRule="auto"/>
                              <w:jc w:val="center"/>
                              <w:rPr>
                                <w:rFonts w:hint="eastAsia" w:ascii="宋体" w:hAnsi="宋体" w:eastAsia="宋体" w:cs="宋体"/>
                                <w:spacing w:val="0"/>
                                <w:kern w:val="2"/>
                                <w:sz w:val="21"/>
                                <w:szCs w:val="24"/>
                                <w:lang w:val="en-US" w:eastAsia="zh-CN" w:bidi="ar-SA"/>
                              </w:rPr>
                            </w:pPr>
                            <w:r>
                              <w:rPr>
                                <w:rFonts w:hint="eastAsia" w:eastAsia="宋体"/>
                                <w:lang w:eastAsia="zh-CN"/>
                              </w:rPr>
                              <w:drawing>
                                <wp:inline distT="0" distB="0" distL="114300" distR="114300">
                                  <wp:extent cx="136525" cy="190500"/>
                                  <wp:effectExtent l="0" t="0" r="15875" b="0"/>
                                  <wp:docPr id="91" name="图片 91" descr="d4903622819f19e45644142ab7bef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d4903622819f19e45644142ab7bef765"/>
                                          <pic:cNvPicPr>
                                            <a:picLocks noChangeAspect="1"/>
                                          </pic:cNvPicPr>
                                        </pic:nvPicPr>
                                        <pic:blipFill>
                                          <a:blip r:embed="rId29"/>
                                          <a:stretch>
                                            <a:fillRect/>
                                          </a:stretch>
                                        </pic:blipFill>
                                        <pic:spPr>
                                          <a:xfrm>
                                            <a:off x="0" y="0"/>
                                            <a:ext cx="136525" cy="190500"/>
                                          </a:xfrm>
                                          <a:prstGeom prst="rect">
                                            <a:avLst/>
                                          </a:prstGeom>
                                        </pic:spPr>
                                      </pic:pic>
                                    </a:graphicData>
                                  </a:graphic>
                                </wp:inline>
                              </w:drawing>
                            </w:r>
                            <w:r>
                              <w:rPr>
                                <w:rFonts w:hint="eastAsia" w:ascii="宋体" w:hAnsi="宋体" w:eastAsia="宋体" w:cs="宋体"/>
                                <w:b w:val="0"/>
                                <w:bCs w:val="0"/>
                                <w:spacing w:val="0"/>
                                <w:kern w:val="2"/>
                                <w:sz w:val="21"/>
                                <w:szCs w:val="24"/>
                                <w:lang w:val="en-US" w:eastAsia="zh-CN" w:bidi="ar-SA"/>
                              </w:rPr>
                              <w:t>本项目位置</w:t>
                            </w:r>
                          </w:p>
                        </w:txbxContent>
                      </wps:txbx>
                      <wps:bodyPr vert="horz" anchor="t" anchorCtr="0" upright="1"/>
                    </wps:wsp>
                  </a:graphicData>
                </a:graphic>
              </wp:anchor>
            </w:drawing>
          </mc:Choice>
          <mc:Fallback>
            <w:pict>
              <v:rect id="_x0000_s1026" o:spid="_x0000_s1026" o:spt="1" style="position:absolute;left:0pt;margin-left:-1.05pt;margin-top:353.05pt;height:53.65pt;width:99.1pt;z-index:251670528;mso-width-relative:page;mso-height-relative:page;" fillcolor="#FFFFFF" filled="t" stroked="t" coordsize="21600,21600" o:gfxdata="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hXU6NcAAAAK&#10;AQAADwAAAAAAAAABACAAAAAiAAAAZHJzL2Rvd25yZXYueG1sUEsBAhQAFAAAAAgAh07iQFWnVzod&#10;AgAAYAQAAA4AAAAAAAAAAQAgAAAAJgEAAGRycy9lMm9Eb2MueG1sUEsFBgAAAAAGAAYAWQEAALUF&#10;AAAAAA==&#10;">
                <v:fill on="t" focussize="0,0"/>
                <v:stroke color="#000000" joinstyle="miter"/>
                <v:imagedata o:title=""/>
                <o:lock v:ext="edit" aspectratio="f"/>
                <v:textbox>
                  <w:txbxContent>
                    <w:p w14:paraId="780F8E94">
                      <w:pPr>
                        <w:spacing w:line="36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图例</w:t>
                      </w:r>
                    </w:p>
                    <w:p w14:paraId="17C56B5B">
                      <w:pPr>
                        <w:widowControl w:val="0"/>
                        <w:spacing w:after="120" w:line="360" w:lineRule="auto"/>
                        <w:jc w:val="center"/>
                        <w:rPr>
                          <w:rFonts w:hint="eastAsia" w:ascii="宋体" w:hAnsi="宋体" w:eastAsia="宋体" w:cs="宋体"/>
                          <w:spacing w:val="0"/>
                          <w:kern w:val="2"/>
                          <w:sz w:val="21"/>
                          <w:szCs w:val="24"/>
                          <w:lang w:val="en-US" w:eastAsia="zh-CN" w:bidi="ar-SA"/>
                        </w:rPr>
                      </w:pPr>
                      <w:r>
                        <w:rPr>
                          <w:rFonts w:hint="eastAsia" w:eastAsia="宋体"/>
                          <w:lang w:eastAsia="zh-CN"/>
                        </w:rPr>
                        <w:drawing>
                          <wp:inline distT="0" distB="0" distL="114300" distR="114300">
                            <wp:extent cx="136525" cy="190500"/>
                            <wp:effectExtent l="0" t="0" r="15875" b="0"/>
                            <wp:docPr id="91" name="图片 91" descr="d4903622819f19e45644142ab7bef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d4903622819f19e45644142ab7bef765"/>
                                    <pic:cNvPicPr>
                                      <a:picLocks noChangeAspect="1"/>
                                    </pic:cNvPicPr>
                                  </pic:nvPicPr>
                                  <pic:blipFill>
                                    <a:blip r:embed="rId29"/>
                                    <a:stretch>
                                      <a:fillRect/>
                                    </a:stretch>
                                  </pic:blipFill>
                                  <pic:spPr>
                                    <a:xfrm>
                                      <a:off x="0" y="0"/>
                                      <a:ext cx="136525" cy="190500"/>
                                    </a:xfrm>
                                    <a:prstGeom prst="rect">
                                      <a:avLst/>
                                    </a:prstGeom>
                                  </pic:spPr>
                                </pic:pic>
                              </a:graphicData>
                            </a:graphic>
                          </wp:inline>
                        </w:drawing>
                      </w:r>
                      <w:r>
                        <w:rPr>
                          <w:rFonts w:hint="eastAsia" w:ascii="宋体" w:hAnsi="宋体" w:eastAsia="宋体" w:cs="宋体"/>
                          <w:b w:val="0"/>
                          <w:bCs w:val="0"/>
                          <w:spacing w:val="0"/>
                          <w:kern w:val="2"/>
                          <w:sz w:val="21"/>
                          <w:szCs w:val="24"/>
                          <w:lang w:val="en-US" w:eastAsia="zh-CN" w:bidi="ar-SA"/>
                        </w:rPr>
                        <w:t>本项目位置</w:t>
                      </w:r>
                    </w:p>
                  </w:txbxContent>
                </v:textbox>
              </v:rect>
            </w:pict>
          </mc:Fallback>
        </mc:AlternateContent>
      </w:r>
      <w:r>
        <w:rPr>
          <w:color w:val="auto"/>
          <w:highlight w:val="none"/>
        </w:rPr>
        <w:drawing>
          <wp:inline distT="0" distB="0" distL="114300" distR="114300">
            <wp:extent cx="8405495" cy="5287645"/>
            <wp:effectExtent l="0" t="0" r="14605" b="8255"/>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30"/>
                    <a:stretch>
                      <a:fillRect/>
                    </a:stretch>
                  </pic:blipFill>
                  <pic:spPr>
                    <a:xfrm>
                      <a:off x="0" y="0"/>
                      <a:ext cx="8405495" cy="5287645"/>
                    </a:xfrm>
                    <a:prstGeom prst="rect">
                      <a:avLst/>
                    </a:prstGeom>
                    <a:noFill/>
                    <a:ln>
                      <a:noFill/>
                    </a:ln>
                  </pic:spPr>
                </pic:pic>
              </a:graphicData>
            </a:graphic>
          </wp:inline>
        </w:drawing>
      </w:r>
    </w:p>
    <w:p w14:paraId="022BC25A">
      <w:pPr>
        <w:pStyle w:val="11"/>
        <w:jc w:val="center"/>
        <w:outlineLvl w:val="0"/>
        <w:rPr>
          <w:rFonts w:hint="default" w:ascii="Times New Roman" w:hAnsi="Times New Roman" w:cs="Times New Roman"/>
          <w:b/>
          <w:bCs/>
          <w:color w:val="auto"/>
          <w:sz w:val="24"/>
          <w:szCs w:val="24"/>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24" w:name="_Toc15524"/>
      <w:r>
        <w:rPr>
          <w:rFonts w:hint="default" w:ascii="Times New Roman" w:hAnsi="Times New Roman" w:cs="Times New Roman"/>
          <w:b/>
          <w:bCs/>
          <w:color w:val="auto"/>
          <w:sz w:val="24"/>
          <w:szCs w:val="24"/>
          <w:highlight w:val="none"/>
        </w:rPr>
        <w:t>附图2地理位置</w:t>
      </w:r>
      <w:r>
        <w:rPr>
          <w:rFonts w:hint="default" w:ascii="Times New Roman" w:hAnsi="Times New Roman" w:cs="Times New Roman"/>
          <w:b/>
          <w:bCs/>
          <w:color w:val="auto"/>
          <w:sz w:val="24"/>
          <w:szCs w:val="24"/>
          <w:highlight w:val="none"/>
          <w:lang w:eastAsia="zh-CN"/>
        </w:rPr>
        <w:t>图</w:t>
      </w:r>
      <w:bookmarkEnd w:id="24"/>
    </w:p>
    <w:p w14:paraId="24340CF8">
      <w:pPr>
        <w:pStyle w:val="18"/>
        <w:numPr>
          <w:ilvl w:val="0"/>
          <w:numId w:val="0"/>
        </w:numPr>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宋体" w:cs="Times New Roman"/>
          <w:color w:val="auto"/>
          <w:highlight w:val="none"/>
        </w:rPr>
        <mc:AlternateContent>
          <mc:Choice Requires="wps">
            <w:drawing>
              <wp:anchor distT="0" distB="0" distL="114300" distR="114300" simplePos="0" relativeHeight="251679744" behindDoc="0" locked="0" layoutInCell="1" allowOverlap="1">
                <wp:simplePos x="0" y="0"/>
                <wp:positionH relativeFrom="column">
                  <wp:posOffset>4862195</wp:posOffset>
                </wp:positionH>
                <wp:positionV relativeFrom="paragraph">
                  <wp:posOffset>3536950</wp:posOffset>
                </wp:positionV>
                <wp:extent cx="969645" cy="299085"/>
                <wp:effectExtent l="86995" t="4445" r="10160" b="267970"/>
                <wp:wrapNone/>
                <wp:docPr id="72" name="圆角矩形标注 72"/>
                <wp:cNvGraphicFramePr/>
                <a:graphic xmlns:a="http://schemas.openxmlformats.org/drawingml/2006/main">
                  <a:graphicData uri="http://schemas.microsoft.com/office/word/2010/wordprocessingShape">
                    <wps:wsp>
                      <wps:cNvSpPr/>
                      <wps:spPr>
                        <a:xfrm>
                          <a:off x="0" y="0"/>
                          <a:ext cx="969645" cy="299085"/>
                        </a:xfrm>
                        <a:prstGeom prst="wedgeRoundRectCallout">
                          <a:avLst>
                            <a:gd name="adj1" fmla="val -56679"/>
                            <a:gd name="adj2" fmla="val 130254"/>
                            <a:gd name="adj3" fmla="val 16667"/>
                          </a:avLst>
                        </a:prstGeom>
                        <a:solidFill>
                          <a:srgbClr val="FFFFFF"/>
                        </a:solidFill>
                        <a:ln w="9525" cap="flat" cmpd="sng">
                          <a:solidFill>
                            <a:srgbClr val="000000"/>
                          </a:solidFill>
                          <a:prstDash val="solid"/>
                          <a:miter/>
                          <a:headEnd type="none" w="med" len="med"/>
                          <a:tailEnd type="none" w="med" len="med"/>
                        </a:ln>
                        <a:effectLst/>
                      </wps:spPr>
                      <wps:txbx>
                        <w:txbxContent>
                          <w:p w14:paraId="60103353">
                            <w:pPr>
                              <w:rPr>
                                <w:rFonts w:ascii="Calibri" w:hAnsi="Calibri" w:eastAsia="宋体" w:cs="Times New Roman"/>
                              </w:rPr>
                            </w:pPr>
                            <w:r>
                              <w:rPr>
                                <w:rFonts w:ascii="Calibri" w:hAnsi="Calibri" w:eastAsia="宋体" w:cs="Times New Roman"/>
                              </w:rPr>
                              <w:t>项目所在地</w:t>
                            </w:r>
                          </w:p>
                        </w:txbxContent>
                      </wps:txbx>
                      <wps:bodyPr upright="1"/>
                    </wps:wsp>
                  </a:graphicData>
                </a:graphic>
              </wp:anchor>
            </w:drawing>
          </mc:Choice>
          <mc:Fallback>
            <w:pict>
              <v:shape id="_x0000_s1026" o:spid="_x0000_s1026" o:spt="62" type="#_x0000_t62" style="position:absolute;left:0pt;margin-left:382.85pt;margin-top:278.5pt;height:23.55pt;width:76.35pt;z-index:251679744;mso-width-relative:page;mso-height-relative:page;" fillcolor="#FFFFFF" filled="t" stroked="t" coordsize="21600,21600" o:gfxdata="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3FhM&#10;2QAAAAsBAAAPAAAAAAAAAAEAIAAAACIAAABkcnMvZG93bnJldi54bWxQSwECFAAUAAAACACHTuJA&#10;qrx4V1kCAADMBAAADgAAAAAAAAABACAAAAAoAQAAZHJzL2Uyb0RvYy54bWxQSwUGAAAAAAYABgBZ&#10;AQAA8wUAAAAA&#10;" adj="-1443,38935,14400">
                <v:fill on="t" focussize="0,0"/>
                <v:stroke color="#000000" joinstyle="miter"/>
                <v:imagedata o:title=""/>
                <o:lock v:ext="edit" aspectratio="f"/>
                <v:textbox>
                  <w:txbxContent>
                    <w:p w14:paraId="60103353">
                      <w:pPr>
                        <w:rPr>
                          <w:rFonts w:ascii="Calibri" w:hAnsi="Calibri" w:eastAsia="宋体" w:cs="Times New Roman"/>
                        </w:rPr>
                      </w:pPr>
                      <w:r>
                        <w:rPr>
                          <w:rFonts w:ascii="Calibri" w:hAnsi="Calibri" w:eastAsia="宋体" w:cs="Times New Roman"/>
                        </w:rPr>
                        <w:t>项目所在地</w:t>
                      </w:r>
                    </w:p>
                  </w:txbxContent>
                </v:textbox>
              </v:shape>
            </w:pict>
          </mc:Fallback>
        </mc:AlternateContent>
      </w:r>
      <w:r>
        <w:rPr>
          <w:rFonts w:hint="default" w:ascii="Times New Roman" w:hAnsi="Times New Roman" w:eastAsia="仿宋_GB2312" w:cs="Times New Roman"/>
          <w:color w:val="auto"/>
          <w:sz w:val="28"/>
          <w:szCs w:val="28"/>
          <w:highlight w:val="none"/>
        </w:rPr>
        <w:drawing>
          <wp:inline distT="0" distB="0" distL="114300" distR="114300">
            <wp:extent cx="6457950" cy="5503545"/>
            <wp:effectExtent l="0" t="0" r="0" b="1905"/>
            <wp:docPr id="165" name="图片 24" descr="鸡西市中心城区声环境功能区划分示意图20200805（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4" descr="鸡西市中心城区声环境功能区划分示意图20200805（去示意图）"/>
                    <pic:cNvPicPr>
                      <a:picLocks noChangeAspect="1"/>
                    </pic:cNvPicPr>
                  </pic:nvPicPr>
                  <pic:blipFill>
                    <a:blip r:embed="rId31"/>
                    <a:stretch>
                      <a:fillRect/>
                    </a:stretch>
                  </pic:blipFill>
                  <pic:spPr>
                    <a:xfrm>
                      <a:off x="0" y="0"/>
                      <a:ext cx="6457950" cy="5503545"/>
                    </a:xfrm>
                    <a:prstGeom prst="rect">
                      <a:avLst/>
                    </a:prstGeom>
                    <a:noFill/>
                    <a:ln>
                      <a:noFill/>
                    </a:ln>
                  </pic:spPr>
                </pic:pic>
              </a:graphicData>
            </a:graphic>
          </wp:inline>
        </w:drawing>
      </w:r>
    </w:p>
    <w:p w14:paraId="3A68A4FE">
      <w:pPr>
        <w:pStyle w:val="18"/>
        <w:numPr>
          <w:ilvl w:val="0"/>
          <w:numId w:val="0"/>
        </w:numPr>
        <w:spacing w:line="360" w:lineRule="auto"/>
        <w:ind w:left="1680" w:leftChars="0"/>
        <w:jc w:val="center"/>
        <w:rPr>
          <w:rFonts w:hint="default" w:ascii="Times New Roman" w:hAnsi="Times New Roman" w:eastAsia="宋体" w:cs="Times New Roman"/>
          <w:b/>
          <w:bCs/>
          <w:color w:val="auto"/>
          <w:kern w:val="44"/>
          <w:sz w:val="24"/>
          <w:szCs w:val="24"/>
          <w:highlight w:val="none"/>
          <w:lang w:val="en-US" w:eastAsia="zh-CN" w:bidi="ar-SA"/>
        </w:rPr>
      </w:pPr>
      <w:r>
        <w:rPr>
          <w:rFonts w:hint="default" w:ascii="Times New Roman" w:hAnsi="Times New Roman" w:eastAsia="宋体" w:cs="Times New Roman"/>
          <w:b/>
          <w:bCs/>
          <w:color w:val="auto"/>
          <w:kern w:val="44"/>
          <w:sz w:val="24"/>
          <w:szCs w:val="24"/>
          <w:highlight w:val="none"/>
          <w:lang w:val="en-US" w:eastAsia="zh-CN" w:bidi="ar-SA"/>
        </w:rPr>
        <w:t>附图3 鸡西市中心城区声环境功能区划分图</w:t>
      </w:r>
    </w:p>
    <w:p w14:paraId="6D524629">
      <w:pPr>
        <w:pStyle w:val="18"/>
        <w:numPr>
          <w:ilvl w:val="0"/>
          <w:numId w:val="0"/>
        </w:numPr>
        <w:ind w:left="1680" w:leftChars="0"/>
        <w:jc w:val="center"/>
        <w:rPr>
          <w:rFonts w:hint="default" w:ascii="Times New Roman" w:hAnsi="Times New Roman" w:eastAsia="仿宋_GB2312" w:cs="Times New Roman"/>
          <w:color w:val="auto"/>
          <w:sz w:val="28"/>
          <w:szCs w:val="28"/>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6"/>
        <w:gridCol w:w="6818"/>
      </w:tblGrid>
      <w:tr w14:paraId="67F9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5" w:type="dxa"/>
          </w:tcPr>
          <w:p w14:paraId="03D894A8">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drawing>
                <wp:inline distT="0" distB="0" distL="114300" distR="114300">
                  <wp:extent cx="4060190" cy="2283460"/>
                  <wp:effectExtent l="0" t="0" r="16510" b="2540"/>
                  <wp:docPr id="70" name="图片 70" descr="5af02cfd5209c8d5fa7c28317d5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5af02cfd5209c8d5fa7c28317d53211"/>
                          <pic:cNvPicPr>
                            <a:picLocks noChangeAspect="1"/>
                          </pic:cNvPicPr>
                        </pic:nvPicPr>
                        <pic:blipFill>
                          <a:blip r:embed="rId32"/>
                          <a:stretch>
                            <a:fillRect/>
                          </a:stretch>
                        </pic:blipFill>
                        <pic:spPr>
                          <a:xfrm>
                            <a:off x="0" y="0"/>
                            <a:ext cx="4060190" cy="2283460"/>
                          </a:xfrm>
                          <a:prstGeom prst="rect">
                            <a:avLst/>
                          </a:prstGeom>
                        </pic:spPr>
                      </pic:pic>
                    </a:graphicData>
                  </a:graphic>
                </wp:inline>
              </w:drawing>
            </w:r>
          </w:p>
        </w:tc>
        <w:tc>
          <w:tcPr>
            <w:tcW w:w="6819" w:type="dxa"/>
          </w:tcPr>
          <w:p w14:paraId="65590D7A">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drawing>
                <wp:inline distT="0" distB="0" distL="114300" distR="114300">
                  <wp:extent cx="4187825" cy="2355850"/>
                  <wp:effectExtent l="0" t="0" r="3175" b="6350"/>
                  <wp:docPr id="71" name="图片 71" descr="da80f446127bf389cff649bae8a4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da80f446127bf389cff649bae8a4abe"/>
                          <pic:cNvPicPr>
                            <a:picLocks noChangeAspect="1"/>
                          </pic:cNvPicPr>
                        </pic:nvPicPr>
                        <pic:blipFill>
                          <a:blip r:embed="rId33"/>
                          <a:stretch>
                            <a:fillRect/>
                          </a:stretch>
                        </pic:blipFill>
                        <pic:spPr>
                          <a:xfrm>
                            <a:off x="0" y="0"/>
                            <a:ext cx="4187825" cy="2355850"/>
                          </a:xfrm>
                          <a:prstGeom prst="rect">
                            <a:avLst/>
                          </a:prstGeom>
                        </pic:spPr>
                      </pic:pic>
                    </a:graphicData>
                  </a:graphic>
                </wp:inline>
              </w:drawing>
            </w:r>
          </w:p>
        </w:tc>
      </w:tr>
      <w:tr w14:paraId="6588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5" w:type="dxa"/>
          </w:tcPr>
          <w:p w14:paraId="5B324F68">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 xml:space="preserve">东侧 </w:t>
            </w:r>
            <w:r>
              <w:rPr>
                <w:rFonts w:hint="eastAsia" w:cs="Times New Roman"/>
                <w:color w:val="auto"/>
                <w:highlight w:val="none"/>
                <w:vertAlign w:val="baseline"/>
                <w:lang w:val="en-US" w:eastAsia="zh-CN"/>
              </w:rPr>
              <w:t>储煤场</w:t>
            </w:r>
          </w:p>
        </w:tc>
        <w:tc>
          <w:tcPr>
            <w:tcW w:w="6819" w:type="dxa"/>
          </w:tcPr>
          <w:p w14:paraId="33AE1BCA">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 xml:space="preserve">南侧 </w:t>
            </w:r>
            <w:r>
              <w:rPr>
                <w:rFonts w:hint="eastAsia" w:cs="Times New Roman"/>
                <w:color w:val="auto"/>
                <w:highlight w:val="none"/>
                <w:vertAlign w:val="baseline"/>
                <w:lang w:val="en-US" w:eastAsia="zh-CN"/>
              </w:rPr>
              <w:t>储煤场</w:t>
            </w:r>
          </w:p>
        </w:tc>
      </w:tr>
      <w:tr w14:paraId="7067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5" w:type="dxa"/>
          </w:tcPr>
          <w:p w14:paraId="06D74E9A">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drawing>
                <wp:inline distT="0" distB="0" distL="114300" distR="114300">
                  <wp:extent cx="4060190" cy="2283460"/>
                  <wp:effectExtent l="0" t="0" r="16510" b="2540"/>
                  <wp:docPr id="73" name="图片 73" descr="1b849a4bbf57dceb46ca9d044e16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b849a4bbf57dceb46ca9d044e16eff"/>
                          <pic:cNvPicPr>
                            <a:picLocks noChangeAspect="1"/>
                          </pic:cNvPicPr>
                        </pic:nvPicPr>
                        <pic:blipFill>
                          <a:blip r:embed="rId34"/>
                          <a:stretch>
                            <a:fillRect/>
                          </a:stretch>
                        </pic:blipFill>
                        <pic:spPr>
                          <a:xfrm>
                            <a:off x="0" y="0"/>
                            <a:ext cx="4060190" cy="2283460"/>
                          </a:xfrm>
                          <a:prstGeom prst="rect">
                            <a:avLst/>
                          </a:prstGeom>
                        </pic:spPr>
                      </pic:pic>
                    </a:graphicData>
                  </a:graphic>
                </wp:inline>
              </w:drawing>
            </w:r>
          </w:p>
        </w:tc>
        <w:tc>
          <w:tcPr>
            <w:tcW w:w="6819" w:type="dxa"/>
          </w:tcPr>
          <w:p w14:paraId="0B247642">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drawing>
                <wp:inline distT="0" distB="0" distL="114300" distR="114300">
                  <wp:extent cx="4187825" cy="2355850"/>
                  <wp:effectExtent l="0" t="0" r="3175" b="6350"/>
                  <wp:docPr id="64" name="图片 64" descr="18e62e7ea5ee0725fd2d1ee3c12a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8e62e7ea5ee0725fd2d1ee3c12a229"/>
                          <pic:cNvPicPr>
                            <a:picLocks noChangeAspect="1"/>
                          </pic:cNvPicPr>
                        </pic:nvPicPr>
                        <pic:blipFill>
                          <a:blip r:embed="rId35"/>
                          <a:stretch>
                            <a:fillRect/>
                          </a:stretch>
                        </pic:blipFill>
                        <pic:spPr>
                          <a:xfrm>
                            <a:off x="0" y="0"/>
                            <a:ext cx="4187825" cy="2355850"/>
                          </a:xfrm>
                          <a:prstGeom prst="rect">
                            <a:avLst/>
                          </a:prstGeom>
                        </pic:spPr>
                      </pic:pic>
                    </a:graphicData>
                  </a:graphic>
                </wp:inline>
              </w:drawing>
            </w:r>
          </w:p>
        </w:tc>
      </w:tr>
      <w:tr w14:paraId="63C2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5" w:type="dxa"/>
          </w:tcPr>
          <w:p w14:paraId="6D84C7D4">
            <w:pPr>
              <w:pStyle w:val="22"/>
              <w:jc w:val="center"/>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 xml:space="preserve">西侧 </w:t>
            </w:r>
            <w:r>
              <w:rPr>
                <w:rFonts w:hint="eastAsia" w:cs="Times New Roman"/>
                <w:color w:val="auto"/>
                <w:highlight w:val="none"/>
                <w:vertAlign w:val="baseline"/>
                <w:lang w:val="en-US" w:eastAsia="zh-CN"/>
              </w:rPr>
              <w:t>储煤场</w:t>
            </w:r>
          </w:p>
        </w:tc>
        <w:tc>
          <w:tcPr>
            <w:tcW w:w="6819" w:type="dxa"/>
          </w:tcPr>
          <w:p w14:paraId="34402FE3">
            <w:pPr>
              <w:pStyle w:val="22"/>
              <w:jc w:val="center"/>
              <w:rPr>
                <w:rFonts w:hint="default" w:ascii="Times New Roman" w:hAnsi="Times New Roman"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北</w:t>
            </w:r>
            <w:r>
              <w:rPr>
                <w:rFonts w:hint="default" w:ascii="Times New Roman" w:hAnsi="Times New Roman" w:cs="Times New Roman"/>
                <w:color w:val="auto"/>
                <w:highlight w:val="none"/>
                <w:vertAlign w:val="baseline"/>
                <w:lang w:val="en-US" w:eastAsia="zh-CN"/>
              </w:rPr>
              <w:t xml:space="preserve">侧 </w:t>
            </w:r>
            <w:r>
              <w:rPr>
                <w:rFonts w:hint="eastAsia" w:ascii="Times New Roman" w:hAnsi="Times New Roman" w:cs="Times New Roman"/>
                <w:color w:val="auto"/>
                <w:highlight w:val="none"/>
                <w:vertAlign w:val="baseline"/>
                <w:lang w:val="en-US" w:eastAsia="zh-CN"/>
              </w:rPr>
              <w:t>空地</w:t>
            </w:r>
          </w:p>
        </w:tc>
      </w:tr>
    </w:tbl>
    <w:p w14:paraId="4188FF5D">
      <w:pPr>
        <w:pStyle w:val="2"/>
        <w:ind w:left="0" w:firstLine="0"/>
        <w:jc w:val="center"/>
        <w:rPr>
          <w:rFonts w:hint="default" w:ascii="Times New Roman" w:hAnsi="Times New Roman" w:eastAsia="宋体" w:cs="Times New Roman"/>
          <w:color w:val="auto"/>
          <w:sz w:val="24"/>
          <w:szCs w:val="24"/>
          <w:highlight w:val="none"/>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25" w:name="_Toc11346"/>
      <w:r>
        <w:rPr>
          <w:rFonts w:hint="default" w:ascii="Times New Roman" w:hAnsi="Times New Roman" w:eastAsia="宋体" w:cs="Times New Roman"/>
          <w:color w:val="auto"/>
          <w:sz w:val="24"/>
          <w:szCs w:val="24"/>
          <w:highlight w:val="none"/>
        </w:rPr>
        <w:t>附图</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 xml:space="preserve"> 周边关系照片</w:t>
      </w:r>
      <w:bookmarkEnd w:id="25"/>
    </w:p>
    <w:p w14:paraId="3E05AB15">
      <w:pPr>
        <w:pStyle w:val="2"/>
        <w:spacing w:line="260" w:lineRule="auto"/>
        <w:ind w:left="0" w:firstLine="0"/>
        <w:jc w:val="center"/>
        <w:rPr>
          <w:rFonts w:hint="default" w:ascii="Times New Roman" w:hAnsi="Times New Roman" w:eastAsia="宋体" w:cs="Times New Roman"/>
          <w:color w:val="auto"/>
          <w:highlight w:val="none"/>
          <w:lang w:eastAsia="zh-CN"/>
        </w:rPr>
      </w:pPr>
      <w:bookmarkStart w:id="26" w:name="_Toc13350"/>
      <w:r>
        <w:rPr>
          <w:color w:val="auto"/>
        </w:rPr>
        <w:drawing>
          <wp:inline distT="0" distB="0" distL="114300" distR="114300">
            <wp:extent cx="8322310" cy="5403850"/>
            <wp:effectExtent l="0" t="0" r="2540" b="6350"/>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36"/>
                    <a:srcRect l="9920" r="5450" b="8318"/>
                    <a:stretch>
                      <a:fillRect/>
                    </a:stretch>
                  </pic:blipFill>
                  <pic:spPr>
                    <a:xfrm>
                      <a:off x="0" y="0"/>
                      <a:ext cx="8322310" cy="5403850"/>
                    </a:xfrm>
                    <a:prstGeom prst="rect">
                      <a:avLst/>
                    </a:prstGeom>
                    <a:noFill/>
                    <a:ln>
                      <a:noFill/>
                    </a:ln>
                  </pic:spPr>
                </pic:pic>
              </a:graphicData>
            </a:graphic>
          </wp:inline>
        </w:drawing>
      </w:r>
      <w:r>
        <w:rPr>
          <w:rFonts w:ascii="Times New Roman" w:hAnsi="Times New Roman" w:eastAsia="宋体"/>
          <w:color w:val="auto"/>
          <w:kern w:val="0"/>
          <w:sz w:val="24"/>
          <w:highlight w:val="none"/>
        </w:rPr>
        <w:drawing>
          <wp:anchor distT="0" distB="0" distL="114300" distR="114300" simplePos="0" relativeHeight="251682816" behindDoc="0" locked="0" layoutInCell="1" allowOverlap="1">
            <wp:simplePos x="0" y="0"/>
            <wp:positionH relativeFrom="column">
              <wp:posOffset>7580630</wp:posOffset>
            </wp:positionH>
            <wp:positionV relativeFrom="paragraph">
              <wp:posOffset>-15240</wp:posOffset>
            </wp:positionV>
            <wp:extent cx="741045" cy="781050"/>
            <wp:effectExtent l="0" t="0" r="1905" b="0"/>
            <wp:wrapNone/>
            <wp:docPr id="4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descr="IMG_256"/>
                    <pic:cNvPicPr>
                      <a:picLocks noChangeAspect="1"/>
                    </pic:cNvPicPr>
                  </pic:nvPicPr>
                  <pic:blipFill>
                    <a:blip r:embed="rId26"/>
                    <a:srcRect l="4952" t="1324" r="53288" b="11133"/>
                    <a:stretch>
                      <a:fillRect/>
                    </a:stretch>
                  </pic:blipFill>
                  <pic:spPr>
                    <a:xfrm>
                      <a:off x="0" y="0"/>
                      <a:ext cx="741045" cy="781050"/>
                    </a:xfrm>
                    <a:prstGeom prst="rect">
                      <a:avLst/>
                    </a:prstGeom>
                    <a:noFill/>
                    <a:ln>
                      <a:noFill/>
                    </a:ln>
                  </pic:spPr>
                </pic:pic>
              </a:graphicData>
            </a:graphic>
          </wp:anchor>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133985</wp:posOffset>
                </wp:positionH>
                <wp:positionV relativeFrom="paragraph">
                  <wp:posOffset>5234940</wp:posOffset>
                </wp:positionV>
                <wp:extent cx="190500" cy="104775"/>
                <wp:effectExtent l="4445" t="4445" r="14605" b="5080"/>
                <wp:wrapNone/>
                <wp:docPr id="44" name="矩形 73"/>
                <wp:cNvGraphicFramePr/>
                <a:graphic xmlns:a="http://schemas.openxmlformats.org/drawingml/2006/main">
                  <a:graphicData uri="http://schemas.microsoft.com/office/word/2010/wordprocessingShape">
                    <wps:wsp>
                      <wps:cNvSpPr/>
                      <wps:spPr>
                        <a:xfrm>
                          <a:off x="0" y="0"/>
                          <a:ext cx="190500" cy="104775"/>
                        </a:xfrm>
                        <a:prstGeom prst="rect">
                          <a:avLst/>
                        </a:prstGeom>
                        <a:noFill/>
                        <a:ln w="9525" cap="flat" cmpd="sng">
                          <a:solidFill>
                            <a:schemeClr val="accent6"/>
                          </a:solidFill>
                          <a:prstDash val="solid"/>
                          <a:miter/>
                          <a:headEnd type="none" w="med" len="med"/>
                          <a:tailEnd type="none" w="med" len="med"/>
                        </a:ln>
                      </wps:spPr>
                      <wps:txbx>
                        <w:txbxContent>
                          <w:p w14:paraId="093161E8">
                            <w:pPr>
                              <w:jc w:val="center"/>
                            </w:pPr>
                          </w:p>
                        </w:txbxContent>
                      </wps:txbx>
                      <wps:bodyPr upright="1"/>
                    </wps:wsp>
                  </a:graphicData>
                </a:graphic>
              </wp:anchor>
            </w:drawing>
          </mc:Choice>
          <mc:Fallback>
            <w:pict>
              <v:rect id="矩形 73" o:spid="_x0000_s1026" o:spt="1" style="position:absolute;left:0pt;margin-left:10.55pt;margin-top:412.2pt;height:8.25pt;width:15pt;z-index:251680768;mso-width-relative:page;mso-height-relative:page;" filled="f" stroked="t" coordsize="21600,21600" o:gfxdata="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UeGHS1wAAAAkBAAAPAAAAAAAAAAEAIAAAACIAAABkcnMvZG93&#10;bnJldi54bWxQSwECFAAUAAAACACHTuJAYNC86QECAAABBAAADgAAAAAAAAABACAAAAAmAQAAZHJz&#10;L2Uyb0RvYy54bWxQSwUGAAAAAAYABgBZAQAAmQUAAAAA&#10;">
                <v:fill on="f" focussize="0,0"/>
                <v:stroke color="#F79646 [3209]" joinstyle="miter"/>
                <v:imagedata o:title=""/>
                <o:lock v:ext="edit" aspectratio="f"/>
                <v:textbox>
                  <w:txbxContent>
                    <w:p w14:paraId="093161E8">
                      <w:pPr>
                        <w:jc w:val="center"/>
                      </w:pPr>
                    </w:p>
                  </w:txbxContent>
                </v:textbox>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133985</wp:posOffset>
                </wp:positionH>
                <wp:positionV relativeFrom="paragraph">
                  <wp:posOffset>5053965</wp:posOffset>
                </wp:positionV>
                <wp:extent cx="190500" cy="104775"/>
                <wp:effectExtent l="4445" t="4445" r="14605" b="5080"/>
                <wp:wrapNone/>
                <wp:docPr id="35" name="矩形 73"/>
                <wp:cNvGraphicFramePr/>
                <a:graphic xmlns:a="http://schemas.openxmlformats.org/drawingml/2006/main">
                  <a:graphicData uri="http://schemas.microsoft.com/office/word/2010/wordprocessingShape">
                    <wps:wsp>
                      <wps:cNvSpPr/>
                      <wps:spPr>
                        <a:xfrm>
                          <a:off x="0" y="0"/>
                          <a:ext cx="190500" cy="104775"/>
                        </a:xfrm>
                        <a:prstGeom prst="rect">
                          <a:avLst/>
                        </a:prstGeom>
                        <a:noFill/>
                        <a:ln w="9525" cap="flat" cmpd="sng">
                          <a:solidFill>
                            <a:srgbClr val="00B0F0"/>
                          </a:solidFill>
                          <a:prstDash val="solid"/>
                          <a:miter/>
                          <a:headEnd type="none" w="med" len="med"/>
                          <a:tailEnd type="none" w="med" len="med"/>
                        </a:ln>
                      </wps:spPr>
                      <wps:txbx>
                        <w:txbxContent>
                          <w:p w14:paraId="348E79C9">
                            <w:pPr>
                              <w:jc w:val="center"/>
                            </w:pPr>
                          </w:p>
                        </w:txbxContent>
                      </wps:txbx>
                      <wps:bodyPr upright="1"/>
                    </wps:wsp>
                  </a:graphicData>
                </a:graphic>
              </wp:anchor>
            </w:drawing>
          </mc:Choice>
          <mc:Fallback>
            <w:pict>
              <v:rect id="矩形 73" o:spid="_x0000_s1026" o:spt="1" style="position:absolute;left:0pt;margin-left:10.55pt;margin-top:397.95pt;height:8.25pt;width:15pt;z-index:251675648;mso-width-relative:page;mso-height-relative:page;" filled="f" stroked="t" coordsize="21600,21600" o:gfxdata="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1M/mtgAAAAJAQAADwAAAAAAAAABACAAAAAiAAAAZHJzL2Rv&#10;d25yZXYueG1sUEsBAhQAFAAAAAgAh07iQI9Dfy0BAgAAAQQAAA4AAAAAAAAAAQAgAAAAJwEAAGRy&#10;cy9lMm9Eb2MueG1sUEsFBgAAAAAGAAYAWQEAAJoFAAAAAA==&#10;">
                <v:fill on="f" focussize="0,0"/>
                <v:stroke color="#00B0F0" joinstyle="miter"/>
                <v:imagedata o:title=""/>
                <o:lock v:ext="edit" aspectratio="f"/>
                <v:textbox>
                  <w:txbxContent>
                    <w:p w14:paraId="348E79C9">
                      <w:pPr>
                        <w:jc w:val="center"/>
                      </w:pPr>
                    </w:p>
                  </w:txbxContent>
                </v:textbox>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133985</wp:posOffset>
                </wp:positionH>
                <wp:positionV relativeFrom="paragraph">
                  <wp:posOffset>4892040</wp:posOffset>
                </wp:positionV>
                <wp:extent cx="190500" cy="104775"/>
                <wp:effectExtent l="4445" t="4445" r="14605" b="5080"/>
                <wp:wrapNone/>
                <wp:docPr id="34" name="矩形 73"/>
                <wp:cNvGraphicFramePr/>
                <a:graphic xmlns:a="http://schemas.openxmlformats.org/drawingml/2006/main">
                  <a:graphicData uri="http://schemas.microsoft.com/office/word/2010/wordprocessingShape">
                    <wps:wsp>
                      <wps:cNvSpPr/>
                      <wps:spPr>
                        <a:xfrm>
                          <a:off x="0" y="0"/>
                          <a:ext cx="190500" cy="104775"/>
                        </a:xfrm>
                        <a:prstGeom prst="rect">
                          <a:avLst/>
                        </a:prstGeom>
                        <a:noFill/>
                        <a:ln w="9525" cap="flat" cmpd="sng">
                          <a:solidFill>
                            <a:schemeClr val="tx1"/>
                          </a:solidFill>
                          <a:prstDash val="solid"/>
                          <a:miter/>
                          <a:headEnd type="none" w="med" len="med"/>
                          <a:tailEnd type="none" w="med" len="med"/>
                        </a:ln>
                      </wps:spPr>
                      <wps:txbx>
                        <w:txbxContent>
                          <w:p w14:paraId="7AE1BB6B">
                            <w:pPr>
                              <w:jc w:val="center"/>
                            </w:pPr>
                          </w:p>
                        </w:txbxContent>
                      </wps:txbx>
                      <wps:bodyPr upright="1"/>
                    </wps:wsp>
                  </a:graphicData>
                </a:graphic>
              </wp:anchor>
            </w:drawing>
          </mc:Choice>
          <mc:Fallback>
            <w:pict>
              <v:rect id="矩形 73" o:spid="_x0000_s1026" o:spt="1" style="position:absolute;left:0pt;margin-left:10.55pt;margin-top:385.2pt;height:8.25pt;width:15pt;z-index:251674624;mso-width-relative:page;mso-height-relative:page;" filled="f" stroked="t" coordsize="21600,21600" o:gfxdata="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zZe1wAAAAkBAAAPAAAAAAAAAAEAIAAAACIAAABkcnMvZG93bnJl&#10;di54bWxQSwECFAAUAAAACACHTuJAoQe2p/4BAAABBAAADgAAAAAAAAABACAAAAAmAQAAZHJzL2Uy&#10;b0RvYy54bWxQSwUGAAAAAAYABgBZAQAAlgUAAAAA&#10;">
                <v:fill on="f" focussize="0,0"/>
                <v:stroke color="#000000 [3213]" joinstyle="miter"/>
                <v:imagedata o:title=""/>
                <o:lock v:ext="edit" aspectratio="f"/>
                <v:textbox>
                  <w:txbxContent>
                    <w:p w14:paraId="7AE1BB6B">
                      <w:pPr>
                        <w:jc w:val="center"/>
                      </w:pPr>
                    </w:p>
                  </w:txbxContent>
                </v:textbox>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133985</wp:posOffset>
                </wp:positionH>
                <wp:positionV relativeFrom="paragraph">
                  <wp:posOffset>4720590</wp:posOffset>
                </wp:positionV>
                <wp:extent cx="190500" cy="104775"/>
                <wp:effectExtent l="4445" t="4445" r="14605" b="5080"/>
                <wp:wrapNone/>
                <wp:docPr id="33" name="矩形 73"/>
                <wp:cNvGraphicFramePr/>
                <a:graphic xmlns:a="http://schemas.openxmlformats.org/drawingml/2006/main">
                  <a:graphicData uri="http://schemas.microsoft.com/office/word/2010/wordprocessingShape">
                    <wps:wsp>
                      <wps:cNvSpPr/>
                      <wps:spPr>
                        <a:xfrm>
                          <a:off x="0" y="0"/>
                          <a:ext cx="190500" cy="104775"/>
                        </a:xfrm>
                        <a:prstGeom prst="rect">
                          <a:avLst/>
                        </a:prstGeom>
                        <a:noFill/>
                        <a:ln w="9525" cap="flat" cmpd="sng">
                          <a:solidFill>
                            <a:srgbClr val="FF0000"/>
                          </a:solidFill>
                          <a:prstDash val="solid"/>
                          <a:miter/>
                          <a:headEnd type="none" w="med" len="med"/>
                          <a:tailEnd type="none" w="med" len="med"/>
                        </a:ln>
                      </wps:spPr>
                      <wps:txbx>
                        <w:txbxContent>
                          <w:p w14:paraId="0558F0FD">
                            <w:pPr>
                              <w:jc w:val="center"/>
                            </w:pPr>
                          </w:p>
                        </w:txbxContent>
                      </wps:txbx>
                      <wps:bodyPr upright="1"/>
                    </wps:wsp>
                  </a:graphicData>
                </a:graphic>
              </wp:anchor>
            </w:drawing>
          </mc:Choice>
          <mc:Fallback>
            <w:pict>
              <v:rect id="矩形 73" o:spid="_x0000_s1026" o:spt="1" style="position:absolute;left:0pt;margin-left:10.55pt;margin-top:371.7pt;height:8.25pt;width:15pt;z-index:251673600;mso-width-relative:page;mso-height-relative:page;" filled="f" stroked="t" coordsize="21600,21600" o:gfxdata="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7tmHdkAAAAJAQAADwAAAAAAAAABACAAAAAiAAAAZHJzL2Rv&#10;d25yZXYueG1sUEsBAhQAFAAAAAgAh07iQAG2WFMAAgAAAQQAAA4AAAAAAAAAAQAgAAAAKAEAAGRy&#10;cy9lMm9Eb2MueG1sUEsFBgAAAAAGAAYAWQEAAJoFAAAAAA==&#10;">
                <v:fill on="f" focussize="0,0"/>
                <v:stroke color="#FF0000" joinstyle="miter"/>
                <v:imagedata o:title=""/>
                <o:lock v:ext="edit" aspectratio="f"/>
                <v:textbox>
                  <w:txbxContent>
                    <w:p w14:paraId="0558F0FD">
                      <w:pPr>
                        <w:jc w:val="center"/>
                      </w:pPr>
                    </w:p>
                  </w:txbxContent>
                </v:textbox>
              </v:rect>
            </w:pict>
          </mc:Fallback>
        </mc:AlternateContent>
      </w:r>
      <w:r>
        <w:rPr>
          <w:rFonts w:hint="default" w:ascii="Times New Roman" w:hAnsi="Times New Roman" w:eastAsia="宋体" w:cs="Times New Roman"/>
          <w:color w:val="auto"/>
          <w:sz w:val="24"/>
          <w:highlight w:val="none"/>
        </w:rPr>
        <mc:AlternateContent>
          <mc:Choice Requires="wps">
            <w:drawing>
              <wp:anchor distT="0" distB="0" distL="114300" distR="114300" simplePos="0" relativeHeight="251672576" behindDoc="0" locked="0" layoutInCell="1" allowOverlap="1">
                <wp:simplePos x="0" y="0"/>
                <wp:positionH relativeFrom="column">
                  <wp:posOffset>53340</wp:posOffset>
                </wp:positionH>
                <wp:positionV relativeFrom="paragraph">
                  <wp:posOffset>4464050</wp:posOffset>
                </wp:positionV>
                <wp:extent cx="1420495" cy="947420"/>
                <wp:effectExtent l="4445" t="4445" r="22860" b="19685"/>
                <wp:wrapNone/>
                <wp:docPr id="30" name="矩形 30"/>
                <wp:cNvGraphicFramePr/>
                <a:graphic xmlns:a="http://schemas.openxmlformats.org/drawingml/2006/main">
                  <a:graphicData uri="http://schemas.microsoft.com/office/word/2010/wordprocessingShape">
                    <wps:wsp>
                      <wps:cNvSpPr/>
                      <wps:spPr>
                        <a:xfrm>
                          <a:off x="0" y="0"/>
                          <a:ext cx="1420495" cy="9474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54507D">
                            <w:pPr>
                              <w:spacing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w:t>
                            </w:r>
                            <w:r>
                              <w:rPr>
                                <w:rFonts w:hint="eastAsia" w:ascii="宋体" w:hAnsi="宋体" w:cs="宋体"/>
                                <w:b/>
                                <w:bCs/>
                                <w:lang w:val="en-US" w:eastAsia="zh-CN"/>
                              </w:rPr>
                              <w:t xml:space="preserve"> </w:t>
                            </w:r>
                            <w:r>
                              <w:rPr>
                                <w:rFonts w:hint="eastAsia" w:ascii="宋体" w:hAnsi="宋体" w:eastAsia="宋体" w:cs="宋体"/>
                                <w:b/>
                                <w:bCs/>
                                <w:lang w:val="en-US" w:eastAsia="zh-CN"/>
                              </w:rPr>
                              <w:t>例</w:t>
                            </w:r>
                          </w:p>
                          <w:p w14:paraId="77696BBC">
                            <w:pPr>
                              <w:keepNext w:val="0"/>
                              <w:keepLines w:val="0"/>
                              <w:pageBreakBefore w:val="0"/>
                              <w:widowControl w:val="0"/>
                              <w:kinsoku/>
                              <w:wordWrap/>
                              <w:overflowPunct/>
                              <w:topLinePunct w:val="0"/>
                              <w:bidi w:val="0"/>
                              <w:adjustRightInd/>
                              <w:snapToGrid/>
                              <w:spacing w:line="240" w:lineRule="auto"/>
                              <w:ind w:left="0" w:right="0" w:firstLine="420" w:firstLineChars="200"/>
                              <w:jc w:val="both"/>
                              <w:textAlignment w:val="auto"/>
                              <w:rPr>
                                <w:rFonts w:hint="eastAsia" w:ascii="宋体" w:hAnsi="宋体" w:cs="宋体"/>
                                <w:b w:val="0"/>
                                <w:bCs w:val="0"/>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厂界</w:t>
                            </w:r>
                          </w:p>
                          <w:p w14:paraId="59494AFD">
                            <w:pPr>
                              <w:keepNext w:val="0"/>
                              <w:keepLines w:val="0"/>
                              <w:pageBreakBefore w:val="0"/>
                              <w:widowControl w:val="0"/>
                              <w:kinsoku/>
                              <w:wordWrap/>
                              <w:overflowPunct/>
                              <w:topLinePunct w:val="0"/>
                              <w:bidi w:val="0"/>
                              <w:adjustRightInd/>
                              <w:snapToGrid/>
                              <w:spacing w:line="240" w:lineRule="auto"/>
                              <w:ind w:left="0" w:right="0" w:firstLine="420" w:firstLineChars="200"/>
                              <w:jc w:val="both"/>
                              <w:textAlignment w:val="auto"/>
                              <w:rPr>
                                <w:rFonts w:hint="eastAsia" w:ascii="宋体" w:hAnsi="宋体" w:cs="宋体"/>
                                <w:b w:val="0"/>
                                <w:bCs w:val="0"/>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建筑物</w:t>
                            </w:r>
                          </w:p>
                          <w:p w14:paraId="15F422ED">
                            <w:pPr>
                              <w:pStyle w:val="2"/>
                              <w:keepLines w:val="0"/>
                              <w:pageBreakBefore w:val="0"/>
                              <w:widowControl w:val="0"/>
                              <w:kinsoku/>
                              <w:wordWrap/>
                              <w:topLinePunct w:val="0"/>
                              <w:bidi w:val="0"/>
                              <w:adjustRightInd/>
                              <w:spacing w:before="0" w:after="0" w:line="240" w:lineRule="auto"/>
                              <w:ind w:left="0" w:right="0" w:firstLine="0" w:firstLineChars="0"/>
                              <w:textAlignment w:val="auto"/>
                              <w:rPr>
                                <w:rFonts w:hint="eastAsia" w:ascii="宋体" w:hAnsi="宋体" w:cs="宋体"/>
                                <w:b w:val="0"/>
                                <w:bCs w:val="0"/>
                                <w:color w:val="auto"/>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 xml:space="preserve">    </w:t>
                            </w:r>
                            <w:r>
                              <w:rPr>
                                <w:rFonts w:hint="eastAsia" w:ascii="宋体" w:hAnsi="宋体" w:eastAsia="宋体" w:cs="宋体"/>
                                <w:b w:val="0"/>
                                <w:bCs w:val="0"/>
                                <w:color w:val="auto"/>
                                <w:spacing w:val="0"/>
                                <w:kern w:val="2"/>
                                <w:sz w:val="21"/>
                                <w:szCs w:val="21"/>
                                <w:lang w:val="en-US" w:eastAsia="zh-CN" w:bidi="ar-SA"/>
                              </w:rPr>
                              <w:t>防风抑尘网</w:t>
                            </w:r>
                          </w:p>
                          <w:p w14:paraId="391754B2">
                            <w:pPr>
                              <w:pStyle w:val="30"/>
                              <w:keepLines w:val="0"/>
                              <w:pageBreakBefore w:val="0"/>
                              <w:kinsoku/>
                              <w:wordWrap/>
                              <w:topLinePunct w:val="0"/>
                              <w:bidi w:val="0"/>
                              <w:adjustRightInd/>
                              <w:spacing w:before="0" w:after="0" w:line="240" w:lineRule="auto"/>
                              <w:ind w:right="0"/>
                              <w:textAlignment w:val="auto"/>
                              <w:rPr>
                                <w:rFonts w:hint="default"/>
                                <w:sz w:val="21"/>
                                <w:szCs w:val="21"/>
                                <w:lang w:val="en-US" w:eastAsia="zh-CN"/>
                              </w:rPr>
                            </w:pPr>
                            <w:r>
                              <w:rPr>
                                <w:rFonts w:hint="eastAsia"/>
                                <w:sz w:val="21"/>
                                <w:szCs w:val="21"/>
                                <w:lang w:val="en-US" w:eastAsia="zh-CN"/>
                              </w:rPr>
                              <w:t xml:space="preserve">  </w:t>
                            </w:r>
                            <w:r>
                              <w:rPr>
                                <w:rFonts w:hint="eastAsia" w:ascii="宋体" w:hAnsi="宋体" w:eastAsia="宋体" w:cs="宋体"/>
                                <w:b w:val="0"/>
                                <w:bCs w:val="0"/>
                                <w:color w:val="auto"/>
                                <w:spacing w:val="0"/>
                                <w:kern w:val="2"/>
                                <w:sz w:val="21"/>
                                <w:szCs w:val="21"/>
                                <w:lang w:val="en-US" w:eastAsia="zh-CN" w:bidi="ar-SA"/>
                              </w:rPr>
                              <w:t>雨水收集渠</w:t>
                            </w:r>
                          </w:p>
                        </w:txbxContent>
                      </wps:txbx>
                      <wps:bodyPr vert="horz" anchor="t" anchorCtr="0" upright="1"/>
                    </wps:wsp>
                  </a:graphicData>
                </a:graphic>
              </wp:anchor>
            </w:drawing>
          </mc:Choice>
          <mc:Fallback>
            <w:pict>
              <v:rect id="_x0000_s1026" o:spid="_x0000_s1026" o:spt="1" style="position:absolute;left:0pt;margin-left:4.2pt;margin-top:351.5pt;height:74.6pt;width:111.85pt;z-index:251672576;mso-width-relative:page;mso-height-relative:page;" fillcolor="#FFFFFF" filled="t" stroked="t" coordsize="21600,21600" o:gfxdata="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9hOX1wAAAAkBAAAP&#10;AAAAAAAAAAEAIAAAACIAAABkcnMvZG93bnJldi54bWxQSwECFAAUAAAACACHTuJAxnjDmxkCAABe&#10;BAAADgAAAAAAAAABACAAAAAmAQAAZHJzL2Uyb0RvYy54bWxQSwUGAAAAAAYABgBZAQAAsQUAAAAA&#10;">
                <v:fill on="t" focussize="0,0"/>
                <v:stroke color="#000000" joinstyle="miter"/>
                <v:imagedata o:title=""/>
                <o:lock v:ext="edit" aspectratio="f"/>
                <v:textbox>
                  <w:txbxContent>
                    <w:p w14:paraId="5554507D">
                      <w:pPr>
                        <w:spacing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w:t>
                      </w:r>
                      <w:r>
                        <w:rPr>
                          <w:rFonts w:hint="eastAsia" w:ascii="宋体" w:hAnsi="宋体" w:cs="宋体"/>
                          <w:b/>
                          <w:bCs/>
                          <w:lang w:val="en-US" w:eastAsia="zh-CN"/>
                        </w:rPr>
                        <w:t xml:space="preserve"> </w:t>
                      </w:r>
                      <w:r>
                        <w:rPr>
                          <w:rFonts w:hint="eastAsia" w:ascii="宋体" w:hAnsi="宋体" w:eastAsia="宋体" w:cs="宋体"/>
                          <w:b/>
                          <w:bCs/>
                          <w:lang w:val="en-US" w:eastAsia="zh-CN"/>
                        </w:rPr>
                        <w:t>例</w:t>
                      </w:r>
                    </w:p>
                    <w:p w14:paraId="77696BBC">
                      <w:pPr>
                        <w:keepNext w:val="0"/>
                        <w:keepLines w:val="0"/>
                        <w:pageBreakBefore w:val="0"/>
                        <w:widowControl w:val="0"/>
                        <w:kinsoku/>
                        <w:wordWrap/>
                        <w:overflowPunct/>
                        <w:topLinePunct w:val="0"/>
                        <w:bidi w:val="0"/>
                        <w:adjustRightInd/>
                        <w:snapToGrid/>
                        <w:spacing w:line="240" w:lineRule="auto"/>
                        <w:ind w:left="0" w:right="0" w:firstLine="420" w:firstLineChars="200"/>
                        <w:jc w:val="both"/>
                        <w:textAlignment w:val="auto"/>
                        <w:rPr>
                          <w:rFonts w:hint="eastAsia" w:ascii="宋体" w:hAnsi="宋体" w:cs="宋体"/>
                          <w:b w:val="0"/>
                          <w:bCs w:val="0"/>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厂界</w:t>
                      </w:r>
                    </w:p>
                    <w:p w14:paraId="59494AFD">
                      <w:pPr>
                        <w:keepNext w:val="0"/>
                        <w:keepLines w:val="0"/>
                        <w:pageBreakBefore w:val="0"/>
                        <w:widowControl w:val="0"/>
                        <w:kinsoku/>
                        <w:wordWrap/>
                        <w:overflowPunct/>
                        <w:topLinePunct w:val="0"/>
                        <w:bidi w:val="0"/>
                        <w:adjustRightInd/>
                        <w:snapToGrid/>
                        <w:spacing w:line="240" w:lineRule="auto"/>
                        <w:ind w:left="0" w:right="0" w:firstLine="420" w:firstLineChars="200"/>
                        <w:jc w:val="both"/>
                        <w:textAlignment w:val="auto"/>
                        <w:rPr>
                          <w:rFonts w:hint="eastAsia" w:ascii="宋体" w:hAnsi="宋体" w:cs="宋体"/>
                          <w:b w:val="0"/>
                          <w:bCs w:val="0"/>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建筑物</w:t>
                      </w:r>
                    </w:p>
                    <w:p w14:paraId="15F422ED">
                      <w:pPr>
                        <w:pStyle w:val="2"/>
                        <w:keepLines w:val="0"/>
                        <w:pageBreakBefore w:val="0"/>
                        <w:widowControl w:val="0"/>
                        <w:kinsoku/>
                        <w:wordWrap/>
                        <w:topLinePunct w:val="0"/>
                        <w:bidi w:val="0"/>
                        <w:adjustRightInd/>
                        <w:spacing w:before="0" w:after="0" w:line="240" w:lineRule="auto"/>
                        <w:ind w:left="0" w:right="0" w:firstLine="0" w:firstLineChars="0"/>
                        <w:textAlignment w:val="auto"/>
                        <w:rPr>
                          <w:rFonts w:hint="eastAsia" w:ascii="宋体" w:hAnsi="宋体" w:cs="宋体"/>
                          <w:b w:val="0"/>
                          <w:bCs w:val="0"/>
                          <w:color w:val="auto"/>
                          <w:spacing w:val="0"/>
                          <w:kern w:val="2"/>
                          <w:sz w:val="21"/>
                          <w:szCs w:val="21"/>
                          <w:lang w:val="en-US" w:eastAsia="zh-CN" w:bidi="ar-SA"/>
                        </w:rPr>
                      </w:pPr>
                      <w:r>
                        <w:rPr>
                          <w:rFonts w:hint="eastAsia" w:ascii="宋体" w:hAnsi="宋体" w:cs="宋体"/>
                          <w:b w:val="0"/>
                          <w:bCs w:val="0"/>
                          <w:spacing w:val="0"/>
                          <w:kern w:val="2"/>
                          <w:sz w:val="21"/>
                          <w:szCs w:val="21"/>
                          <w:lang w:val="en-US" w:eastAsia="zh-CN" w:bidi="ar-SA"/>
                        </w:rPr>
                        <w:t xml:space="preserve">    </w:t>
                      </w:r>
                      <w:r>
                        <w:rPr>
                          <w:rFonts w:hint="eastAsia" w:ascii="宋体" w:hAnsi="宋体" w:eastAsia="宋体" w:cs="宋体"/>
                          <w:b w:val="0"/>
                          <w:bCs w:val="0"/>
                          <w:color w:val="auto"/>
                          <w:spacing w:val="0"/>
                          <w:kern w:val="2"/>
                          <w:sz w:val="21"/>
                          <w:szCs w:val="21"/>
                          <w:lang w:val="en-US" w:eastAsia="zh-CN" w:bidi="ar-SA"/>
                        </w:rPr>
                        <w:t>防风抑尘网</w:t>
                      </w:r>
                    </w:p>
                    <w:p w14:paraId="391754B2">
                      <w:pPr>
                        <w:pStyle w:val="30"/>
                        <w:keepLines w:val="0"/>
                        <w:pageBreakBefore w:val="0"/>
                        <w:kinsoku/>
                        <w:wordWrap/>
                        <w:topLinePunct w:val="0"/>
                        <w:bidi w:val="0"/>
                        <w:adjustRightInd/>
                        <w:spacing w:before="0" w:after="0" w:line="240" w:lineRule="auto"/>
                        <w:ind w:right="0"/>
                        <w:textAlignment w:val="auto"/>
                        <w:rPr>
                          <w:rFonts w:hint="default"/>
                          <w:sz w:val="21"/>
                          <w:szCs w:val="21"/>
                          <w:lang w:val="en-US" w:eastAsia="zh-CN"/>
                        </w:rPr>
                      </w:pPr>
                      <w:r>
                        <w:rPr>
                          <w:rFonts w:hint="eastAsia"/>
                          <w:sz w:val="21"/>
                          <w:szCs w:val="21"/>
                          <w:lang w:val="en-US" w:eastAsia="zh-CN"/>
                        </w:rPr>
                        <w:t xml:space="preserve">  </w:t>
                      </w:r>
                      <w:r>
                        <w:rPr>
                          <w:rFonts w:hint="eastAsia" w:ascii="宋体" w:hAnsi="宋体" w:eastAsia="宋体" w:cs="宋体"/>
                          <w:b w:val="0"/>
                          <w:bCs w:val="0"/>
                          <w:color w:val="auto"/>
                          <w:spacing w:val="0"/>
                          <w:kern w:val="2"/>
                          <w:sz w:val="21"/>
                          <w:szCs w:val="21"/>
                          <w:lang w:val="en-US" w:eastAsia="zh-CN" w:bidi="ar-SA"/>
                        </w:rPr>
                        <w:t>雨水收集渠</w:t>
                      </w:r>
                    </w:p>
                  </w:txbxContent>
                </v:textbox>
              </v:rect>
            </w:pict>
          </mc:Fallback>
        </mc:AlternateContent>
      </w:r>
      <w:bookmarkEnd w:id="26"/>
    </w:p>
    <w:p w14:paraId="37580DAE">
      <w:pPr>
        <w:pStyle w:val="2"/>
        <w:spacing w:line="260" w:lineRule="auto"/>
        <w:ind w:left="0" w:firstLine="0"/>
        <w:jc w:val="center"/>
        <w:rPr>
          <w:rFonts w:hint="default" w:ascii="Times New Roman" w:hAnsi="Times New Roman" w:eastAsia="宋体" w:cs="Times New Roman"/>
          <w:color w:val="auto"/>
          <w:sz w:val="24"/>
          <w:szCs w:val="24"/>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27" w:name="_Toc16131"/>
      <w:r>
        <w:rPr>
          <w:rFonts w:hint="default" w:ascii="Times New Roman" w:hAnsi="Times New Roman" w:eastAsia="宋体" w:cs="Times New Roman"/>
          <w:color w:val="auto"/>
          <w:sz w:val="24"/>
          <w:szCs w:val="24"/>
          <w:highlight w:val="none"/>
        </w:rPr>
        <w:t>附图</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平面布置</w:t>
      </w:r>
      <w:r>
        <w:rPr>
          <w:rFonts w:hint="default" w:ascii="Times New Roman" w:hAnsi="Times New Roman" w:eastAsia="宋体" w:cs="Times New Roman"/>
          <w:color w:val="auto"/>
          <w:sz w:val="24"/>
          <w:szCs w:val="24"/>
          <w:highlight w:val="none"/>
          <w:lang w:eastAsia="zh-CN"/>
        </w:rPr>
        <w:t>图</w:t>
      </w:r>
      <w:bookmarkEnd w:id="27"/>
    </w:p>
    <w:p w14:paraId="79811EB2">
      <w:pPr>
        <w:pStyle w:val="18"/>
        <w:numPr>
          <w:ilvl w:val="0"/>
          <w:numId w:val="0"/>
        </w:numPr>
        <w:jc w:val="center"/>
        <w:rPr>
          <w:rFonts w:hint="default" w:ascii="Times New Roman" w:hAnsi="Times New Roman" w:cs="Times New Roman"/>
          <w:color w:val="auto"/>
          <w:highlight w:val="none"/>
        </w:rPr>
      </w:pPr>
      <w:r>
        <w:rPr>
          <w:color w:val="auto"/>
        </w:rPr>
        <w:drawing>
          <wp:inline distT="0" distB="0" distL="114300" distR="114300">
            <wp:extent cx="8398510" cy="5259705"/>
            <wp:effectExtent l="0" t="0" r="0" b="0"/>
            <wp:docPr id="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pic:cNvPicPr>
                      <a:picLocks noChangeAspect="1"/>
                    </pic:cNvPicPr>
                  </pic:nvPicPr>
                  <pic:blipFill>
                    <a:blip r:embed="rId37"/>
                    <a:srcRect t="1965"/>
                    <a:stretch>
                      <a:fillRect/>
                    </a:stretch>
                  </pic:blipFill>
                  <pic:spPr>
                    <a:xfrm>
                      <a:off x="0" y="0"/>
                      <a:ext cx="8398510" cy="5259705"/>
                    </a:xfrm>
                    <a:prstGeom prst="rect">
                      <a:avLst/>
                    </a:prstGeom>
                    <a:noFill/>
                    <a:ln>
                      <a:noFill/>
                    </a:ln>
                  </pic:spPr>
                </pic:pic>
              </a:graphicData>
            </a:graphic>
          </wp:inline>
        </w:drawing>
      </w:r>
      <w:r>
        <w:rPr>
          <w:rFonts w:ascii="Times New Roman" w:hAnsi="Times New Roman" w:eastAsia="宋体"/>
          <w:color w:val="auto"/>
          <w:kern w:val="0"/>
          <w:sz w:val="24"/>
          <w:highlight w:val="none"/>
        </w:rPr>
        <w:drawing>
          <wp:anchor distT="0" distB="0" distL="114300" distR="114300" simplePos="0" relativeHeight="251683840" behindDoc="0" locked="0" layoutInCell="1" allowOverlap="1">
            <wp:simplePos x="0" y="0"/>
            <wp:positionH relativeFrom="column">
              <wp:posOffset>7637780</wp:posOffset>
            </wp:positionH>
            <wp:positionV relativeFrom="paragraph">
              <wp:posOffset>3810</wp:posOffset>
            </wp:positionV>
            <wp:extent cx="741045" cy="781050"/>
            <wp:effectExtent l="0" t="0" r="1905" b="0"/>
            <wp:wrapNone/>
            <wp:docPr id="5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descr="IMG_256"/>
                    <pic:cNvPicPr>
                      <a:picLocks noChangeAspect="1"/>
                    </pic:cNvPicPr>
                  </pic:nvPicPr>
                  <pic:blipFill>
                    <a:blip r:embed="rId26"/>
                    <a:srcRect l="4952" t="1324" r="53288" b="11133"/>
                    <a:stretch>
                      <a:fillRect/>
                    </a:stretch>
                  </pic:blipFill>
                  <pic:spPr>
                    <a:xfrm>
                      <a:off x="0" y="0"/>
                      <a:ext cx="741045" cy="781050"/>
                    </a:xfrm>
                    <a:prstGeom prst="rect">
                      <a:avLst/>
                    </a:prstGeom>
                    <a:noFill/>
                    <a:ln>
                      <a:noFill/>
                    </a:ln>
                  </pic:spPr>
                </pic:pic>
              </a:graphicData>
            </a:graphic>
          </wp:anchor>
        </w:drawing>
      </w:r>
      <w:r>
        <w:rPr>
          <w:rFonts w:hint="default" w:ascii="Times New Roman" w:hAnsi="Times New Roman" w:cs="Times New Roman" w:eastAsiaTheme="minorEastAsia"/>
          <w:color w:val="auto"/>
          <w:highlight w:val="none"/>
          <w:lang w:eastAsia="zh-CN"/>
        </w:rPr>
        <w:drawing>
          <wp:anchor distT="0" distB="0" distL="114300" distR="114300" simplePos="0" relativeHeight="251671552" behindDoc="0" locked="0" layoutInCell="1" allowOverlap="1">
            <wp:simplePos x="0" y="0"/>
            <wp:positionH relativeFrom="column">
              <wp:posOffset>143510</wp:posOffset>
            </wp:positionH>
            <wp:positionV relativeFrom="paragraph">
              <wp:posOffset>5017770</wp:posOffset>
            </wp:positionV>
            <wp:extent cx="100965" cy="151765"/>
            <wp:effectExtent l="0" t="0" r="13335" b="635"/>
            <wp:wrapNone/>
            <wp:docPr id="27" name="图片 6" descr="a6b58903766673bbc56dd3101ceb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descr="a6b58903766673bbc56dd3101ceb48b"/>
                    <pic:cNvPicPr>
                      <a:picLocks noChangeAspect="1"/>
                    </pic:cNvPicPr>
                  </pic:nvPicPr>
                  <pic:blipFill>
                    <a:blip r:embed="rId25">
                      <a:clrChange>
                        <a:clrFrom>
                          <a:srgbClr val="F6F6F6"/>
                        </a:clrFrom>
                        <a:clrTo>
                          <a:srgbClr val="F6F6F6">
                            <a:alpha val="0"/>
                          </a:srgbClr>
                        </a:clrTo>
                      </a:clrChange>
                    </a:blip>
                    <a:stretch>
                      <a:fillRect/>
                    </a:stretch>
                  </pic:blipFill>
                  <pic:spPr>
                    <a:xfrm>
                      <a:off x="0" y="0"/>
                      <a:ext cx="100965" cy="151765"/>
                    </a:xfrm>
                    <a:prstGeom prst="rect">
                      <a:avLst/>
                    </a:prstGeom>
                    <a:noFill/>
                    <a:ln>
                      <a:noFill/>
                    </a:ln>
                  </pic:spPr>
                </pic:pic>
              </a:graphicData>
            </a:graphic>
          </wp:anchor>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114935</wp:posOffset>
                </wp:positionH>
                <wp:positionV relativeFrom="paragraph">
                  <wp:posOffset>4863465</wp:posOffset>
                </wp:positionV>
                <wp:extent cx="133350" cy="104775"/>
                <wp:effectExtent l="6350" t="6350" r="12700" b="15875"/>
                <wp:wrapNone/>
                <wp:docPr id="13" name="矩形 73"/>
                <wp:cNvGraphicFramePr/>
                <a:graphic xmlns:a="http://schemas.openxmlformats.org/drawingml/2006/main">
                  <a:graphicData uri="http://schemas.microsoft.com/office/word/2010/wordprocessingShape">
                    <wps:wsp>
                      <wps:cNvSpPr/>
                      <wps:spPr>
                        <a:xfrm>
                          <a:off x="0" y="0"/>
                          <a:ext cx="133350" cy="104775"/>
                        </a:xfrm>
                        <a:prstGeom prst="rect">
                          <a:avLst/>
                        </a:prstGeom>
                        <a:noFill/>
                        <a:ln w="9525" cap="flat" cmpd="sng">
                          <a:solidFill>
                            <a:srgbClr val="FF0000"/>
                          </a:solidFill>
                          <a:prstDash val="solid"/>
                          <a:miter/>
                          <a:headEnd type="none" w="med" len="med"/>
                          <a:tailEnd type="none" w="med" len="med"/>
                        </a:ln>
                      </wps:spPr>
                      <wps:txbx>
                        <w:txbxContent>
                          <w:p w14:paraId="00D3D491">
                            <w:pPr>
                              <w:jc w:val="center"/>
                            </w:pPr>
                          </w:p>
                        </w:txbxContent>
                      </wps:txbx>
                      <wps:bodyPr upright="1"/>
                    </wps:wsp>
                  </a:graphicData>
                </a:graphic>
              </wp:anchor>
            </w:drawing>
          </mc:Choice>
          <mc:Fallback>
            <w:pict>
              <v:rect id="矩形 73" o:spid="_x0000_s1026" o:spt="1" style="position:absolute;left:0pt;margin-left:9.05pt;margin-top:382.95pt;height:8.25pt;width:10.5pt;z-index:251668480;mso-width-relative:page;mso-height-relative:page;" filled="f" stroked="t" coordsize="21600,21600" o:gfxdata="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lm+stkAAAAJAQAADwAAAAAAAAABACAAAAAiAAAAZHJzL2Rv&#10;d25yZXYueG1sUEsBAhQAFAAAAAgAh07iQJmX61wAAgAAAQQAAA4AAAAAAAAAAQAgAAAAKAEAAGRy&#10;cy9lMm9Eb2MueG1sUEsFBgAAAAAGAAYAWQEAAJoFAAAAAA==&#10;">
                <v:fill on="f" focussize="0,0"/>
                <v:stroke color="#FF0000" joinstyle="miter"/>
                <v:imagedata o:title=""/>
                <o:lock v:ext="edit" aspectratio="f"/>
                <v:textbox>
                  <w:txbxContent>
                    <w:p w14:paraId="00D3D491">
                      <w:pPr>
                        <w:jc w:val="center"/>
                      </w:pPr>
                    </w:p>
                  </w:txbxContent>
                </v:textbox>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20320</wp:posOffset>
                </wp:positionH>
                <wp:positionV relativeFrom="paragraph">
                  <wp:posOffset>4610100</wp:posOffset>
                </wp:positionV>
                <wp:extent cx="1171575" cy="611505"/>
                <wp:effectExtent l="5080" t="5080" r="4445" b="12065"/>
                <wp:wrapNone/>
                <wp:docPr id="12" name="文本框 71"/>
                <wp:cNvGraphicFramePr/>
                <a:graphic xmlns:a="http://schemas.openxmlformats.org/drawingml/2006/main">
                  <a:graphicData uri="http://schemas.microsoft.com/office/word/2010/wordprocessingShape">
                    <wps:wsp>
                      <wps:cNvSpPr/>
                      <wps:spPr>
                        <a:xfrm>
                          <a:off x="0" y="0"/>
                          <a:ext cx="1171575" cy="611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8D8A9B">
                            <w:pPr>
                              <w:ind w:firstLine="422" w:firstLineChars="200"/>
                              <w:rPr>
                                <w:b/>
                                <w:bCs/>
                                <w:sz w:val="18"/>
                                <w:szCs w:val="18"/>
                              </w:rPr>
                            </w:pPr>
                            <w:r>
                              <w:rPr>
                                <w:rFonts w:hint="eastAsia"/>
                                <w:b/>
                                <w:bCs/>
                                <w:szCs w:val="21"/>
                              </w:rPr>
                              <w:t>图 例</w:t>
                            </w:r>
                          </w:p>
                          <w:p w14:paraId="3B81EB04">
                            <w:pPr>
                              <w:pStyle w:val="24"/>
                              <w:rPr>
                                <w:sz w:val="18"/>
                                <w:szCs w:val="18"/>
                              </w:rPr>
                            </w:pPr>
                            <w:r>
                              <w:rPr>
                                <w:rFonts w:hint="eastAsia"/>
                                <w:szCs w:val="21"/>
                              </w:rPr>
                              <w:t>本项目位置</w:t>
                            </w:r>
                            <w:r>
                              <w:rPr>
                                <w:rFonts w:hint="eastAsia"/>
                                <w:sz w:val="18"/>
                                <w:szCs w:val="18"/>
                              </w:rPr>
                              <w:t xml:space="preserve">  </w:t>
                            </w:r>
                          </w:p>
                          <w:p w14:paraId="160F1C55">
                            <w:pPr>
                              <w:ind w:firstLine="420" w:firstLineChars="200"/>
                              <w:rPr>
                                <w:rFonts w:hint="default" w:ascii="宋体" w:hAnsi="宋体" w:eastAsia="宋体" w:cs="宋体"/>
                                <w:lang w:val="en-US" w:eastAsia="zh-CN"/>
                              </w:rPr>
                            </w:pPr>
                            <w:r>
                              <w:rPr>
                                <w:rFonts w:hint="eastAsia" w:ascii="宋体" w:hAnsi="宋体" w:cs="宋体"/>
                                <w:lang w:eastAsia="zh-CN"/>
                              </w:rPr>
                              <w:t>大气监测点</w:t>
                            </w:r>
                            <w:r>
                              <w:rPr>
                                <w:rFonts w:hint="eastAsia" w:ascii="宋体" w:hAnsi="宋体" w:cs="宋体"/>
                                <w:lang w:val="en-US" w:eastAsia="zh-CN"/>
                              </w:rPr>
                              <w:t xml:space="preserve"> </w:t>
                            </w:r>
                          </w:p>
                        </w:txbxContent>
                      </wps:txbx>
                      <wps:bodyPr upright="1"/>
                    </wps:wsp>
                  </a:graphicData>
                </a:graphic>
              </wp:anchor>
            </w:drawing>
          </mc:Choice>
          <mc:Fallback>
            <w:pict>
              <v:rect id="文本框 71" o:spid="_x0000_s1026" o:spt="1" style="position:absolute;left:0pt;margin-left:1.6pt;margin-top:363pt;height:48.15pt;width:92.25pt;z-index:251667456;mso-width-relative:page;mso-height-relative:page;" fillcolor="#FFFFFF" filled="t" stroked="t" coordsize="21600,21600" o:gfxdata="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aRXOh1wAAAAkBAAAPAAAAAAAAAAEAIAAAACIAAABkcnMv&#10;ZG93bnJldi54bWxQSwECFAAUAAAACACHTuJAEWoM6AQCAAAuBAAADgAAAAAAAAABACAAAAAmAQAA&#10;ZHJzL2Uyb0RvYy54bWxQSwUGAAAAAAYABgBZAQAAnAUAAAAA&#10;">
                <v:fill on="t" focussize="0,0"/>
                <v:stroke color="#000000" joinstyle="miter"/>
                <v:imagedata o:title=""/>
                <o:lock v:ext="edit" aspectratio="f"/>
                <v:textbox>
                  <w:txbxContent>
                    <w:p w14:paraId="128D8A9B">
                      <w:pPr>
                        <w:ind w:firstLine="422" w:firstLineChars="200"/>
                        <w:rPr>
                          <w:b/>
                          <w:bCs/>
                          <w:sz w:val="18"/>
                          <w:szCs w:val="18"/>
                        </w:rPr>
                      </w:pPr>
                      <w:r>
                        <w:rPr>
                          <w:rFonts w:hint="eastAsia"/>
                          <w:b/>
                          <w:bCs/>
                          <w:szCs w:val="21"/>
                        </w:rPr>
                        <w:t>图 例</w:t>
                      </w:r>
                    </w:p>
                    <w:p w14:paraId="3B81EB04">
                      <w:pPr>
                        <w:pStyle w:val="24"/>
                        <w:rPr>
                          <w:sz w:val="18"/>
                          <w:szCs w:val="18"/>
                        </w:rPr>
                      </w:pPr>
                      <w:r>
                        <w:rPr>
                          <w:rFonts w:hint="eastAsia"/>
                          <w:szCs w:val="21"/>
                        </w:rPr>
                        <w:t>本项目位置</w:t>
                      </w:r>
                      <w:r>
                        <w:rPr>
                          <w:rFonts w:hint="eastAsia"/>
                          <w:sz w:val="18"/>
                          <w:szCs w:val="18"/>
                        </w:rPr>
                        <w:t xml:space="preserve">  </w:t>
                      </w:r>
                    </w:p>
                    <w:p w14:paraId="160F1C55">
                      <w:pPr>
                        <w:ind w:firstLine="420" w:firstLineChars="200"/>
                        <w:rPr>
                          <w:rFonts w:hint="default" w:ascii="宋体" w:hAnsi="宋体" w:eastAsia="宋体" w:cs="宋体"/>
                          <w:lang w:val="en-US" w:eastAsia="zh-CN"/>
                        </w:rPr>
                      </w:pPr>
                      <w:r>
                        <w:rPr>
                          <w:rFonts w:hint="eastAsia" w:ascii="宋体" w:hAnsi="宋体" w:cs="宋体"/>
                          <w:lang w:eastAsia="zh-CN"/>
                        </w:rPr>
                        <w:t>大气监测点</w:t>
                      </w:r>
                      <w:r>
                        <w:rPr>
                          <w:rFonts w:hint="eastAsia" w:ascii="宋体" w:hAnsi="宋体" w:cs="宋体"/>
                          <w:lang w:val="en-US" w:eastAsia="zh-CN"/>
                        </w:rPr>
                        <w:t xml:space="preserve"> </w:t>
                      </w:r>
                    </w:p>
                  </w:txbxContent>
                </v:textbox>
              </v:rect>
            </w:pict>
          </mc:Fallback>
        </mc:AlternateContent>
      </w:r>
    </w:p>
    <w:p w14:paraId="79B5F786">
      <w:pPr>
        <w:pStyle w:val="11"/>
        <w:jc w:val="center"/>
        <w:outlineLvl w:val="0"/>
        <w:rPr>
          <w:rFonts w:hint="default" w:ascii="Times New Roman" w:hAnsi="Times New Roman" w:cs="Times New Roman"/>
          <w:b/>
          <w:bCs/>
          <w:color w:val="auto"/>
          <w:sz w:val="24"/>
          <w:szCs w:val="24"/>
          <w:highlight w:val="none"/>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28" w:name="_Toc655"/>
      <w:r>
        <w:rPr>
          <w:rFonts w:hint="default" w:ascii="Times New Roman" w:hAnsi="Times New Roman" w:cs="Times New Roman"/>
          <w:b/>
          <w:bCs/>
          <w:color w:val="auto"/>
          <w:sz w:val="24"/>
          <w:szCs w:val="24"/>
          <w:highlight w:val="none"/>
        </w:rPr>
        <w:t>附图</w:t>
      </w:r>
      <w:r>
        <w:rPr>
          <w:rFonts w:hint="eastAsia" w:ascii="Times New Roman" w:hAnsi="Times New Roman" w:cs="Times New Roman"/>
          <w:b/>
          <w:bCs/>
          <w:color w:val="auto"/>
          <w:sz w:val="24"/>
          <w:szCs w:val="24"/>
          <w:highlight w:val="none"/>
          <w:lang w:val="en-US" w:eastAsia="zh-CN"/>
        </w:rPr>
        <w:t>6</w:t>
      </w:r>
      <w:r>
        <w:rPr>
          <w:rFonts w:hint="default" w:ascii="Times New Roman" w:hAnsi="Times New Roman" w:cs="Times New Roman"/>
          <w:b/>
          <w:bCs/>
          <w:color w:val="auto"/>
          <w:sz w:val="24"/>
          <w:szCs w:val="24"/>
          <w:highlight w:val="none"/>
        </w:rPr>
        <w:t xml:space="preserve"> </w:t>
      </w:r>
      <w:r>
        <w:rPr>
          <w:rFonts w:hint="eastAsia" w:ascii="Times New Roman" w:hAnsi="Times New Roman" w:cs="Times New Roman"/>
          <w:b/>
          <w:bCs/>
          <w:color w:val="auto"/>
          <w:sz w:val="24"/>
          <w:szCs w:val="24"/>
          <w:highlight w:val="none"/>
          <w:lang w:eastAsia="zh-CN"/>
        </w:rPr>
        <w:t>引用</w:t>
      </w:r>
      <w:r>
        <w:rPr>
          <w:rFonts w:hint="default" w:ascii="Times New Roman" w:hAnsi="Times New Roman" w:cs="Times New Roman"/>
          <w:b/>
          <w:bCs/>
          <w:color w:val="auto"/>
          <w:sz w:val="24"/>
          <w:szCs w:val="24"/>
          <w:highlight w:val="none"/>
          <w:lang w:eastAsia="zh-CN"/>
        </w:rPr>
        <w:t>环境空气</w:t>
      </w:r>
      <w:r>
        <w:rPr>
          <w:rFonts w:hint="default" w:ascii="Times New Roman" w:hAnsi="Times New Roman" w:cs="Times New Roman"/>
          <w:b/>
          <w:bCs/>
          <w:color w:val="auto"/>
          <w:sz w:val="24"/>
          <w:szCs w:val="24"/>
          <w:highlight w:val="none"/>
        </w:rPr>
        <w:t>质量现状监测点位</w:t>
      </w:r>
      <w:r>
        <w:rPr>
          <w:rFonts w:hint="eastAsia" w:ascii="Times New Roman" w:hAnsi="Times New Roman" w:cs="Times New Roman"/>
          <w:b/>
          <w:bCs/>
          <w:color w:val="auto"/>
          <w:sz w:val="24"/>
          <w:szCs w:val="24"/>
          <w:highlight w:val="none"/>
          <w:lang w:eastAsia="zh-CN"/>
        </w:rPr>
        <w:t>与本项目位置关系</w:t>
      </w:r>
      <w:r>
        <w:rPr>
          <w:rFonts w:hint="default" w:ascii="Times New Roman" w:hAnsi="Times New Roman" w:cs="Times New Roman"/>
          <w:b/>
          <w:bCs/>
          <w:color w:val="auto"/>
          <w:sz w:val="24"/>
          <w:szCs w:val="24"/>
          <w:highlight w:val="none"/>
        </w:rPr>
        <w:t>图</w:t>
      </w:r>
      <w:bookmarkEnd w:id="28"/>
    </w:p>
    <w:p w14:paraId="7CD58321">
      <w:pPr>
        <w:pStyle w:val="18"/>
        <w:numPr>
          <w:ilvl w:val="0"/>
          <w:numId w:val="0"/>
        </w:numPr>
        <w:jc w:val="center"/>
        <w:rPr>
          <w:rFonts w:hint="default" w:ascii="Times New Roman" w:hAnsi="Times New Roman" w:cs="Times New Roman"/>
          <w:color w:val="auto"/>
          <w:highlight w:val="none"/>
        </w:rPr>
      </w:pPr>
      <w:r>
        <w:rPr>
          <w:color w:val="auto"/>
        </w:rPr>
        <w:drawing>
          <wp:inline distT="0" distB="0" distL="114300" distR="114300">
            <wp:extent cx="8398510" cy="5304155"/>
            <wp:effectExtent l="0" t="0" r="0" b="0"/>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38"/>
                    <a:srcRect t="1136"/>
                    <a:stretch>
                      <a:fillRect/>
                    </a:stretch>
                  </pic:blipFill>
                  <pic:spPr>
                    <a:xfrm>
                      <a:off x="0" y="0"/>
                      <a:ext cx="8398510" cy="5304155"/>
                    </a:xfrm>
                    <a:prstGeom prst="rect">
                      <a:avLst/>
                    </a:prstGeom>
                    <a:noFill/>
                    <a:ln>
                      <a:noFill/>
                    </a:ln>
                  </pic:spPr>
                </pic:pic>
              </a:graphicData>
            </a:graphic>
          </wp:inline>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81280</wp:posOffset>
                </wp:positionH>
                <wp:positionV relativeFrom="paragraph">
                  <wp:posOffset>5057140</wp:posOffset>
                </wp:positionV>
                <wp:extent cx="133350" cy="104775"/>
                <wp:effectExtent l="9525" t="9525" r="9525" b="12700"/>
                <wp:wrapNone/>
                <wp:docPr id="11" name="矩形 40"/>
                <wp:cNvGraphicFramePr/>
                <a:graphic xmlns:a="http://schemas.openxmlformats.org/drawingml/2006/main">
                  <a:graphicData uri="http://schemas.microsoft.com/office/word/2010/wordprocessingShape">
                    <wps:wsp>
                      <wps:cNvSpPr/>
                      <wps:spPr>
                        <a:xfrm>
                          <a:off x="0" y="0"/>
                          <a:ext cx="133350" cy="104775"/>
                        </a:xfrm>
                        <a:prstGeom prst="rect">
                          <a:avLst/>
                        </a:prstGeom>
                        <a:noFill/>
                        <a:ln w="19050" cap="flat" cmpd="sng">
                          <a:solidFill>
                            <a:srgbClr val="7030A0"/>
                          </a:solidFill>
                          <a:prstDash val="solid"/>
                          <a:miter/>
                          <a:headEnd type="none" w="med" len="med"/>
                          <a:tailEnd type="none" w="med" len="med"/>
                        </a:ln>
                      </wps:spPr>
                      <wps:bodyPr upright="1"/>
                    </wps:wsp>
                  </a:graphicData>
                </a:graphic>
              </wp:anchor>
            </w:drawing>
          </mc:Choice>
          <mc:Fallback>
            <w:pict>
              <v:rect id="矩形 40" o:spid="_x0000_s1026" o:spt="1" style="position:absolute;left:0pt;margin-left:6.4pt;margin-top:398.2pt;height:8.25pt;width:10.5pt;z-index:251666432;mso-width-relative:page;mso-height-relative:page;" filled="f" stroked="t" coordsize="21600,21600" o:gfxdata="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GJUVfWAAAACQEAAA8AAAAAAAAAAQAgAAAAIgAAAGRycy9kb3ducmV2LnhtbFBL&#10;AQIUABQAAAAIAIdO4kCxVrbH+AEAAPcDAAAOAAAAAAAAAAEAIAAAACUBAABkcnMvZTJvRG9jLnht&#10;bFBLBQYAAAAABgAGAFkBAACPBQAAAAA=&#10;">
                <v:fill on="f" focussize="0,0"/>
                <v:stroke weight="1.5pt" color="#7030A0" joinstyle="miter"/>
                <v:imagedata o:title=""/>
                <o:lock v:ext="edit" aspectratio="f"/>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73660</wp:posOffset>
                </wp:positionH>
                <wp:positionV relativeFrom="paragraph">
                  <wp:posOffset>4648835</wp:posOffset>
                </wp:positionV>
                <wp:extent cx="133350" cy="104775"/>
                <wp:effectExtent l="9525" t="9525" r="9525" b="12700"/>
                <wp:wrapNone/>
                <wp:docPr id="9" name="矩形 41"/>
                <wp:cNvGraphicFramePr/>
                <a:graphic xmlns:a="http://schemas.openxmlformats.org/drawingml/2006/main">
                  <a:graphicData uri="http://schemas.microsoft.com/office/word/2010/wordprocessingShape">
                    <wps:wsp>
                      <wps:cNvSpPr/>
                      <wps:spPr>
                        <a:xfrm>
                          <a:off x="0" y="0"/>
                          <a:ext cx="133350" cy="104775"/>
                        </a:xfrm>
                        <a:prstGeom prst="rect">
                          <a:avLst/>
                        </a:prstGeom>
                        <a:noFill/>
                        <a:ln w="19050" cap="flat" cmpd="sng">
                          <a:solidFill>
                            <a:srgbClr val="FF0000"/>
                          </a:solidFill>
                          <a:prstDash val="solid"/>
                          <a:miter/>
                          <a:headEnd type="none" w="med" len="med"/>
                          <a:tailEnd type="none" w="med" len="med"/>
                        </a:ln>
                      </wps:spPr>
                      <wps:bodyPr upright="1"/>
                    </wps:wsp>
                  </a:graphicData>
                </a:graphic>
              </wp:anchor>
            </w:drawing>
          </mc:Choice>
          <mc:Fallback>
            <w:pict>
              <v:rect id="矩形 41" o:spid="_x0000_s1026" o:spt="1" style="position:absolute;left:0pt;margin-left:5.8pt;margin-top:366.05pt;height:8.25pt;width:10.5pt;z-index:251664384;mso-width-relative:page;mso-height-relative:page;" filled="f" stroked="t" coordsize="21600,21600" o:gfxdata="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iVTa61wAAAAkBAAAPAAAAAAAAAAEAIAAAACIAAABkcnMvZG93bnJldi54bWxQ&#10;SwECFAAUAAAACACHTuJAH3RfFPgBAAD2AwAADgAAAAAAAAABACAAAAAmAQAAZHJzL2Uyb0RvYy54&#10;bWxQSwUGAAAAAAYABgBZAQAAkAUAAAAA&#10;">
                <v:fill on="f" focussize="0,0"/>
                <v:stroke weight="1.5pt" color="#FF0000" joinstyle="miter"/>
                <v:imagedata o:title=""/>
                <o:lock v:ext="edit" aspectratio="f"/>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73660</wp:posOffset>
                </wp:positionH>
                <wp:positionV relativeFrom="paragraph">
                  <wp:posOffset>4852035</wp:posOffset>
                </wp:positionV>
                <wp:extent cx="133350" cy="104775"/>
                <wp:effectExtent l="9525" t="9525" r="9525" b="12700"/>
                <wp:wrapNone/>
                <wp:docPr id="10" name="矩形 38"/>
                <wp:cNvGraphicFramePr/>
                <a:graphic xmlns:a="http://schemas.openxmlformats.org/drawingml/2006/main">
                  <a:graphicData uri="http://schemas.microsoft.com/office/word/2010/wordprocessingShape">
                    <wps:wsp>
                      <wps:cNvSpPr/>
                      <wps:spPr>
                        <a:xfrm>
                          <a:off x="0" y="0"/>
                          <a:ext cx="133350" cy="104775"/>
                        </a:xfrm>
                        <a:prstGeom prst="rect">
                          <a:avLst/>
                        </a:prstGeom>
                        <a:noFill/>
                        <a:ln w="19050" cap="flat" cmpd="sng">
                          <a:solidFill>
                            <a:srgbClr val="00B050"/>
                          </a:solidFill>
                          <a:prstDash val="solid"/>
                          <a:miter/>
                          <a:headEnd type="none" w="med" len="med"/>
                          <a:tailEnd type="none" w="med" len="med"/>
                        </a:ln>
                      </wps:spPr>
                      <wps:bodyPr upright="1"/>
                    </wps:wsp>
                  </a:graphicData>
                </a:graphic>
              </wp:anchor>
            </w:drawing>
          </mc:Choice>
          <mc:Fallback>
            <w:pict>
              <v:rect id="矩形 38" o:spid="_x0000_s1026" o:spt="1" style="position:absolute;left:0pt;margin-left:5.8pt;margin-top:382.05pt;height:8.25pt;width:10.5pt;z-index:251665408;mso-width-relative:page;mso-height-relative:page;" filled="f" stroked="t" coordsize="21600,21600" o:gfxdata="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Sj2wNUAAAAJAQAADwAAAAAAAAABACAAAAAiAAAAZHJzL2Rvd25yZXYueG1sUEsB&#10;AhQAFAAAAAgAh07iQHX2k+D4AQAA9wMAAA4AAAAAAAAAAQAgAAAAJAEAAGRycy9lMm9Eb2MueG1s&#10;UEsFBgAAAAAGAAYAWQEAAI4FAAAAAA==&#10;">
                <v:fill on="f" focussize="0,0"/>
                <v:stroke weight="1.5pt" color="#00B050" joinstyle="miter"/>
                <v:imagedata o:title=""/>
                <o:lock v:ext="edit" aspectratio="f"/>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4399915</wp:posOffset>
                </wp:positionV>
                <wp:extent cx="1437640" cy="870585"/>
                <wp:effectExtent l="4445" t="4445" r="5715" b="20320"/>
                <wp:wrapNone/>
                <wp:docPr id="8" name="文本框 39"/>
                <wp:cNvGraphicFramePr/>
                <a:graphic xmlns:a="http://schemas.openxmlformats.org/drawingml/2006/main">
                  <a:graphicData uri="http://schemas.microsoft.com/office/word/2010/wordprocessingShape">
                    <wps:wsp>
                      <wps:cNvSpPr/>
                      <wps:spPr>
                        <a:xfrm>
                          <a:off x="0" y="0"/>
                          <a:ext cx="1437640" cy="8705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ADACC">
                            <w:pPr>
                              <w:jc w:val="center"/>
                              <w:rPr>
                                <w:b/>
                                <w:bCs/>
                                <w:sz w:val="18"/>
                                <w:szCs w:val="18"/>
                              </w:rPr>
                            </w:pPr>
                            <w:r>
                              <w:rPr>
                                <w:rFonts w:hint="eastAsia"/>
                                <w:b/>
                                <w:bCs/>
                                <w:szCs w:val="21"/>
                              </w:rPr>
                              <w:t>图 例</w:t>
                            </w:r>
                          </w:p>
                          <w:p w14:paraId="70FE1AC5">
                            <w:pPr>
                              <w:pStyle w:val="24"/>
                              <w:spacing w:line="288" w:lineRule="auto"/>
                              <w:ind w:left="0" w:leftChars="0" w:firstLine="210" w:firstLineChars="100"/>
                              <w:rPr>
                                <w:sz w:val="21"/>
                                <w:szCs w:val="21"/>
                              </w:rPr>
                            </w:pPr>
                            <w:r>
                              <w:rPr>
                                <w:rFonts w:hint="eastAsia"/>
                                <w:sz w:val="21"/>
                                <w:szCs w:val="21"/>
                              </w:rPr>
                              <w:t>本项目位置</w:t>
                            </w:r>
                          </w:p>
                          <w:p w14:paraId="1A9288B0">
                            <w:pPr>
                              <w:spacing w:line="288" w:lineRule="auto"/>
                              <w:ind w:left="360" w:hanging="420" w:hangingChars="200"/>
                              <w:rPr>
                                <w:sz w:val="21"/>
                                <w:szCs w:val="21"/>
                              </w:rPr>
                            </w:pPr>
                            <w:r>
                              <w:rPr>
                                <w:rFonts w:hint="eastAsia"/>
                                <w:sz w:val="21"/>
                                <w:szCs w:val="21"/>
                              </w:rPr>
                              <w:t xml:space="preserve">  声环境评价范围</w:t>
                            </w:r>
                          </w:p>
                          <w:p w14:paraId="349C7419">
                            <w:pPr>
                              <w:pStyle w:val="24"/>
                              <w:spacing w:line="288" w:lineRule="auto"/>
                              <w:ind w:left="210" w:leftChars="0" w:hanging="210" w:hangingChars="100"/>
                              <w:rPr>
                                <w:sz w:val="21"/>
                                <w:szCs w:val="21"/>
                              </w:rPr>
                            </w:pPr>
                            <w:r>
                              <w:rPr>
                                <w:rFonts w:hint="eastAsia"/>
                                <w:sz w:val="21"/>
                                <w:szCs w:val="21"/>
                              </w:rPr>
                              <w:t xml:space="preserve">  大气环境评价范围</w:t>
                            </w:r>
                          </w:p>
                          <w:p w14:paraId="218CCB37">
                            <w:pPr>
                              <w:spacing w:line="288" w:lineRule="auto"/>
                              <w:rPr>
                                <w:sz w:val="21"/>
                                <w:szCs w:val="21"/>
                              </w:rPr>
                            </w:pPr>
                            <w:r>
                              <w:rPr>
                                <w:rFonts w:hint="eastAsia"/>
                                <w:sz w:val="21"/>
                                <w:szCs w:val="21"/>
                              </w:rPr>
                              <w:t xml:space="preserve">  </w:t>
                            </w:r>
                          </w:p>
                          <w:p w14:paraId="4BE4AEE3">
                            <w:pPr>
                              <w:rPr>
                                <w:rFonts w:ascii="宋体" w:hAnsi="宋体" w:cs="宋体"/>
                              </w:rPr>
                            </w:pPr>
                          </w:p>
                        </w:txbxContent>
                      </wps:txbx>
                      <wps:bodyPr upright="1"/>
                    </wps:wsp>
                  </a:graphicData>
                </a:graphic>
              </wp:anchor>
            </w:drawing>
          </mc:Choice>
          <mc:Fallback>
            <w:pict>
              <v:rect id="文本框 39" o:spid="_x0000_s1026" o:spt="1" style="position:absolute;left:0pt;margin-left:1.05pt;margin-top:346.45pt;height:68.55pt;width:113.2pt;z-index:251663360;mso-width-relative:page;mso-height-relative:page;" fillcolor="#FFFFFF" filled="t" stroked="t" coordsize="21600,21600" o:gfxdata="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2L7Q1wAAAAkBAAAPAAAAAAAAAAEAIAAAACIAAABk&#10;cnMvZG93bnJldi54bWxQSwECFAAUAAAACACHTuJAE/9uwAcCAAAtBAAADgAAAAAAAAABACAAAAAm&#10;AQAAZHJzL2Uyb0RvYy54bWxQSwUGAAAAAAYABgBZAQAAnwUAAAAA&#10;">
                <v:fill on="t" focussize="0,0"/>
                <v:stroke color="#000000" joinstyle="miter"/>
                <v:imagedata o:title=""/>
                <o:lock v:ext="edit" aspectratio="f"/>
                <v:textbox>
                  <w:txbxContent>
                    <w:p w14:paraId="779ADACC">
                      <w:pPr>
                        <w:jc w:val="center"/>
                        <w:rPr>
                          <w:b/>
                          <w:bCs/>
                          <w:sz w:val="18"/>
                          <w:szCs w:val="18"/>
                        </w:rPr>
                      </w:pPr>
                      <w:r>
                        <w:rPr>
                          <w:rFonts w:hint="eastAsia"/>
                          <w:b/>
                          <w:bCs/>
                          <w:szCs w:val="21"/>
                        </w:rPr>
                        <w:t>图 例</w:t>
                      </w:r>
                    </w:p>
                    <w:p w14:paraId="70FE1AC5">
                      <w:pPr>
                        <w:pStyle w:val="24"/>
                        <w:spacing w:line="288" w:lineRule="auto"/>
                        <w:ind w:left="0" w:leftChars="0" w:firstLine="210" w:firstLineChars="100"/>
                        <w:rPr>
                          <w:sz w:val="21"/>
                          <w:szCs w:val="21"/>
                        </w:rPr>
                      </w:pPr>
                      <w:r>
                        <w:rPr>
                          <w:rFonts w:hint="eastAsia"/>
                          <w:sz w:val="21"/>
                          <w:szCs w:val="21"/>
                        </w:rPr>
                        <w:t>本项目位置</w:t>
                      </w:r>
                    </w:p>
                    <w:p w14:paraId="1A9288B0">
                      <w:pPr>
                        <w:spacing w:line="288" w:lineRule="auto"/>
                        <w:ind w:left="360" w:hanging="420" w:hangingChars="200"/>
                        <w:rPr>
                          <w:sz w:val="21"/>
                          <w:szCs w:val="21"/>
                        </w:rPr>
                      </w:pPr>
                      <w:r>
                        <w:rPr>
                          <w:rFonts w:hint="eastAsia"/>
                          <w:sz w:val="21"/>
                          <w:szCs w:val="21"/>
                        </w:rPr>
                        <w:t xml:space="preserve">  声环境评价范围</w:t>
                      </w:r>
                    </w:p>
                    <w:p w14:paraId="349C7419">
                      <w:pPr>
                        <w:pStyle w:val="24"/>
                        <w:spacing w:line="288" w:lineRule="auto"/>
                        <w:ind w:left="210" w:leftChars="0" w:hanging="210" w:hangingChars="100"/>
                        <w:rPr>
                          <w:sz w:val="21"/>
                          <w:szCs w:val="21"/>
                        </w:rPr>
                      </w:pPr>
                      <w:r>
                        <w:rPr>
                          <w:rFonts w:hint="eastAsia"/>
                          <w:sz w:val="21"/>
                          <w:szCs w:val="21"/>
                        </w:rPr>
                        <w:t xml:space="preserve">  大气环境评价范围</w:t>
                      </w:r>
                    </w:p>
                    <w:p w14:paraId="218CCB37">
                      <w:pPr>
                        <w:spacing w:line="288" w:lineRule="auto"/>
                        <w:rPr>
                          <w:sz w:val="21"/>
                          <w:szCs w:val="21"/>
                        </w:rPr>
                      </w:pPr>
                      <w:r>
                        <w:rPr>
                          <w:rFonts w:hint="eastAsia"/>
                          <w:sz w:val="21"/>
                          <w:szCs w:val="21"/>
                        </w:rPr>
                        <w:t xml:space="preserve">  </w:t>
                      </w:r>
                    </w:p>
                    <w:p w14:paraId="4BE4AEE3">
                      <w:pPr>
                        <w:rPr>
                          <w:rFonts w:ascii="宋体" w:hAnsi="宋体" w:cs="宋体"/>
                        </w:rPr>
                      </w:pPr>
                    </w:p>
                  </w:txbxContent>
                </v:textbox>
              </v:rect>
            </w:pict>
          </mc:Fallback>
        </mc:AlternateContent>
      </w:r>
      <w:r>
        <w:rPr>
          <w:rFonts w:ascii="Times New Roman" w:hAnsi="Times New Roman" w:eastAsia="宋体"/>
          <w:color w:val="auto"/>
          <w:kern w:val="0"/>
          <w:sz w:val="24"/>
          <w:highlight w:val="none"/>
        </w:rPr>
        <w:drawing>
          <wp:anchor distT="0" distB="0" distL="114300" distR="114300" simplePos="0" relativeHeight="251684864" behindDoc="0" locked="0" layoutInCell="1" allowOverlap="1">
            <wp:simplePos x="0" y="0"/>
            <wp:positionH relativeFrom="column">
              <wp:posOffset>7666355</wp:posOffset>
            </wp:positionH>
            <wp:positionV relativeFrom="paragraph">
              <wp:posOffset>22860</wp:posOffset>
            </wp:positionV>
            <wp:extent cx="741045" cy="781050"/>
            <wp:effectExtent l="0" t="0" r="1905" b="0"/>
            <wp:wrapNone/>
            <wp:docPr id="5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 descr="IMG_256"/>
                    <pic:cNvPicPr>
                      <a:picLocks noChangeAspect="1"/>
                    </pic:cNvPicPr>
                  </pic:nvPicPr>
                  <pic:blipFill>
                    <a:blip r:embed="rId26"/>
                    <a:srcRect l="4952" t="1324" r="53288" b="11133"/>
                    <a:stretch>
                      <a:fillRect/>
                    </a:stretch>
                  </pic:blipFill>
                  <pic:spPr>
                    <a:xfrm>
                      <a:off x="0" y="0"/>
                      <a:ext cx="741045" cy="781050"/>
                    </a:xfrm>
                    <a:prstGeom prst="rect">
                      <a:avLst/>
                    </a:prstGeom>
                    <a:noFill/>
                    <a:ln>
                      <a:noFill/>
                    </a:ln>
                  </pic:spPr>
                </pic:pic>
              </a:graphicData>
            </a:graphic>
          </wp:anchor>
        </w:drawing>
      </w:r>
    </w:p>
    <w:p w14:paraId="26ED2537">
      <w:pPr>
        <w:pStyle w:val="2"/>
        <w:spacing w:line="260" w:lineRule="auto"/>
        <w:ind w:left="0" w:firstLine="0"/>
        <w:jc w:val="center"/>
        <w:rPr>
          <w:rFonts w:hint="default" w:ascii="Times New Roman" w:hAnsi="Times New Roman" w:eastAsia="宋体" w:cs="Times New Roman"/>
          <w:color w:val="auto"/>
          <w:highlight w:val="none"/>
          <w:lang w:eastAsia="zh-CN"/>
        </w:rPr>
      </w:pPr>
      <w:bookmarkStart w:id="29" w:name="_Toc17023"/>
      <w:r>
        <w:rPr>
          <w:rFonts w:hint="default" w:ascii="Times New Roman" w:hAnsi="Times New Roman" w:eastAsia="宋体" w:cs="Times New Roman"/>
          <w:color w:val="auto"/>
          <w:sz w:val="24"/>
          <w:szCs w:val="24"/>
          <w:highlight w:val="none"/>
        </w:rPr>
        <w:t>附图</w:t>
      </w:r>
      <w:r>
        <w:rPr>
          <w:rFonts w:hint="eastAsia"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 xml:space="preserve"> 评价范围及环境敏感目标示意图</w:t>
      </w:r>
      <w:r>
        <w:rPr>
          <w:rFonts w:ascii="Times New Roman" w:hAnsi="Times New Roman" w:eastAsia="宋体"/>
          <w:color w:val="auto"/>
          <w:kern w:val="0"/>
          <w:sz w:val="24"/>
          <w:highlight w:val="none"/>
        </w:rPr>
        <w:drawing>
          <wp:anchor distT="0" distB="0" distL="114300" distR="114300" simplePos="0" relativeHeight="251685888" behindDoc="0" locked="0" layoutInCell="1" allowOverlap="1">
            <wp:simplePos x="0" y="0"/>
            <wp:positionH relativeFrom="column">
              <wp:posOffset>7637780</wp:posOffset>
            </wp:positionH>
            <wp:positionV relativeFrom="paragraph">
              <wp:posOffset>3810</wp:posOffset>
            </wp:positionV>
            <wp:extent cx="741045" cy="781050"/>
            <wp:effectExtent l="0" t="0" r="1905" b="0"/>
            <wp:wrapNone/>
            <wp:docPr id="5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 descr="IMG_256"/>
                    <pic:cNvPicPr>
                      <a:picLocks noChangeAspect="1"/>
                    </pic:cNvPicPr>
                  </pic:nvPicPr>
                  <pic:blipFill>
                    <a:blip r:embed="rId26"/>
                    <a:srcRect l="4952" t="1324" r="53288" b="11133"/>
                    <a:stretch>
                      <a:fillRect/>
                    </a:stretch>
                  </pic:blipFill>
                  <pic:spPr>
                    <a:xfrm>
                      <a:off x="0" y="0"/>
                      <a:ext cx="741045" cy="781050"/>
                    </a:xfrm>
                    <a:prstGeom prst="rect">
                      <a:avLst/>
                    </a:prstGeom>
                    <a:noFill/>
                    <a:ln>
                      <a:noFill/>
                    </a:ln>
                  </pic:spPr>
                </pic:pic>
              </a:graphicData>
            </a:graphic>
          </wp:anchor>
        </w:drawing>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181610</wp:posOffset>
                </wp:positionH>
                <wp:positionV relativeFrom="paragraph">
                  <wp:posOffset>5063490</wp:posOffset>
                </wp:positionV>
                <wp:extent cx="190500" cy="104775"/>
                <wp:effectExtent l="0" t="0" r="0" b="0"/>
                <wp:wrapNone/>
                <wp:docPr id="58" name="矩形 73"/>
                <wp:cNvGraphicFramePr/>
                <a:graphic xmlns:a="http://schemas.openxmlformats.org/drawingml/2006/main">
                  <a:graphicData uri="http://schemas.microsoft.com/office/word/2010/wordprocessingShape">
                    <wps:wsp>
                      <wps:cNvSpPr/>
                      <wps:spPr>
                        <a:xfrm>
                          <a:off x="0" y="0"/>
                          <a:ext cx="190500" cy="104775"/>
                        </a:xfrm>
                        <a:prstGeom prst="rect">
                          <a:avLst/>
                        </a:prstGeom>
                        <a:solidFill>
                          <a:schemeClr val="accent3">
                            <a:alpha val="55000"/>
                          </a:schemeClr>
                        </a:solidFill>
                        <a:ln w="9525" cap="flat" cmpd="sng">
                          <a:noFill/>
                          <a:prstDash val="solid"/>
                          <a:miter/>
                          <a:headEnd type="none" w="med" len="med"/>
                          <a:tailEnd type="none" w="med" len="med"/>
                        </a:ln>
                      </wps:spPr>
                      <wps:txbx>
                        <w:txbxContent>
                          <w:p w14:paraId="08FDD10A">
                            <w:pPr>
                              <w:jc w:val="center"/>
                            </w:pPr>
                          </w:p>
                        </w:txbxContent>
                      </wps:txbx>
                      <wps:bodyPr upright="1"/>
                    </wps:wsp>
                  </a:graphicData>
                </a:graphic>
              </wp:anchor>
            </w:drawing>
          </mc:Choice>
          <mc:Fallback>
            <w:pict>
              <v:rect id="矩形 73" o:spid="_x0000_s1026" o:spt="1" style="position:absolute;left:0pt;margin-left:14.3pt;margin-top:398.7pt;height:8.25pt;width:15pt;z-index:251678720;mso-width-relative:page;mso-height-relative:page;" fillcolor="#9BBB59 [3206]" filled="t" stroked="f" coordsize="21600,21600" o:gfxdata="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J5T3PYAAAACQEAAA8AAAAAAAAAAQAg&#10;AAAAIgAAAGRycy9kb3ducmV2LnhtbFBLAQIUABQAAAAIAIdO4kArfnuFDgIAACIEAAAOAAAAAAAA&#10;AAEAIAAAACcBAABkcnMvZTJvRG9jLnhtbFBLBQYAAAAABgAGAFkBAACnBQAAAAA=&#10;">
                <v:fill on="t" opacity="36044f" focussize="0,0"/>
                <v:stroke on="f" joinstyle="miter"/>
                <v:imagedata o:title=""/>
                <o:lock v:ext="edit" aspectratio="f"/>
                <v:textbox>
                  <w:txbxContent>
                    <w:p w14:paraId="08FDD10A">
                      <w:pPr>
                        <w:jc w:val="center"/>
                      </w:pPr>
                    </w:p>
                  </w:txbxContent>
                </v:textbox>
              </v:rect>
            </w:pict>
          </mc:Fallback>
        </mc:AlternateContent>
      </w:r>
      <w:r>
        <w:rPr>
          <w:rFonts w:hint="default" w:ascii="Times New Roman" w:hAnsi="Times New Roman" w:eastAsia="宋体" w:cs="Times New Roman"/>
          <w:color w:val="auto"/>
          <w:sz w:val="24"/>
          <w:highlight w:val="none"/>
        </w:rPr>
        <mc:AlternateContent>
          <mc:Choice Requires="wps">
            <w:drawing>
              <wp:anchor distT="0" distB="0" distL="114300" distR="114300" simplePos="0" relativeHeight="251676672" behindDoc="0" locked="0" layoutInCell="1" allowOverlap="1">
                <wp:simplePos x="0" y="0"/>
                <wp:positionH relativeFrom="column">
                  <wp:posOffset>100965</wp:posOffset>
                </wp:positionH>
                <wp:positionV relativeFrom="paragraph">
                  <wp:posOffset>4512945</wp:posOffset>
                </wp:positionV>
                <wp:extent cx="1221105" cy="775970"/>
                <wp:effectExtent l="4445" t="4445" r="12700" b="19685"/>
                <wp:wrapNone/>
                <wp:docPr id="45" name="矩形 45"/>
                <wp:cNvGraphicFramePr/>
                <a:graphic xmlns:a="http://schemas.openxmlformats.org/drawingml/2006/main">
                  <a:graphicData uri="http://schemas.microsoft.com/office/word/2010/wordprocessingShape">
                    <wps:wsp>
                      <wps:cNvSpPr/>
                      <wps:spPr>
                        <a:xfrm>
                          <a:off x="0" y="0"/>
                          <a:ext cx="1221105" cy="7759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0B0F19">
                            <w:pPr>
                              <w:spacing w:line="36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w:t>
                            </w:r>
                            <w:r>
                              <w:rPr>
                                <w:rFonts w:hint="eastAsia" w:ascii="宋体" w:hAnsi="宋体" w:cs="宋体"/>
                                <w:b/>
                                <w:bCs/>
                                <w:lang w:val="en-US" w:eastAsia="zh-CN"/>
                              </w:rPr>
                              <w:t xml:space="preserve"> </w:t>
                            </w:r>
                            <w:r>
                              <w:rPr>
                                <w:rFonts w:hint="eastAsia" w:ascii="宋体" w:hAnsi="宋体" w:eastAsia="宋体" w:cs="宋体"/>
                                <w:b/>
                                <w:bCs/>
                                <w:lang w:val="en-US" w:eastAsia="zh-CN"/>
                              </w:rPr>
                              <w:t>例</w:t>
                            </w:r>
                          </w:p>
                          <w:p w14:paraId="272369FD">
                            <w:pPr>
                              <w:pStyle w:val="30"/>
                              <w:keepNext w:val="0"/>
                              <w:keepLines w:val="0"/>
                              <w:pageBreakBefore w:val="0"/>
                              <w:widowControl/>
                              <w:kinsoku/>
                              <w:wordWrap/>
                              <w:overflowPunct/>
                              <w:topLinePunct w:val="0"/>
                              <w:bidi w:val="0"/>
                              <w:adjustRightInd/>
                              <w:snapToGrid w:val="0"/>
                              <w:spacing w:before="0" w:after="0" w:line="240" w:lineRule="auto"/>
                              <w:ind w:right="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一般防渗区</w:t>
                            </w:r>
                          </w:p>
                          <w:p w14:paraId="4DB56244">
                            <w:pPr>
                              <w:pStyle w:val="30"/>
                              <w:rPr>
                                <w:rFonts w:hint="default"/>
                                <w:sz w:val="21"/>
                                <w:szCs w:val="21"/>
                                <w:lang w:val="en-US" w:eastAsia="zh-CN"/>
                              </w:rPr>
                            </w:pPr>
                            <w:r>
                              <w:rPr>
                                <w:rFonts w:hint="eastAsia"/>
                                <w:sz w:val="21"/>
                                <w:szCs w:val="21"/>
                                <w:lang w:val="en-US" w:eastAsia="zh-CN"/>
                              </w:rPr>
                              <w:t xml:space="preserve">  简单防渗区</w:t>
                            </w:r>
                          </w:p>
                        </w:txbxContent>
                      </wps:txbx>
                      <wps:bodyPr vert="horz" anchor="t" anchorCtr="0" upright="1"/>
                    </wps:wsp>
                  </a:graphicData>
                </a:graphic>
              </wp:anchor>
            </w:drawing>
          </mc:Choice>
          <mc:Fallback>
            <w:pict>
              <v:rect id="_x0000_s1026" o:spid="_x0000_s1026" o:spt="1" style="position:absolute;left:0pt;margin-left:7.95pt;margin-top:355.35pt;height:61.1pt;width:96.15pt;z-index:251676672;mso-width-relative:page;mso-height-relative:page;" fillcolor="#FFFFFF" filled="t" stroked="t" coordsize="21600,21600" o:gfxdata="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jo7zXYAAAA&#10;CgEAAA8AAAAAAAAAAQAgAAAAIgAAAGRycy9kb3ducmV2LnhtbFBLAQIUABQAAAAIAIdO4kAyt+gS&#10;HQIAAF4EAAAOAAAAAAAAAAEAIAAAACcBAABkcnMvZTJvRG9jLnhtbFBLBQYAAAAABgAGAFkBAAC2&#10;BQAAAAA=&#10;">
                <v:fill on="t" focussize="0,0"/>
                <v:stroke color="#000000" joinstyle="miter"/>
                <v:imagedata o:title=""/>
                <o:lock v:ext="edit" aspectratio="f"/>
                <v:textbox>
                  <w:txbxContent>
                    <w:p w14:paraId="620B0F19">
                      <w:pPr>
                        <w:spacing w:line="36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图</w:t>
                      </w:r>
                      <w:r>
                        <w:rPr>
                          <w:rFonts w:hint="eastAsia" w:ascii="宋体" w:hAnsi="宋体" w:cs="宋体"/>
                          <w:b/>
                          <w:bCs/>
                          <w:lang w:val="en-US" w:eastAsia="zh-CN"/>
                        </w:rPr>
                        <w:t xml:space="preserve"> </w:t>
                      </w:r>
                      <w:r>
                        <w:rPr>
                          <w:rFonts w:hint="eastAsia" w:ascii="宋体" w:hAnsi="宋体" w:eastAsia="宋体" w:cs="宋体"/>
                          <w:b/>
                          <w:bCs/>
                          <w:lang w:val="en-US" w:eastAsia="zh-CN"/>
                        </w:rPr>
                        <w:t>例</w:t>
                      </w:r>
                    </w:p>
                    <w:p w14:paraId="272369FD">
                      <w:pPr>
                        <w:pStyle w:val="30"/>
                        <w:keepNext w:val="0"/>
                        <w:keepLines w:val="0"/>
                        <w:pageBreakBefore w:val="0"/>
                        <w:widowControl/>
                        <w:kinsoku/>
                        <w:wordWrap/>
                        <w:overflowPunct/>
                        <w:topLinePunct w:val="0"/>
                        <w:bidi w:val="0"/>
                        <w:adjustRightInd/>
                        <w:snapToGrid w:val="0"/>
                        <w:spacing w:before="0" w:after="0" w:line="240" w:lineRule="auto"/>
                        <w:ind w:right="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一般防渗区</w:t>
                      </w:r>
                    </w:p>
                    <w:p w14:paraId="4DB56244">
                      <w:pPr>
                        <w:pStyle w:val="30"/>
                        <w:rPr>
                          <w:rFonts w:hint="default"/>
                          <w:sz w:val="21"/>
                          <w:szCs w:val="21"/>
                          <w:lang w:val="en-US" w:eastAsia="zh-CN"/>
                        </w:rPr>
                      </w:pPr>
                      <w:r>
                        <w:rPr>
                          <w:rFonts w:hint="eastAsia"/>
                          <w:sz w:val="21"/>
                          <w:szCs w:val="21"/>
                          <w:lang w:val="en-US" w:eastAsia="zh-CN"/>
                        </w:rPr>
                        <w:t xml:space="preserve">  简单防渗区</w:t>
                      </w:r>
                    </w:p>
                  </w:txbxContent>
                </v:textbox>
              </v:rect>
            </w:pict>
          </mc:Fallback>
        </mc:AlternateContent>
      </w:r>
      <w:r>
        <w:rPr>
          <w:rFonts w:hint="default" w:ascii="Times New Roman" w:hAnsi="Times New Roman" w:eastAsia="宋体" w:cs="Times New Roman"/>
          <w:color w:val="auto"/>
          <w:kern w:val="2"/>
          <w:sz w:val="21"/>
          <w:szCs w:val="24"/>
          <w:highlight w:val="none"/>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181610</wp:posOffset>
                </wp:positionH>
                <wp:positionV relativeFrom="paragraph">
                  <wp:posOffset>4892040</wp:posOffset>
                </wp:positionV>
                <wp:extent cx="190500" cy="104775"/>
                <wp:effectExtent l="0" t="0" r="0" b="9525"/>
                <wp:wrapNone/>
                <wp:docPr id="60" name="矩形 73"/>
                <wp:cNvGraphicFramePr/>
                <a:graphic xmlns:a="http://schemas.openxmlformats.org/drawingml/2006/main">
                  <a:graphicData uri="http://schemas.microsoft.com/office/word/2010/wordprocessingShape">
                    <wps:wsp>
                      <wps:cNvSpPr/>
                      <wps:spPr>
                        <a:xfrm>
                          <a:off x="0" y="0"/>
                          <a:ext cx="190500" cy="104775"/>
                        </a:xfrm>
                        <a:prstGeom prst="rect">
                          <a:avLst/>
                        </a:prstGeom>
                        <a:solidFill>
                          <a:schemeClr val="accent6">
                            <a:alpha val="55000"/>
                          </a:schemeClr>
                        </a:solidFill>
                        <a:ln w="9525" cap="flat" cmpd="sng">
                          <a:noFill/>
                          <a:prstDash val="solid"/>
                          <a:miter/>
                          <a:headEnd type="none" w="med" len="med"/>
                          <a:tailEnd type="none" w="med" len="med"/>
                        </a:ln>
                      </wps:spPr>
                      <wps:txbx>
                        <w:txbxContent>
                          <w:p w14:paraId="3F0C4F9D">
                            <w:pPr>
                              <w:jc w:val="center"/>
                            </w:pPr>
                          </w:p>
                        </w:txbxContent>
                      </wps:txbx>
                      <wps:bodyPr upright="1"/>
                    </wps:wsp>
                  </a:graphicData>
                </a:graphic>
              </wp:anchor>
            </w:drawing>
          </mc:Choice>
          <mc:Fallback>
            <w:pict>
              <v:rect id="矩形 73" o:spid="_x0000_s1026" o:spt="1" style="position:absolute;left:0pt;margin-left:14.3pt;margin-top:385.2pt;height:8.25pt;width:15pt;z-index:251677696;mso-width-relative:page;mso-height-relative:page;" fillcolor="#F79646 [3209]" filled="t" stroked="f" coordsize="21600,21600" o:gfxdata="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BwBYdkAAAAJAQAADwAAAAAAAAAB&#10;ACAAAAAiAAAAZHJzL2Rvd25yZXYueG1sUEsBAhQAFAAAAAgAh07iQJwqEw0PAgAAIgQAAA4AAAAA&#10;AAAAAQAgAAAAKAEAAGRycy9lMm9Eb2MueG1sUEsFBgAAAAAGAAYAWQEAAKkFAAAAAA==&#10;">
                <v:fill on="t" opacity="36044f" focussize="0,0"/>
                <v:stroke on="f" joinstyle="miter"/>
                <v:imagedata o:title=""/>
                <o:lock v:ext="edit" aspectratio="f"/>
                <v:textbox>
                  <w:txbxContent>
                    <w:p w14:paraId="3F0C4F9D">
                      <w:pPr>
                        <w:jc w:val="center"/>
                      </w:pPr>
                    </w:p>
                  </w:txbxContent>
                </v:textbox>
              </v:rect>
            </w:pict>
          </mc:Fallback>
        </mc:AlternateContent>
      </w:r>
      <w:bookmarkEnd w:id="29"/>
      <w:r>
        <w:rPr>
          <w:color w:val="auto"/>
        </w:rPr>
        <w:drawing>
          <wp:inline distT="0" distB="0" distL="114300" distR="114300">
            <wp:extent cx="8346440" cy="5271135"/>
            <wp:effectExtent l="0" t="0" r="0" b="0"/>
            <wp:docPr id="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
                    <pic:cNvPicPr>
                      <a:picLocks noChangeAspect="1"/>
                    </pic:cNvPicPr>
                  </pic:nvPicPr>
                  <pic:blipFill>
                    <a:blip r:embed="rId39"/>
                    <a:srcRect l="2791" t="3622" r="1267"/>
                    <a:stretch>
                      <a:fillRect/>
                    </a:stretch>
                  </pic:blipFill>
                  <pic:spPr>
                    <a:xfrm>
                      <a:off x="0" y="0"/>
                      <a:ext cx="8346440" cy="5271135"/>
                    </a:xfrm>
                    <a:prstGeom prst="rect">
                      <a:avLst/>
                    </a:prstGeom>
                    <a:noFill/>
                    <a:ln>
                      <a:noFill/>
                    </a:ln>
                  </pic:spPr>
                </pic:pic>
              </a:graphicData>
            </a:graphic>
          </wp:inline>
        </w:drawing>
      </w:r>
    </w:p>
    <w:p w14:paraId="719AB640">
      <w:pPr>
        <w:pStyle w:val="2"/>
        <w:spacing w:line="260" w:lineRule="auto"/>
        <w:ind w:left="0" w:firstLine="0"/>
        <w:jc w:val="center"/>
        <w:rPr>
          <w:rFonts w:hint="default" w:ascii="Times New Roman" w:hAnsi="Times New Roman" w:eastAsia="宋体" w:cs="Times New Roman"/>
          <w:color w:val="auto"/>
          <w:sz w:val="24"/>
          <w:szCs w:val="24"/>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30" w:name="_Toc24246"/>
      <w:r>
        <w:rPr>
          <w:rFonts w:hint="default" w:ascii="Times New Roman" w:hAnsi="Times New Roman" w:eastAsia="宋体" w:cs="Times New Roman"/>
          <w:color w:val="auto"/>
          <w:sz w:val="24"/>
          <w:szCs w:val="24"/>
          <w:highlight w:val="none"/>
        </w:rPr>
        <w:t>附图</w:t>
      </w:r>
      <w:r>
        <w:rPr>
          <w:rFonts w:hint="eastAsia"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分区防渗图</w:t>
      </w:r>
      <w:bookmarkEnd w:id="30"/>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3"/>
        <w:gridCol w:w="3363"/>
        <w:gridCol w:w="3364"/>
        <w:gridCol w:w="3364"/>
      </w:tblGrid>
      <w:tr w14:paraId="5CD2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Pr>
          <w:p w14:paraId="00B5FB96">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5805" cy="2520315"/>
                  <wp:effectExtent l="0" t="0" r="4445" b="13335"/>
                  <wp:docPr id="20" name="图片 20" descr="1c2b32e9e51da6866cad1b4866f0d03"/>
                  <wp:cNvGraphicFramePr/>
                  <a:graphic xmlns:a="http://schemas.openxmlformats.org/drawingml/2006/main">
                    <a:graphicData uri="http://schemas.openxmlformats.org/drawingml/2006/picture">
                      <pic:pic xmlns:pic="http://schemas.openxmlformats.org/drawingml/2006/picture">
                        <pic:nvPicPr>
                          <pic:cNvPr id="20" name="图片 20" descr="1c2b32e9e51da6866cad1b4866f0d03"/>
                          <pic:cNvPicPr/>
                        </pic:nvPicPr>
                        <pic:blipFill>
                          <a:blip r:embed="rId40"/>
                          <a:srcRect t="16467" b="27958"/>
                          <a:stretch>
                            <a:fillRect/>
                          </a:stretch>
                        </pic:blipFill>
                        <pic:spPr>
                          <a:xfrm>
                            <a:off x="0" y="0"/>
                            <a:ext cx="1995805" cy="2520315"/>
                          </a:xfrm>
                          <a:prstGeom prst="rect">
                            <a:avLst/>
                          </a:prstGeom>
                        </pic:spPr>
                      </pic:pic>
                    </a:graphicData>
                  </a:graphic>
                </wp:inline>
              </w:drawing>
            </w:r>
          </w:p>
        </w:tc>
        <w:tc>
          <w:tcPr>
            <w:tcW w:w="3363" w:type="dxa"/>
          </w:tcPr>
          <w:p w14:paraId="624A00B2">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5805" cy="2520315"/>
                  <wp:effectExtent l="0" t="0" r="4445" b="13335"/>
                  <wp:docPr id="25" name="图片 25" descr="6d1f7d61eb9c253996deda1f4f1be6d"/>
                  <wp:cNvGraphicFramePr/>
                  <a:graphic xmlns:a="http://schemas.openxmlformats.org/drawingml/2006/main">
                    <a:graphicData uri="http://schemas.openxmlformats.org/drawingml/2006/picture">
                      <pic:pic xmlns:pic="http://schemas.openxmlformats.org/drawingml/2006/picture">
                        <pic:nvPicPr>
                          <pic:cNvPr id="25" name="图片 25" descr="6d1f7d61eb9c253996deda1f4f1be6d"/>
                          <pic:cNvPicPr/>
                        </pic:nvPicPr>
                        <pic:blipFill>
                          <a:blip r:embed="rId41"/>
                          <a:srcRect t="14892" b="15966"/>
                          <a:stretch>
                            <a:fillRect/>
                          </a:stretch>
                        </pic:blipFill>
                        <pic:spPr>
                          <a:xfrm>
                            <a:off x="0" y="0"/>
                            <a:ext cx="1995805" cy="2520315"/>
                          </a:xfrm>
                          <a:prstGeom prst="rect">
                            <a:avLst/>
                          </a:prstGeom>
                        </pic:spPr>
                      </pic:pic>
                    </a:graphicData>
                  </a:graphic>
                </wp:inline>
              </w:drawing>
            </w:r>
          </w:p>
        </w:tc>
        <w:tc>
          <w:tcPr>
            <w:tcW w:w="3364" w:type="dxa"/>
          </w:tcPr>
          <w:p w14:paraId="1D6FA218">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68" name="图片 68" descr="bb456fade7f176dd160a6d4c382a5bc"/>
                  <wp:cNvGraphicFramePr/>
                  <a:graphic xmlns:a="http://schemas.openxmlformats.org/drawingml/2006/main">
                    <a:graphicData uri="http://schemas.openxmlformats.org/drawingml/2006/picture">
                      <pic:pic xmlns:pic="http://schemas.openxmlformats.org/drawingml/2006/picture">
                        <pic:nvPicPr>
                          <pic:cNvPr id="68" name="图片 68" descr="bb456fade7f176dd160a6d4c382a5bc"/>
                          <pic:cNvPicPr/>
                        </pic:nvPicPr>
                        <pic:blipFill>
                          <a:blip r:embed="rId42"/>
                          <a:stretch>
                            <a:fillRect/>
                          </a:stretch>
                        </pic:blipFill>
                        <pic:spPr>
                          <a:xfrm>
                            <a:off x="0" y="0"/>
                            <a:ext cx="1993265" cy="2520315"/>
                          </a:xfrm>
                          <a:prstGeom prst="rect">
                            <a:avLst/>
                          </a:prstGeom>
                        </pic:spPr>
                      </pic:pic>
                    </a:graphicData>
                  </a:graphic>
                </wp:inline>
              </w:drawing>
            </w:r>
          </w:p>
        </w:tc>
        <w:tc>
          <w:tcPr>
            <w:tcW w:w="3364" w:type="dxa"/>
          </w:tcPr>
          <w:p w14:paraId="3094799C">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75" name="图片 75" descr="c0448a1d4289193a3c75da6b26117a6"/>
                  <wp:cNvGraphicFramePr/>
                  <a:graphic xmlns:a="http://schemas.openxmlformats.org/drawingml/2006/main">
                    <a:graphicData uri="http://schemas.openxmlformats.org/drawingml/2006/picture">
                      <pic:pic xmlns:pic="http://schemas.openxmlformats.org/drawingml/2006/picture">
                        <pic:nvPicPr>
                          <pic:cNvPr id="75" name="图片 75" descr="c0448a1d4289193a3c75da6b26117a6"/>
                          <pic:cNvPicPr/>
                        </pic:nvPicPr>
                        <pic:blipFill>
                          <a:blip r:embed="rId43"/>
                          <a:stretch>
                            <a:fillRect/>
                          </a:stretch>
                        </pic:blipFill>
                        <pic:spPr>
                          <a:xfrm>
                            <a:off x="0" y="0"/>
                            <a:ext cx="1993265" cy="2520315"/>
                          </a:xfrm>
                          <a:prstGeom prst="rect">
                            <a:avLst/>
                          </a:prstGeom>
                        </pic:spPr>
                      </pic:pic>
                    </a:graphicData>
                  </a:graphic>
                </wp:inline>
              </w:drawing>
            </w:r>
          </w:p>
        </w:tc>
      </w:tr>
      <w:tr w14:paraId="1D2A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Pr>
          <w:p w14:paraId="4BEC1DC7">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77" name="图片 77" descr="6bc8a894b3c0f8a83259c332aa2fa52"/>
                  <wp:cNvGraphicFramePr/>
                  <a:graphic xmlns:a="http://schemas.openxmlformats.org/drawingml/2006/main">
                    <a:graphicData uri="http://schemas.openxmlformats.org/drawingml/2006/picture">
                      <pic:pic xmlns:pic="http://schemas.openxmlformats.org/drawingml/2006/picture">
                        <pic:nvPicPr>
                          <pic:cNvPr id="77" name="图片 77" descr="6bc8a894b3c0f8a83259c332aa2fa52"/>
                          <pic:cNvPicPr/>
                        </pic:nvPicPr>
                        <pic:blipFill>
                          <a:blip r:embed="rId44"/>
                          <a:stretch>
                            <a:fillRect/>
                          </a:stretch>
                        </pic:blipFill>
                        <pic:spPr>
                          <a:xfrm>
                            <a:off x="0" y="0"/>
                            <a:ext cx="1993265" cy="2520315"/>
                          </a:xfrm>
                          <a:prstGeom prst="rect">
                            <a:avLst/>
                          </a:prstGeom>
                        </pic:spPr>
                      </pic:pic>
                    </a:graphicData>
                  </a:graphic>
                </wp:inline>
              </w:drawing>
            </w:r>
          </w:p>
        </w:tc>
        <w:tc>
          <w:tcPr>
            <w:tcW w:w="3363" w:type="dxa"/>
          </w:tcPr>
          <w:p w14:paraId="09037228">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79" name="图片 79" descr="3b0e3db288184736addd8b2baebc52f"/>
                  <wp:cNvGraphicFramePr/>
                  <a:graphic xmlns:a="http://schemas.openxmlformats.org/drawingml/2006/main">
                    <a:graphicData uri="http://schemas.openxmlformats.org/drawingml/2006/picture">
                      <pic:pic xmlns:pic="http://schemas.openxmlformats.org/drawingml/2006/picture">
                        <pic:nvPicPr>
                          <pic:cNvPr id="79" name="图片 79" descr="3b0e3db288184736addd8b2baebc52f"/>
                          <pic:cNvPicPr/>
                        </pic:nvPicPr>
                        <pic:blipFill>
                          <a:blip r:embed="rId45"/>
                          <a:stretch>
                            <a:fillRect/>
                          </a:stretch>
                        </pic:blipFill>
                        <pic:spPr>
                          <a:xfrm>
                            <a:off x="0" y="0"/>
                            <a:ext cx="1993265" cy="2520315"/>
                          </a:xfrm>
                          <a:prstGeom prst="rect">
                            <a:avLst/>
                          </a:prstGeom>
                        </pic:spPr>
                      </pic:pic>
                    </a:graphicData>
                  </a:graphic>
                </wp:inline>
              </w:drawing>
            </w:r>
          </w:p>
        </w:tc>
        <w:tc>
          <w:tcPr>
            <w:tcW w:w="3364" w:type="dxa"/>
          </w:tcPr>
          <w:p w14:paraId="3570C01B">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21" name="图片 21" descr="e4bc13318d56c2b428fddc2b67985f3"/>
                  <wp:cNvGraphicFramePr/>
                  <a:graphic xmlns:a="http://schemas.openxmlformats.org/drawingml/2006/main">
                    <a:graphicData uri="http://schemas.openxmlformats.org/drawingml/2006/picture">
                      <pic:pic xmlns:pic="http://schemas.openxmlformats.org/drawingml/2006/picture">
                        <pic:nvPicPr>
                          <pic:cNvPr id="21" name="图片 21" descr="e4bc13318d56c2b428fddc2b67985f3"/>
                          <pic:cNvPicPr/>
                        </pic:nvPicPr>
                        <pic:blipFill>
                          <a:blip r:embed="rId46"/>
                          <a:stretch>
                            <a:fillRect/>
                          </a:stretch>
                        </pic:blipFill>
                        <pic:spPr>
                          <a:xfrm>
                            <a:off x="0" y="0"/>
                            <a:ext cx="1993265" cy="2520315"/>
                          </a:xfrm>
                          <a:prstGeom prst="rect">
                            <a:avLst/>
                          </a:prstGeom>
                        </pic:spPr>
                      </pic:pic>
                    </a:graphicData>
                  </a:graphic>
                </wp:inline>
              </w:drawing>
            </w:r>
          </w:p>
        </w:tc>
        <w:tc>
          <w:tcPr>
            <w:tcW w:w="3364" w:type="dxa"/>
          </w:tcPr>
          <w:p w14:paraId="123A64BB">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0" name="图片 80" descr="b04fff5ad8b7dacbfd3d64922e9cc15"/>
                  <wp:cNvGraphicFramePr/>
                  <a:graphic xmlns:a="http://schemas.openxmlformats.org/drawingml/2006/main">
                    <a:graphicData uri="http://schemas.openxmlformats.org/drawingml/2006/picture">
                      <pic:pic xmlns:pic="http://schemas.openxmlformats.org/drawingml/2006/picture">
                        <pic:nvPicPr>
                          <pic:cNvPr id="80" name="图片 80" descr="b04fff5ad8b7dacbfd3d64922e9cc15"/>
                          <pic:cNvPicPr/>
                        </pic:nvPicPr>
                        <pic:blipFill>
                          <a:blip r:embed="rId47"/>
                          <a:stretch>
                            <a:fillRect/>
                          </a:stretch>
                        </pic:blipFill>
                        <pic:spPr>
                          <a:xfrm>
                            <a:off x="0" y="0"/>
                            <a:ext cx="1993265" cy="2520315"/>
                          </a:xfrm>
                          <a:prstGeom prst="rect">
                            <a:avLst/>
                          </a:prstGeom>
                        </pic:spPr>
                      </pic:pic>
                    </a:graphicData>
                  </a:graphic>
                </wp:inline>
              </w:drawing>
            </w:r>
          </w:p>
        </w:tc>
      </w:tr>
      <w:tr w14:paraId="2628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Pr>
          <w:p w14:paraId="70231DC8">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2" name="图片 82" descr="6b98bd62507bac11d0e2faa92b8f54e"/>
                  <wp:cNvGraphicFramePr/>
                  <a:graphic xmlns:a="http://schemas.openxmlformats.org/drawingml/2006/main">
                    <a:graphicData uri="http://schemas.openxmlformats.org/drawingml/2006/picture">
                      <pic:pic xmlns:pic="http://schemas.openxmlformats.org/drawingml/2006/picture">
                        <pic:nvPicPr>
                          <pic:cNvPr id="82" name="图片 82" descr="6b98bd62507bac11d0e2faa92b8f54e"/>
                          <pic:cNvPicPr/>
                        </pic:nvPicPr>
                        <pic:blipFill>
                          <a:blip r:embed="rId48"/>
                          <a:stretch>
                            <a:fillRect/>
                          </a:stretch>
                        </pic:blipFill>
                        <pic:spPr>
                          <a:xfrm>
                            <a:off x="0" y="0"/>
                            <a:ext cx="1993265" cy="2520315"/>
                          </a:xfrm>
                          <a:prstGeom prst="rect">
                            <a:avLst/>
                          </a:prstGeom>
                        </pic:spPr>
                      </pic:pic>
                    </a:graphicData>
                  </a:graphic>
                </wp:inline>
              </w:drawing>
            </w:r>
          </w:p>
        </w:tc>
        <w:tc>
          <w:tcPr>
            <w:tcW w:w="3363" w:type="dxa"/>
          </w:tcPr>
          <w:p w14:paraId="1F5CEF1E">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5" name="图片 85" descr="3f26d459e2d2ff2c8912ceb41abb919"/>
                  <wp:cNvGraphicFramePr/>
                  <a:graphic xmlns:a="http://schemas.openxmlformats.org/drawingml/2006/main">
                    <a:graphicData uri="http://schemas.openxmlformats.org/drawingml/2006/picture">
                      <pic:pic xmlns:pic="http://schemas.openxmlformats.org/drawingml/2006/picture">
                        <pic:nvPicPr>
                          <pic:cNvPr id="85" name="图片 85" descr="3f26d459e2d2ff2c8912ceb41abb919"/>
                          <pic:cNvPicPr/>
                        </pic:nvPicPr>
                        <pic:blipFill>
                          <a:blip r:embed="rId49"/>
                          <a:stretch>
                            <a:fillRect/>
                          </a:stretch>
                        </pic:blipFill>
                        <pic:spPr>
                          <a:xfrm>
                            <a:off x="0" y="0"/>
                            <a:ext cx="1993265" cy="2520315"/>
                          </a:xfrm>
                          <a:prstGeom prst="rect">
                            <a:avLst/>
                          </a:prstGeom>
                        </pic:spPr>
                      </pic:pic>
                    </a:graphicData>
                  </a:graphic>
                </wp:inline>
              </w:drawing>
            </w:r>
          </w:p>
        </w:tc>
        <w:tc>
          <w:tcPr>
            <w:tcW w:w="3364" w:type="dxa"/>
          </w:tcPr>
          <w:p w14:paraId="406DD956">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6" name="图片 86" descr="095517262b7c28c6ed1b01a3485c543"/>
                  <wp:cNvGraphicFramePr/>
                  <a:graphic xmlns:a="http://schemas.openxmlformats.org/drawingml/2006/main">
                    <a:graphicData uri="http://schemas.openxmlformats.org/drawingml/2006/picture">
                      <pic:pic xmlns:pic="http://schemas.openxmlformats.org/drawingml/2006/picture">
                        <pic:nvPicPr>
                          <pic:cNvPr id="86" name="图片 86" descr="095517262b7c28c6ed1b01a3485c543"/>
                          <pic:cNvPicPr/>
                        </pic:nvPicPr>
                        <pic:blipFill>
                          <a:blip r:embed="rId50"/>
                          <a:stretch>
                            <a:fillRect/>
                          </a:stretch>
                        </pic:blipFill>
                        <pic:spPr>
                          <a:xfrm>
                            <a:off x="0" y="0"/>
                            <a:ext cx="1993265" cy="2520315"/>
                          </a:xfrm>
                          <a:prstGeom prst="rect">
                            <a:avLst/>
                          </a:prstGeom>
                        </pic:spPr>
                      </pic:pic>
                    </a:graphicData>
                  </a:graphic>
                </wp:inline>
              </w:drawing>
            </w:r>
          </w:p>
        </w:tc>
        <w:tc>
          <w:tcPr>
            <w:tcW w:w="3364" w:type="dxa"/>
          </w:tcPr>
          <w:p w14:paraId="1E401A3A">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7" name="图片 87" descr="1fd8cad65e069239f59f1e1a9fdbc2d"/>
                  <wp:cNvGraphicFramePr/>
                  <a:graphic xmlns:a="http://schemas.openxmlformats.org/drawingml/2006/main">
                    <a:graphicData uri="http://schemas.openxmlformats.org/drawingml/2006/picture">
                      <pic:pic xmlns:pic="http://schemas.openxmlformats.org/drawingml/2006/picture">
                        <pic:nvPicPr>
                          <pic:cNvPr id="87" name="图片 87" descr="1fd8cad65e069239f59f1e1a9fdbc2d"/>
                          <pic:cNvPicPr/>
                        </pic:nvPicPr>
                        <pic:blipFill>
                          <a:blip r:embed="rId51"/>
                          <a:stretch>
                            <a:fillRect/>
                          </a:stretch>
                        </pic:blipFill>
                        <pic:spPr>
                          <a:xfrm>
                            <a:off x="0" y="0"/>
                            <a:ext cx="1993265" cy="2520315"/>
                          </a:xfrm>
                          <a:prstGeom prst="rect">
                            <a:avLst/>
                          </a:prstGeom>
                        </pic:spPr>
                      </pic:pic>
                    </a:graphicData>
                  </a:graphic>
                </wp:inline>
              </w:drawing>
            </w:r>
          </w:p>
        </w:tc>
      </w:tr>
      <w:tr w14:paraId="557C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3" w:type="dxa"/>
          </w:tcPr>
          <w:p w14:paraId="68D83B6D">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8" name="图片 88" descr="6ef9acf847c43e1cafdd0966aa637d9"/>
                  <wp:cNvGraphicFramePr/>
                  <a:graphic xmlns:a="http://schemas.openxmlformats.org/drawingml/2006/main">
                    <a:graphicData uri="http://schemas.openxmlformats.org/drawingml/2006/picture">
                      <pic:pic xmlns:pic="http://schemas.openxmlformats.org/drawingml/2006/picture">
                        <pic:nvPicPr>
                          <pic:cNvPr id="88" name="图片 88" descr="6ef9acf847c43e1cafdd0966aa637d9"/>
                          <pic:cNvPicPr/>
                        </pic:nvPicPr>
                        <pic:blipFill>
                          <a:blip r:embed="rId52"/>
                          <a:stretch>
                            <a:fillRect/>
                          </a:stretch>
                        </pic:blipFill>
                        <pic:spPr>
                          <a:xfrm>
                            <a:off x="0" y="0"/>
                            <a:ext cx="1993265" cy="2520315"/>
                          </a:xfrm>
                          <a:prstGeom prst="rect">
                            <a:avLst/>
                          </a:prstGeom>
                        </pic:spPr>
                      </pic:pic>
                    </a:graphicData>
                  </a:graphic>
                </wp:inline>
              </w:drawing>
            </w:r>
          </w:p>
        </w:tc>
        <w:tc>
          <w:tcPr>
            <w:tcW w:w="3363" w:type="dxa"/>
          </w:tcPr>
          <w:p w14:paraId="6045BC11">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89" name="图片 89" descr="5685251698de939a59183779d487e12"/>
                  <wp:cNvGraphicFramePr/>
                  <a:graphic xmlns:a="http://schemas.openxmlformats.org/drawingml/2006/main">
                    <a:graphicData uri="http://schemas.openxmlformats.org/drawingml/2006/picture">
                      <pic:pic xmlns:pic="http://schemas.openxmlformats.org/drawingml/2006/picture">
                        <pic:nvPicPr>
                          <pic:cNvPr id="89" name="图片 89" descr="5685251698de939a59183779d487e12"/>
                          <pic:cNvPicPr/>
                        </pic:nvPicPr>
                        <pic:blipFill>
                          <a:blip r:embed="rId53"/>
                          <a:stretch>
                            <a:fillRect/>
                          </a:stretch>
                        </pic:blipFill>
                        <pic:spPr>
                          <a:xfrm>
                            <a:off x="0" y="0"/>
                            <a:ext cx="1993265" cy="2520315"/>
                          </a:xfrm>
                          <a:prstGeom prst="rect">
                            <a:avLst/>
                          </a:prstGeom>
                        </pic:spPr>
                      </pic:pic>
                    </a:graphicData>
                  </a:graphic>
                </wp:inline>
              </w:drawing>
            </w:r>
          </w:p>
        </w:tc>
        <w:tc>
          <w:tcPr>
            <w:tcW w:w="3364" w:type="dxa"/>
          </w:tcPr>
          <w:p w14:paraId="2ADFF0D3">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90" name="图片 90" descr="ecc80fd38ac3f1e343397ec7a54111a"/>
                  <wp:cNvGraphicFramePr/>
                  <a:graphic xmlns:a="http://schemas.openxmlformats.org/drawingml/2006/main">
                    <a:graphicData uri="http://schemas.openxmlformats.org/drawingml/2006/picture">
                      <pic:pic xmlns:pic="http://schemas.openxmlformats.org/drawingml/2006/picture">
                        <pic:nvPicPr>
                          <pic:cNvPr id="90" name="图片 90" descr="ecc80fd38ac3f1e343397ec7a54111a"/>
                          <pic:cNvPicPr/>
                        </pic:nvPicPr>
                        <pic:blipFill>
                          <a:blip r:embed="rId54"/>
                          <a:stretch>
                            <a:fillRect/>
                          </a:stretch>
                        </pic:blipFill>
                        <pic:spPr>
                          <a:xfrm>
                            <a:off x="0" y="0"/>
                            <a:ext cx="1993265" cy="2520315"/>
                          </a:xfrm>
                          <a:prstGeom prst="rect">
                            <a:avLst/>
                          </a:prstGeom>
                        </pic:spPr>
                      </pic:pic>
                    </a:graphicData>
                  </a:graphic>
                </wp:inline>
              </w:drawing>
            </w:r>
          </w:p>
        </w:tc>
        <w:tc>
          <w:tcPr>
            <w:tcW w:w="3364" w:type="dxa"/>
          </w:tcPr>
          <w:p w14:paraId="16257D4C">
            <w:pPr>
              <w:rPr>
                <w:rFonts w:hint="default"/>
                <w:color w:val="auto"/>
                <w:highlight w:val="none"/>
                <w:vertAlign w:val="baseline"/>
                <w:lang w:eastAsia="zh-CN"/>
              </w:rPr>
            </w:pPr>
            <w:r>
              <w:rPr>
                <w:rFonts w:hint="default"/>
                <w:color w:val="auto"/>
                <w:highlight w:val="none"/>
                <w:vertAlign w:val="baseline"/>
                <w:lang w:eastAsia="zh-CN"/>
              </w:rPr>
              <w:drawing>
                <wp:inline distT="0" distB="0" distL="114300" distR="114300">
                  <wp:extent cx="1993265" cy="2520315"/>
                  <wp:effectExtent l="0" t="0" r="6985" b="13335"/>
                  <wp:docPr id="92" name="图片 92" descr="241ffbbde57a47372ff403feae98e54"/>
                  <wp:cNvGraphicFramePr/>
                  <a:graphic xmlns:a="http://schemas.openxmlformats.org/drawingml/2006/main">
                    <a:graphicData uri="http://schemas.openxmlformats.org/drawingml/2006/picture">
                      <pic:pic xmlns:pic="http://schemas.openxmlformats.org/drawingml/2006/picture">
                        <pic:nvPicPr>
                          <pic:cNvPr id="92" name="图片 92" descr="241ffbbde57a47372ff403feae98e54"/>
                          <pic:cNvPicPr/>
                        </pic:nvPicPr>
                        <pic:blipFill>
                          <a:blip r:embed="rId55"/>
                          <a:stretch>
                            <a:fillRect/>
                          </a:stretch>
                        </pic:blipFill>
                        <pic:spPr>
                          <a:xfrm>
                            <a:off x="0" y="0"/>
                            <a:ext cx="1993265" cy="2520315"/>
                          </a:xfrm>
                          <a:prstGeom prst="rect">
                            <a:avLst/>
                          </a:prstGeom>
                        </pic:spPr>
                      </pic:pic>
                    </a:graphicData>
                  </a:graphic>
                </wp:inline>
              </w:drawing>
            </w:r>
          </w:p>
        </w:tc>
      </w:tr>
    </w:tbl>
    <w:p w14:paraId="01B6AAFE">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color w:val="auto"/>
          <w:kern w:val="44"/>
          <w:sz w:val="24"/>
          <w:szCs w:val="24"/>
          <w:highlight w:val="none"/>
          <w:lang w:val="en-US" w:eastAsia="zh-CN" w:bidi="ar-SA"/>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eastAsia="宋体" w:cs="Times New Roman"/>
          <w:b/>
          <w:bCs/>
          <w:color w:val="auto"/>
          <w:kern w:val="44"/>
          <w:sz w:val="24"/>
          <w:szCs w:val="24"/>
          <w:highlight w:val="none"/>
          <w:lang w:val="en-US" w:eastAsia="zh-CN" w:bidi="ar-SA"/>
        </w:rPr>
        <w:t>附图</w:t>
      </w:r>
      <w:r>
        <w:rPr>
          <w:rFonts w:hint="eastAsia" w:cs="Times New Roman"/>
          <w:b/>
          <w:bCs/>
          <w:color w:val="auto"/>
          <w:kern w:val="44"/>
          <w:sz w:val="24"/>
          <w:szCs w:val="24"/>
          <w:highlight w:val="none"/>
          <w:lang w:val="en-US" w:eastAsia="zh-CN" w:bidi="ar-SA"/>
        </w:rPr>
        <w:t>9 本项目500m范围内全部搬迁现场照片</w:t>
      </w:r>
    </w:p>
    <w:p w14:paraId="5795ACA0">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jc w:val="left"/>
        <w:textAlignment w:val="auto"/>
        <w:outlineLvl w:val="0"/>
        <w:rPr>
          <w:rFonts w:hint="default" w:ascii="Times New Roman" w:hAnsi="Times New Roman" w:cs="Times New Roman"/>
          <w:b/>
          <w:bCs/>
          <w:color w:val="auto"/>
          <w:sz w:val="24"/>
          <w:szCs w:val="24"/>
          <w:highlight w:val="none"/>
          <w:lang w:val="en-US" w:eastAsia="zh-CN"/>
        </w:rPr>
      </w:pPr>
      <w:bookmarkStart w:id="31" w:name="_Toc2720"/>
      <w:bookmarkStart w:id="32" w:name="_Toc25212"/>
      <w:r>
        <w:rPr>
          <w:rFonts w:hint="default" w:ascii="Times New Roman" w:hAnsi="Times New Roman" w:cs="Times New Roman"/>
          <w:b/>
          <w:bCs/>
          <w:color w:val="auto"/>
          <w:sz w:val="24"/>
          <w:szCs w:val="24"/>
          <w:highlight w:val="none"/>
        </w:rPr>
        <w:t xml:space="preserve">附件1 </w:t>
      </w:r>
      <w:bookmarkEnd w:id="31"/>
      <w:r>
        <w:rPr>
          <w:rFonts w:hint="default" w:ascii="Times New Roman" w:hAnsi="Times New Roman" w:cs="Times New Roman"/>
          <w:b/>
          <w:bCs/>
          <w:color w:val="auto"/>
          <w:sz w:val="24"/>
          <w:szCs w:val="24"/>
          <w:highlight w:val="none"/>
          <w:lang w:eastAsia="zh-CN"/>
        </w:rPr>
        <w:t>营业执照</w:t>
      </w:r>
      <w:bookmarkEnd w:id="32"/>
      <w:r>
        <w:rPr>
          <w:rFonts w:hint="default" w:ascii="Times New Roman" w:hAnsi="Times New Roman" w:cs="Times New Roman"/>
          <w:b/>
          <w:bCs/>
          <w:color w:val="auto"/>
          <w:sz w:val="24"/>
          <w:szCs w:val="24"/>
          <w:highlight w:val="none"/>
          <w:lang w:val="en-US" w:eastAsia="zh-CN"/>
        </w:rPr>
        <w:tab/>
      </w:r>
    </w:p>
    <w:p w14:paraId="1DF01ECD">
      <w:pPr>
        <w:jc w:val="center"/>
        <w:rPr>
          <w:rFonts w:hint="default"/>
          <w:color w:val="auto"/>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color w:val="auto"/>
          <w:highlight w:val="none"/>
          <w:lang w:eastAsia="zh-CN"/>
        </w:rPr>
        <w:drawing>
          <wp:inline distT="0" distB="0" distL="114300" distR="114300">
            <wp:extent cx="5075555" cy="8507095"/>
            <wp:effectExtent l="0" t="0" r="8255" b="10795"/>
            <wp:docPr id="61" name="图片 61" descr="微信图片_2025062413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微信图片_20250624130919"/>
                    <pic:cNvPicPr>
                      <a:picLocks noChangeAspect="1"/>
                    </pic:cNvPicPr>
                  </pic:nvPicPr>
                  <pic:blipFill>
                    <a:blip r:embed="rId56">
                      <a:lum contrast="24000"/>
                    </a:blip>
                    <a:srcRect t="5590" r="-134"/>
                    <a:stretch>
                      <a:fillRect/>
                    </a:stretch>
                  </pic:blipFill>
                  <pic:spPr>
                    <a:xfrm rot="16200000">
                      <a:off x="0" y="0"/>
                      <a:ext cx="5075555" cy="8507095"/>
                    </a:xfrm>
                    <a:prstGeom prst="rect">
                      <a:avLst/>
                    </a:prstGeom>
                  </pic:spPr>
                </pic:pic>
              </a:graphicData>
            </a:graphic>
          </wp:inline>
        </w:drawing>
      </w:r>
    </w:p>
    <w:p w14:paraId="7327870E">
      <w:pPr>
        <w:pStyle w:val="18"/>
        <w:numPr>
          <w:ilvl w:val="0"/>
          <w:numId w:val="0"/>
        </w:numPr>
        <w:spacing w:line="360" w:lineRule="auto"/>
        <w:rPr>
          <w:rFonts w:hint="default" w:ascii="Times New Roman" w:hAnsi="Times New Roman" w:eastAsia="宋体" w:cs="Times New Roman"/>
          <w:b/>
          <w:bCs/>
          <w:color w:val="auto"/>
          <w:kern w:val="0"/>
          <w:sz w:val="24"/>
          <w:szCs w:val="24"/>
          <w:highlight w:val="none"/>
          <w:lang w:val="en-US" w:eastAsia="zh-CN" w:bidi="ar-SA"/>
        </w:rPr>
      </w:pPr>
      <w:bookmarkStart w:id="33" w:name="_Toc9730"/>
      <w:r>
        <w:rPr>
          <w:rFonts w:hint="default" w:ascii="Times New Roman" w:hAnsi="Times New Roman" w:eastAsia="宋体" w:cs="Times New Roman"/>
          <w:b/>
          <w:bCs/>
          <w:color w:val="auto"/>
          <w:kern w:val="0"/>
          <w:sz w:val="24"/>
          <w:szCs w:val="24"/>
          <w:highlight w:val="none"/>
          <w:lang w:val="en-US" w:eastAsia="zh-CN" w:bidi="ar-SA"/>
        </w:rPr>
        <w:t>附件2 用地性质证明</w:t>
      </w:r>
    </w:p>
    <w:p w14:paraId="41875A37">
      <w:pPr>
        <w:pStyle w:val="18"/>
        <w:numPr>
          <w:ilvl w:val="0"/>
          <w:numId w:val="0"/>
        </w:numPr>
        <w:jc w:val="center"/>
        <w:rPr>
          <w:rFonts w:hint="default" w:ascii="Times New Roman" w:hAnsi="Times New Roman" w:cs="Times New Roman"/>
          <w:b/>
          <w:bCs/>
          <w:color w:val="auto"/>
          <w:sz w:val="24"/>
          <w:szCs w:val="24"/>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b/>
          <w:bCs/>
          <w:color w:val="auto"/>
          <w:sz w:val="24"/>
          <w:szCs w:val="24"/>
          <w:highlight w:val="none"/>
          <w:lang w:val="en-US" w:eastAsia="zh-CN"/>
        </w:rPr>
        <w:drawing>
          <wp:inline distT="0" distB="0" distL="114300" distR="114300">
            <wp:extent cx="5191760" cy="8480425"/>
            <wp:effectExtent l="0" t="0" r="8890" b="15875"/>
            <wp:docPr id="59" name="图片 59" descr="微信图片_2025062413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微信图片_20250624130917"/>
                    <pic:cNvPicPr>
                      <a:picLocks noChangeAspect="1"/>
                    </pic:cNvPicPr>
                  </pic:nvPicPr>
                  <pic:blipFill>
                    <a:blip r:embed="rId57">
                      <a:lum contrast="18000"/>
                    </a:blip>
                    <a:srcRect t="5137" r="1467" b="4326"/>
                    <a:stretch>
                      <a:fillRect/>
                    </a:stretch>
                  </pic:blipFill>
                  <pic:spPr>
                    <a:xfrm>
                      <a:off x="0" y="0"/>
                      <a:ext cx="5191760" cy="8480425"/>
                    </a:xfrm>
                    <a:prstGeom prst="rect">
                      <a:avLst/>
                    </a:prstGeom>
                  </pic:spPr>
                </pic:pic>
              </a:graphicData>
            </a:graphic>
          </wp:inline>
        </w:drawing>
      </w:r>
    </w:p>
    <w:p w14:paraId="47AC1D75">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outlineLvl w:val="0"/>
        <w:rPr>
          <w:rFonts w:hint="eastAsia" w:ascii="Times New Roman" w:hAnsi="Times New Roman" w:eastAsia="宋体" w:cs="Times New Roman"/>
          <w:b/>
          <w:bCs/>
          <w:color w:val="auto"/>
          <w:sz w:val="24"/>
          <w:szCs w:val="24"/>
          <w:highlight w:val="none"/>
          <w:lang w:eastAsia="zh-CN"/>
        </w:rPr>
      </w:pPr>
      <w:bookmarkStart w:id="34" w:name="_Toc12124"/>
      <w:r>
        <w:rPr>
          <w:rFonts w:hint="default" w:ascii="Times New Roman" w:hAnsi="Times New Roman" w:cs="Times New Roman"/>
          <w:b/>
          <w:bCs/>
          <w:color w:val="auto"/>
          <w:sz w:val="24"/>
          <w:szCs w:val="24"/>
          <w:highlight w:val="none"/>
        </w:rPr>
        <w:t>附件</w:t>
      </w:r>
      <w:r>
        <w:rPr>
          <w:rFonts w:hint="default" w:ascii="Times New Roman" w:hAnsi="Times New Roman" w:cs="Times New Roman"/>
          <w:b/>
          <w:bCs/>
          <w:color w:val="auto"/>
          <w:sz w:val="24"/>
          <w:szCs w:val="24"/>
          <w:highlight w:val="none"/>
          <w:lang w:val="en-US" w:eastAsia="zh-CN"/>
        </w:rPr>
        <w:t>3</w:t>
      </w:r>
      <w:r>
        <w:rPr>
          <w:rFonts w:hint="default" w:ascii="Times New Roman" w:hAnsi="Times New Roman" w:cs="Times New Roman"/>
          <w:b/>
          <w:bCs/>
          <w:color w:val="auto"/>
          <w:sz w:val="24"/>
          <w:szCs w:val="24"/>
          <w:highlight w:val="none"/>
        </w:rPr>
        <w:t xml:space="preserve"> </w:t>
      </w:r>
      <w:r>
        <w:rPr>
          <w:rFonts w:hint="eastAsia" w:cs="Times New Roman"/>
          <w:b/>
          <w:bCs/>
          <w:color w:val="auto"/>
          <w:sz w:val="24"/>
          <w:szCs w:val="24"/>
          <w:highlight w:val="none"/>
          <w:lang w:eastAsia="zh-CN"/>
        </w:rPr>
        <w:t>土地租赁协议书</w:t>
      </w:r>
    </w:p>
    <w:p w14:paraId="60C1CCCC">
      <w:pPr>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drawing>
          <wp:inline distT="0" distB="0" distL="114300" distR="114300">
            <wp:extent cx="5270500" cy="7458075"/>
            <wp:effectExtent l="0" t="0" r="6350" b="9525"/>
            <wp:docPr id="46" name="图片 46" descr="59754496cf24c5223a48343092bb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59754496cf24c5223a48343092bb5253"/>
                    <pic:cNvPicPr>
                      <a:picLocks noChangeAspect="1"/>
                    </pic:cNvPicPr>
                  </pic:nvPicPr>
                  <pic:blipFill>
                    <a:blip r:embed="rId58">
                      <a:lum bright="-6000"/>
                    </a:blip>
                    <a:stretch>
                      <a:fillRect/>
                    </a:stretch>
                  </pic:blipFill>
                  <pic:spPr>
                    <a:xfrm>
                      <a:off x="0" y="0"/>
                      <a:ext cx="5270500" cy="7458075"/>
                    </a:xfrm>
                    <a:prstGeom prst="rect">
                      <a:avLst/>
                    </a:prstGeom>
                  </pic:spPr>
                </pic:pic>
              </a:graphicData>
            </a:graphic>
          </wp:inline>
        </w:drawing>
      </w:r>
    </w:p>
    <w:p w14:paraId="5475A455">
      <w:pPr>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drawing>
          <wp:inline distT="0" distB="0" distL="114300" distR="114300">
            <wp:extent cx="5269230" cy="7629525"/>
            <wp:effectExtent l="0" t="0" r="7620" b="9525"/>
            <wp:docPr id="47" name="图片 47" descr="d5c429852f35b62845743e8333a708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d5c429852f35b62845743e8333a7086d"/>
                    <pic:cNvPicPr>
                      <a:picLocks noChangeAspect="1"/>
                    </pic:cNvPicPr>
                  </pic:nvPicPr>
                  <pic:blipFill>
                    <a:blip r:embed="rId59"/>
                    <a:stretch>
                      <a:fillRect/>
                    </a:stretch>
                  </pic:blipFill>
                  <pic:spPr>
                    <a:xfrm>
                      <a:off x="0" y="0"/>
                      <a:ext cx="5269230" cy="7629525"/>
                    </a:xfrm>
                    <a:prstGeom prst="rect">
                      <a:avLst/>
                    </a:prstGeom>
                  </pic:spPr>
                </pic:pic>
              </a:graphicData>
            </a:graphic>
          </wp:inline>
        </w:drawing>
      </w:r>
      <w:r>
        <w:rPr>
          <w:rFonts w:hint="eastAsia" w:cs="Times New Roman"/>
          <w:b/>
          <w:bCs/>
          <w:color w:val="auto"/>
          <w:sz w:val="24"/>
          <w:szCs w:val="24"/>
          <w:highlight w:val="none"/>
          <w:lang w:val="en-US" w:eastAsia="zh-CN"/>
        </w:rPr>
        <w:br w:type="page"/>
      </w:r>
    </w:p>
    <w:p w14:paraId="05EF48E0">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outlineLvl w:val="0"/>
        <w:rPr>
          <w:rFonts w:hint="eastAsia" w:cs="Times New Roman"/>
          <w:b/>
          <w:bCs/>
          <w:color w:val="auto"/>
          <w:sz w:val="24"/>
          <w:szCs w:val="24"/>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F420D63">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outlineLvl w:val="0"/>
        <w:rPr>
          <w:rFonts w:hint="eastAsia" w:cs="Times New Roman"/>
          <w:b/>
          <w:bCs/>
          <w:color w:val="auto"/>
          <w:sz w:val="24"/>
          <w:szCs w:val="24"/>
          <w:highlight w:val="none"/>
          <w:lang w:val="en-US" w:eastAsia="zh-CN"/>
        </w:rPr>
      </w:pPr>
      <w:bookmarkStart w:id="35" w:name="13148bafffd84be8a7a87230e5e8d564"/>
      <w:r>
        <w:rPr>
          <w:rFonts w:hint="eastAsia" w:cs="Times New Roman"/>
          <w:b/>
          <w:bCs/>
          <w:color w:val="auto"/>
          <w:sz w:val="24"/>
          <w:szCs w:val="24"/>
          <w:highlight w:val="none"/>
          <w:lang w:val="en-US" w:eastAsia="zh-CN"/>
        </w:rPr>
        <w:t>附件4 生活污水委托处置协议</w:t>
      </w:r>
      <w:bookmarkEnd w:id="35"/>
    </w:p>
    <w:p w14:paraId="15E082CF">
      <w:pPr>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drawing>
          <wp:inline distT="0" distB="0" distL="114300" distR="114300">
            <wp:extent cx="5268595" cy="7844155"/>
            <wp:effectExtent l="0" t="0" r="8255" b="4445"/>
            <wp:docPr id="83" name="图片 83" descr="c55e331c-5525-4410-8716-48c6fdd86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55e331c-5525-4410-8716-48c6fdd86c18"/>
                    <pic:cNvPicPr>
                      <a:picLocks noChangeAspect="1"/>
                    </pic:cNvPicPr>
                  </pic:nvPicPr>
                  <pic:blipFill>
                    <a:blip r:embed="rId60"/>
                    <a:stretch>
                      <a:fillRect/>
                    </a:stretch>
                  </pic:blipFill>
                  <pic:spPr>
                    <a:xfrm>
                      <a:off x="0" y="0"/>
                      <a:ext cx="5268595" cy="7844155"/>
                    </a:xfrm>
                    <a:prstGeom prst="rect">
                      <a:avLst/>
                    </a:prstGeom>
                  </pic:spPr>
                </pic:pic>
              </a:graphicData>
            </a:graphic>
          </wp:inline>
        </w:drawing>
      </w:r>
      <w:r>
        <w:rPr>
          <w:rFonts w:hint="eastAsia" w:cs="Times New Roman"/>
          <w:b/>
          <w:bCs/>
          <w:color w:val="auto"/>
          <w:sz w:val="24"/>
          <w:szCs w:val="24"/>
          <w:highlight w:val="none"/>
          <w:lang w:val="en-US" w:eastAsia="zh-CN"/>
        </w:rPr>
        <w:drawing>
          <wp:inline distT="0" distB="0" distL="114300" distR="114300">
            <wp:extent cx="5257165" cy="7959090"/>
            <wp:effectExtent l="0" t="0" r="635" b="3810"/>
            <wp:docPr id="84" name="图片 84" descr="b43329ff-5cbd-4f26-89ac-cabe6fbb47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b43329ff-5cbd-4f26-89ac-cabe6fbb472d"/>
                    <pic:cNvPicPr>
                      <a:picLocks noChangeAspect="1"/>
                    </pic:cNvPicPr>
                  </pic:nvPicPr>
                  <pic:blipFill>
                    <a:blip r:embed="rId61"/>
                    <a:stretch>
                      <a:fillRect/>
                    </a:stretch>
                  </pic:blipFill>
                  <pic:spPr>
                    <a:xfrm>
                      <a:off x="0" y="0"/>
                      <a:ext cx="5257165" cy="7959090"/>
                    </a:xfrm>
                    <a:prstGeom prst="rect">
                      <a:avLst/>
                    </a:prstGeom>
                  </pic:spPr>
                </pic:pic>
              </a:graphicData>
            </a:graphic>
          </wp:inline>
        </w:drawing>
      </w:r>
      <w:r>
        <w:rPr>
          <w:rFonts w:hint="eastAsia" w:cs="Times New Roman"/>
          <w:b/>
          <w:bCs/>
          <w:color w:val="auto"/>
          <w:sz w:val="24"/>
          <w:szCs w:val="24"/>
          <w:highlight w:val="none"/>
          <w:lang w:val="en-US" w:eastAsia="zh-CN"/>
        </w:rPr>
        <w:br w:type="page"/>
      </w:r>
    </w:p>
    <w:p w14:paraId="0889FE7E">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outlineLvl w:val="0"/>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 xml:space="preserve">附件5 </w:t>
      </w:r>
      <w:r>
        <w:rPr>
          <w:rFonts w:hint="eastAsia" w:ascii="Times New Roman" w:hAnsi="Times New Roman" w:cs="Times New Roman"/>
          <w:b/>
          <w:bCs/>
          <w:color w:val="auto"/>
          <w:sz w:val="24"/>
          <w:szCs w:val="24"/>
          <w:highlight w:val="none"/>
          <w:lang w:eastAsia="zh-CN"/>
        </w:rPr>
        <w:t>引用</w:t>
      </w:r>
      <w:r>
        <w:rPr>
          <w:rFonts w:hint="default" w:ascii="Times New Roman" w:hAnsi="Times New Roman" w:cs="Times New Roman"/>
          <w:b/>
          <w:bCs/>
          <w:color w:val="auto"/>
          <w:sz w:val="24"/>
          <w:szCs w:val="24"/>
          <w:highlight w:val="none"/>
        </w:rPr>
        <w:t>检测报告</w:t>
      </w:r>
      <w:bookmarkEnd w:id="33"/>
      <w:bookmarkEnd w:id="34"/>
    </w:p>
    <w:p w14:paraId="5A4B725F">
      <w:pPr>
        <w:pStyle w:val="18"/>
        <w:numPr>
          <w:ilvl w:val="0"/>
          <w:numId w:val="0"/>
        </w:numPr>
        <w:jc w:val="left"/>
        <w:rPr>
          <w:rFonts w:hint="default" w:ascii="Times New Roman" w:hAnsi="Times New Roman" w:eastAsia="宋体" w:cs="Times New Roman"/>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color w:val="auto"/>
          <w:highlight w:val="none"/>
          <w:lang w:eastAsia="zh-CN"/>
        </w:rPr>
        <w:drawing>
          <wp:inline distT="0" distB="0" distL="114300" distR="114300">
            <wp:extent cx="5267960" cy="7453630"/>
            <wp:effectExtent l="0" t="0" r="8890" b="13970"/>
            <wp:docPr id="43" name="图片 43" descr="鸡西市恒锐煤炭销售有限公司储煤货场建设项目(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鸡西市恒锐煤炭销售有限公司储煤货场建设项目(1)_00"/>
                    <pic:cNvPicPr>
                      <a:picLocks noChangeAspect="1"/>
                    </pic:cNvPicPr>
                  </pic:nvPicPr>
                  <pic:blipFill>
                    <a:blip r:embed="rId62"/>
                    <a:stretch>
                      <a:fillRect/>
                    </a:stretch>
                  </pic:blipFill>
                  <pic:spPr>
                    <a:xfrm>
                      <a:off x="0" y="0"/>
                      <a:ext cx="5267960" cy="7453630"/>
                    </a:xfrm>
                    <a:prstGeom prst="rect">
                      <a:avLst/>
                    </a:prstGeom>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267960" cy="7453630"/>
            <wp:effectExtent l="0" t="0" r="8890" b="13970"/>
            <wp:docPr id="42" name="图片 42" descr="鸡西市恒锐煤炭销售有限公司储煤货场建设项目(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鸡西市恒锐煤炭销售有限公司储煤货场建设项目(1)_01"/>
                    <pic:cNvPicPr>
                      <a:picLocks noChangeAspect="1"/>
                    </pic:cNvPicPr>
                  </pic:nvPicPr>
                  <pic:blipFill>
                    <a:blip r:embed="rId63"/>
                    <a:stretch>
                      <a:fillRect/>
                    </a:stretch>
                  </pic:blipFill>
                  <pic:spPr>
                    <a:xfrm>
                      <a:off x="0" y="0"/>
                      <a:ext cx="5267960" cy="7453630"/>
                    </a:xfrm>
                    <a:prstGeom prst="rect">
                      <a:avLst/>
                    </a:prstGeom>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267960" cy="7453630"/>
            <wp:effectExtent l="0" t="0" r="8890" b="13970"/>
            <wp:docPr id="38" name="图片 38" descr="鸡西市恒锐煤炭销售有限公司储煤货场建设项目(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鸡西市恒锐煤炭销售有限公司储煤货场建设项目(1)_02"/>
                    <pic:cNvPicPr>
                      <a:picLocks noChangeAspect="1"/>
                    </pic:cNvPicPr>
                  </pic:nvPicPr>
                  <pic:blipFill>
                    <a:blip r:embed="rId64"/>
                    <a:stretch>
                      <a:fillRect/>
                    </a:stretch>
                  </pic:blipFill>
                  <pic:spPr>
                    <a:xfrm>
                      <a:off x="0" y="0"/>
                      <a:ext cx="5267960" cy="7453630"/>
                    </a:xfrm>
                    <a:prstGeom prst="rect">
                      <a:avLst/>
                    </a:prstGeom>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267960" cy="7453630"/>
            <wp:effectExtent l="0" t="0" r="8890" b="13970"/>
            <wp:docPr id="37" name="图片 37" descr="鸡西市恒锐煤炭销售有限公司储煤货场建设项目(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鸡西市恒锐煤炭销售有限公司储煤货场建设项目(1)_03"/>
                    <pic:cNvPicPr>
                      <a:picLocks noChangeAspect="1"/>
                    </pic:cNvPicPr>
                  </pic:nvPicPr>
                  <pic:blipFill>
                    <a:blip r:embed="rId65"/>
                    <a:stretch>
                      <a:fillRect/>
                    </a:stretch>
                  </pic:blipFill>
                  <pic:spPr>
                    <a:xfrm>
                      <a:off x="0" y="0"/>
                      <a:ext cx="5267960" cy="7453630"/>
                    </a:xfrm>
                    <a:prstGeom prst="rect">
                      <a:avLst/>
                    </a:prstGeom>
                  </pic:spPr>
                </pic:pic>
              </a:graphicData>
            </a:graphic>
          </wp:inline>
        </w:drawing>
      </w:r>
      <w:r>
        <w:rPr>
          <w:rFonts w:hint="default" w:ascii="Times New Roman" w:hAnsi="Times New Roman" w:eastAsia="宋体" w:cs="Times New Roman"/>
          <w:color w:val="auto"/>
          <w:highlight w:val="none"/>
          <w:lang w:eastAsia="zh-CN"/>
        </w:rPr>
        <w:drawing>
          <wp:inline distT="0" distB="0" distL="114300" distR="114300">
            <wp:extent cx="5267960" cy="7453630"/>
            <wp:effectExtent l="0" t="0" r="8890" b="13970"/>
            <wp:docPr id="36" name="图片 36" descr="鸡西市恒锐煤炭销售有限公司储煤货场建设项目(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鸡西市恒锐煤炭销售有限公司储煤货场建设项目(1)_04"/>
                    <pic:cNvPicPr>
                      <a:picLocks noChangeAspect="1"/>
                    </pic:cNvPicPr>
                  </pic:nvPicPr>
                  <pic:blipFill>
                    <a:blip r:embed="rId66"/>
                    <a:stretch>
                      <a:fillRect/>
                    </a:stretch>
                  </pic:blipFill>
                  <pic:spPr>
                    <a:xfrm>
                      <a:off x="0" y="0"/>
                      <a:ext cx="5267960" cy="7453630"/>
                    </a:xfrm>
                    <a:prstGeom prst="rect">
                      <a:avLst/>
                    </a:prstGeom>
                  </pic:spPr>
                </pic:pic>
              </a:graphicData>
            </a:graphic>
          </wp:inline>
        </w:drawing>
      </w:r>
    </w:p>
    <w:p w14:paraId="2359FF21">
      <w:pPr>
        <w:pStyle w:val="18"/>
        <w:numPr>
          <w:ilvl w:val="0"/>
          <w:numId w:val="0"/>
        </w:numPr>
        <w:spacing w:line="360" w:lineRule="auto"/>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t>附件</w:t>
      </w:r>
      <w:r>
        <w:rPr>
          <w:rFonts w:hint="eastAsia" w:cs="Times New Roman"/>
          <w:b/>
          <w:bCs/>
          <w:color w:val="auto"/>
          <w:kern w:val="0"/>
          <w:sz w:val="24"/>
          <w:szCs w:val="24"/>
          <w:highlight w:val="none"/>
          <w:lang w:val="en-US" w:eastAsia="zh-CN" w:bidi="ar-SA"/>
        </w:rPr>
        <w:t>6</w:t>
      </w:r>
      <w:r>
        <w:rPr>
          <w:rFonts w:hint="default" w:ascii="Times New Roman" w:hAnsi="Times New Roman" w:eastAsia="宋体" w:cs="Times New Roman"/>
          <w:b/>
          <w:bCs/>
          <w:color w:val="auto"/>
          <w:kern w:val="0"/>
          <w:sz w:val="24"/>
          <w:szCs w:val="24"/>
          <w:highlight w:val="none"/>
          <w:lang w:val="en-US" w:eastAsia="zh-CN" w:bidi="ar-SA"/>
        </w:rPr>
        <w:t xml:space="preserve"> 生态环境分区管控分析报告 </w:t>
      </w:r>
    </w:p>
    <w:p w14:paraId="2168DEA2">
      <w:pPr>
        <w:pStyle w:val="18"/>
        <w:numPr>
          <w:ilvl w:val="0"/>
          <w:numId w:val="0"/>
        </w:numPr>
        <w:spacing w:line="360" w:lineRule="auto"/>
        <w:jc w:val="center"/>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4938395"/>
            <wp:effectExtent l="0" t="0" r="0" b="0"/>
            <wp:docPr id="125" name="图片 125" descr="鸡西市宝全煤炭销售有限公司储煤场建设_2026年07月21日103539_分析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鸡西市宝全煤炭销售有限公司储煤场建设_2026年07月21日103539_分析报告_01"/>
                    <pic:cNvPicPr>
                      <a:picLocks noChangeAspect="1"/>
                    </pic:cNvPicPr>
                  </pic:nvPicPr>
                  <pic:blipFill>
                    <a:blip r:embed="rId67"/>
                    <a:srcRect b="6154"/>
                    <a:stretch>
                      <a:fillRect/>
                    </a:stretch>
                  </pic:blipFill>
                  <pic:spPr>
                    <a:xfrm>
                      <a:off x="0" y="0"/>
                      <a:ext cx="7441565" cy="493839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24" name="图片 124" descr="鸡西市宝全煤炭销售有限公司储煤场建设_2026年07月21日103539_分析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鸡西市宝全煤炭销售有限公司储煤场建设_2026年07月21日103539_分析报告_02"/>
                    <pic:cNvPicPr>
                      <a:picLocks noChangeAspect="1"/>
                    </pic:cNvPicPr>
                  </pic:nvPicPr>
                  <pic:blipFill>
                    <a:blip r:embed="rId68"/>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23" name="图片 123" descr="鸡西市宝全煤炭销售有限公司储煤场建设_2026年07月21日103539_分析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鸡西市宝全煤炭销售有限公司储煤场建设_2026年07月21日103539_分析报告_03"/>
                    <pic:cNvPicPr>
                      <a:picLocks noChangeAspect="1"/>
                    </pic:cNvPicPr>
                  </pic:nvPicPr>
                  <pic:blipFill>
                    <a:blip r:embed="rId69"/>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22" name="图片 122" descr="鸡西市宝全煤炭销售有限公司储煤场建设_2026年07月21日103539_分析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鸡西市宝全煤炭销售有限公司储煤场建设_2026年07月21日103539_分析报告_04"/>
                    <pic:cNvPicPr>
                      <a:picLocks noChangeAspect="1"/>
                    </pic:cNvPicPr>
                  </pic:nvPicPr>
                  <pic:blipFill>
                    <a:blip r:embed="rId70"/>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21" name="图片 121" descr="鸡西市宝全煤炭销售有限公司储煤场建设_2026年07月21日103539_分析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鸡西市宝全煤炭销售有限公司储煤场建设_2026年07月21日103539_分析报告_05"/>
                    <pic:cNvPicPr>
                      <a:picLocks noChangeAspect="1"/>
                    </pic:cNvPicPr>
                  </pic:nvPicPr>
                  <pic:blipFill>
                    <a:blip r:embed="rId71"/>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20" name="图片 120" descr="鸡西市宝全煤炭销售有限公司储煤场建设_2026年07月21日103539_分析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鸡西市宝全煤炭销售有限公司储煤场建设_2026年07月21日103539_分析报告_06"/>
                    <pic:cNvPicPr>
                      <a:picLocks noChangeAspect="1"/>
                    </pic:cNvPicPr>
                  </pic:nvPicPr>
                  <pic:blipFill>
                    <a:blip r:embed="rId72"/>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18" name="图片 118" descr="鸡西市宝全煤炭销售有限公司储煤场建设_2026年07月21日103539_分析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鸡西市宝全煤炭销售有限公司储煤场建设_2026年07月21日103539_分析报告_07"/>
                    <pic:cNvPicPr>
                      <a:picLocks noChangeAspect="1"/>
                    </pic:cNvPicPr>
                  </pic:nvPicPr>
                  <pic:blipFill>
                    <a:blip r:embed="rId73"/>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17" name="图片 117" descr="鸡西市宝全煤炭销售有限公司储煤场建设_2026年07月21日103539_分析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鸡西市宝全煤炭销售有限公司储煤场建设_2026年07月21日103539_分析报告_08"/>
                    <pic:cNvPicPr>
                      <a:picLocks noChangeAspect="1"/>
                    </pic:cNvPicPr>
                  </pic:nvPicPr>
                  <pic:blipFill>
                    <a:blip r:embed="rId74"/>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13" name="图片 113" descr="鸡西市宝全煤炭销售有限公司储煤场建设_2026年07月21日103539_分析报告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鸡西市宝全煤炭销售有限公司储煤场建设_2026年07月21日103539_分析报告_09"/>
                    <pic:cNvPicPr>
                      <a:picLocks noChangeAspect="1"/>
                    </pic:cNvPicPr>
                  </pic:nvPicPr>
                  <pic:blipFill>
                    <a:blip r:embed="rId75"/>
                    <a:stretch>
                      <a:fillRect/>
                    </a:stretch>
                  </pic:blipFill>
                  <pic:spPr>
                    <a:xfrm>
                      <a:off x="0" y="0"/>
                      <a:ext cx="7441565" cy="5262245"/>
                    </a:xfrm>
                    <a:prstGeom prst="rect">
                      <a:avLst/>
                    </a:prstGeom>
                  </pic:spPr>
                </pic:pic>
              </a:graphicData>
            </a:graphic>
          </wp:inline>
        </w:drawing>
      </w: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7441565" cy="5262245"/>
            <wp:effectExtent l="0" t="0" r="6985" b="14605"/>
            <wp:docPr id="102" name="图片 102" descr="鸡西市宝全煤炭销售有限公司储煤场建设_2026年07月21日103539_分析报告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鸡西市宝全煤炭销售有限公司储煤场建设_2026年07月21日103539_分析报告_10"/>
                    <pic:cNvPicPr>
                      <a:picLocks noChangeAspect="1"/>
                    </pic:cNvPicPr>
                  </pic:nvPicPr>
                  <pic:blipFill>
                    <a:blip r:embed="rId76"/>
                    <a:stretch>
                      <a:fillRect/>
                    </a:stretch>
                  </pic:blipFill>
                  <pic:spPr>
                    <a:xfrm>
                      <a:off x="0" y="0"/>
                      <a:ext cx="7441565" cy="5262245"/>
                    </a:xfrm>
                    <a:prstGeom prst="rect">
                      <a:avLst/>
                    </a:prstGeom>
                  </pic:spPr>
                </pic:pic>
              </a:graphicData>
            </a:graphic>
          </wp:inline>
        </w:drawing>
      </w: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new times roma">
    <w:altName w:val="Times New Roman"/>
    <w:panose1 w:val="00000000000000000000"/>
    <w:charset w:val="00"/>
    <w:family w:val="auto"/>
    <w:pitch w:val="default"/>
    <w:sig w:usb0="00000000" w:usb1="00000000" w:usb2="00000000"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00B0">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44F33">
    <w:pPr>
      <w:pStyle w:val="19"/>
      <w:jc w:val="center"/>
      <w:rPr>
        <w:rFonts w:hint="default" w:eastAsia="宋体"/>
        <w:lang w:val="en-US" w:eastAsia="zh-CN"/>
      </w:rPr>
    </w:pPr>
    <w:r>
      <w:rPr>
        <w:rFonts w:hint="eastAsia"/>
        <w:lang w:val="en-US" w:eastAsia="zh-CN"/>
      </w:rPr>
      <w:t>48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C78EC">
    <w:pPr>
      <w:pStyle w:val="19"/>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729E08">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TRfLeAgAAJg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QTRfLeAgAAJgYAAA4AAAAAAAAAAQAgAAAAHwEAAGRycy9lMm9Eb2MueG1sUEsF&#10;BgAAAAAGAAYAWQEAAG8GAAAAAA==&#10;">
              <v:fill on="f" focussize="0,0"/>
              <v:stroke on="f" weight="0.5pt"/>
              <v:imagedata o:title=""/>
              <o:lock v:ext="edit" aspectratio="f"/>
              <v:textbox inset="0mm,0mm,0mm,0mm" style="mso-fit-shape-to-text:t;">
                <w:txbxContent>
                  <w:p w14:paraId="6B729E0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C33AC">
    <w:pPr>
      <w:pStyle w:val="19"/>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51B762">
                          <w:pPr>
                            <w:pStyle w:val="1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xKKDZd0CAAAoBgAADgAAAAAAAAABACAAAAAfAQAAZHJzL2Uyb0RvYy54bWxQSwUG&#10;AAAAAAYABgBZAQAAbgYAAAAA&#10;">
              <v:fill on="f" focussize="0,0"/>
              <v:stroke on="f" weight="0.5pt"/>
              <v:imagedata o:title=""/>
              <o:lock v:ext="edit" aspectratio="f"/>
              <v:textbox inset="0mm,0mm,0mm,0mm" style="mso-fit-shape-to-text:t;">
                <w:txbxContent>
                  <w:p w14:paraId="5251B762">
                    <w:pPr>
                      <w:pStyle w:val="1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FB1E">
    <w:pPr>
      <w:pStyle w:val="19"/>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C148BC0">
                          <w:pPr>
                            <w:pStyle w:val="1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b2DPdAgAAKA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xvYM90CAAAoBgAADgAAAAAAAAABACAAAAAfAQAAZHJzL2Uyb0RvYy54bWxQSwUG&#10;AAAAAAYABgBZAQAAbgYAAAAA&#10;">
              <v:fill on="f" focussize="0,0"/>
              <v:stroke on="f" weight="0.5pt"/>
              <v:imagedata o:title=""/>
              <o:lock v:ext="edit" aspectratio="f"/>
              <v:textbox inset="0mm,0mm,0mm,0mm" style="mso-fit-shape-to-text:t;">
                <w:txbxContent>
                  <w:p w14:paraId="2C148BC0">
                    <w:pPr>
                      <w:pStyle w:val="1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D8329"/>
    <w:multiLevelType w:val="singleLevel"/>
    <w:tmpl w:val="955D8329"/>
    <w:lvl w:ilvl="0" w:tentative="0">
      <w:start w:val="5"/>
      <w:numFmt w:val="chineseCounting"/>
      <w:suff w:val="nothing"/>
      <w:lvlText w:val="%1、"/>
      <w:lvlJc w:val="left"/>
      <w:rPr>
        <w:rFonts w:hint="eastAsia"/>
      </w:rPr>
    </w:lvl>
  </w:abstractNum>
  <w:abstractNum w:abstractNumId="1">
    <w:nsid w:val="C9B4A998"/>
    <w:multiLevelType w:val="singleLevel"/>
    <w:tmpl w:val="C9B4A998"/>
    <w:lvl w:ilvl="0" w:tentative="0">
      <w:start w:val="1"/>
      <w:numFmt w:val="decimal"/>
      <w:suff w:val="nothing"/>
      <w:lvlText w:val="（%1）"/>
      <w:lvlJc w:val="left"/>
      <w:rPr>
        <w:rFonts w:hint="default"/>
        <w:b w:val="0"/>
        <w:bCs w:val="0"/>
      </w:rPr>
    </w:lvl>
  </w:abstractNum>
  <w:abstractNum w:abstractNumId="2">
    <w:nsid w:val="1605D1C7"/>
    <w:multiLevelType w:val="singleLevel"/>
    <w:tmpl w:val="1605D1C7"/>
    <w:lvl w:ilvl="0" w:tentative="0">
      <w:start w:val="1"/>
      <w:numFmt w:val="decimal"/>
      <w:suff w:val="nothing"/>
      <w:lvlText w:val="（%1）"/>
      <w:lvlJc w:val="left"/>
    </w:lvl>
  </w:abstractNum>
  <w:abstractNum w:abstractNumId="3">
    <w:nsid w:val="6519CB3A"/>
    <w:multiLevelType w:val="singleLevel"/>
    <w:tmpl w:val="6519CB3A"/>
    <w:lvl w:ilvl="0" w:tentative="0">
      <w:start w:val="1"/>
      <w:numFmt w:val="bullet"/>
      <w:pStyle w:val="18"/>
      <w:lvlText w:val=""/>
      <w:lvlJc w:val="left"/>
      <w:pPr>
        <w:tabs>
          <w:tab w:val="left" w:pos="2040"/>
        </w:tabs>
        <w:ind w:left="2040" w:hanging="360"/>
      </w:pPr>
      <w:rPr>
        <w:rFonts w:hint="default" w:ascii="Wingdings" w:hAnsi="Wingding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yYzgyNjdmMGJjMjhkNjhiNjU0ZWIzN2ZiNWFjOWYifQ=="/>
    <w:docVar w:name="KSO_WPS_MARK_KEY" w:val="b6cb4d95-6a1e-43e2-bc21-ada03c7c8938"/>
  </w:docVars>
  <w:rsids>
    <w:rsidRoot w:val="00000000"/>
    <w:rsid w:val="00783531"/>
    <w:rsid w:val="013737EB"/>
    <w:rsid w:val="01571D61"/>
    <w:rsid w:val="01FA65AD"/>
    <w:rsid w:val="027C2390"/>
    <w:rsid w:val="0312758D"/>
    <w:rsid w:val="03657720"/>
    <w:rsid w:val="04405E0A"/>
    <w:rsid w:val="044E5BF0"/>
    <w:rsid w:val="047510C2"/>
    <w:rsid w:val="059162BC"/>
    <w:rsid w:val="07B40967"/>
    <w:rsid w:val="08751889"/>
    <w:rsid w:val="08FA5630"/>
    <w:rsid w:val="09311D27"/>
    <w:rsid w:val="09803A96"/>
    <w:rsid w:val="09FE3CED"/>
    <w:rsid w:val="0AE75B3C"/>
    <w:rsid w:val="0B4E20AC"/>
    <w:rsid w:val="0CDD0C3B"/>
    <w:rsid w:val="0CE05A4C"/>
    <w:rsid w:val="0D137398"/>
    <w:rsid w:val="0FB97D39"/>
    <w:rsid w:val="10C2298C"/>
    <w:rsid w:val="10E87F18"/>
    <w:rsid w:val="11A94FB0"/>
    <w:rsid w:val="12E65B86"/>
    <w:rsid w:val="15000D6C"/>
    <w:rsid w:val="16133C89"/>
    <w:rsid w:val="16814B13"/>
    <w:rsid w:val="17013326"/>
    <w:rsid w:val="1722340F"/>
    <w:rsid w:val="18846FC8"/>
    <w:rsid w:val="18F41ADC"/>
    <w:rsid w:val="19E57A1E"/>
    <w:rsid w:val="1A085B0B"/>
    <w:rsid w:val="1A33645B"/>
    <w:rsid w:val="1AD229F2"/>
    <w:rsid w:val="1B3D409D"/>
    <w:rsid w:val="1BA668AF"/>
    <w:rsid w:val="1C154CE6"/>
    <w:rsid w:val="1D620E57"/>
    <w:rsid w:val="1DB21FDA"/>
    <w:rsid w:val="1DC46F52"/>
    <w:rsid w:val="1EBA15F4"/>
    <w:rsid w:val="1F3031B6"/>
    <w:rsid w:val="1FDD0774"/>
    <w:rsid w:val="1FF00B97"/>
    <w:rsid w:val="203C3DDD"/>
    <w:rsid w:val="21361BDC"/>
    <w:rsid w:val="214658F3"/>
    <w:rsid w:val="2297354C"/>
    <w:rsid w:val="236F0B01"/>
    <w:rsid w:val="237F438E"/>
    <w:rsid w:val="249E1B16"/>
    <w:rsid w:val="24FA2E40"/>
    <w:rsid w:val="25382732"/>
    <w:rsid w:val="25D94557"/>
    <w:rsid w:val="263B0D88"/>
    <w:rsid w:val="2665284F"/>
    <w:rsid w:val="26AD3A36"/>
    <w:rsid w:val="27562953"/>
    <w:rsid w:val="2A9409F7"/>
    <w:rsid w:val="2B74089D"/>
    <w:rsid w:val="2C0A3ED7"/>
    <w:rsid w:val="2C0D6DC1"/>
    <w:rsid w:val="2C164D14"/>
    <w:rsid w:val="2CCE0FBD"/>
    <w:rsid w:val="2D194401"/>
    <w:rsid w:val="2DDF4619"/>
    <w:rsid w:val="2E240FA4"/>
    <w:rsid w:val="2EE2369A"/>
    <w:rsid w:val="2FA824D0"/>
    <w:rsid w:val="30234671"/>
    <w:rsid w:val="303B7DFE"/>
    <w:rsid w:val="305B5E34"/>
    <w:rsid w:val="308D08DD"/>
    <w:rsid w:val="32011228"/>
    <w:rsid w:val="328A6519"/>
    <w:rsid w:val="33111DC4"/>
    <w:rsid w:val="334A09C7"/>
    <w:rsid w:val="33A103F4"/>
    <w:rsid w:val="34802092"/>
    <w:rsid w:val="349E6940"/>
    <w:rsid w:val="34EB2703"/>
    <w:rsid w:val="34F33118"/>
    <w:rsid w:val="359F673F"/>
    <w:rsid w:val="35B34185"/>
    <w:rsid w:val="36254568"/>
    <w:rsid w:val="36E92171"/>
    <w:rsid w:val="37321D6A"/>
    <w:rsid w:val="38D53781"/>
    <w:rsid w:val="3996117A"/>
    <w:rsid w:val="3B9D7966"/>
    <w:rsid w:val="3C2F4C96"/>
    <w:rsid w:val="3DDA4EB1"/>
    <w:rsid w:val="3FDF02A4"/>
    <w:rsid w:val="41C82393"/>
    <w:rsid w:val="41D028AB"/>
    <w:rsid w:val="43427560"/>
    <w:rsid w:val="44A2174E"/>
    <w:rsid w:val="44D75CFE"/>
    <w:rsid w:val="45692E32"/>
    <w:rsid w:val="45810EB9"/>
    <w:rsid w:val="45D750A0"/>
    <w:rsid w:val="46692527"/>
    <w:rsid w:val="4697329E"/>
    <w:rsid w:val="46C0056D"/>
    <w:rsid w:val="4749137C"/>
    <w:rsid w:val="48CA100D"/>
    <w:rsid w:val="48D26B99"/>
    <w:rsid w:val="48D37A77"/>
    <w:rsid w:val="498007E4"/>
    <w:rsid w:val="49A62FC2"/>
    <w:rsid w:val="4A13015C"/>
    <w:rsid w:val="4A923DD3"/>
    <w:rsid w:val="4AE033FC"/>
    <w:rsid w:val="4BA83E5C"/>
    <w:rsid w:val="4BD72737"/>
    <w:rsid w:val="4C75721C"/>
    <w:rsid w:val="4CD7348F"/>
    <w:rsid w:val="4E0F204C"/>
    <w:rsid w:val="4E6D76D3"/>
    <w:rsid w:val="4E862FBC"/>
    <w:rsid w:val="4EB06E64"/>
    <w:rsid w:val="4EE00B1A"/>
    <w:rsid w:val="4F4340C6"/>
    <w:rsid w:val="516C79C1"/>
    <w:rsid w:val="52A53F12"/>
    <w:rsid w:val="52A75599"/>
    <w:rsid w:val="52DF02BC"/>
    <w:rsid w:val="52F2535A"/>
    <w:rsid w:val="532611FE"/>
    <w:rsid w:val="539A2935"/>
    <w:rsid w:val="53EE1370"/>
    <w:rsid w:val="5476101E"/>
    <w:rsid w:val="549138FD"/>
    <w:rsid w:val="54C05A83"/>
    <w:rsid w:val="55123225"/>
    <w:rsid w:val="568C612D"/>
    <w:rsid w:val="573F5F97"/>
    <w:rsid w:val="57EEFCF2"/>
    <w:rsid w:val="57FC53D4"/>
    <w:rsid w:val="5A0E034B"/>
    <w:rsid w:val="5A366BCB"/>
    <w:rsid w:val="5A656006"/>
    <w:rsid w:val="5ADD283A"/>
    <w:rsid w:val="5C3A417E"/>
    <w:rsid w:val="5D6D352F"/>
    <w:rsid w:val="5DB17CC8"/>
    <w:rsid w:val="5F6C03B3"/>
    <w:rsid w:val="6128489A"/>
    <w:rsid w:val="6165122F"/>
    <w:rsid w:val="617C1CB0"/>
    <w:rsid w:val="61F23D20"/>
    <w:rsid w:val="63281A2E"/>
    <w:rsid w:val="63450C88"/>
    <w:rsid w:val="6356208C"/>
    <w:rsid w:val="638B0ABA"/>
    <w:rsid w:val="63FA6EBC"/>
    <w:rsid w:val="64E4562D"/>
    <w:rsid w:val="654319E5"/>
    <w:rsid w:val="66C860AD"/>
    <w:rsid w:val="67EF5FF0"/>
    <w:rsid w:val="683C3F47"/>
    <w:rsid w:val="6844225D"/>
    <w:rsid w:val="68C33F1B"/>
    <w:rsid w:val="6A26668E"/>
    <w:rsid w:val="6A657D18"/>
    <w:rsid w:val="6A861F6D"/>
    <w:rsid w:val="6B20702B"/>
    <w:rsid w:val="6B425713"/>
    <w:rsid w:val="6D1111BC"/>
    <w:rsid w:val="6D182AD3"/>
    <w:rsid w:val="6D4D5FCF"/>
    <w:rsid w:val="6F072A6D"/>
    <w:rsid w:val="6FBE8834"/>
    <w:rsid w:val="6FFF48DE"/>
    <w:rsid w:val="706E3DE3"/>
    <w:rsid w:val="70953CE0"/>
    <w:rsid w:val="70965FB3"/>
    <w:rsid w:val="70CB4C14"/>
    <w:rsid w:val="714A27DF"/>
    <w:rsid w:val="71BE61C4"/>
    <w:rsid w:val="71D93EA1"/>
    <w:rsid w:val="73020D07"/>
    <w:rsid w:val="73C57FC0"/>
    <w:rsid w:val="74044C56"/>
    <w:rsid w:val="746C1D75"/>
    <w:rsid w:val="74D5597B"/>
    <w:rsid w:val="753C6072"/>
    <w:rsid w:val="7575608A"/>
    <w:rsid w:val="777715C5"/>
    <w:rsid w:val="78190CDC"/>
    <w:rsid w:val="79DF56EB"/>
    <w:rsid w:val="7B0D52CF"/>
    <w:rsid w:val="7BA51881"/>
    <w:rsid w:val="7E36681D"/>
    <w:rsid w:val="7EB9547F"/>
    <w:rsid w:val="7F211349"/>
    <w:rsid w:val="7FA66030"/>
    <w:rsid w:val="FFDFD3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5">
    <w:name w:val="heading 4"/>
    <w:basedOn w:val="1"/>
    <w:next w:val="1"/>
    <w:autoRedefine/>
    <w:qFormat/>
    <w:uiPriority w:val="0"/>
    <w:pPr>
      <w:keepNext/>
      <w:keepLines/>
      <w:spacing w:before="100" w:after="100" w:line="377" w:lineRule="auto"/>
      <w:ind w:firstLine="766" w:firstLineChars="200"/>
      <w:outlineLvl w:val="3"/>
    </w:pPr>
    <w:rPr>
      <w:rFonts w:ascii="Arial" w:hAnsi="Arial" w:eastAsia="黑体"/>
      <w:b/>
      <w:bCs/>
      <w:szCs w:val="28"/>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1"/>
    <w:autoRedefine/>
    <w:qFormat/>
    <w:uiPriority w:val="0"/>
    <w:pPr>
      <w:spacing w:line="520" w:lineRule="exact"/>
      <w:ind w:firstLine="624"/>
    </w:pPr>
    <w:rPr>
      <w:sz w:val="28"/>
    </w:rPr>
  </w:style>
  <w:style w:type="paragraph" w:styleId="7">
    <w:name w:val="caption"/>
    <w:basedOn w:val="1"/>
    <w:next w:val="8"/>
    <w:qFormat/>
    <w:uiPriority w:val="35"/>
    <w:pPr>
      <w:overflowPunct/>
      <w:spacing w:before="120" w:beforeLines="50" w:line="240" w:lineRule="auto"/>
      <w:ind w:firstLine="480" w:firstLineChars="0"/>
      <w:jc w:val="center"/>
      <w:textAlignment w:val="center"/>
    </w:pPr>
    <w:rPr>
      <w:rFonts w:cs="Times New Roman"/>
      <w:b/>
      <w:color w:val="auto"/>
      <w:sz w:val="21"/>
    </w:rPr>
  </w:style>
  <w:style w:type="paragraph" w:customStyle="1" w:styleId="8">
    <w:name w:val="..正文格式"/>
    <w:basedOn w:val="1"/>
    <w:qFormat/>
    <w:uiPriority w:val="0"/>
    <w:pPr>
      <w:spacing w:line="500" w:lineRule="exact"/>
      <w:ind w:firstLine="480" w:firstLineChars="200"/>
    </w:pPr>
    <w:rPr>
      <w:snapToGrid w:val="0"/>
      <w:kern w:val="0"/>
    </w:rPr>
  </w:style>
  <w:style w:type="paragraph" w:styleId="9">
    <w:name w:val="annotation text"/>
    <w:basedOn w:val="1"/>
    <w:link w:val="72"/>
    <w:autoRedefine/>
    <w:qFormat/>
    <w:uiPriority w:val="0"/>
    <w:pPr>
      <w:jc w:val="left"/>
    </w:pPr>
  </w:style>
  <w:style w:type="paragraph" w:styleId="10">
    <w:name w:val="Body Text 3"/>
    <w:basedOn w:val="1"/>
    <w:autoRedefine/>
    <w:qFormat/>
    <w:uiPriority w:val="0"/>
    <w:rPr>
      <w:rFonts w:ascii="仿宋_GB2312" w:eastAsia="仿宋_GB2312"/>
      <w:sz w:val="24"/>
      <w:szCs w:val="20"/>
    </w:rPr>
  </w:style>
  <w:style w:type="paragraph" w:styleId="11">
    <w:name w:val="Body Text"/>
    <w:basedOn w:val="1"/>
    <w:next w:val="12"/>
    <w:autoRedefine/>
    <w:qFormat/>
    <w:uiPriority w:val="0"/>
    <w:pPr>
      <w:widowControl/>
      <w:snapToGrid w:val="0"/>
      <w:spacing w:before="60" w:after="160" w:line="259" w:lineRule="auto"/>
      <w:ind w:right="113"/>
    </w:pPr>
    <w:rPr>
      <w:kern w:val="0"/>
      <w:sz w:val="18"/>
      <w:szCs w:val="20"/>
    </w:rPr>
  </w:style>
  <w:style w:type="paragraph" w:customStyle="1" w:styleId="12">
    <w:name w:val="Normal (Web)1"/>
    <w:basedOn w:val="1"/>
    <w:next w:val="13"/>
    <w:autoRedefine/>
    <w:qFormat/>
    <w:uiPriority w:val="0"/>
    <w:pPr>
      <w:widowControl/>
      <w:jc w:val="left"/>
    </w:pPr>
    <w:rPr>
      <w:rFonts w:ascii="宋体"/>
      <w:kern w:val="0"/>
      <w:szCs w:val="21"/>
    </w:rPr>
  </w:style>
  <w:style w:type="paragraph" w:customStyle="1" w:styleId="13">
    <w:name w:val="Date1"/>
    <w:basedOn w:val="1"/>
    <w:next w:val="1"/>
    <w:autoRedefine/>
    <w:qFormat/>
    <w:uiPriority w:val="0"/>
    <w:pPr>
      <w:adjustRightInd w:val="0"/>
      <w:spacing w:line="324" w:lineRule="auto"/>
      <w:ind w:firstLine="200" w:firstLineChars="200"/>
      <w:jc w:val="left"/>
      <w:textAlignment w:val="baseline"/>
    </w:pPr>
    <w:rPr>
      <w:rFonts w:ascii="仿宋_GB2312" w:eastAsia="仿宋_GB2312"/>
      <w:kern w:val="11"/>
      <w:sz w:val="28"/>
    </w:rPr>
  </w:style>
  <w:style w:type="paragraph" w:styleId="14">
    <w:name w:val="Body Text Indent"/>
    <w:basedOn w:val="1"/>
    <w:next w:val="15"/>
    <w:autoRedefine/>
    <w:qFormat/>
    <w:uiPriority w:val="0"/>
    <w:pPr>
      <w:spacing w:after="120"/>
      <w:ind w:left="420" w:leftChars="200"/>
    </w:pPr>
    <w:rPr>
      <w:kern w:val="0"/>
      <w:sz w:val="24"/>
      <w:szCs w:val="20"/>
    </w:rPr>
  </w:style>
  <w:style w:type="paragraph" w:styleId="15">
    <w:name w:val="Body Text Indent 2"/>
    <w:basedOn w:val="1"/>
    <w:next w:val="16"/>
    <w:autoRedefine/>
    <w:qFormat/>
    <w:uiPriority w:val="0"/>
    <w:pPr>
      <w:spacing w:before="120" w:line="360" w:lineRule="auto"/>
      <w:ind w:firstLine="567"/>
    </w:pPr>
    <w:rPr>
      <w:rFonts w:eastAsia="楷体_GB2312"/>
      <w:sz w:val="28"/>
      <w:szCs w:val="20"/>
    </w:rPr>
  </w:style>
  <w:style w:type="paragraph" w:styleId="16">
    <w:name w:val="Body Text First Indent 2"/>
    <w:basedOn w:val="14"/>
    <w:next w:val="1"/>
    <w:autoRedefine/>
    <w:qFormat/>
    <w:uiPriority w:val="0"/>
    <w:rPr>
      <w:rFonts w:ascii="宋体" w:hAnsi="宋体"/>
      <w:sz w:val="30"/>
      <w:szCs w:val="30"/>
    </w:rPr>
  </w:style>
  <w:style w:type="paragraph" w:styleId="17">
    <w:name w:val="Plain Text"/>
    <w:basedOn w:val="1"/>
    <w:qFormat/>
    <w:uiPriority w:val="0"/>
    <w:rPr>
      <w:rFonts w:ascii="宋体" w:hAnsi="Courier New" w:eastAsia="宋体" w:cs="Courier New"/>
      <w:kern w:val="2"/>
      <w:sz w:val="21"/>
      <w:szCs w:val="21"/>
      <w:lang w:val="en-US" w:eastAsia="zh-CN" w:bidi="ar-SA"/>
    </w:rPr>
  </w:style>
  <w:style w:type="paragraph" w:styleId="18">
    <w:name w:val="List Bullet 5"/>
    <w:basedOn w:val="1"/>
    <w:autoRedefine/>
    <w:qFormat/>
    <w:uiPriority w:val="0"/>
    <w:pPr>
      <w:numPr>
        <w:ilvl w:val="0"/>
        <w:numId w:val="1"/>
      </w:numPr>
    </w:pPr>
  </w:style>
  <w:style w:type="paragraph" w:styleId="19">
    <w:name w:val="footer"/>
    <w:basedOn w:val="1"/>
    <w:autoRedefine/>
    <w:qFormat/>
    <w:uiPriority w:val="99"/>
    <w:pPr>
      <w:tabs>
        <w:tab w:val="center" w:pos="4153"/>
        <w:tab w:val="right" w:pos="8306"/>
      </w:tabs>
      <w:snapToGrid w:val="0"/>
      <w:jc w:val="left"/>
    </w:pPr>
    <w:rPr>
      <w:kern w:val="0"/>
      <w:sz w:val="18"/>
      <w:szCs w:val="20"/>
    </w:rPr>
  </w:style>
  <w:style w:type="paragraph" w:styleId="20">
    <w:name w:val="header"/>
    <w:basedOn w:val="1"/>
    <w:next w:val="2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21">
    <w:name w:val="样式5"/>
    <w:basedOn w:val="11"/>
    <w:autoRedefine/>
    <w:unhideWhenUsed/>
    <w:qFormat/>
    <w:uiPriority w:val="0"/>
    <w:pPr>
      <w:spacing w:beforeLines="0" w:afterLines="0" w:line="380" w:lineRule="exact"/>
      <w:ind w:firstLine="566" w:firstLineChars="202"/>
    </w:pPr>
    <w:rPr>
      <w:rFonts w:hint="default" w:eastAsia="华文行楷"/>
      <w:sz w:val="28"/>
      <w:szCs w:val="24"/>
    </w:rPr>
  </w:style>
  <w:style w:type="paragraph" w:styleId="22">
    <w:name w:val="toc 1"/>
    <w:basedOn w:val="1"/>
    <w:next w:val="1"/>
    <w:autoRedefine/>
    <w:qFormat/>
    <w:uiPriority w:val="39"/>
    <w:pPr>
      <w:tabs>
        <w:tab w:val="right" w:leader="hyphen" w:pos="9060"/>
      </w:tabs>
    </w:pPr>
  </w:style>
  <w:style w:type="paragraph" w:styleId="23">
    <w:name w:val="List"/>
    <w:basedOn w:val="1"/>
    <w:next w:val="1"/>
    <w:autoRedefine/>
    <w:qFormat/>
    <w:uiPriority w:val="0"/>
    <w:pPr>
      <w:widowControl w:val="0"/>
      <w:ind w:left="200" w:hanging="200" w:hangingChars="200"/>
      <w:jc w:val="both"/>
    </w:pPr>
    <w:rPr>
      <w:rFonts w:ascii="Times New Roman" w:hAnsi="Times New Roman" w:eastAsia="宋体" w:cs="Times New Roman"/>
      <w:kern w:val="2"/>
      <w:sz w:val="21"/>
      <w:lang w:val="en-US" w:eastAsia="zh-CN" w:bidi="ar-SA"/>
    </w:rPr>
  </w:style>
  <w:style w:type="paragraph" w:styleId="24">
    <w:name w:val="toc 2"/>
    <w:basedOn w:val="1"/>
    <w:next w:val="1"/>
    <w:autoRedefine/>
    <w:qFormat/>
    <w:uiPriority w:val="0"/>
    <w:pPr>
      <w:ind w:left="420" w:leftChars="200"/>
    </w:pPr>
  </w:style>
  <w:style w:type="paragraph" w:styleId="25">
    <w:name w:val="Body Text 2"/>
    <w:basedOn w:val="1"/>
    <w:next w:val="1"/>
    <w:autoRedefine/>
    <w:qFormat/>
    <w:uiPriority w:val="0"/>
    <w:pPr>
      <w:spacing w:before="120" w:line="312" w:lineRule="auto"/>
    </w:pPr>
    <w:rPr>
      <w:rFonts w:ascii="楷体_GB2312" w:eastAsia="楷体_GB2312"/>
      <w:b/>
      <w:sz w:val="28"/>
      <w:szCs w:val="20"/>
    </w:rPr>
  </w:style>
  <w:style w:type="paragraph" w:styleId="26">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27">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8">
    <w:name w:val="Title"/>
    <w:basedOn w:val="1"/>
    <w:next w:val="2"/>
    <w:autoRedefine/>
    <w:qFormat/>
    <w:uiPriority w:val="0"/>
    <w:pPr>
      <w:jc w:val="left"/>
      <w:outlineLvl w:val="0"/>
    </w:pPr>
    <w:rPr>
      <w:rFonts w:cstheme="majorBidi"/>
      <w:b/>
      <w:bCs/>
      <w:sz w:val="24"/>
      <w:szCs w:val="32"/>
    </w:rPr>
  </w:style>
  <w:style w:type="paragraph" w:styleId="29">
    <w:name w:val="annotation subject"/>
    <w:basedOn w:val="9"/>
    <w:next w:val="9"/>
    <w:link w:val="73"/>
    <w:autoRedefine/>
    <w:qFormat/>
    <w:uiPriority w:val="0"/>
    <w:rPr>
      <w:b/>
      <w:bCs/>
    </w:rPr>
  </w:style>
  <w:style w:type="paragraph" w:styleId="30">
    <w:name w:val="Body Text First Indent"/>
    <w:basedOn w:val="11"/>
    <w:autoRedefine/>
    <w:qFormat/>
    <w:uiPriority w:val="0"/>
    <w:pPr>
      <w:ind w:firstLine="420" w:firstLineChars="100"/>
    </w:pPr>
  </w:style>
  <w:style w:type="table" w:styleId="32">
    <w:name w:val="Table Grid"/>
    <w:basedOn w:val="31"/>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style>
  <w:style w:type="character" w:styleId="36">
    <w:name w:val="Hyperlink"/>
    <w:basedOn w:val="33"/>
    <w:autoRedefine/>
    <w:qFormat/>
    <w:uiPriority w:val="0"/>
    <w:rPr>
      <w:color w:val="0000FF"/>
      <w:u w:val="single"/>
    </w:rPr>
  </w:style>
  <w:style w:type="character" w:styleId="37">
    <w:name w:val="annotation reference"/>
    <w:basedOn w:val="33"/>
    <w:autoRedefine/>
    <w:qFormat/>
    <w:uiPriority w:val="0"/>
    <w:rPr>
      <w:sz w:val="21"/>
      <w:szCs w:val="21"/>
    </w:rPr>
  </w:style>
  <w:style w:type="paragraph" w:customStyle="1" w:styleId="38">
    <w:name w:val="Default"/>
    <w:basedOn w:val="39"/>
    <w:next w:val="23"/>
    <w:autoRedefine/>
    <w:qFormat/>
    <w:uiPriority w:val="99"/>
    <w:pPr>
      <w:widowControl w:val="0"/>
      <w:tabs>
        <w:tab w:val="left" w:pos="480"/>
      </w:tabs>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纯文本1"/>
    <w:basedOn w:val="1"/>
    <w:autoRedefine/>
    <w:qFormat/>
    <w:uiPriority w:val="0"/>
    <w:pPr>
      <w:tabs>
        <w:tab w:val="left" w:pos="480"/>
      </w:tabs>
      <w:adjustRightInd w:val="0"/>
    </w:pPr>
    <w:rPr>
      <w:rFonts w:ascii="宋体" w:hAnsi="Courier New"/>
      <w:szCs w:val="20"/>
    </w:rPr>
  </w:style>
  <w:style w:type="paragraph" w:customStyle="1" w:styleId="40">
    <w:name w:val="正文11"/>
    <w:autoRedefine/>
    <w:qFormat/>
    <w:uiPriority w:val="0"/>
    <w:pPr>
      <w:widowControl w:val="0"/>
      <w:adjustRightInd w:val="0"/>
      <w:spacing w:line="360" w:lineRule="atLeast"/>
    </w:pPr>
    <w:rPr>
      <w:rFonts w:ascii="宋体" w:hAnsi="Times New Roman" w:eastAsia="宋体" w:cs="Times New Roman"/>
      <w:sz w:val="24"/>
      <w:lang w:val="en-US" w:eastAsia="zh-CN" w:bidi="ar-SA"/>
    </w:rPr>
  </w:style>
  <w:style w:type="paragraph" w:customStyle="1" w:styleId="41">
    <w:name w:val="xl27"/>
    <w:basedOn w:val="1"/>
    <w:next w:val="42"/>
    <w:autoRedefine/>
    <w:qFormat/>
    <w:uiPriority w:val="0"/>
    <w:pPr>
      <w:widowControl/>
      <w:pBdr>
        <w:bottom w:val="single" w:color="auto" w:sz="4" w:space="0"/>
        <w:right w:val="single" w:color="auto" w:sz="4" w:space="0"/>
      </w:pBdr>
      <w:spacing w:before="100" w:beforeAutospacing="1" w:after="77" w:afterAutospacing="1"/>
      <w:jc w:val="center"/>
    </w:pPr>
    <w:rPr>
      <w:rFonts w:ascii="Calibri" w:hAnsi="Calibri" w:cs="宋体"/>
      <w:kern w:val="0"/>
      <w:sz w:val="24"/>
      <w:szCs w:val="21"/>
    </w:rPr>
  </w:style>
  <w:style w:type="paragraph" w:customStyle="1" w:styleId="42">
    <w:name w:val="A正文"/>
    <w:basedOn w:val="1"/>
    <w:autoRedefine/>
    <w:qFormat/>
    <w:uiPriority w:val="0"/>
    <w:pPr>
      <w:widowControl/>
      <w:ind w:firstLine="200" w:firstLineChars="200"/>
      <w:jc w:val="left"/>
    </w:pPr>
    <w:rPr>
      <w:kern w:val="0"/>
      <w:szCs w:val="22"/>
    </w:rPr>
  </w:style>
  <w:style w:type="paragraph" w:customStyle="1" w:styleId="43">
    <w:name w:val="报告书正文"/>
    <w:basedOn w:val="15"/>
    <w:autoRedefine/>
    <w:qFormat/>
    <w:uiPriority w:val="0"/>
    <w:pPr>
      <w:adjustRightInd w:val="0"/>
      <w:snapToGrid w:val="0"/>
      <w:ind w:firstLine="425"/>
      <w:textAlignment w:val="baseline"/>
    </w:pPr>
    <w:rPr>
      <w:rFonts w:ascii="Arial" w:hAnsi="Arial"/>
    </w:rPr>
  </w:style>
  <w:style w:type="paragraph" w:customStyle="1" w:styleId="44">
    <w:name w:val="样式 正文文本缩进 + 行距: 1.5 倍行距"/>
    <w:basedOn w:val="1"/>
    <w:autoRedefine/>
    <w:qFormat/>
    <w:uiPriority w:val="0"/>
    <w:pPr>
      <w:spacing w:after="120"/>
      <w:ind w:left="90" w:leftChars="32" w:firstLine="560"/>
    </w:pPr>
    <w:rPr>
      <w:rFonts w:cs="宋体"/>
    </w:rPr>
  </w:style>
  <w:style w:type="paragraph" w:customStyle="1" w:styleId="45">
    <w:name w:val="样式 正文首行缩进 + 首行缩进:  2 字符1"/>
    <w:basedOn w:val="30"/>
    <w:next w:val="22"/>
    <w:autoRedefine/>
    <w:qFormat/>
    <w:uiPriority w:val="0"/>
    <w:pPr>
      <w:spacing w:after="0" w:line="360" w:lineRule="auto"/>
      <w:ind w:firstLine="480" w:firstLineChars="200"/>
    </w:pPr>
    <w:rPr>
      <w:sz w:val="24"/>
      <w:szCs w:val="24"/>
    </w:rPr>
  </w:style>
  <w:style w:type="paragraph" w:customStyle="1" w:styleId="46">
    <w:name w:val="11111"/>
    <w:basedOn w:val="1"/>
    <w:next w:val="1"/>
    <w:autoRedefine/>
    <w:qFormat/>
    <w:uiPriority w:val="0"/>
    <w:pPr>
      <w:spacing w:line="360" w:lineRule="auto"/>
      <w:ind w:firstLine="200" w:firstLineChars="200"/>
    </w:pPr>
    <w:rPr>
      <w:rFonts w:ascii="宋体" w:hAnsi="宋体" w:cs="宋体"/>
      <w:sz w:val="24"/>
    </w:rPr>
  </w:style>
  <w:style w:type="paragraph" w:customStyle="1" w:styleId="47">
    <w:name w:val="表样式2"/>
    <w:basedOn w:val="1"/>
    <w:autoRedefine/>
    <w:qFormat/>
    <w:uiPriority w:val="0"/>
    <w:pPr>
      <w:adjustRightInd w:val="0"/>
      <w:snapToGrid w:val="0"/>
      <w:spacing w:line="420" w:lineRule="exact"/>
    </w:pPr>
    <w:rPr>
      <w:rFonts w:ascii="宋体" w:hAnsi="宋体"/>
      <w:sz w:val="24"/>
    </w:rPr>
  </w:style>
  <w:style w:type="paragraph" w:customStyle="1" w:styleId="48">
    <w:name w:val="正文缩进1"/>
    <w:basedOn w:val="1"/>
    <w:autoRedefine/>
    <w:qFormat/>
    <w:uiPriority w:val="0"/>
    <w:pPr>
      <w:spacing w:line="520" w:lineRule="exact"/>
      <w:ind w:firstLine="624"/>
    </w:pPr>
    <w:rPr>
      <w:sz w:val="28"/>
    </w:rPr>
  </w:style>
  <w:style w:type="paragraph" w:customStyle="1" w:styleId="49">
    <w:name w:val="正文1"/>
    <w:autoRedefine/>
    <w:qFormat/>
    <w:uiPriority w:val="0"/>
    <w:pPr>
      <w:widowControl w:val="0"/>
      <w:adjustRightInd w:val="0"/>
      <w:spacing w:line="360" w:lineRule="atLeast"/>
    </w:pPr>
    <w:rPr>
      <w:rFonts w:ascii="宋体" w:hAnsi="Times New Roman" w:eastAsia="Times New Roman" w:cs="Times New Roman"/>
      <w:kern w:val="2"/>
      <w:sz w:val="24"/>
      <w:szCs w:val="22"/>
      <w:lang w:val="en-US" w:eastAsia="zh-CN" w:bidi="ar-SA"/>
    </w:rPr>
  </w:style>
  <w:style w:type="paragraph" w:customStyle="1" w:styleId="50">
    <w:name w:val="表格"/>
    <w:basedOn w:val="6"/>
    <w:next w:val="6"/>
    <w:autoRedefine/>
    <w:qFormat/>
    <w:uiPriority w:val="0"/>
    <w:pPr>
      <w:adjustRightInd w:val="0"/>
      <w:snapToGrid w:val="0"/>
      <w:spacing w:beforeLines="10" w:afterLines="10" w:line="259" w:lineRule="auto"/>
      <w:jc w:val="center"/>
    </w:pPr>
    <w:rPr>
      <w:rFonts w:ascii="宋体"/>
      <w:kern w:val="0"/>
      <w:szCs w:val="20"/>
    </w:rPr>
  </w:style>
  <w:style w:type="paragraph" w:customStyle="1" w:styleId="51">
    <w:name w:val="_Style 4"/>
    <w:autoRedefine/>
    <w:qFormat/>
    <w:uiPriority w:val="1"/>
    <w:pPr>
      <w:widowControl w:val="0"/>
      <w:spacing w:line="440" w:lineRule="exact"/>
      <w:jc w:val="both"/>
    </w:pPr>
    <w:rPr>
      <w:rFonts w:ascii="Times New Roman" w:hAnsi="Times New Roman" w:eastAsia="仿宋_GB2312" w:cs="Times New Roman"/>
      <w:kern w:val="2"/>
      <w:sz w:val="24"/>
      <w:szCs w:val="24"/>
      <w:lang w:val="en-US" w:eastAsia="zh-CN" w:bidi="ar-SA"/>
    </w:rPr>
  </w:style>
  <w:style w:type="paragraph" w:customStyle="1" w:styleId="52">
    <w:name w:val="【正文】"/>
    <w:basedOn w:val="1"/>
    <w:next w:val="26"/>
    <w:autoRedefine/>
    <w:qFormat/>
    <w:uiPriority w:val="0"/>
    <w:pPr>
      <w:spacing w:line="360" w:lineRule="auto"/>
      <w:ind w:firstLine="480" w:firstLineChars="200"/>
    </w:pPr>
    <w:rPr>
      <w:kern w:val="0"/>
      <w:sz w:val="24"/>
    </w:rPr>
  </w:style>
  <w:style w:type="paragraph" w:customStyle="1" w:styleId="53">
    <w:name w:val="表格填充项"/>
    <w:basedOn w:val="1"/>
    <w:autoRedefine/>
    <w:qFormat/>
    <w:uiPriority w:val="0"/>
    <w:pPr>
      <w:spacing w:line="240" w:lineRule="atLeast"/>
      <w:jc w:val="center"/>
    </w:pPr>
    <w:rPr>
      <w:rFonts w:ascii="宋体" w:hAnsi="宋体"/>
      <w:b/>
    </w:rPr>
  </w:style>
  <w:style w:type="paragraph" w:customStyle="1" w:styleId="54">
    <w:name w:val="内容"/>
    <w:basedOn w:val="1"/>
    <w:autoRedefine/>
    <w:qFormat/>
    <w:uiPriority w:val="0"/>
    <w:pPr>
      <w:spacing w:beforeLines="50" w:afterLines="50"/>
      <w:ind w:firstLine="200" w:firstLineChars="200"/>
    </w:pPr>
    <w:rPr>
      <w:color w:val="000000"/>
      <w:sz w:val="24"/>
    </w:rPr>
  </w:style>
  <w:style w:type="paragraph" w:customStyle="1" w:styleId="55">
    <w:name w:val="正文00"/>
    <w:basedOn w:val="1"/>
    <w:autoRedefine/>
    <w:qFormat/>
    <w:uiPriority w:val="0"/>
    <w:pPr>
      <w:widowControl/>
      <w:spacing w:line="425" w:lineRule="atLeast"/>
      <w:ind w:left="107" w:leftChars="51" w:right="124" w:rightChars="59" w:firstLine="480"/>
      <w:textAlignment w:val="baseline"/>
    </w:pPr>
    <w:rPr>
      <w:kern w:val="0"/>
      <w:sz w:val="28"/>
    </w:rPr>
  </w:style>
  <w:style w:type="paragraph" w:customStyle="1" w:styleId="56">
    <w:name w:val="样式1"/>
    <w:basedOn w:val="1"/>
    <w:autoRedefine/>
    <w:qFormat/>
    <w:uiPriority w:val="0"/>
    <w:pPr>
      <w:widowControl/>
      <w:spacing w:line="360" w:lineRule="auto"/>
      <w:ind w:firstLine="200" w:firstLineChars="200"/>
      <w:jc w:val="left"/>
    </w:pPr>
    <w:rPr>
      <w:rFonts w:ascii="宋体" w:hAnsi="宋体"/>
      <w:bCs/>
      <w:kern w:val="0"/>
      <w:sz w:val="24"/>
      <w:szCs w:val="20"/>
    </w:rPr>
  </w:style>
  <w:style w:type="paragraph" w:customStyle="1" w:styleId="57">
    <w:name w:val="样式3"/>
    <w:basedOn w:val="1"/>
    <w:autoRedefine/>
    <w:qFormat/>
    <w:uiPriority w:val="0"/>
    <w:pPr>
      <w:adjustRightInd w:val="0"/>
      <w:snapToGrid w:val="0"/>
      <w:spacing w:beforeLines="10" w:afterLines="10"/>
      <w:jc w:val="center"/>
    </w:pPr>
    <w:rPr>
      <w:rFonts w:ascii="宋体" w:hAnsi="宋体"/>
    </w:rPr>
  </w:style>
  <w:style w:type="paragraph" w:customStyle="1" w:styleId="58">
    <w:name w:val="【表中文字】"/>
    <w:basedOn w:val="59"/>
    <w:autoRedefine/>
    <w:qFormat/>
    <w:uiPriority w:val="0"/>
    <w:pPr>
      <w:jc w:val="center"/>
    </w:pPr>
  </w:style>
  <w:style w:type="paragraph" w:customStyle="1" w:styleId="59">
    <w:name w:val="表格字"/>
    <w:basedOn w:val="23"/>
    <w:qFormat/>
    <w:uiPriority w:val="0"/>
    <w:pPr>
      <w:ind w:left="0" w:firstLine="0" w:firstLineChars="0"/>
      <w:jc w:val="center"/>
    </w:pPr>
  </w:style>
  <w:style w:type="paragraph" w:customStyle="1" w:styleId="60">
    <w:name w:val="Table Paragraph"/>
    <w:basedOn w:val="1"/>
    <w:autoRedefine/>
    <w:qFormat/>
    <w:uiPriority w:val="1"/>
    <w:rPr>
      <w:rFonts w:ascii="宋体" w:hAnsi="宋体" w:cs="宋体"/>
      <w:lang w:val="zh-CN" w:bidi="zh-CN"/>
    </w:rPr>
  </w:style>
  <w:style w:type="paragraph" w:customStyle="1" w:styleId="61">
    <w:name w:val="0 GBJ正文"/>
    <w:basedOn w:val="1"/>
    <w:autoRedefine/>
    <w:qFormat/>
    <w:uiPriority w:val="0"/>
    <w:pPr>
      <w:adjustRightInd w:val="0"/>
      <w:snapToGrid w:val="0"/>
      <w:spacing w:line="460" w:lineRule="exact"/>
      <w:ind w:firstLine="480" w:firstLineChars="200"/>
    </w:pPr>
    <w:rPr>
      <w:rFonts w:ascii="Calibri" w:hAnsi="Calibri" w:eastAsia="宋体" w:cs="黑体"/>
      <w:kern w:val="0"/>
      <w:sz w:val="24"/>
    </w:rPr>
  </w:style>
  <w:style w:type="paragraph" w:customStyle="1" w:styleId="62">
    <w:name w:val="表中文字"/>
    <w:basedOn w:val="1"/>
    <w:autoRedefine/>
    <w:qFormat/>
    <w:uiPriority w:val="0"/>
    <w:pPr>
      <w:adjustRightInd w:val="0"/>
      <w:snapToGrid w:val="0"/>
      <w:jc w:val="center"/>
    </w:pPr>
    <w:rPr>
      <w:kern w:val="0"/>
      <w:sz w:val="20"/>
      <w:szCs w:val="20"/>
    </w:rPr>
  </w:style>
  <w:style w:type="paragraph" w:customStyle="1" w:styleId="63">
    <w:name w:val="BodyText"/>
    <w:basedOn w:val="1"/>
    <w:autoRedefine/>
    <w:qFormat/>
    <w:uiPriority w:val="0"/>
    <w:pPr>
      <w:spacing w:after="120"/>
      <w:textAlignment w:val="baseline"/>
    </w:pPr>
  </w:style>
  <w:style w:type="paragraph" w:customStyle="1" w:styleId="64">
    <w:name w:val="Heading2"/>
    <w:basedOn w:val="1"/>
    <w:next w:val="1"/>
    <w:autoRedefine/>
    <w:qFormat/>
    <w:uiPriority w:val="0"/>
    <w:pPr>
      <w:keepNext/>
      <w:keepLines/>
      <w:spacing w:before="260" w:after="260" w:line="412" w:lineRule="auto"/>
      <w:textAlignment w:val="baseline"/>
    </w:pPr>
    <w:rPr>
      <w:rFonts w:ascii="Arial" w:hAnsi="Arial" w:eastAsia="黑体"/>
      <w:b/>
      <w:sz w:val="32"/>
    </w:rPr>
  </w:style>
  <w:style w:type="paragraph" w:customStyle="1" w:styleId="65">
    <w:name w:val="List Paragraph"/>
    <w:basedOn w:val="1"/>
    <w:autoRedefine/>
    <w:qFormat/>
    <w:uiPriority w:val="1"/>
    <w:pPr>
      <w:spacing w:before="160"/>
      <w:ind w:left="1685" w:hanging="601"/>
    </w:pPr>
    <w:rPr>
      <w:rFonts w:ascii="宋体" w:hAnsi="宋体" w:eastAsia="宋体" w:cs="宋体"/>
      <w:lang w:val="zh-CN" w:eastAsia="zh-CN" w:bidi="zh-CN"/>
    </w:rPr>
  </w:style>
  <w:style w:type="paragraph" w:customStyle="1" w:styleId="66">
    <w:name w:val="Normal"/>
    <w:autoRedefine/>
    <w:qFormat/>
    <w:uiPriority w:val="0"/>
    <w:pPr>
      <w:widowControl w:val="0"/>
      <w:adjustRightInd w:val="0"/>
      <w:spacing w:line="360" w:lineRule="atLeast"/>
    </w:pPr>
    <w:rPr>
      <w:rFonts w:ascii="宋体" w:hAnsi="Times New Roman" w:eastAsia="Times New Roman" w:cs="Times New Roman"/>
      <w:kern w:val="2"/>
      <w:sz w:val="24"/>
      <w:szCs w:val="22"/>
      <w:lang w:val="en-US" w:eastAsia="zh-CN" w:bidi="ar-SA"/>
    </w:rPr>
  </w:style>
  <w:style w:type="character" w:customStyle="1" w:styleId="67">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68">
    <w:name w:val="font31"/>
    <w:basedOn w:val="33"/>
    <w:autoRedefine/>
    <w:qFormat/>
    <w:uiPriority w:val="0"/>
    <w:rPr>
      <w:rFonts w:hint="eastAsia" w:ascii="宋体" w:hAnsi="宋体" w:eastAsia="宋体" w:cs="宋体"/>
      <w:color w:val="000000"/>
      <w:sz w:val="21"/>
      <w:szCs w:val="21"/>
      <w:u w:val="none"/>
    </w:rPr>
  </w:style>
  <w:style w:type="character" w:customStyle="1" w:styleId="69">
    <w:name w:val="font11"/>
    <w:basedOn w:val="33"/>
    <w:autoRedefine/>
    <w:qFormat/>
    <w:uiPriority w:val="0"/>
    <w:rPr>
      <w:rFonts w:hint="default" w:ascii="Times New Roman" w:hAnsi="Times New Roman" w:cs="Times New Roman"/>
      <w:color w:val="000000"/>
      <w:sz w:val="21"/>
      <w:szCs w:val="21"/>
      <w:u w:val="none"/>
    </w:rPr>
  </w:style>
  <w:style w:type="character" w:customStyle="1" w:styleId="70">
    <w:name w:val="font21"/>
    <w:basedOn w:val="33"/>
    <w:autoRedefine/>
    <w:qFormat/>
    <w:uiPriority w:val="0"/>
    <w:rPr>
      <w:rFonts w:hint="default" w:ascii="Times New Roman" w:hAnsi="Times New Roman" w:cs="Times New Roman"/>
      <w:color w:val="000000"/>
      <w:sz w:val="21"/>
      <w:szCs w:val="21"/>
      <w:u w:val="none"/>
      <w:vertAlign w:val="superscript"/>
    </w:rPr>
  </w:style>
  <w:style w:type="character" w:customStyle="1" w:styleId="71">
    <w:name w:val="font41"/>
    <w:basedOn w:val="33"/>
    <w:autoRedefine/>
    <w:qFormat/>
    <w:uiPriority w:val="0"/>
    <w:rPr>
      <w:rFonts w:hint="default" w:ascii="Times New Roman" w:hAnsi="Times New Roman" w:cs="Times New Roman"/>
      <w:color w:val="000000"/>
      <w:sz w:val="21"/>
      <w:szCs w:val="21"/>
      <w:u w:val="none"/>
      <w:vertAlign w:val="superscript"/>
    </w:rPr>
  </w:style>
  <w:style w:type="character" w:customStyle="1" w:styleId="72">
    <w:name w:val="批注文字 字符"/>
    <w:basedOn w:val="33"/>
    <w:link w:val="9"/>
    <w:autoRedefine/>
    <w:qFormat/>
    <w:uiPriority w:val="0"/>
    <w:rPr>
      <w:kern w:val="2"/>
      <w:sz w:val="21"/>
      <w:szCs w:val="24"/>
    </w:rPr>
  </w:style>
  <w:style w:type="character" w:customStyle="1" w:styleId="73">
    <w:name w:val="批注主题 字符"/>
    <w:basedOn w:val="72"/>
    <w:link w:val="29"/>
    <w:autoRedefine/>
    <w:qFormat/>
    <w:uiPriority w:val="0"/>
    <w:rPr>
      <w:b/>
      <w:bCs/>
      <w:kern w:val="2"/>
      <w:sz w:val="21"/>
      <w:szCs w:val="24"/>
    </w:rPr>
  </w:style>
  <w:style w:type="character" w:customStyle="1" w:styleId="74">
    <w:name w:val="font01"/>
    <w:basedOn w:val="33"/>
    <w:autoRedefine/>
    <w:qFormat/>
    <w:uiPriority w:val="0"/>
    <w:rPr>
      <w:rFonts w:hint="eastAsia" w:ascii="宋体" w:hAnsi="宋体" w:eastAsia="宋体" w:cs="宋体"/>
      <w:color w:val="000000"/>
      <w:sz w:val="22"/>
      <w:szCs w:val="22"/>
      <w:u w:val="none"/>
    </w:rPr>
  </w:style>
  <w:style w:type="character" w:customStyle="1" w:styleId="75">
    <w:name w:val="font51"/>
    <w:basedOn w:val="33"/>
    <w:autoRedefine/>
    <w:qFormat/>
    <w:uiPriority w:val="0"/>
    <w:rPr>
      <w:rFonts w:hint="default" w:ascii="Times New Roman" w:hAnsi="Times New Roman" w:cs="Times New Roman"/>
      <w:color w:val="000000"/>
      <w:sz w:val="22"/>
      <w:szCs w:val="22"/>
      <w:u w:val="none"/>
      <w:vertAlign w:val="superscript"/>
    </w:rPr>
  </w:style>
  <w:style w:type="paragraph" w:customStyle="1" w:styleId="76">
    <w:name w:val="a正文"/>
    <w:basedOn w:val="1"/>
    <w:autoRedefine/>
    <w:qFormat/>
    <w:uiPriority w:val="0"/>
    <w:pPr>
      <w:spacing w:line="520" w:lineRule="exact"/>
      <w:ind w:firstLine="200" w:firstLineChars="200"/>
    </w:pPr>
    <w:rPr>
      <w:rFonts w:ascii="Times New Roman" w:hAnsi="Times New Roman" w:eastAsia="宋体"/>
      <w:kern w:val="0"/>
      <w:sz w:val="24"/>
      <w:szCs w:val="21"/>
    </w:rPr>
  </w:style>
  <w:style w:type="paragraph" w:customStyle="1" w:styleId="77">
    <w:name w:val="首行缩进正文"/>
    <w:basedOn w:val="52"/>
    <w:autoRedefine/>
    <w:qFormat/>
    <w:uiPriority w:val="0"/>
    <w:rPr>
      <w:sz w:val="21"/>
    </w:rPr>
  </w:style>
  <w:style w:type="paragraph" w:customStyle="1" w:styleId="78">
    <w:name w:val="C【表头】"/>
    <w:basedOn w:val="1"/>
    <w:autoRedefine/>
    <w:qFormat/>
    <w:uiPriority w:val="0"/>
    <w:pPr>
      <w:widowControl/>
      <w:adjustRightInd w:val="0"/>
      <w:snapToGrid w:val="0"/>
      <w:jc w:val="center"/>
    </w:pPr>
    <w:rPr>
      <w:rFonts w:eastAsia="黑体" w:cs="宋体"/>
      <w:kern w:val="0"/>
      <w:szCs w:val="20"/>
    </w:rPr>
  </w:style>
  <w:style w:type="paragraph" w:customStyle="1" w:styleId="79">
    <w:name w:val="C【表中文字】-"/>
    <w:basedOn w:val="1"/>
    <w:autoRedefine/>
    <w:qFormat/>
    <w:uiPriority w:val="0"/>
    <w:pPr>
      <w:adjustRightInd w:val="0"/>
      <w:snapToGrid w:val="0"/>
      <w:jc w:val="center"/>
    </w:pPr>
    <w:rPr>
      <w:kern w:val="0"/>
      <w:sz w:val="18"/>
      <w:szCs w:val="20"/>
    </w:rPr>
  </w:style>
  <w:style w:type="paragraph" w:customStyle="1" w:styleId="80">
    <w:name w:val="C表两端"/>
    <w:basedOn w:val="1"/>
    <w:autoRedefine/>
    <w:qFormat/>
    <w:uiPriority w:val="0"/>
    <w:pPr>
      <w:adjustRightInd w:val="0"/>
      <w:snapToGrid w:val="0"/>
    </w:pPr>
    <w:rPr>
      <w:kern w:val="0"/>
      <w:sz w:val="18"/>
      <w:szCs w:val="20"/>
    </w:rPr>
  </w:style>
  <w:style w:type="table" w:customStyle="1" w:styleId="81">
    <w:name w:val="网格型13"/>
    <w:basedOn w:val="31"/>
    <w:autoRedefine/>
    <w:qFormat/>
    <w:uiPriority w:val="59"/>
    <w:pPr>
      <w:jc w:val="center"/>
    </w:pPr>
    <w:rPr>
      <w:rFonts w:ascii="Calibri" w:hAnsi="Calibri"/>
      <w:kern w:val="2"/>
      <w:sz w:val="21"/>
      <w:szCs w:val="22"/>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82">
    <w:name w:val="雪表头"/>
    <w:basedOn w:val="1"/>
    <w:autoRedefine/>
    <w:qFormat/>
    <w:uiPriority w:val="0"/>
    <w:pPr>
      <w:keepNext/>
      <w:spacing w:line="500" w:lineRule="exact"/>
      <w:jc w:val="center"/>
    </w:pPr>
    <w:rPr>
      <w:rFonts w:hint="default" w:ascii="Times New Roman" w:eastAsia="黑体"/>
      <w:kern w:val="2"/>
      <w:szCs w:val="24"/>
    </w:rPr>
  </w:style>
  <w:style w:type="paragraph" w:customStyle="1" w:styleId="83">
    <w:name w:val="表格中文字"/>
    <w:basedOn w:val="84"/>
    <w:autoRedefine/>
    <w:qFormat/>
    <w:uiPriority w:val="0"/>
    <w:pPr>
      <w:spacing w:line="240" w:lineRule="auto"/>
      <w:ind w:firstLine="0" w:firstLineChars="0"/>
      <w:jc w:val="center"/>
    </w:pPr>
    <w:rPr>
      <w:rFonts w:ascii="Times New Roman" w:hAnsi="Times New Roman" w:cs="Times New Roman"/>
      <w:color w:val="auto"/>
      <w:kern w:val="0"/>
      <w:sz w:val="21"/>
      <w:szCs w:val="21"/>
    </w:rPr>
  </w:style>
  <w:style w:type="paragraph" w:customStyle="1" w:styleId="84">
    <w:name w:val="填表正文"/>
    <w:autoRedefine/>
    <w:qFormat/>
    <w:uiPriority w:val="0"/>
    <w:pPr>
      <w:widowControl w:val="0"/>
      <w:adjustRightInd w:val="0"/>
      <w:snapToGrid w:val="0"/>
      <w:jc w:val="center"/>
    </w:pPr>
    <w:rPr>
      <w:rFonts w:hint="eastAsia" w:ascii="宋体" w:hAnsi="Calibri" w:eastAsia="宋体" w:cs="Times New Roman"/>
      <w:color w:val="000000"/>
      <w:sz w:val="24"/>
      <w:szCs w:val="44"/>
      <w:lang w:val="en-US" w:eastAsia="zh-CN" w:bidi="ar-SA"/>
    </w:rPr>
  </w:style>
  <w:style w:type="paragraph" w:customStyle="1" w:styleId="85">
    <w:name w:val="雪表文"/>
    <w:basedOn w:val="1"/>
    <w:autoRedefine/>
    <w:qFormat/>
    <w:uiPriority w:val="0"/>
    <w:pPr>
      <w:spacing w:line="360" w:lineRule="exact"/>
      <w:ind w:firstLine="0" w:firstLineChars="0"/>
      <w:jc w:val="center"/>
      <w:textAlignment w:val="center"/>
    </w:pPr>
    <w:rPr>
      <w:rFonts w:ascii="Times New Roman" w:hAnsi="Times New Roman" w:eastAsia="宋体"/>
      <w:bCs/>
      <w:iCs/>
      <w:sz w:val="21"/>
      <w:szCs w:val="28"/>
    </w:rPr>
  </w:style>
  <w:style w:type="paragraph" w:customStyle="1" w:styleId="86">
    <w:name w:val="【表中文字】-"/>
    <w:basedOn w:val="1"/>
    <w:autoRedefine/>
    <w:qFormat/>
    <w:uiPriority w:val="0"/>
    <w:pPr>
      <w:adjustRightInd w:val="0"/>
      <w:snapToGrid w:val="0"/>
      <w:jc w:val="center"/>
    </w:pPr>
    <w:rPr>
      <w:kern w:val="0"/>
      <w:sz w:val="18"/>
      <w:szCs w:val="20"/>
    </w:rPr>
  </w:style>
  <w:style w:type="paragraph" w:customStyle="1" w:styleId="87">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table" w:customStyle="1" w:styleId="88">
    <w:name w:val="Table Normal"/>
    <w:autoRedefine/>
    <w:unhideWhenUsed/>
    <w:qFormat/>
    <w:uiPriority w:val="2"/>
    <w:tblPr>
      <w:tblCellMar>
        <w:top w:w="0" w:type="dxa"/>
        <w:left w:w="0" w:type="dxa"/>
        <w:bottom w:w="0" w:type="dxa"/>
        <w:right w:w="0" w:type="dxa"/>
      </w:tblCellMar>
    </w:tblPr>
  </w:style>
  <w:style w:type="paragraph" w:customStyle="1" w:styleId="89">
    <w:name w:val="【表头】"/>
    <w:basedOn w:val="90"/>
    <w:next w:val="1"/>
    <w:autoRedefine/>
    <w:qFormat/>
    <w:uiPriority w:val="0"/>
    <w:pPr>
      <w:widowControl/>
      <w:adjustRightInd w:val="0"/>
      <w:snapToGrid w:val="0"/>
      <w:jc w:val="center"/>
    </w:pPr>
    <w:rPr>
      <w:rFonts w:eastAsia="黑体" w:cs="宋体"/>
      <w:kern w:val="0"/>
      <w:szCs w:val="20"/>
    </w:rPr>
  </w:style>
  <w:style w:type="paragraph" w:customStyle="1" w:styleId="90">
    <w:name w:val="0"/>
    <w:basedOn w:val="1"/>
    <w:autoRedefine/>
    <w:qFormat/>
    <w:uiPriority w:val="99"/>
    <w:pPr>
      <w:widowControl/>
      <w:snapToGrid w:val="0"/>
      <w:jc w:val="left"/>
    </w:pPr>
    <w:rPr>
      <w:rFonts w:ascii="宋体"/>
      <w:kern w:val="0"/>
      <w:sz w:val="20"/>
      <w:szCs w:val="20"/>
    </w:rPr>
  </w:style>
  <w:style w:type="table" w:customStyle="1" w:styleId="91">
    <w:name w:val="[表格样式]"/>
    <w:basedOn w:val="31"/>
    <w:autoRedefine/>
    <w:qFormat/>
    <w:uiPriority w:val="99"/>
    <w:pPr>
      <w:adjustRightInd w:val="0"/>
      <w:snapToGrid w:val="0"/>
      <w:jc w:val="center"/>
    </w:pPr>
    <w:rPr>
      <w:rFonts w:cstheme="minorBidi"/>
      <w:snapToGrid w:val="0"/>
      <w:sz w:val="21"/>
      <w:szCs w:val="22"/>
    </w:rPr>
    <w:tblPr>
      <w:tblBorders>
        <w:top w:val="single" w:color="auto" w:sz="12" w:space="0"/>
        <w:bottom w:val="single" w:color="auto" w:sz="12" w:space="0"/>
        <w:insideH w:val="single" w:color="auto" w:sz="4" w:space="0"/>
        <w:insideV w:val="single" w:color="auto" w:sz="4" w:space="0"/>
      </w:tblBorders>
    </w:tblPr>
    <w:tcPr>
      <w:vAlign w:val="center"/>
    </w:tcPr>
  </w:style>
  <w:style w:type="character" w:customStyle="1" w:styleId="92">
    <w:name w:val="【正文】 Char1"/>
    <w:autoRedefine/>
    <w:qFormat/>
    <w:uiPriority w:val="0"/>
    <w:rPr>
      <w:rFonts w:ascii="Times New Roman" w:hAnsi="Times New Roman" w:eastAsia="宋体"/>
      <w:sz w:val="24"/>
    </w:rPr>
  </w:style>
  <w:style w:type="paragraph" w:customStyle="1" w:styleId="93">
    <w:name w:val="表格(新)"/>
    <w:basedOn w:val="1"/>
    <w:autoRedefine/>
    <w:qFormat/>
    <w:uiPriority w:val="0"/>
    <w:pPr>
      <w:adjustRightInd w:val="0"/>
      <w:snapToGrid w:val="0"/>
      <w:jc w:val="center"/>
    </w:pPr>
    <w:rPr>
      <w:kern w:val="0"/>
      <w:szCs w:val="22"/>
    </w:rPr>
  </w:style>
  <w:style w:type="paragraph" w:customStyle="1" w:styleId="94">
    <w:name w:val="晓丹"/>
    <w:basedOn w:val="30"/>
    <w:autoRedefine/>
    <w:qFormat/>
    <w:uiPriority w:val="99"/>
    <w:pPr>
      <w:adjustRightInd w:val="0"/>
      <w:snapToGrid w:val="0"/>
      <w:spacing w:after="0" w:line="360" w:lineRule="auto"/>
      <w:ind w:firstLine="200" w:firstLineChars="200"/>
      <w:textAlignment w:val="baseline"/>
    </w:pPr>
    <w:rPr>
      <w:rFonts w:ascii="宋体"/>
      <w:color w:val="000000"/>
      <w:spacing w:val="6"/>
      <w:kern w:val="0"/>
      <w:sz w:val="24"/>
      <w:szCs w:val="20"/>
    </w:rPr>
  </w:style>
  <w:style w:type="paragraph" w:customStyle="1" w:styleId="95">
    <w:name w:val="报告表内正文"/>
    <w:autoRedefine/>
    <w:qFormat/>
    <w:uiPriority w:val="0"/>
    <w:pPr>
      <w:ind w:firstLine="640" w:firstLineChars="200"/>
    </w:pPr>
    <w:rPr>
      <w:rFonts w:ascii="Calibri" w:hAnsi="Calibri" w:eastAsia="Calibri" w:cs="Times New Roman"/>
      <w:sz w:val="28"/>
      <w:szCs w:val="22"/>
      <w:lang w:val="en-US" w:eastAsia="zh-CN" w:bidi="ar-SA"/>
    </w:rPr>
  </w:style>
  <w:style w:type="paragraph" w:customStyle="1" w:styleId="96">
    <w:name w:val="正文(首行缩进)"/>
    <w:basedOn w:val="6"/>
    <w:autoRedefine/>
    <w:qFormat/>
    <w:uiPriority w:val="0"/>
    <w:pPr>
      <w:spacing w:line="360" w:lineRule="auto"/>
      <w:ind w:firstLine="540" w:firstLineChars="225"/>
    </w:pPr>
    <w:rPr>
      <w:snapToGrid w:val="0"/>
      <w:color w:val="000000"/>
      <w:kern w:val="0"/>
      <w:sz w:val="24"/>
    </w:rPr>
  </w:style>
  <w:style w:type="paragraph" w:customStyle="1" w:styleId="97">
    <w:name w:val="环评正文"/>
    <w:basedOn w:val="1"/>
    <w:autoRedefine/>
    <w:qFormat/>
    <w:uiPriority w:val="0"/>
    <w:pPr>
      <w:spacing w:line="360" w:lineRule="auto"/>
      <w:ind w:firstLine="200" w:firstLineChars="200"/>
    </w:pPr>
    <w:rPr>
      <w:rFonts w:ascii="Cambria Math" w:hAnsi="Cambria Math" w:eastAsia="Arial" w:cs="Cambria Math"/>
      <w:sz w:val="24"/>
    </w:rPr>
  </w:style>
  <w:style w:type="paragraph" w:customStyle="1" w:styleId="98">
    <w:name w:val="报告表正文"/>
    <w:basedOn w:val="1"/>
    <w:autoRedefine/>
    <w:qFormat/>
    <w:uiPriority w:val="0"/>
    <w:pPr>
      <w:adjustRightInd w:val="0"/>
      <w:snapToGrid w:val="0"/>
      <w:spacing w:line="360" w:lineRule="auto"/>
      <w:ind w:firstLine="720" w:firstLineChars="200"/>
      <w:jc w:val="left"/>
    </w:pPr>
    <w:rPr>
      <w:sz w:val="24"/>
    </w:rPr>
  </w:style>
  <w:style w:type="paragraph" w:customStyle="1" w:styleId="99">
    <w:name w:val="表中的文字"/>
    <w:basedOn w:val="28"/>
    <w:autoRedefine/>
    <w:qFormat/>
    <w:uiPriority w:val="0"/>
    <w:pPr>
      <w:spacing w:before="0" w:after="0"/>
      <w:outlineLvl w:val="9"/>
    </w:pPr>
    <w:rPr>
      <w:rFonts w:ascii="Times New Roman" w:hAnsi="Times New Roman"/>
      <w:b w:val="0"/>
      <w:sz w:val="21"/>
      <w:szCs w:val="21"/>
    </w:rPr>
  </w:style>
  <w:style w:type="paragraph" w:customStyle="1" w:styleId="100">
    <w:name w:val="表格正文"/>
    <w:autoRedefine/>
    <w:qFormat/>
    <w:uiPriority w:val="0"/>
    <w:pPr>
      <w:adjustRightInd w:val="0"/>
      <w:snapToGrid w:val="0"/>
      <w:jc w:val="center"/>
    </w:pPr>
    <w:rPr>
      <w:rFonts w:ascii="Times New Roman" w:hAnsi="Times New Roman" w:eastAsia="宋体" w:cs="Times New Roman"/>
      <w:color w:val="FF0000"/>
      <w:kern w:val="2"/>
      <w:sz w:val="21"/>
      <w:szCs w:val="21"/>
      <w:lang w:val="en-US" w:eastAsia="zh-CN" w:bidi="ar-SA"/>
    </w:rPr>
  </w:style>
  <w:style w:type="paragraph" w:customStyle="1" w:styleId="101">
    <w:name w:val="表格文字"/>
    <w:basedOn w:val="1"/>
    <w:next w:val="1"/>
    <w:autoRedefine/>
    <w:qFormat/>
    <w:uiPriority w:val="0"/>
    <w:pPr>
      <w:jc w:val="center"/>
    </w:pPr>
    <w:rPr>
      <w:rFonts w:ascii="new times roma" w:hAnsi="new times rom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5.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jpeg"/><Relationship Id="rId65" Type="http://schemas.openxmlformats.org/officeDocument/2006/relationships/image" Target="media/image56.jpeg"/><Relationship Id="rId64" Type="http://schemas.openxmlformats.org/officeDocument/2006/relationships/image" Target="media/image55.jpeg"/><Relationship Id="rId63" Type="http://schemas.openxmlformats.org/officeDocument/2006/relationships/image" Target="media/image54.jpeg"/><Relationship Id="rId62" Type="http://schemas.openxmlformats.org/officeDocument/2006/relationships/image" Target="media/image53.jpe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4.xml"/><Relationship Id="rId59" Type="http://schemas.openxmlformats.org/officeDocument/2006/relationships/image" Target="media/image50.jpeg"/><Relationship Id="rId58" Type="http://schemas.openxmlformats.org/officeDocument/2006/relationships/image" Target="media/image49.jpeg"/><Relationship Id="rId57" Type="http://schemas.openxmlformats.org/officeDocument/2006/relationships/image" Target="media/image48.jpeg"/><Relationship Id="rId56" Type="http://schemas.openxmlformats.org/officeDocument/2006/relationships/image" Target="media/image47.jpe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footer" Target="footer3.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jpeg"/><Relationship Id="rId46" Type="http://schemas.openxmlformats.org/officeDocument/2006/relationships/image" Target="media/image37.jpeg"/><Relationship Id="rId45" Type="http://schemas.openxmlformats.org/officeDocument/2006/relationships/image" Target="media/image36.jpeg"/><Relationship Id="rId44" Type="http://schemas.openxmlformats.org/officeDocument/2006/relationships/image" Target="media/image35.jpeg"/><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footer" Target="foot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jg5NjIyMDA5MjEzIiwKCSJHcm91cElkIiA6ICI3NjA0NjUyNDEiLAoJIkltYWdlIiA6ICJpVkJPUncwS0dnb0FBQUFOU1VoRVVnQUFCREFBQUFLL0NBWUFBQUNmb2owaEFBQUFBWE5TUjBJQXJzNGM2UUFBSUFCSlJFRlVlSnpzM1hsY1ZkWCsvL0gzUHVjd3FTZ2lxVG1pZ3FDbW9tWm1KV2lUS1dXcGxXVmM2NWFwT2VSWVZsYVdadDJ1STFvcFdscm05SzJyTmxwNkxmVldEaG1KNG95bW1ETUtLSVNBY1BidkQrVDhSQVpCc1hPRTEvUHg0Q0ZucjdYWC9td2ZDcHczYTY4bEF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5QcC96VGpiejZJZU9xa0FBQUFBU1VWT1JLNUNZSUk9IiwKCSJUaGVtZSIgOiAiIiwKCSJUeXBlIiA6ICJmbG93IiwKCSJVc2VySWQiIDogIiIsCgkiVmVyc2lvbiIgOiAiNT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82</Pages>
  <Words>29249</Words>
  <Characters>31856</Characters>
  <Lines>282</Lines>
  <Paragraphs>79</Paragraphs>
  <TotalTime>155</TotalTime>
  <ScaleCrop>false</ScaleCrop>
  <LinksUpToDate>false</LinksUpToDate>
  <CharactersWithSpaces>32697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2021-12-11T00:58:00Z</dcterms:created>
  <dc:creator>qzuser</dc:creator>
  <cp:lastModifiedBy>PANLIYUAN</cp:lastModifiedBy>
  <cp:lastPrinted>2022-12-13T23:42:00Z</cp:lastPrinted>
  <dcterms:modified xsi:type="dcterms:W3CDTF">2026-07-21T05:31:26Z</dcterms:modified>
  <dc:title>建设项目环境影响报告表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1771764917E94FF6A7E237FE6AAA1D34_13</vt:lpwstr>
  </property>
  <property fmtid="{D5CDD505-2E9C-101B-9397-08002B2CF9AE}" pid="4" name="KSOTemplateDocerSaveRecord">
    <vt:lpwstr>eyJoZGlkIjoiN2VkMzMzZTQyZmE2NTNlNDFlZTRmNmQwYWY3NzZiODIiLCJ1c2VySWQiOiI2NTM2NzM4MTIifQ==</vt:lpwstr>
  </property>
</Properties>
</file>